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drawings/drawing1.xml" ContentType="application/vnd.openxmlformats-officedocument.drawingml.chartshapes+xml"/>
  <Override PartName="/word/charts/chart3.xml" ContentType="application/vnd.openxmlformats-officedocument.drawingml.chart+xml"/>
  <Override PartName="/word/theme/themeOverride3.xml" ContentType="application/vnd.openxmlformats-officedocument.themeOverride+xml"/>
  <Override PartName="/word/drawings/drawing2.xml" ContentType="application/vnd.openxmlformats-officedocument.drawingml.chartshapes+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drawings/drawing3.xml" ContentType="application/vnd.openxmlformats-officedocument.drawingml.chartshapes+xml"/>
  <Override PartName="/word/charts/chart6.xml" ContentType="application/vnd.openxmlformats-officedocument.drawingml.chart+xml"/>
  <Override PartName="/word/theme/themeOverride6.xml" ContentType="application/vnd.openxmlformats-officedocument.themeOverride+xml"/>
  <Override PartName="/word/charts/chart7.xml" ContentType="application/vnd.openxmlformats-officedocument.drawingml.chart+xml"/>
  <Override PartName="/word/charts/chart8.xml" ContentType="application/vnd.openxmlformats-officedocument.drawingml.chart+xml"/>
  <Override PartName="/word/theme/themeOverride7.xml" ContentType="application/vnd.openxmlformats-officedocument.themeOverride+xml"/>
  <Override PartName="/word/charts/chart9.xml" ContentType="application/vnd.openxmlformats-officedocument.drawingml.chart+xml"/>
  <Override PartName="/word/theme/themeOverride8.xml" ContentType="application/vnd.openxmlformats-officedocument.themeOverride+xml"/>
  <Override PartName="/word/charts/chart10.xml" ContentType="application/vnd.openxmlformats-officedocument.drawingml.chart+xml"/>
  <Override PartName="/word/charts/chart11.xml" ContentType="application/vnd.openxmlformats-officedocument.drawingml.chart+xml"/>
  <Override PartName="/word/drawings/drawing4.xml" ContentType="application/vnd.openxmlformats-officedocument.drawingml.chartshapes+xml"/>
  <Override PartName="/word/charts/chart12.xml" ContentType="application/vnd.openxmlformats-officedocument.drawingml.chart+xml"/>
  <Override PartName="/word/charts/chart13.xml" ContentType="application/vnd.openxmlformats-officedocument.drawingml.chart+xml"/>
  <Override PartName="/word/drawings/drawing5.xml" ContentType="application/vnd.openxmlformats-officedocument.drawingml.chartshapes+xml"/>
  <Override PartName="/word/charts/chart14.xml" ContentType="application/vnd.openxmlformats-officedocument.drawingml.chart+xml"/>
  <Override PartName="/word/drawings/drawing6.xml" ContentType="application/vnd.openxmlformats-officedocument.drawingml.chartshapes+xml"/>
  <Override PartName="/word/charts/chart15.xml" ContentType="application/vnd.openxmlformats-officedocument.drawingml.chart+xml"/>
  <Override PartName="/word/drawings/drawing7.xml" ContentType="application/vnd.openxmlformats-officedocument.drawingml.chartshapes+xml"/>
  <Override PartName="/word/charts/chart16.xml" ContentType="application/vnd.openxmlformats-officedocument.drawingml.chart+xml"/>
  <Override PartName="/word/drawings/drawing8.xml" ContentType="application/vnd.openxmlformats-officedocument.drawingml.chartshapes+xml"/>
  <Override PartName="/word/charts/chart17.xml" ContentType="application/vnd.openxmlformats-officedocument.drawingml.chart+xml"/>
  <Override PartName="/word/theme/themeOverride9.xml" ContentType="application/vnd.openxmlformats-officedocument.themeOverride+xml"/>
  <Override PartName="/word/charts/chart18.xml" ContentType="application/vnd.openxmlformats-officedocument.drawingml.chart+xml"/>
  <Override PartName="/word/theme/themeOverride10.xml" ContentType="application/vnd.openxmlformats-officedocument.themeOverride+xml"/>
  <Override PartName="/word/charts/chart19.xml" ContentType="application/vnd.openxmlformats-officedocument.drawingml.chart+xml"/>
  <Override PartName="/word/drawings/drawing9.xml" ContentType="application/vnd.openxmlformats-officedocument.drawingml.chartshapes+xml"/>
  <Override PartName="/word/charts/chart20.xml" ContentType="application/vnd.openxmlformats-officedocument.drawingml.chart+xml"/>
  <Override PartName="/word/drawings/drawing10.xml" ContentType="application/vnd.openxmlformats-officedocument.drawingml.chartshapes+xml"/>
  <Override PartName="/word/charts/chart21.xml" ContentType="application/vnd.openxmlformats-officedocument.drawingml.chart+xml"/>
  <Override PartName="/word/charts/chart22.xml" ContentType="application/vnd.openxmlformats-officedocument.drawingml.chart+xml"/>
  <Override PartName="/word/drawings/drawing11.xml" ContentType="application/vnd.openxmlformats-officedocument.drawingml.chartshapes+xml"/>
  <Override PartName="/word/charts/chart23.xml" ContentType="application/vnd.openxmlformats-officedocument.drawingml.chart+xml"/>
  <Override PartName="/word/charts/chart24.xml" ContentType="application/vnd.openxmlformats-officedocument.drawingml.chart+xml"/>
  <Override PartName="/word/drawings/drawing12.xml" ContentType="application/vnd.openxmlformats-officedocument.drawingml.chartshapes+xml"/>
  <Override PartName="/word/charts/chart25.xml" ContentType="application/vnd.openxmlformats-officedocument.drawingml.chart+xml"/>
  <Override PartName="/word/drawings/drawing13.xml" ContentType="application/vnd.openxmlformats-officedocument.drawingml.chartshapes+xml"/>
  <Override PartName="/word/charts/chart26.xml" ContentType="application/vnd.openxmlformats-officedocument.drawingml.chart+xml"/>
  <Override PartName="/word/drawings/drawing14.xml" ContentType="application/vnd.openxmlformats-officedocument.drawingml.chartshapes+xml"/>
  <Override PartName="/word/charts/chart27.xml" ContentType="application/vnd.openxmlformats-officedocument.drawingml.chart+xml"/>
  <Override PartName="/word/charts/chart28.xml" ContentType="application/vnd.openxmlformats-officedocument.drawingml.chart+xml"/>
  <Override PartName="/word/drawings/drawing15.xml" ContentType="application/vnd.openxmlformats-officedocument.drawingml.chartshapes+xml"/>
  <Override PartName="/word/charts/chart29.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3CF0" w:rsidRPr="00BC7D15" w:rsidRDefault="003B3CF0" w:rsidP="003B3CF0">
      <w:pPr>
        <w:tabs>
          <w:tab w:val="left" w:pos="0"/>
          <w:tab w:val="left" w:pos="3402"/>
        </w:tabs>
        <w:spacing w:before="60"/>
        <w:jc w:val="center"/>
        <w:rPr>
          <w:color w:val="000000"/>
          <w:sz w:val="32"/>
          <w:szCs w:val="32"/>
        </w:rPr>
      </w:pPr>
      <w:r w:rsidRPr="00BC7D15">
        <w:rPr>
          <w:b/>
          <w:color w:val="000000"/>
          <w:sz w:val="32"/>
          <w:szCs w:val="32"/>
        </w:rPr>
        <w:t xml:space="preserve">MYKOLO ROMERIO UNIVERSITETAS </w:t>
      </w:r>
    </w:p>
    <w:p w:rsidR="003B3CF0" w:rsidRPr="00BC7D15" w:rsidRDefault="003B3CF0" w:rsidP="003B3CF0">
      <w:pPr>
        <w:tabs>
          <w:tab w:val="left" w:pos="0"/>
          <w:tab w:val="left" w:pos="3402"/>
        </w:tabs>
        <w:spacing w:before="60"/>
        <w:jc w:val="center"/>
        <w:rPr>
          <w:b/>
          <w:bCs/>
          <w:color w:val="000000"/>
          <w:sz w:val="28"/>
          <w:szCs w:val="28"/>
        </w:rPr>
      </w:pPr>
      <w:r w:rsidRPr="00BC7D15">
        <w:rPr>
          <w:b/>
          <w:bCs/>
          <w:color w:val="000000"/>
          <w:sz w:val="28"/>
          <w:szCs w:val="28"/>
        </w:rPr>
        <w:t>EKONOMIKO</w:t>
      </w:r>
      <w:r>
        <w:rPr>
          <w:b/>
          <w:bCs/>
          <w:color w:val="000000"/>
          <w:sz w:val="28"/>
          <w:szCs w:val="28"/>
        </w:rPr>
        <w:t>S IR FINANSŲ VALDYMO FAKULTETAS</w:t>
      </w:r>
    </w:p>
    <w:p w:rsidR="003B3CF0" w:rsidRPr="00FD53AA" w:rsidRDefault="00D14552" w:rsidP="003B3CF0">
      <w:pPr>
        <w:tabs>
          <w:tab w:val="left" w:pos="0"/>
          <w:tab w:val="left" w:pos="3402"/>
        </w:tabs>
        <w:spacing w:before="60"/>
        <w:jc w:val="center"/>
        <w:rPr>
          <w:b/>
          <w:color w:val="000000"/>
          <w:szCs w:val="28"/>
        </w:rPr>
      </w:pPr>
      <w:r>
        <w:rPr>
          <w:b/>
          <w:color w:val="000000"/>
          <w:szCs w:val="28"/>
        </w:rPr>
        <w:t>F</w:t>
      </w:r>
      <w:r>
        <w:rPr>
          <w:b/>
          <w:color w:val="000000"/>
          <w:szCs w:val="28"/>
          <w:lang w:val="lt-LT"/>
        </w:rPr>
        <w:t>INANSŲ IR MOKESČIŲ</w:t>
      </w:r>
      <w:r w:rsidR="003B3CF0" w:rsidRPr="00FD53AA">
        <w:rPr>
          <w:b/>
          <w:color w:val="000000"/>
          <w:szCs w:val="28"/>
        </w:rPr>
        <w:t xml:space="preserve"> KATEDRA</w:t>
      </w:r>
    </w:p>
    <w:p w:rsidR="003B3CF0" w:rsidRDefault="003B3CF0" w:rsidP="003B3CF0">
      <w:pPr>
        <w:tabs>
          <w:tab w:val="left" w:pos="0"/>
          <w:tab w:val="left" w:pos="3402"/>
        </w:tabs>
        <w:jc w:val="center"/>
        <w:rPr>
          <w:b/>
          <w:color w:val="000000"/>
          <w:sz w:val="22"/>
        </w:rPr>
      </w:pPr>
    </w:p>
    <w:p w:rsidR="003B3CF0" w:rsidRDefault="003B3CF0" w:rsidP="003B3CF0">
      <w:pPr>
        <w:tabs>
          <w:tab w:val="left" w:pos="0"/>
          <w:tab w:val="left" w:pos="3402"/>
        </w:tabs>
        <w:jc w:val="center"/>
        <w:rPr>
          <w:b/>
          <w:color w:val="000000"/>
          <w:sz w:val="22"/>
        </w:rPr>
      </w:pPr>
    </w:p>
    <w:p w:rsidR="003B3CF0" w:rsidRDefault="003B3CF0" w:rsidP="003B3CF0">
      <w:pPr>
        <w:tabs>
          <w:tab w:val="left" w:pos="0"/>
          <w:tab w:val="left" w:pos="3402"/>
        </w:tabs>
        <w:jc w:val="center"/>
        <w:rPr>
          <w:b/>
          <w:color w:val="000000"/>
          <w:sz w:val="22"/>
        </w:rPr>
      </w:pPr>
    </w:p>
    <w:p w:rsidR="003B3CF0" w:rsidRDefault="003B3CF0" w:rsidP="003B3CF0">
      <w:pPr>
        <w:tabs>
          <w:tab w:val="left" w:pos="0"/>
          <w:tab w:val="left" w:pos="3402"/>
        </w:tabs>
        <w:jc w:val="center"/>
        <w:rPr>
          <w:b/>
          <w:color w:val="000000"/>
          <w:sz w:val="22"/>
        </w:rPr>
      </w:pPr>
    </w:p>
    <w:p w:rsidR="003B3CF0" w:rsidRDefault="003B3CF0" w:rsidP="003B3CF0">
      <w:pPr>
        <w:tabs>
          <w:tab w:val="left" w:pos="0"/>
          <w:tab w:val="left" w:pos="3402"/>
        </w:tabs>
        <w:jc w:val="center"/>
        <w:rPr>
          <w:b/>
          <w:color w:val="000000"/>
          <w:sz w:val="22"/>
        </w:rPr>
      </w:pPr>
    </w:p>
    <w:p w:rsidR="003B3CF0" w:rsidRDefault="003B3CF0" w:rsidP="003B3CF0">
      <w:pPr>
        <w:tabs>
          <w:tab w:val="left" w:pos="0"/>
          <w:tab w:val="left" w:pos="3402"/>
        </w:tabs>
        <w:jc w:val="center"/>
        <w:rPr>
          <w:b/>
          <w:color w:val="000000"/>
          <w:sz w:val="22"/>
        </w:rPr>
      </w:pPr>
    </w:p>
    <w:p w:rsidR="003B3CF0" w:rsidRDefault="003B3CF0" w:rsidP="003B3CF0">
      <w:pPr>
        <w:tabs>
          <w:tab w:val="left" w:pos="0"/>
          <w:tab w:val="left" w:pos="3402"/>
        </w:tabs>
        <w:jc w:val="center"/>
        <w:rPr>
          <w:b/>
          <w:color w:val="000000"/>
          <w:sz w:val="22"/>
        </w:rPr>
      </w:pPr>
    </w:p>
    <w:p w:rsidR="003B3CF0" w:rsidRPr="00FD53AA" w:rsidRDefault="00FD53AA" w:rsidP="003B3CF0">
      <w:pPr>
        <w:tabs>
          <w:tab w:val="left" w:pos="0"/>
          <w:tab w:val="left" w:pos="3402"/>
        </w:tabs>
        <w:jc w:val="center"/>
        <w:rPr>
          <w:b/>
          <w:color w:val="000000"/>
          <w:sz w:val="32"/>
        </w:rPr>
      </w:pPr>
      <w:r>
        <w:rPr>
          <w:b/>
          <w:color w:val="000000"/>
          <w:sz w:val="32"/>
        </w:rPr>
        <w:t>SANDRA FEDOSOVAITĖ</w:t>
      </w:r>
    </w:p>
    <w:p w:rsidR="003B3CF0" w:rsidRDefault="003B3CF0" w:rsidP="003B3CF0">
      <w:pPr>
        <w:tabs>
          <w:tab w:val="left" w:pos="0"/>
          <w:tab w:val="left" w:pos="3402"/>
        </w:tabs>
        <w:jc w:val="center"/>
        <w:rPr>
          <w:b/>
          <w:color w:val="000000"/>
          <w:sz w:val="22"/>
        </w:rPr>
      </w:pPr>
    </w:p>
    <w:p w:rsidR="003B3CF0" w:rsidRDefault="003B3CF0" w:rsidP="003B3CF0">
      <w:pPr>
        <w:tabs>
          <w:tab w:val="left" w:pos="0"/>
          <w:tab w:val="left" w:pos="3402"/>
        </w:tabs>
        <w:jc w:val="center"/>
        <w:rPr>
          <w:b/>
          <w:color w:val="000000"/>
          <w:sz w:val="22"/>
        </w:rPr>
      </w:pPr>
    </w:p>
    <w:p w:rsidR="003B3CF0" w:rsidRDefault="003B3CF0" w:rsidP="003B3CF0">
      <w:pPr>
        <w:tabs>
          <w:tab w:val="left" w:pos="0"/>
          <w:tab w:val="left" w:pos="3402"/>
        </w:tabs>
        <w:jc w:val="center"/>
        <w:rPr>
          <w:b/>
          <w:color w:val="000000"/>
          <w:sz w:val="32"/>
          <w:szCs w:val="32"/>
        </w:rPr>
      </w:pPr>
    </w:p>
    <w:p w:rsidR="003B3CF0" w:rsidRDefault="003B3CF0" w:rsidP="003B3CF0">
      <w:pPr>
        <w:tabs>
          <w:tab w:val="left" w:pos="0"/>
          <w:tab w:val="left" w:pos="3402"/>
        </w:tabs>
        <w:jc w:val="center"/>
        <w:rPr>
          <w:b/>
          <w:color w:val="000000"/>
          <w:sz w:val="32"/>
          <w:szCs w:val="32"/>
        </w:rPr>
      </w:pPr>
    </w:p>
    <w:p w:rsidR="003B3CF0" w:rsidRDefault="003B3CF0" w:rsidP="003B3CF0">
      <w:pPr>
        <w:tabs>
          <w:tab w:val="left" w:pos="0"/>
          <w:tab w:val="left" w:pos="3402"/>
        </w:tabs>
        <w:jc w:val="center"/>
        <w:rPr>
          <w:b/>
          <w:color w:val="000000"/>
          <w:sz w:val="32"/>
          <w:szCs w:val="32"/>
        </w:rPr>
      </w:pPr>
    </w:p>
    <w:p w:rsidR="003B3CF0" w:rsidRDefault="003B3CF0" w:rsidP="003B3CF0">
      <w:pPr>
        <w:tabs>
          <w:tab w:val="left" w:pos="0"/>
          <w:tab w:val="left" w:pos="3402"/>
        </w:tabs>
        <w:jc w:val="center"/>
        <w:rPr>
          <w:b/>
          <w:color w:val="000000"/>
          <w:sz w:val="32"/>
          <w:szCs w:val="32"/>
        </w:rPr>
      </w:pPr>
    </w:p>
    <w:p w:rsidR="00FD53AA" w:rsidRDefault="003B3CF0" w:rsidP="003B3CF0">
      <w:pPr>
        <w:tabs>
          <w:tab w:val="left" w:pos="0"/>
          <w:tab w:val="left" w:pos="3402"/>
        </w:tabs>
        <w:ind w:right="-442"/>
        <w:jc w:val="center"/>
        <w:rPr>
          <w:b/>
          <w:color w:val="000000"/>
          <w:sz w:val="40"/>
          <w:szCs w:val="40"/>
        </w:rPr>
      </w:pPr>
      <w:r>
        <w:rPr>
          <w:b/>
          <w:color w:val="000000"/>
          <w:sz w:val="40"/>
          <w:szCs w:val="40"/>
        </w:rPr>
        <w:t xml:space="preserve">FISKALINĖS DECENTRALIZACIJOS PLĖTOTĖ    </w:t>
      </w:r>
    </w:p>
    <w:p w:rsidR="003B3CF0" w:rsidRPr="003E3C05" w:rsidRDefault="003B3CF0" w:rsidP="003B3CF0">
      <w:pPr>
        <w:tabs>
          <w:tab w:val="left" w:pos="0"/>
          <w:tab w:val="left" w:pos="3402"/>
        </w:tabs>
        <w:ind w:right="-442"/>
        <w:jc w:val="center"/>
        <w:rPr>
          <w:b/>
          <w:color w:val="000000"/>
          <w:sz w:val="40"/>
          <w:szCs w:val="40"/>
        </w:rPr>
      </w:pPr>
      <w:r>
        <w:rPr>
          <w:b/>
          <w:color w:val="000000"/>
          <w:sz w:val="40"/>
          <w:szCs w:val="40"/>
        </w:rPr>
        <w:t xml:space="preserve">  ES KONTEKSTE</w:t>
      </w:r>
    </w:p>
    <w:p w:rsidR="003B3CF0" w:rsidRPr="00FD53AA" w:rsidRDefault="003B3CF0" w:rsidP="00FD53AA">
      <w:pPr>
        <w:tabs>
          <w:tab w:val="left" w:pos="0"/>
          <w:tab w:val="left" w:pos="3402"/>
        </w:tabs>
        <w:ind w:right="-442"/>
        <w:jc w:val="center"/>
        <w:rPr>
          <w:b/>
          <w:color w:val="000000"/>
          <w:sz w:val="28"/>
          <w:szCs w:val="40"/>
        </w:rPr>
      </w:pPr>
      <w:r w:rsidRPr="003E3C05">
        <w:rPr>
          <w:b/>
          <w:color w:val="000000"/>
          <w:sz w:val="40"/>
          <w:szCs w:val="40"/>
        </w:rPr>
        <w:t xml:space="preserve"> </w:t>
      </w:r>
      <w:r w:rsidR="00FD53AA">
        <w:rPr>
          <w:b/>
          <w:color w:val="000000"/>
          <w:sz w:val="28"/>
          <w:szCs w:val="40"/>
        </w:rPr>
        <w:t>Magistro baigiamasis darbas</w:t>
      </w:r>
    </w:p>
    <w:p w:rsidR="003B3CF0" w:rsidRDefault="003B3CF0" w:rsidP="003B3CF0">
      <w:pPr>
        <w:tabs>
          <w:tab w:val="left" w:pos="0"/>
        </w:tabs>
        <w:jc w:val="center"/>
        <w:rPr>
          <w:b/>
          <w:color w:val="000000"/>
          <w:sz w:val="22"/>
        </w:rPr>
      </w:pPr>
    </w:p>
    <w:p w:rsidR="003B3CF0" w:rsidRDefault="003B3CF0" w:rsidP="003B3CF0">
      <w:pPr>
        <w:tabs>
          <w:tab w:val="left" w:pos="0"/>
        </w:tabs>
        <w:jc w:val="center"/>
        <w:rPr>
          <w:b/>
          <w:color w:val="000000"/>
          <w:sz w:val="22"/>
        </w:rPr>
      </w:pPr>
    </w:p>
    <w:p w:rsidR="003B3CF0" w:rsidRDefault="003B3CF0" w:rsidP="003B3CF0">
      <w:pPr>
        <w:tabs>
          <w:tab w:val="left" w:pos="0"/>
        </w:tabs>
        <w:jc w:val="center"/>
        <w:rPr>
          <w:b/>
          <w:color w:val="000000"/>
          <w:sz w:val="22"/>
        </w:rPr>
      </w:pPr>
    </w:p>
    <w:p w:rsidR="003B3CF0" w:rsidRDefault="003B3CF0" w:rsidP="003B3CF0">
      <w:pPr>
        <w:tabs>
          <w:tab w:val="left" w:pos="0"/>
        </w:tabs>
        <w:jc w:val="center"/>
        <w:rPr>
          <w:b/>
          <w:color w:val="000000"/>
          <w:sz w:val="22"/>
        </w:rPr>
      </w:pPr>
    </w:p>
    <w:p w:rsidR="003B3CF0" w:rsidRDefault="003B3CF0" w:rsidP="003B3CF0">
      <w:pPr>
        <w:tabs>
          <w:tab w:val="left" w:pos="0"/>
        </w:tabs>
        <w:jc w:val="center"/>
        <w:rPr>
          <w:b/>
          <w:color w:val="000000"/>
          <w:sz w:val="22"/>
        </w:rPr>
      </w:pPr>
    </w:p>
    <w:p w:rsidR="003B3CF0" w:rsidRDefault="003B3CF0" w:rsidP="003B3CF0">
      <w:pPr>
        <w:tabs>
          <w:tab w:val="left" w:pos="0"/>
        </w:tabs>
        <w:jc w:val="center"/>
        <w:rPr>
          <w:b/>
          <w:color w:val="000000"/>
          <w:sz w:val="22"/>
        </w:rPr>
      </w:pPr>
    </w:p>
    <w:p w:rsidR="003B3CF0" w:rsidRDefault="003B3CF0" w:rsidP="003B3CF0">
      <w:pPr>
        <w:tabs>
          <w:tab w:val="left" w:pos="0"/>
        </w:tabs>
        <w:jc w:val="center"/>
        <w:rPr>
          <w:b/>
          <w:color w:val="000000"/>
          <w:sz w:val="22"/>
        </w:rPr>
      </w:pPr>
    </w:p>
    <w:p w:rsidR="003B3CF0" w:rsidRPr="00BC7D15" w:rsidRDefault="003B3CF0" w:rsidP="00FD53AA">
      <w:pPr>
        <w:tabs>
          <w:tab w:val="left" w:pos="0"/>
        </w:tabs>
        <w:rPr>
          <w:b/>
          <w:color w:val="000000"/>
        </w:rPr>
      </w:pPr>
    </w:p>
    <w:p w:rsidR="003B3CF0" w:rsidRPr="00BC7D15" w:rsidRDefault="003B3CF0" w:rsidP="003B3CF0">
      <w:pPr>
        <w:tabs>
          <w:tab w:val="left" w:pos="0"/>
        </w:tabs>
        <w:ind w:firstLine="6300"/>
        <w:rPr>
          <w:b/>
          <w:color w:val="000000"/>
        </w:rPr>
      </w:pPr>
    </w:p>
    <w:p w:rsidR="003B3CF0" w:rsidRPr="00FD53AA" w:rsidRDefault="000E6FB7" w:rsidP="003B3CF0">
      <w:pPr>
        <w:tabs>
          <w:tab w:val="left" w:pos="0"/>
        </w:tabs>
        <w:ind w:firstLine="6300"/>
        <w:rPr>
          <w:b/>
          <w:color w:val="000000"/>
          <w:sz w:val="28"/>
        </w:rPr>
      </w:pPr>
      <w:r>
        <w:rPr>
          <w:b/>
          <w:color w:val="000000"/>
          <w:sz w:val="28"/>
        </w:rPr>
        <w:t>Vadov</w:t>
      </w:r>
      <w:r>
        <w:rPr>
          <w:b/>
          <w:color w:val="000000"/>
          <w:sz w:val="28"/>
          <w:lang w:val="lt-LT"/>
        </w:rPr>
        <w:t>ė</w:t>
      </w:r>
      <w:r w:rsidR="003B3CF0" w:rsidRPr="00FD53AA">
        <w:rPr>
          <w:b/>
          <w:color w:val="000000"/>
          <w:sz w:val="28"/>
        </w:rPr>
        <w:t xml:space="preserve"> </w:t>
      </w:r>
    </w:p>
    <w:p w:rsidR="003B3CF0" w:rsidRPr="00FD53AA" w:rsidRDefault="000E6FB7" w:rsidP="000E6FB7">
      <w:pPr>
        <w:tabs>
          <w:tab w:val="left" w:pos="0"/>
        </w:tabs>
        <w:ind w:right="28"/>
        <w:jc w:val="right"/>
        <w:rPr>
          <w:b/>
          <w:color w:val="000000"/>
          <w:sz w:val="28"/>
          <w:lang w:val="lt-LT"/>
        </w:rPr>
      </w:pPr>
      <w:proofErr w:type="gramStart"/>
      <w:r w:rsidRPr="000E6FB7">
        <w:rPr>
          <w:b/>
          <w:color w:val="000000"/>
          <w:sz w:val="28"/>
        </w:rPr>
        <w:t>prof</w:t>
      </w:r>
      <w:proofErr w:type="gramEnd"/>
      <w:r w:rsidRPr="000E6FB7">
        <w:rPr>
          <w:b/>
          <w:color w:val="000000"/>
          <w:sz w:val="28"/>
        </w:rPr>
        <w:t>. habil. dr. O.G.Rakauskienė</w:t>
      </w:r>
    </w:p>
    <w:p w:rsidR="003B3CF0" w:rsidRDefault="003B3CF0" w:rsidP="003B3CF0">
      <w:pPr>
        <w:tabs>
          <w:tab w:val="left" w:pos="0"/>
        </w:tabs>
        <w:rPr>
          <w:b/>
          <w:color w:val="000000"/>
          <w:sz w:val="22"/>
        </w:rPr>
      </w:pPr>
    </w:p>
    <w:p w:rsidR="003B3CF0" w:rsidRDefault="003B3CF0" w:rsidP="003B3CF0">
      <w:pPr>
        <w:tabs>
          <w:tab w:val="left" w:pos="0"/>
        </w:tabs>
        <w:rPr>
          <w:b/>
          <w:color w:val="000000"/>
          <w:sz w:val="22"/>
        </w:rPr>
      </w:pPr>
    </w:p>
    <w:p w:rsidR="003B3CF0" w:rsidRDefault="003B3CF0" w:rsidP="00903E6E">
      <w:pPr>
        <w:rPr>
          <w:b/>
          <w:color w:val="000000"/>
          <w:sz w:val="28"/>
          <w:szCs w:val="28"/>
        </w:rPr>
      </w:pPr>
    </w:p>
    <w:p w:rsidR="003B3CF0" w:rsidRDefault="003B3CF0" w:rsidP="003B3CF0">
      <w:pPr>
        <w:jc w:val="center"/>
        <w:rPr>
          <w:b/>
          <w:color w:val="000000"/>
          <w:sz w:val="28"/>
          <w:szCs w:val="28"/>
        </w:rPr>
      </w:pPr>
    </w:p>
    <w:p w:rsidR="00FD53AA" w:rsidRDefault="00FD53AA" w:rsidP="003B3CF0">
      <w:pPr>
        <w:jc w:val="center"/>
        <w:rPr>
          <w:b/>
          <w:color w:val="000000"/>
          <w:sz w:val="28"/>
          <w:szCs w:val="28"/>
        </w:rPr>
      </w:pPr>
    </w:p>
    <w:p w:rsidR="00FD53AA" w:rsidRDefault="00FD53AA" w:rsidP="003B3CF0">
      <w:pPr>
        <w:jc w:val="center"/>
        <w:rPr>
          <w:b/>
          <w:color w:val="000000"/>
          <w:sz w:val="28"/>
          <w:szCs w:val="28"/>
        </w:rPr>
      </w:pPr>
    </w:p>
    <w:p w:rsidR="00FD53AA" w:rsidRDefault="00FD53AA" w:rsidP="003B3CF0">
      <w:pPr>
        <w:jc w:val="center"/>
        <w:rPr>
          <w:b/>
          <w:color w:val="000000"/>
          <w:sz w:val="28"/>
          <w:szCs w:val="28"/>
        </w:rPr>
      </w:pPr>
    </w:p>
    <w:p w:rsidR="00FD53AA" w:rsidRDefault="00FD53AA" w:rsidP="003B3CF0">
      <w:pPr>
        <w:jc w:val="center"/>
        <w:rPr>
          <w:b/>
          <w:color w:val="000000"/>
          <w:sz w:val="28"/>
          <w:szCs w:val="28"/>
        </w:rPr>
      </w:pPr>
    </w:p>
    <w:p w:rsidR="00FD53AA" w:rsidRDefault="00FD53AA" w:rsidP="003B3CF0">
      <w:pPr>
        <w:jc w:val="center"/>
        <w:rPr>
          <w:b/>
          <w:color w:val="000000"/>
          <w:sz w:val="28"/>
          <w:szCs w:val="28"/>
        </w:rPr>
      </w:pPr>
    </w:p>
    <w:p w:rsidR="00FD53AA" w:rsidRDefault="00FD53AA" w:rsidP="003B3CF0">
      <w:pPr>
        <w:jc w:val="center"/>
        <w:rPr>
          <w:b/>
          <w:color w:val="000000"/>
          <w:sz w:val="28"/>
          <w:szCs w:val="28"/>
        </w:rPr>
      </w:pPr>
    </w:p>
    <w:p w:rsidR="004521A6" w:rsidRDefault="004521A6" w:rsidP="003B3CF0">
      <w:pPr>
        <w:jc w:val="center"/>
        <w:rPr>
          <w:b/>
          <w:color w:val="000000"/>
          <w:sz w:val="28"/>
          <w:szCs w:val="28"/>
        </w:rPr>
      </w:pPr>
    </w:p>
    <w:p w:rsidR="00296901" w:rsidRDefault="00296901" w:rsidP="003B3CF0">
      <w:pPr>
        <w:jc w:val="center"/>
        <w:rPr>
          <w:b/>
          <w:color w:val="000000"/>
          <w:sz w:val="28"/>
          <w:szCs w:val="28"/>
        </w:rPr>
      </w:pPr>
    </w:p>
    <w:p w:rsidR="004521A6" w:rsidRPr="00296901" w:rsidRDefault="003B3CF0" w:rsidP="00296901">
      <w:pPr>
        <w:jc w:val="center"/>
        <w:rPr>
          <w:b/>
          <w:color w:val="000000"/>
          <w:sz w:val="28"/>
          <w:szCs w:val="28"/>
        </w:rPr>
      </w:pPr>
      <w:r>
        <w:rPr>
          <w:b/>
          <w:color w:val="000000"/>
          <w:sz w:val="28"/>
          <w:szCs w:val="28"/>
        </w:rPr>
        <w:t>VILNIUS, 201</w:t>
      </w:r>
      <w:r w:rsidR="00FD53AA">
        <w:rPr>
          <w:b/>
          <w:color w:val="000000"/>
          <w:sz w:val="28"/>
          <w:szCs w:val="28"/>
        </w:rPr>
        <w:t>4</w:t>
      </w:r>
    </w:p>
    <w:p w:rsidR="00FD53AA" w:rsidRPr="00BC7D15" w:rsidRDefault="00FD53AA" w:rsidP="00FD53AA">
      <w:pPr>
        <w:tabs>
          <w:tab w:val="left" w:pos="0"/>
          <w:tab w:val="left" w:pos="3402"/>
        </w:tabs>
        <w:spacing w:before="60"/>
        <w:jc w:val="center"/>
        <w:rPr>
          <w:color w:val="000000"/>
          <w:sz w:val="32"/>
          <w:szCs w:val="32"/>
        </w:rPr>
      </w:pPr>
      <w:r w:rsidRPr="00BC7D15">
        <w:rPr>
          <w:b/>
          <w:color w:val="000000"/>
          <w:sz w:val="32"/>
          <w:szCs w:val="32"/>
        </w:rPr>
        <w:lastRenderedPageBreak/>
        <w:t xml:space="preserve">MYKOLO ROMERIO UNIVERSITETAS </w:t>
      </w:r>
    </w:p>
    <w:p w:rsidR="00FD53AA" w:rsidRPr="00BC7D15" w:rsidRDefault="00FD53AA" w:rsidP="00FD53AA">
      <w:pPr>
        <w:tabs>
          <w:tab w:val="left" w:pos="0"/>
          <w:tab w:val="left" w:pos="3402"/>
        </w:tabs>
        <w:spacing w:before="60"/>
        <w:jc w:val="center"/>
        <w:rPr>
          <w:b/>
          <w:bCs/>
          <w:color w:val="000000"/>
          <w:sz w:val="28"/>
          <w:szCs w:val="28"/>
        </w:rPr>
      </w:pPr>
      <w:r w:rsidRPr="00BC7D15">
        <w:rPr>
          <w:b/>
          <w:bCs/>
          <w:color w:val="000000"/>
          <w:sz w:val="28"/>
          <w:szCs w:val="28"/>
        </w:rPr>
        <w:t>EKONOMIKO</w:t>
      </w:r>
      <w:r>
        <w:rPr>
          <w:b/>
          <w:bCs/>
          <w:color w:val="000000"/>
          <w:sz w:val="28"/>
          <w:szCs w:val="28"/>
        </w:rPr>
        <w:t>S IR FINANSŲ VALDYMO FAKULTETAS</w:t>
      </w:r>
    </w:p>
    <w:p w:rsidR="00FD53AA" w:rsidRPr="00FD53AA" w:rsidRDefault="00996C09" w:rsidP="00FD53AA">
      <w:pPr>
        <w:tabs>
          <w:tab w:val="left" w:pos="0"/>
          <w:tab w:val="left" w:pos="3402"/>
        </w:tabs>
        <w:spacing w:before="60"/>
        <w:jc w:val="center"/>
        <w:rPr>
          <w:b/>
          <w:color w:val="000000"/>
          <w:szCs w:val="28"/>
        </w:rPr>
      </w:pPr>
      <w:r>
        <w:rPr>
          <w:b/>
          <w:color w:val="000000"/>
          <w:szCs w:val="28"/>
        </w:rPr>
        <w:t>FINANS</w:t>
      </w:r>
      <w:r>
        <w:rPr>
          <w:b/>
          <w:color w:val="000000"/>
          <w:szCs w:val="28"/>
          <w:lang w:val="lt-LT"/>
        </w:rPr>
        <w:t xml:space="preserve">Ų IR MOKESČIŲ </w:t>
      </w:r>
      <w:r w:rsidR="00FD53AA" w:rsidRPr="00FD53AA">
        <w:rPr>
          <w:b/>
          <w:color w:val="000000"/>
          <w:szCs w:val="28"/>
        </w:rPr>
        <w:t>KATEDRA</w:t>
      </w:r>
    </w:p>
    <w:p w:rsidR="00FD53AA" w:rsidRDefault="00FD53AA" w:rsidP="00D27093">
      <w:pPr>
        <w:jc w:val="center"/>
        <w:rPr>
          <w:b/>
        </w:rPr>
      </w:pPr>
    </w:p>
    <w:p w:rsidR="00FD53AA" w:rsidRDefault="00FD53AA" w:rsidP="00D27093">
      <w:pPr>
        <w:jc w:val="center"/>
        <w:rPr>
          <w:b/>
        </w:rPr>
      </w:pPr>
    </w:p>
    <w:p w:rsidR="00FD53AA" w:rsidRPr="00D14552" w:rsidRDefault="00FD53AA" w:rsidP="00D14552">
      <w:pPr>
        <w:rPr>
          <w:b/>
        </w:rPr>
      </w:pPr>
    </w:p>
    <w:p w:rsidR="00FD53AA" w:rsidRDefault="00FD53AA" w:rsidP="00D27093">
      <w:pPr>
        <w:jc w:val="center"/>
        <w:rPr>
          <w:b/>
        </w:rPr>
      </w:pPr>
    </w:p>
    <w:p w:rsidR="00FD53AA" w:rsidRDefault="00FD53AA" w:rsidP="00D27093">
      <w:pPr>
        <w:jc w:val="center"/>
        <w:rPr>
          <w:b/>
        </w:rPr>
      </w:pPr>
    </w:p>
    <w:p w:rsidR="00FD53AA" w:rsidRDefault="00FD53AA" w:rsidP="00D27093">
      <w:pPr>
        <w:jc w:val="center"/>
        <w:rPr>
          <w:b/>
        </w:rPr>
      </w:pPr>
    </w:p>
    <w:p w:rsidR="00FD53AA" w:rsidRDefault="00FD53AA" w:rsidP="00D27093">
      <w:pPr>
        <w:jc w:val="center"/>
        <w:rPr>
          <w:b/>
        </w:rPr>
      </w:pPr>
    </w:p>
    <w:p w:rsidR="00FD53AA" w:rsidRDefault="00FD53AA" w:rsidP="00FD53AA">
      <w:pPr>
        <w:tabs>
          <w:tab w:val="left" w:pos="0"/>
          <w:tab w:val="left" w:pos="3402"/>
        </w:tabs>
        <w:ind w:right="-442"/>
        <w:jc w:val="center"/>
        <w:rPr>
          <w:b/>
          <w:color w:val="000000"/>
          <w:sz w:val="40"/>
          <w:szCs w:val="40"/>
        </w:rPr>
      </w:pPr>
      <w:r>
        <w:rPr>
          <w:b/>
          <w:color w:val="000000"/>
          <w:sz w:val="40"/>
          <w:szCs w:val="40"/>
        </w:rPr>
        <w:t xml:space="preserve">FISKALINĖS DECENTRALIZACIJOS PLĖTOTĖ    </w:t>
      </w:r>
    </w:p>
    <w:p w:rsidR="00FD53AA" w:rsidRPr="003E3C05" w:rsidRDefault="00FD53AA" w:rsidP="00FD53AA">
      <w:pPr>
        <w:tabs>
          <w:tab w:val="left" w:pos="0"/>
          <w:tab w:val="left" w:pos="3402"/>
        </w:tabs>
        <w:ind w:right="-442"/>
        <w:jc w:val="center"/>
        <w:rPr>
          <w:b/>
          <w:color w:val="000000"/>
          <w:sz w:val="40"/>
          <w:szCs w:val="40"/>
        </w:rPr>
      </w:pPr>
      <w:r>
        <w:rPr>
          <w:b/>
          <w:color w:val="000000"/>
          <w:sz w:val="40"/>
          <w:szCs w:val="40"/>
        </w:rPr>
        <w:t xml:space="preserve">  ES KONTEKSTE</w:t>
      </w:r>
    </w:p>
    <w:p w:rsidR="00FD53AA" w:rsidRPr="00FD53AA" w:rsidRDefault="00FD53AA" w:rsidP="00FD53AA">
      <w:pPr>
        <w:tabs>
          <w:tab w:val="left" w:pos="0"/>
          <w:tab w:val="left" w:pos="3402"/>
        </w:tabs>
        <w:ind w:right="-442"/>
        <w:jc w:val="center"/>
        <w:rPr>
          <w:b/>
          <w:color w:val="000000"/>
          <w:sz w:val="28"/>
          <w:szCs w:val="40"/>
        </w:rPr>
      </w:pPr>
      <w:r w:rsidRPr="00325384">
        <w:rPr>
          <w:b/>
          <w:color w:val="000000"/>
          <w:sz w:val="28"/>
          <w:szCs w:val="40"/>
        </w:rPr>
        <w:t>Finans</w:t>
      </w:r>
      <w:r w:rsidR="00325384">
        <w:rPr>
          <w:b/>
          <w:color w:val="000000"/>
          <w:sz w:val="28"/>
          <w:szCs w:val="40"/>
        </w:rPr>
        <w:t xml:space="preserve">ų valdymo magistro </w:t>
      </w:r>
      <w:r>
        <w:rPr>
          <w:b/>
          <w:color w:val="000000"/>
          <w:sz w:val="28"/>
          <w:szCs w:val="40"/>
        </w:rPr>
        <w:t>baigiamasis darbas</w:t>
      </w:r>
    </w:p>
    <w:p w:rsidR="00FD53AA" w:rsidRPr="00325384" w:rsidRDefault="00325384" w:rsidP="00D27093">
      <w:pPr>
        <w:jc w:val="center"/>
        <w:rPr>
          <w:b/>
          <w:sz w:val="28"/>
        </w:rPr>
      </w:pPr>
      <w:r w:rsidRPr="00325384">
        <w:rPr>
          <w:b/>
          <w:sz w:val="28"/>
        </w:rPr>
        <w:t xml:space="preserve">Studijų programa </w:t>
      </w:r>
      <w:r w:rsidR="00996C09" w:rsidRPr="00996C09">
        <w:rPr>
          <w:b/>
          <w:sz w:val="28"/>
        </w:rPr>
        <w:t>621N30005</w:t>
      </w:r>
    </w:p>
    <w:p w:rsidR="00FD53AA" w:rsidRDefault="00FD53AA" w:rsidP="00D27093">
      <w:pPr>
        <w:jc w:val="center"/>
        <w:rPr>
          <w:b/>
        </w:rPr>
      </w:pPr>
    </w:p>
    <w:p w:rsidR="00FD53AA" w:rsidRDefault="00FD53AA" w:rsidP="00D27093">
      <w:pPr>
        <w:jc w:val="center"/>
        <w:rPr>
          <w:b/>
        </w:rPr>
      </w:pPr>
    </w:p>
    <w:p w:rsidR="00FD53AA" w:rsidRDefault="00FD53AA" w:rsidP="00D27093">
      <w:pPr>
        <w:jc w:val="center"/>
        <w:rPr>
          <w:b/>
        </w:rPr>
      </w:pPr>
    </w:p>
    <w:p w:rsidR="00FD53AA" w:rsidRDefault="00FD53AA" w:rsidP="00D27093">
      <w:pPr>
        <w:jc w:val="center"/>
        <w:rPr>
          <w:b/>
        </w:rPr>
      </w:pPr>
    </w:p>
    <w:p w:rsidR="00382EA4" w:rsidRDefault="00382EA4" w:rsidP="00382EA4">
      <w:pPr>
        <w:tabs>
          <w:tab w:val="left" w:pos="0"/>
        </w:tabs>
        <w:rPr>
          <w:b/>
        </w:rPr>
      </w:pPr>
    </w:p>
    <w:p w:rsidR="00057E1B" w:rsidRPr="00382EA4" w:rsidRDefault="00382EA4" w:rsidP="00382EA4">
      <w:pPr>
        <w:tabs>
          <w:tab w:val="left" w:pos="0"/>
        </w:tabs>
        <w:rPr>
          <w:b/>
          <w:color w:val="000000"/>
          <w:lang w:val="lt-LT"/>
        </w:rPr>
      </w:pPr>
      <w:r>
        <w:rPr>
          <w:b/>
          <w:color w:val="000000"/>
        </w:rPr>
        <w:t>Konsultantas</w:t>
      </w:r>
      <w:r w:rsidR="00325384">
        <w:rPr>
          <w:b/>
          <w:color w:val="000000"/>
        </w:rPr>
        <w:t xml:space="preserve">            </w:t>
      </w:r>
      <w:r>
        <w:rPr>
          <w:b/>
          <w:color w:val="000000"/>
        </w:rPr>
        <w:t xml:space="preserve">                                            </w:t>
      </w:r>
      <w:r w:rsidR="000E6FB7">
        <w:rPr>
          <w:b/>
          <w:color w:val="000000"/>
        </w:rPr>
        <w:t xml:space="preserve">                      </w:t>
      </w:r>
      <w:r w:rsidR="00057E1B">
        <w:rPr>
          <w:b/>
          <w:color w:val="000000"/>
        </w:rPr>
        <w:t xml:space="preserve">  </w:t>
      </w:r>
      <w:r w:rsidR="00325384">
        <w:rPr>
          <w:b/>
          <w:color w:val="000000"/>
        </w:rPr>
        <w:t xml:space="preserve"> </w:t>
      </w:r>
      <w:r>
        <w:rPr>
          <w:b/>
          <w:color w:val="000000"/>
        </w:rPr>
        <w:t>Vadov</w:t>
      </w:r>
      <w:r>
        <w:rPr>
          <w:b/>
          <w:color w:val="000000"/>
          <w:lang w:val="lt-LT"/>
        </w:rPr>
        <w:t>ė</w:t>
      </w:r>
    </w:p>
    <w:p w:rsidR="00325384" w:rsidRPr="00325384" w:rsidRDefault="000E6FB7" w:rsidP="00382EA4">
      <w:pPr>
        <w:tabs>
          <w:tab w:val="left" w:pos="0"/>
        </w:tabs>
        <w:ind w:right="28"/>
        <w:rPr>
          <w:b/>
          <w:color w:val="000000"/>
          <w:lang w:val="lt-LT"/>
        </w:rPr>
      </w:pPr>
      <w:r>
        <w:rPr>
          <w:b/>
          <w:color w:val="000000"/>
        </w:rPr>
        <w:t xml:space="preserve">                </w:t>
      </w:r>
      <w:proofErr w:type="gramStart"/>
      <w:r w:rsidR="00325384" w:rsidRPr="00325384">
        <w:rPr>
          <w:b/>
          <w:color w:val="000000"/>
        </w:rPr>
        <w:t>prof</w:t>
      </w:r>
      <w:proofErr w:type="gramEnd"/>
      <w:r w:rsidR="00325384" w:rsidRPr="00325384">
        <w:rPr>
          <w:b/>
          <w:color w:val="000000"/>
        </w:rPr>
        <w:t xml:space="preserve">. </w:t>
      </w:r>
      <w:r w:rsidR="00824362">
        <w:rPr>
          <w:b/>
          <w:color w:val="000000"/>
        </w:rPr>
        <w:t xml:space="preserve">habil </w:t>
      </w:r>
      <w:r w:rsidR="00325384" w:rsidRPr="00325384">
        <w:rPr>
          <w:b/>
          <w:color w:val="000000"/>
        </w:rPr>
        <w:t>dr. G. Davulis</w:t>
      </w:r>
      <w:r w:rsidR="00382EA4">
        <w:rPr>
          <w:b/>
          <w:color w:val="000000"/>
        </w:rPr>
        <w:t xml:space="preserve">                                </w:t>
      </w:r>
      <w:r>
        <w:rPr>
          <w:b/>
          <w:color w:val="000000"/>
        </w:rPr>
        <w:t xml:space="preserve">                      </w:t>
      </w:r>
      <w:r w:rsidR="00382EA4">
        <w:rPr>
          <w:b/>
          <w:color w:val="000000"/>
        </w:rPr>
        <w:t xml:space="preserve"> </w:t>
      </w:r>
      <w:r w:rsidR="00057E1B">
        <w:rPr>
          <w:b/>
          <w:color w:val="000000"/>
        </w:rPr>
        <w:t>p</w:t>
      </w:r>
      <w:r w:rsidR="00057E1B" w:rsidRPr="00057E1B">
        <w:rPr>
          <w:b/>
          <w:color w:val="000000"/>
        </w:rPr>
        <w:t>rof. habil. dr. O.G.Rakauskienė</w:t>
      </w:r>
      <w:r w:rsidR="00382EA4">
        <w:rPr>
          <w:b/>
          <w:color w:val="000000"/>
        </w:rPr>
        <w:t xml:space="preserve"> </w:t>
      </w:r>
    </w:p>
    <w:p w:rsidR="00FD53AA" w:rsidRDefault="00057E1B" w:rsidP="00057E1B">
      <w:pPr>
        <w:rPr>
          <w:b/>
        </w:rPr>
      </w:pPr>
      <w:r>
        <w:rPr>
          <w:b/>
        </w:rPr>
        <w:t>2014 04</w:t>
      </w:r>
      <w:r w:rsidR="00325384">
        <w:rPr>
          <w:b/>
        </w:rPr>
        <w:t xml:space="preserve">                  </w:t>
      </w:r>
      <w:r>
        <w:rPr>
          <w:b/>
        </w:rPr>
        <w:t xml:space="preserve">                                                                     </w:t>
      </w:r>
      <w:r w:rsidR="000E6FB7">
        <w:rPr>
          <w:b/>
        </w:rPr>
        <w:t xml:space="preserve"> </w:t>
      </w:r>
      <w:r>
        <w:rPr>
          <w:b/>
        </w:rPr>
        <w:t xml:space="preserve">   </w:t>
      </w:r>
      <w:r w:rsidR="00325384">
        <w:rPr>
          <w:b/>
        </w:rPr>
        <w:t xml:space="preserve">2014 04 </w:t>
      </w:r>
    </w:p>
    <w:p w:rsidR="00FD53AA" w:rsidRDefault="00FD53AA" w:rsidP="00D27093">
      <w:pPr>
        <w:jc w:val="center"/>
        <w:rPr>
          <w:b/>
        </w:rPr>
      </w:pPr>
    </w:p>
    <w:p w:rsidR="00057E1B" w:rsidRDefault="00057E1B" w:rsidP="00824362">
      <w:pPr>
        <w:rPr>
          <w:b/>
        </w:rPr>
      </w:pPr>
    </w:p>
    <w:p w:rsidR="00325384" w:rsidRDefault="00325384" w:rsidP="00D27093">
      <w:pPr>
        <w:jc w:val="center"/>
        <w:rPr>
          <w:b/>
        </w:rPr>
      </w:pPr>
    </w:p>
    <w:p w:rsidR="00325384" w:rsidRDefault="00057E1B" w:rsidP="00057E1B">
      <w:pPr>
        <w:rPr>
          <w:b/>
        </w:rPr>
      </w:pPr>
      <w:r>
        <w:rPr>
          <w:b/>
        </w:rPr>
        <w:t>Recenzentas</w:t>
      </w:r>
      <w:r w:rsidR="00325384">
        <w:rPr>
          <w:b/>
        </w:rPr>
        <w:t xml:space="preserve">                         </w:t>
      </w:r>
      <w:r>
        <w:rPr>
          <w:b/>
        </w:rPr>
        <w:t xml:space="preserve">                                         </w:t>
      </w:r>
      <w:r w:rsidR="00325384">
        <w:rPr>
          <w:b/>
        </w:rPr>
        <w:t xml:space="preserve">                Atliko</w:t>
      </w:r>
    </w:p>
    <w:p w:rsidR="00325384" w:rsidRDefault="00325384" w:rsidP="00D27093">
      <w:pPr>
        <w:jc w:val="center"/>
        <w:rPr>
          <w:b/>
        </w:rPr>
      </w:pPr>
      <w:r>
        <w:rPr>
          <w:b/>
        </w:rPr>
        <w:t xml:space="preserve">                                                                   </w:t>
      </w:r>
      <w:r w:rsidR="000E6FB7">
        <w:rPr>
          <w:b/>
        </w:rPr>
        <w:t xml:space="preserve">  </w:t>
      </w:r>
      <w:r>
        <w:rPr>
          <w:b/>
        </w:rPr>
        <w:t xml:space="preserve"> </w:t>
      </w:r>
      <w:proofErr w:type="gramStart"/>
      <w:r>
        <w:rPr>
          <w:b/>
        </w:rPr>
        <w:t>FVmis2-02 gr. stud.</w:t>
      </w:r>
      <w:proofErr w:type="gramEnd"/>
    </w:p>
    <w:p w:rsidR="00325384" w:rsidRDefault="00057E1B" w:rsidP="00057E1B">
      <w:pPr>
        <w:rPr>
          <w:b/>
        </w:rPr>
      </w:pPr>
      <w:r>
        <w:rPr>
          <w:b/>
        </w:rPr>
        <w:t>2014 04</w:t>
      </w:r>
      <w:r w:rsidR="00325384">
        <w:rPr>
          <w:b/>
        </w:rPr>
        <w:t xml:space="preserve">                                                                            </w:t>
      </w:r>
      <w:r>
        <w:rPr>
          <w:b/>
        </w:rPr>
        <w:t xml:space="preserve">          </w:t>
      </w:r>
      <w:r w:rsidR="00325384">
        <w:rPr>
          <w:b/>
        </w:rPr>
        <w:t xml:space="preserve">         </w:t>
      </w:r>
      <w:r w:rsidR="000E6FB7">
        <w:rPr>
          <w:b/>
        </w:rPr>
        <w:t xml:space="preserve">        </w:t>
      </w:r>
      <w:r w:rsidR="00325384">
        <w:rPr>
          <w:b/>
        </w:rPr>
        <w:t xml:space="preserve"> S. Fedosovaitė</w:t>
      </w:r>
    </w:p>
    <w:p w:rsidR="00325384" w:rsidRDefault="00325384" w:rsidP="00D27093">
      <w:pPr>
        <w:jc w:val="center"/>
        <w:rPr>
          <w:b/>
        </w:rPr>
      </w:pPr>
      <w:r>
        <w:rPr>
          <w:b/>
        </w:rPr>
        <w:t xml:space="preserve">                                        </w:t>
      </w:r>
      <w:r w:rsidR="00057E1B">
        <w:rPr>
          <w:b/>
        </w:rPr>
        <w:t xml:space="preserve"> </w:t>
      </w:r>
      <w:r>
        <w:rPr>
          <w:b/>
        </w:rPr>
        <w:t xml:space="preserve">      </w:t>
      </w:r>
      <w:r w:rsidR="000E6FB7">
        <w:rPr>
          <w:b/>
        </w:rPr>
        <w:t xml:space="preserve">    </w:t>
      </w:r>
      <w:r>
        <w:rPr>
          <w:b/>
        </w:rPr>
        <w:t xml:space="preserve">  2014 04 </w:t>
      </w:r>
    </w:p>
    <w:p w:rsidR="00FD53AA" w:rsidRDefault="00FD53AA" w:rsidP="00D27093">
      <w:pPr>
        <w:jc w:val="center"/>
        <w:rPr>
          <w:b/>
        </w:rPr>
      </w:pPr>
    </w:p>
    <w:p w:rsidR="00FD53AA" w:rsidRDefault="00FD53AA" w:rsidP="00D27093">
      <w:pPr>
        <w:jc w:val="center"/>
        <w:rPr>
          <w:b/>
        </w:rPr>
      </w:pPr>
    </w:p>
    <w:p w:rsidR="00FD53AA" w:rsidRDefault="00FD53AA" w:rsidP="00D27093">
      <w:pPr>
        <w:jc w:val="center"/>
        <w:rPr>
          <w:b/>
        </w:rPr>
      </w:pPr>
    </w:p>
    <w:p w:rsidR="00325384" w:rsidRDefault="00325384" w:rsidP="00D27093">
      <w:pPr>
        <w:jc w:val="center"/>
        <w:rPr>
          <w:b/>
        </w:rPr>
      </w:pPr>
    </w:p>
    <w:p w:rsidR="00325384" w:rsidRDefault="00325384" w:rsidP="00D27093">
      <w:pPr>
        <w:jc w:val="center"/>
        <w:rPr>
          <w:b/>
        </w:rPr>
      </w:pPr>
    </w:p>
    <w:p w:rsidR="00325384" w:rsidRDefault="00325384" w:rsidP="00D27093">
      <w:pPr>
        <w:jc w:val="center"/>
        <w:rPr>
          <w:b/>
        </w:rPr>
      </w:pPr>
    </w:p>
    <w:p w:rsidR="00325384" w:rsidRDefault="00325384" w:rsidP="00D27093">
      <w:pPr>
        <w:jc w:val="center"/>
        <w:rPr>
          <w:b/>
        </w:rPr>
      </w:pPr>
    </w:p>
    <w:p w:rsidR="00325384" w:rsidRDefault="00325384" w:rsidP="00D27093">
      <w:pPr>
        <w:jc w:val="center"/>
        <w:rPr>
          <w:b/>
        </w:rPr>
      </w:pPr>
    </w:p>
    <w:p w:rsidR="00325384" w:rsidRDefault="00325384" w:rsidP="00D27093">
      <w:pPr>
        <w:jc w:val="center"/>
        <w:rPr>
          <w:b/>
        </w:rPr>
      </w:pPr>
    </w:p>
    <w:p w:rsidR="00296901" w:rsidRDefault="00296901" w:rsidP="00D27093">
      <w:pPr>
        <w:jc w:val="center"/>
        <w:rPr>
          <w:b/>
        </w:rPr>
      </w:pPr>
    </w:p>
    <w:p w:rsidR="00325384" w:rsidRDefault="00325384" w:rsidP="00D27093">
      <w:pPr>
        <w:jc w:val="center"/>
        <w:rPr>
          <w:b/>
        </w:rPr>
      </w:pPr>
    </w:p>
    <w:p w:rsidR="00057E1B" w:rsidRDefault="00057E1B" w:rsidP="00D27093">
      <w:pPr>
        <w:jc w:val="center"/>
        <w:rPr>
          <w:b/>
        </w:rPr>
      </w:pPr>
    </w:p>
    <w:p w:rsidR="00057E1B" w:rsidRDefault="00057E1B" w:rsidP="00D27093">
      <w:pPr>
        <w:jc w:val="center"/>
        <w:rPr>
          <w:b/>
        </w:rPr>
      </w:pPr>
    </w:p>
    <w:p w:rsidR="00057E1B" w:rsidRDefault="00057E1B" w:rsidP="00D27093">
      <w:pPr>
        <w:jc w:val="center"/>
        <w:rPr>
          <w:b/>
        </w:rPr>
      </w:pPr>
    </w:p>
    <w:p w:rsidR="00325384" w:rsidRDefault="00325384" w:rsidP="00D27093">
      <w:pPr>
        <w:jc w:val="center"/>
        <w:rPr>
          <w:b/>
        </w:rPr>
      </w:pPr>
    </w:p>
    <w:p w:rsidR="00296901" w:rsidRDefault="00296901" w:rsidP="00D27093">
      <w:pPr>
        <w:jc w:val="center"/>
        <w:rPr>
          <w:b/>
          <w:sz w:val="28"/>
          <w:szCs w:val="28"/>
        </w:rPr>
      </w:pPr>
    </w:p>
    <w:p w:rsidR="00FD53AA" w:rsidRDefault="00325384" w:rsidP="00296901">
      <w:pPr>
        <w:jc w:val="center"/>
        <w:rPr>
          <w:b/>
          <w:sz w:val="28"/>
          <w:szCs w:val="28"/>
        </w:rPr>
      </w:pPr>
      <w:r w:rsidRPr="00325384">
        <w:rPr>
          <w:b/>
          <w:sz w:val="28"/>
          <w:szCs w:val="28"/>
        </w:rPr>
        <w:t>VILNIUS, 2014</w:t>
      </w:r>
    </w:p>
    <w:p w:rsidR="00057E1B" w:rsidRPr="00296901" w:rsidRDefault="00057E1B" w:rsidP="00296901">
      <w:pPr>
        <w:jc w:val="center"/>
        <w:rPr>
          <w:b/>
          <w:sz w:val="28"/>
          <w:szCs w:val="28"/>
        </w:rPr>
      </w:pPr>
    </w:p>
    <w:p w:rsidR="00C219EB" w:rsidRPr="00D27093" w:rsidRDefault="00D27093" w:rsidP="00D27093">
      <w:pPr>
        <w:jc w:val="center"/>
        <w:rPr>
          <w:b/>
        </w:rPr>
      </w:pPr>
      <w:r w:rsidRPr="00D27093">
        <w:rPr>
          <w:b/>
        </w:rPr>
        <w:t>TURINYS</w:t>
      </w:r>
    </w:p>
    <w:p w:rsidR="00C219EB" w:rsidRDefault="00C219EB">
      <w:pPr>
        <w:rPr>
          <w:rFonts w:ascii="CMR10" w:hAnsi="CMR10" w:cs="CMR10"/>
          <w:sz w:val="20"/>
          <w:szCs w:val="20"/>
        </w:rPr>
      </w:pPr>
    </w:p>
    <w:p w:rsidR="00C219EB" w:rsidRDefault="00C219EB">
      <w:pPr>
        <w:rPr>
          <w:rFonts w:ascii="CMR10" w:hAnsi="CMR10" w:cs="CMR10"/>
          <w:sz w:val="20"/>
          <w:szCs w:val="20"/>
        </w:rPr>
      </w:pPr>
    </w:p>
    <w:sdt>
      <w:sdtPr>
        <w:rPr>
          <w:rFonts w:ascii="Times New Roman" w:eastAsia="Times New Roman" w:hAnsi="Times New Roman" w:cs="Times New Roman"/>
          <w:b w:val="0"/>
          <w:bCs w:val="0"/>
          <w:color w:val="auto"/>
          <w:sz w:val="24"/>
          <w:szCs w:val="24"/>
          <w:lang w:eastAsia="en-US"/>
        </w:rPr>
        <w:id w:val="1089427754"/>
        <w:docPartObj>
          <w:docPartGallery w:val="Table of Contents"/>
          <w:docPartUnique/>
        </w:docPartObj>
      </w:sdtPr>
      <w:sdtEndPr>
        <w:rPr>
          <w:noProof/>
        </w:rPr>
      </w:sdtEndPr>
      <w:sdtContent>
        <w:p w:rsidR="005744DF" w:rsidRDefault="005744DF" w:rsidP="000E6FB7">
          <w:pPr>
            <w:pStyle w:val="TOCHeading"/>
            <w:spacing w:line="360" w:lineRule="auto"/>
          </w:pPr>
        </w:p>
        <w:p w:rsidR="005744DF" w:rsidRDefault="005744DF" w:rsidP="000E6FB7">
          <w:pPr>
            <w:pStyle w:val="TOC1"/>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385249522" w:history="1">
            <w:r w:rsidRPr="00652277">
              <w:rPr>
                <w:rStyle w:val="Hyperlink"/>
                <w:noProof/>
              </w:rPr>
              <w:t>1. FISKALIN</w:t>
            </w:r>
            <w:r w:rsidRPr="00652277">
              <w:rPr>
                <w:rStyle w:val="Hyperlink"/>
                <w:noProof/>
                <w:lang w:val="lt-LT"/>
              </w:rPr>
              <w:t>ĖS DECENTRALIZACIJOS SAMPRATA</w:t>
            </w:r>
            <w:r>
              <w:rPr>
                <w:noProof/>
                <w:webHidden/>
              </w:rPr>
              <w:tab/>
            </w:r>
            <w:r>
              <w:rPr>
                <w:noProof/>
                <w:webHidden/>
              </w:rPr>
              <w:fldChar w:fldCharType="begin"/>
            </w:r>
            <w:r>
              <w:rPr>
                <w:noProof/>
                <w:webHidden/>
              </w:rPr>
              <w:instrText xml:space="preserve"> PAGEREF _Toc385249522 \h </w:instrText>
            </w:r>
            <w:r>
              <w:rPr>
                <w:noProof/>
                <w:webHidden/>
              </w:rPr>
            </w:r>
            <w:r>
              <w:rPr>
                <w:noProof/>
                <w:webHidden/>
              </w:rPr>
              <w:fldChar w:fldCharType="separate"/>
            </w:r>
            <w:r>
              <w:rPr>
                <w:noProof/>
                <w:webHidden/>
              </w:rPr>
              <w:t>10</w:t>
            </w:r>
            <w:r>
              <w:rPr>
                <w:noProof/>
                <w:webHidden/>
              </w:rPr>
              <w:fldChar w:fldCharType="end"/>
            </w:r>
          </w:hyperlink>
        </w:p>
        <w:p w:rsidR="005744DF" w:rsidRDefault="00F57DE9" w:rsidP="000E6FB7">
          <w:pPr>
            <w:pStyle w:val="TOC2"/>
            <w:tabs>
              <w:tab w:val="right" w:leader="dot" w:pos="10245"/>
            </w:tabs>
            <w:spacing w:line="360" w:lineRule="auto"/>
            <w:rPr>
              <w:rFonts w:asciiTheme="minorHAnsi" w:eastAsiaTheme="minorEastAsia" w:hAnsiTheme="minorHAnsi" w:cstheme="minorBidi"/>
              <w:noProof/>
              <w:sz w:val="22"/>
              <w:szCs w:val="22"/>
            </w:rPr>
          </w:pPr>
          <w:hyperlink w:anchor="_Toc385249523" w:history="1">
            <w:r w:rsidR="005744DF" w:rsidRPr="00652277">
              <w:rPr>
                <w:rStyle w:val="Hyperlink"/>
                <w:noProof/>
              </w:rPr>
              <w:t>1.1. Decentralizacijos s</w:t>
            </w:r>
            <w:r w:rsidR="005744DF" w:rsidRPr="00652277">
              <w:rPr>
                <w:rStyle w:val="Hyperlink"/>
                <w:noProof/>
                <w:lang w:val="lt-LT"/>
              </w:rPr>
              <w:t>amprata</w:t>
            </w:r>
            <w:r w:rsidR="005744DF">
              <w:rPr>
                <w:noProof/>
                <w:webHidden/>
              </w:rPr>
              <w:tab/>
            </w:r>
            <w:r w:rsidR="005744DF">
              <w:rPr>
                <w:noProof/>
                <w:webHidden/>
              </w:rPr>
              <w:fldChar w:fldCharType="begin"/>
            </w:r>
            <w:r w:rsidR="005744DF">
              <w:rPr>
                <w:noProof/>
                <w:webHidden/>
              </w:rPr>
              <w:instrText xml:space="preserve"> PAGEREF _Toc385249523 \h </w:instrText>
            </w:r>
            <w:r w:rsidR="005744DF">
              <w:rPr>
                <w:noProof/>
                <w:webHidden/>
              </w:rPr>
            </w:r>
            <w:r w:rsidR="005744DF">
              <w:rPr>
                <w:noProof/>
                <w:webHidden/>
              </w:rPr>
              <w:fldChar w:fldCharType="separate"/>
            </w:r>
            <w:r w:rsidR="005744DF">
              <w:rPr>
                <w:noProof/>
                <w:webHidden/>
              </w:rPr>
              <w:t>10</w:t>
            </w:r>
            <w:r w:rsidR="005744DF">
              <w:rPr>
                <w:noProof/>
                <w:webHidden/>
              </w:rPr>
              <w:fldChar w:fldCharType="end"/>
            </w:r>
          </w:hyperlink>
        </w:p>
        <w:p w:rsidR="005744DF" w:rsidRDefault="00F57DE9" w:rsidP="000E6FB7">
          <w:pPr>
            <w:pStyle w:val="TOC2"/>
            <w:tabs>
              <w:tab w:val="right" w:leader="dot" w:pos="10245"/>
            </w:tabs>
            <w:spacing w:line="360" w:lineRule="auto"/>
            <w:rPr>
              <w:rFonts w:asciiTheme="minorHAnsi" w:eastAsiaTheme="minorEastAsia" w:hAnsiTheme="minorHAnsi" w:cstheme="minorBidi"/>
              <w:noProof/>
              <w:sz w:val="22"/>
              <w:szCs w:val="22"/>
            </w:rPr>
          </w:pPr>
          <w:hyperlink w:anchor="_Toc385249524" w:history="1">
            <w:r w:rsidR="005744DF" w:rsidRPr="00652277">
              <w:rPr>
                <w:rStyle w:val="Hyperlink"/>
                <w:noProof/>
              </w:rPr>
              <w:t>1.2. Fiskalin</w:t>
            </w:r>
            <w:r w:rsidR="005744DF" w:rsidRPr="00652277">
              <w:rPr>
                <w:rStyle w:val="Hyperlink"/>
                <w:noProof/>
                <w:lang w:val="lt-LT"/>
              </w:rPr>
              <w:t>ės decentralizacijos samprata</w:t>
            </w:r>
            <w:r w:rsidR="005744DF">
              <w:rPr>
                <w:noProof/>
                <w:webHidden/>
              </w:rPr>
              <w:tab/>
            </w:r>
            <w:r w:rsidR="005744DF">
              <w:rPr>
                <w:noProof/>
                <w:webHidden/>
              </w:rPr>
              <w:fldChar w:fldCharType="begin"/>
            </w:r>
            <w:r w:rsidR="005744DF">
              <w:rPr>
                <w:noProof/>
                <w:webHidden/>
              </w:rPr>
              <w:instrText xml:space="preserve"> PAGEREF _Toc385249524 \h </w:instrText>
            </w:r>
            <w:r w:rsidR="005744DF">
              <w:rPr>
                <w:noProof/>
                <w:webHidden/>
              </w:rPr>
            </w:r>
            <w:r w:rsidR="005744DF">
              <w:rPr>
                <w:noProof/>
                <w:webHidden/>
              </w:rPr>
              <w:fldChar w:fldCharType="separate"/>
            </w:r>
            <w:r w:rsidR="005744DF">
              <w:rPr>
                <w:noProof/>
                <w:webHidden/>
              </w:rPr>
              <w:t>13</w:t>
            </w:r>
            <w:r w:rsidR="005744DF">
              <w:rPr>
                <w:noProof/>
                <w:webHidden/>
              </w:rPr>
              <w:fldChar w:fldCharType="end"/>
            </w:r>
          </w:hyperlink>
        </w:p>
        <w:p w:rsidR="005744DF" w:rsidRDefault="00F57DE9" w:rsidP="000E6FB7">
          <w:pPr>
            <w:pStyle w:val="TOC2"/>
            <w:tabs>
              <w:tab w:val="right" w:leader="dot" w:pos="10245"/>
            </w:tabs>
            <w:spacing w:line="360" w:lineRule="auto"/>
            <w:rPr>
              <w:rFonts w:asciiTheme="minorHAnsi" w:eastAsiaTheme="minorEastAsia" w:hAnsiTheme="minorHAnsi" w:cstheme="minorBidi"/>
              <w:noProof/>
              <w:sz w:val="22"/>
              <w:szCs w:val="22"/>
            </w:rPr>
          </w:pPr>
          <w:hyperlink w:anchor="_Toc385249525" w:history="1">
            <w:r w:rsidR="005744DF" w:rsidRPr="00652277">
              <w:rPr>
                <w:rStyle w:val="Hyperlink"/>
                <w:noProof/>
                <w:lang w:val="lt-LT"/>
              </w:rPr>
              <w:t>1.3. Fiskalinės decentralizacijos ypatumai viešajame sektoriuje</w:t>
            </w:r>
            <w:r w:rsidR="005744DF">
              <w:rPr>
                <w:noProof/>
                <w:webHidden/>
              </w:rPr>
              <w:tab/>
            </w:r>
            <w:r w:rsidR="005744DF">
              <w:rPr>
                <w:noProof/>
                <w:webHidden/>
              </w:rPr>
              <w:fldChar w:fldCharType="begin"/>
            </w:r>
            <w:r w:rsidR="005744DF">
              <w:rPr>
                <w:noProof/>
                <w:webHidden/>
              </w:rPr>
              <w:instrText xml:space="preserve"> PAGEREF _Toc385249525 \h </w:instrText>
            </w:r>
            <w:r w:rsidR="005744DF">
              <w:rPr>
                <w:noProof/>
                <w:webHidden/>
              </w:rPr>
            </w:r>
            <w:r w:rsidR="005744DF">
              <w:rPr>
                <w:noProof/>
                <w:webHidden/>
              </w:rPr>
              <w:fldChar w:fldCharType="separate"/>
            </w:r>
            <w:r w:rsidR="005744DF">
              <w:rPr>
                <w:noProof/>
                <w:webHidden/>
              </w:rPr>
              <w:t>16</w:t>
            </w:r>
            <w:r w:rsidR="005744DF">
              <w:rPr>
                <w:noProof/>
                <w:webHidden/>
              </w:rPr>
              <w:fldChar w:fldCharType="end"/>
            </w:r>
          </w:hyperlink>
        </w:p>
        <w:p w:rsidR="005744DF" w:rsidRDefault="00F57DE9" w:rsidP="000E6FB7">
          <w:pPr>
            <w:pStyle w:val="TOC1"/>
            <w:rPr>
              <w:rFonts w:asciiTheme="minorHAnsi" w:eastAsiaTheme="minorEastAsia" w:hAnsiTheme="minorHAnsi" w:cstheme="minorBidi"/>
              <w:noProof/>
              <w:sz w:val="22"/>
              <w:szCs w:val="22"/>
            </w:rPr>
          </w:pPr>
          <w:hyperlink w:anchor="_Toc385249526" w:history="1">
            <w:r w:rsidR="005744DF" w:rsidRPr="00652277">
              <w:rPr>
                <w:rStyle w:val="Hyperlink"/>
                <w:noProof/>
              </w:rPr>
              <w:t>2. VIETOS SAVIVALDA FISKALINIO DECENTRALIZAVIMO ASPEKTU</w:t>
            </w:r>
            <w:r w:rsidR="005744DF">
              <w:rPr>
                <w:noProof/>
                <w:webHidden/>
              </w:rPr>
              <w:tab/>
            </w:r>
            <w:r w:rsidR="005744DF">
              <w:rPr>
                <w:noProof/>
                <w:webHidden/>
              </w:rPr>
              <w:fldChar w:fldCharType="begin"/>
            </w:r>
            <w:r w:rsidR="005744DF">
              <w:rPr>
                <w:noProof/>
                <w:webHidden/>
              </w:rPr>
              <w:instrText xml:space="preserve"> PAGEREF _Toc385249526 \h </w:instrText>
            </w:r>
            <w:r w:rsidR="005744DF">
              <w:rPr>
                <w:noProof/>
                <w:webHidden/>
              </w:rPr>
            </w:r>
            <w:r w:rsidR="005744DF">
              <w:rPr>
                <w:noProof/>
                <w:webHidden/>
              </w:rPr>
              <w:fldChar w:fldCharType="separate"/>
            </w:r>
            <w:r w:rsidR="005744DF">
              <w:rPr>
                <w:noProof/>
                <w:webHidden/>
              </w:rPr>
              <w:t>20</w:t>
            </w:r>
            <w:r w:rsidR="005744DF">
              <w:rPr>
                <w:noProof/>
                <w:webHidden/>
              </w:rPr>
              <w:fldChar w:fldCharType="end"/>
            </w:r>
          </w:hyperlink>
        </w:p>
        <w:p w:rsidR="005744DF" w:rsidRDefault="00F57DE9" w:rsidP="000E6FB7">
          <w:pPr>
            <w:pStyle w:val="TOC2"/>
            <w:tabs>
              <w:tab w:val="right" w:leader="dot" w:pos="10245"/>
            </w:tabs>
            <w:spacing w:line="360" w:lineRule="auto"/>
            <w:rPr>
              <w:rFonts w:asciiTheme="minorHAnsi" w:eastAsiaTheme="minorEastAsia" w:hAnsiTheme="minorHAnsi" w:cstheme="minorBidi"/>
              <w:noProof/>
              <w:sz w:val="22"/>
              <w:szCs w:val="22"/>
            </w:rPr>
          </w:pPr>
          <w:hyperlink w:anchor="_Toc385249527" w:history="1">
            <w:r w:rsidR="005744DF" w:rsidRPr="00652277">
              <w:rPr>
                <w:rStyle w:val="Hyperlink"/>
                <w:noProof/>
              </w:rPr>
              <w:t>2.1. Vietos savivalda Lietuvoje</w:t>
            </w:r>
            <w:r w:rsidR="005744DF">
              <w:rPr>
                <w:noProof/>
                <w:webHidden/>
              </w:rPr>
              <w:tab/>
            </w:r>
            <w:r w:rsidR="005744DF">
              <w:rPr>
                <w:noProof/>
                <w:webHidden/>
              </w:rPr>
              <w:fldChar w:fldCharType="begin"/>
            </w:r>
            <w:r w:rsidR="005744DF">
              <w:rPr>
                <w:noProof/>
                <w:webHidden/>
              </w:rPr>
              <w:instrText xml:space="preserve"> PAGEREF _Toc385249527 \h </w:instrText>
            </w:r>
            <w:r w:rsidR="005744DF">
              <w:rPr>
                <w:noProof/>
                <w:webHidden/>
              </w:rPr>
            </w:r>
            <w:r w:rsidR="005744DF">
              <w:rPr>
                <w:noProof/>
                <w:webHidden/>
              </w:rPr>
              <w:fldChar w:fldCharType="separate"/>
            </w:r>
            <w:r w:rsidR="005744DF">
              <w:rPr>
                <w:noProof/>
                <w:webHidden/>
              </w:rPr>
              <w:t>20</w:t>
            </w:r>
            <w:r w:rsidR="005744DF">
              <w:rPr>
                <w:noProof/>
                <w:webHidden/>
              </w:rPr>
              <w:fldChar w:fldCharType="end"/>
            </w:r>
          </w:hyperlink>
        </w:p>
        <w:p w:rsidR="005744DF" w:rsidRDefault="00F57DE9" w:rsidP="000E6FB7">
          <w:pPr>
            <w:pStyle w:val="TOC3"/>
            <w:tabs>
              <w:tab w:val="right" w:leader="dot" w:pos="10245"/>
            </w:tabs>
            <w:spacing w:line="360" w:lineRule="auto"/>
            <w:rPr>
              <w:rFonts w:asciiTheme="minorHAnsi" w:eastAsiaTheme="minorEastAsia" w:hAnsiTheme="minorHAnsi" w:cstheme="minorBidi"/>
              <w:noProof/>
              <w:sz w:val="22"/>
              <w:szCs w:val="22"/>
            </w:rPr>
          </w:pPr>
          <w:hyperlink w:anchor="_Toc385249528" w:history="1">
            <w:r w:rsidR="005744DF" w:rsidRPr="00652277">
              <w:rPr>
                <w:rStyle w:val="Hyperlink"/>
                <w:noProof/>
              </w:rPr>
              <w:t>2.1.1. Lietuvos savivaldyb</w:t>
            </w:r>
            <w:r w:rsidR="005744DF" w:rsidRPr="00652277">
              <w:rPr>
                <w:rStyle w:val="Hyperlink"/>
                <w:noProof/>
                <w:lang w:val="lt-LT"/>
              </w:rPr>
              <w:t>ės raida ir teisinis reglamentavimas</w:t>
            </w:r>
            <w:r w:rsidR="005744DF">
              <w:rPr>
                <w:noProof/>
                <w:webHidden/>
              </w:rPr>
              <w:tab/>
            </w:r>
            <w:r w:rsidR="005744DF">
              <w:rPr>
                <w:noProof/>
                <w:webHidden/>
              </w:rPr>
              <w:fldChar w:fldCharType="begin"/>
            </w:r>
            <w:r w:rsidR="005744DF">
              <w:rPr>
                <w:noProof/>
                <w:webHidden/>
              </w:rPr>
              <w:instrText xml:space="preserve"> PAGEREF _Toc385249528 \h </w:instrText>
            </w:r>
            <w:r w:rsidR="005744DF">
              <w:rPr>
                <w:noProof/>
                <w:webHidden/>
              </w:rPr>
            </w:r>
            <w:r w:rsidR="005744DF">
              <w:rPr>
                <w:noProof/>
                <w:webHidden/>
              </w:rPr>
              <w:fldChar w:fldCharType="separate"/>
            </w:r>
            <w:r w:rsidR="005744DF">
              <w:rPr>
                <w:noProof/>
                <w:webHidden/>
              </w:rPr>
              <w:t>22</w:t>
            </w:r>
            <w:r w:rsidR="005744DF">
              <w:rPr>
                <w:noProof/>
                <w:webHidden/>
              </w:rPr>
              <w:fldChar w:fldCharType="end"/>
            </w:r>
          </w:hyperlink>
        </w:p>
        <w:p w:rsidR="005744DF" w:rsidRDefault="00F57DE9" w:rsidP="000E6FB7">
          <w:pPr>
            <w:pStyle w:val="TOC3"/>
            <w:tabs>
              <w:tab w:val="right" w:leader="dot" w:pos="10245"/>
            </w:tabs>
            <w:spacing w:line="360" w:lineRule="auto"/>
            <w:rPr>
              <w:rFonts w:asciiTheme="minorHAnsi" w:eastAsiaTheme="minorEastAsia" w:hAnsiTheme="minorHAnsi" w:cstheme="minorBidi"/>
              <w:noProof/>
              <w:sz w:val="22"/>
              <w:szCs w:val="22"/>
            </w:rPr>
          </w:pPr>
          <w:hyperlink w:anchor="_Toc385249529" w:history="1">
            <w:r w:rsidR="005744DF" w:rsidRPr="00652277">
              <w:rPr>
                <w:rStyle w:val="Hyperlink"/>
                <w:noProof/>
              </w:rPr>
              <w:t>2.1.2. Lietuvos vietinės valdžios finansavimo normatyviniai aspektai</w:t>
            </w:r>
            <w:r w:rsidR="005744DF">
              <w:rPr>
                <w:noProof/>
                <w:webHidden/>
              </w:rPr>
              <w:tab/>
            </w:r>
            <w:r w:rsidR="005744DF">
              <w:rPr>
                <w:noProof/>
                <w:webHidden/>
              </w:rPr>
              <w:fldChar w:fldCharType="begin"/>
            </w:r>
            <w:r w:rsidR="005744DF">
              <w:rPr>
                <w:noProof/>
                <w:webHidden/>
              </w:rPr>
              <w:instrText xml:space="preserve"> PAGEREF _Toc385249529 \h </w:instrText>
            </w:r>
            <w:r w:rsidR="005744DF">
              <w:rPr>
                <w:noProof/>
                <w:webHidden/>
              </w:rPr>
            </w:r>
            <w:r w:rsidR="005744DF">
              <w:rPr>
                <w:noProof/>
                <w:webHidden/>
              </w:rPr>
              <w:fldChar w:fldCharType="separate"/>
            </w:r>
            <w:r w:rsidR="005744DF">
              <w:rPr>
                <w:noProof/>
                <w:webHidden/>
              </w:rPr>
              <w:t>26</w:t>
            </w:r>
            <w:r w:rsidR="005744DF">
              <w:rPr>
                <w:noProof/>
                <w:webHidden/>
              </w:rPr>
              <w:fldChar w:fldCharType="end"/>
            </w:r>
          </w:hyperlink>
        </w:p>
        <w:p w:rsidR="005744DF" w:rsidRDefault="00F57DE9" w:rsidP="000E6FB7">
          <w:pPr>
            <w:pStyle w:val="TOC2"/>
            <w:tabs>
              <w:tab w:val="right" w:leader="dot" w:pos="10245"/>
            </w:tabs>
            <w:spacing w:line="360" w:lineRule="auto"/>
            <w:rPr>
              <w:rFonts w:asciiTheme="minorHAnsi" w:eastAsiaTheme="minorEastAsia" w:hAnsiTheme="minorHAnsi" w:cstheme="minorBidi"/>
              <w:noProof/>
              <w:sz w:val="22"/>
              <w:szCs w:val="22"/>
            </w:rPr>
          </w:pPr>
          <w:hyperlink w:anchor="_Toc385249530" w:history="1">
            <w:r w:rsidR="00684009">
              <w:rPr>
                <w:rStyle w:val="Hyperlink"/>
                <w:noProof/>
                <w:lang w:val="lt-LT"/>
              </w:rPr>
              <w:t>2.2</w:t>
            </w:r>
            <w:r w:rsidR="005744DF" w:rsidRPr="00652277">
              <w:rPr>
                <w:rStyle w:val="Hyperlink"/>
                <w:noProof/>
                <w:lang w:val="lt-LT"/>
              </w:rPr>
              <w:t>. Fiskalinės decentralizacijos vieta ES</w:t>
            </w:r>
            <w:r w:rsidR="005744DF">
              <w:rPr>
                <w:noProof/>
                <w:webHidden/>
              </w:rPr>
              <w:tab/>
            </w:r>
            <w:r w:rsidR="005744DF">
              <w:rPr>
                <w:noProof/>
                <w:webHidden/>
              </w:rPr>
              <w:fldChar w:fldCharType="begin"/>
            </w:r>
            <w:r w:rsidR="005744DF">
              <w:rPr>
                <w:noProof/>
                <w:webHidden/>
              </w:rPr>
              <w:instrText xml:space="preserve"> PAGEREF _Toc385249530 \h </w:instrText>
            </w:r>
            <w:r w:rsidR="005744DF">
              <w:rPr>
                <w:noProof/>
                <w:webHidden/>
              </w:rPr>
            </w:r>
            <w:r w:rsidR="005744DF">
              <w:rPr>
                <w:noProof/>
                <w:webHidden/>
              </w:rPr>
              <w:fldChar w:fldCharType="separate"/>
            </w:r>
            <w:r w:rsidR="005744DF">
              <w:rPr>
                <w:noProof/>
                <w:webHidden/>
              </w:rPr>
              <w:t>31</w:t>
            </w:r>
            <w:r w:rsidR="005744DF">
              <w:rPr>
                <w:noProof/>
                <w:webHidden/>
              </w:rPr>
              <w:fldChar w:fldCharType="end"/>
            </w:r>
          </w:hyperlink>
        </w:p>
        <w:p w:rsidR="005744DF" w:rsidRDefault="00F57DE9" w:rsidP="000E6FB7">
          <w:pPr>
            <w:pStyle w:val="TOC1"/>
            <w:rPr>
              <w:rFonts w:asciiTheme="minorHAnsi" w:eastAsiaTheme="minorEastAsia" w:hAnsiTheme="minorHAnsi" w:cstheme="minorBidi"/>
              <w:noProof/>
              <w:sz w:val="22"/>
              <w:szCs w:val="22"/>
            </w:rPr>
          </w:pPr>
          <w:hyperlink w:anchor="_Toc385249531" w:history="1">
            <w:r w:rsidR="005744DF" w:rsidRPr="00652277">
              <w:rPr>
                <w:rStyle w:val="Hyperlink"/>
                <w:noProof/>
              </w:rPr>
              <w:t>3. FISKALIN</w:t>
            </w:r>
            <w:r w:rsidR="005744DF" w:rsidRPr="00652277">
              <w:rPr>
                <w:rStyle w:val="Hyperlink"/>
                <w:noProof/>
                <w:lang w:val="lt-LT"/>
              </w:rPr>
              <w:t>ĖS DECENTRALIZACIJOS PLĖTOTĖ ES KONTEKSTE</w:t>
            </w:r>
            <w:r w:rsidR="005744DF">
              <w:rPr>
                <w:noProof/>
                <w:webHidden/>
              </w:rPr>
              <w:tab/>
            </w:r>
            <w:r w:rsidR="005744DF">
              <w:rPr>
                <w:noProof/>
                <w:webHidden/>
              </w:rPr>
              <w:fldChar w:fldCharType="begin"/>
            </w:r>
            <w:r w:rsidR="005744DF">
              <w:rPr>
                <w:noProof/>
                <w:webHidden/>
              </w:rPr>
              <w:instrText xml:space="preserve"> PAGEREF _Toc385249531 \h </w:instrText>
            </w:r>
            <w:r w:rsidR="005744DF">
              <w:rPr>
                <w:noProof/>
                <w:webHidden/>
              </w:rPr>
            </w:r>
            <w:r w:rsidR="005744DF">
              <w:rPr>
                <w:noProof/>
                <w:webHidden/>
              </w:rPr>
              <w:fldChar w:fldCharType="separate"/>
            </w:r>
            <w:r w:rsidR="005744DF">
              <w:rPr>
                <w:noProof/>
                <w:webHidden/>
              </w:rPr>
              <w:t>36</w:t>
            </w:r>
            <w:r w:rsidR="005744DF">
              <w:rPr>
                <w:noProof/>
                <w:webHidden/>
              </w:rPr>
              <w:fldChar w:fldCharType="end"/>
            </w:r>
          </w:hyperlink>
        </w:p>
        <w:p w:rsidR="005744DF" w:rsidRDefault="00F57DE9" w:rsidP="000E6FB7">
          <w:pPr>
            <w:pStyle w:val="TOC2"/>
            <w:tabs>
              <w:tab w:val="right" w:leader="dot" w:pos="10245"/>
            </w:tabs>
            <w:spacing w:line="360" w:lineRule="auto"/>
            <w:rPr>
              <w:rFonts w:asciiTheme="minorHAnsi" w:eastAsiaTheme="minorEastAsia" w:hAnsiTheme="minorHAnsi" w:cstheme="minorBidi"/>
              <w:noProof/>
              <w:sz w:val="22"/>
              <w:szCs w:val="22"/>
            </w:rPr>
          </w:pPr>
          <w:hyperlink w:anchor="_Toc385249532" w:history="1">
            <w:r w:rsidR="005744DF" w:rsidRPr="00652277">
              <w:rPr>
                <w:rStyle w:val="Hyperlink"/>
                <w:noProof/>
              </w:rPr>
              <w:t>3.1. Tyrimo metodologija</w:t>
            </w:r>
            <w:r w:rsidR="005744DF">
              <w:rPr>
                <w:noProof/>
                <w:webHidden/>
              </w:rPr>
              <w:tab/>
            </w:r>
            <w:r w:rsidR="005744DF">
              <w:rPr>
                <w:noProof/>
                <w:webHidden/>
              </w:rPr>
              <w:fldChar w:fldCharType="begin"/>
            </w:r>
            <w:r w:rsidR="005744DF">
              <w:rPr>
                <w:noProof/>
                <w:webHidden/>
              </w:rPr>
              <w:instrText xml:space="preserve"> PAGEREF _Toc385249532 \h </w:instrText>
            </w:r>
            <w:r w:rsidR="005744DF">
              <w:rPr>
                <w:noProof/>
                <w:webHidden/>
              </w:rPr>
            </w:r>
            <w:r w:rsidR="005744DF">
              <w:rPr>
                <w:noProof/>
                <w:webHidden/>
              </w:rPr>
              <w:fldChar w:fldCharType="separate"/>
            </w:r>
            <w:r w:rsidR="005744DF">
              <w:rPr>
                <w:noProof/>
                <w:webHidden/>
              </w:rPr>
              <w:t>36</w:t>
            </w:r>
            <w:r w:rsidR="005744DF">
              <w:rPr>
                <w:noProof/>
                <w:webHidden/>
              </w:rPr>
              <w:fldChar w:fldCharType="end"/>
            </w:r>
          </w:hyperlink>
        </w:p>
        <w:p w:rsidR="005744DF" w:rsidRDefault="00F57DE9" w:rsidP="000E6FB7">
          <w:pPr>
            <w:pStyle w:val="TOC2"/>
            <w:tabs>
              <w:tab w:val="right" w:leader="dot" w:pos="10245"/>
            </w:tabs>
            <w:spacing w:line="360" w:lineRule="auto"/>
            <w:rPr>
              <w:rFonts w:asciiTheme="minorHAnsi" w:eastAsiaTheme="minorEastAsia" w:hAnsiTheme="minorHAnsi" w:cstheme="minorBidi"/>
              <w:noProof/>
              <w:sz w:val="22"/>
              <w:szCs w:val="22"/>
            </w:rPr>
          </w:pPr>
          <w:hyperlink w:anchor="_Toc385249533" w:history="1">
            <w:r w:rsidR="00684009">
              <w:rPr>
                <w:rStyle w:val="Hyperlink"/>
                <w:noProof/>
              </w:rPr>
              <w:t>3.2</w:t>
            </w:r>
            <w:r w:rsidR="005744DF" w:rsidRPr="00652277">
              <w:rPr>
                <w:rStyle w:val="Hyperlink"/>
                <w:noProof/>
              </w:rPr>
              <w:t xml:space="preserve">. </w:t>
            </w:r>
            <w:r w:rsidR="005744DF" w:rsidRPr="00652277">
              <w:rPr>
                <w:rStyle w:val="Hyperlink"/>
                <w:noProof/>
                <w:lang w:val="lt-LT"/>
              </w:rPr>
              <w:t>Lietuvos fiskalinės decentralizacijos lygio vertinimas</w:t>
            </w:r>
            <w:r w:rsidR="005744DF">
              <w:rPr>
                <w:noProof/>
                <w:webHidden/>
              </w:rPr>
              <w:tab/>
            </w:r>
            <w:r w:rsidR="005744DF">
              <w:rPr>
                <w:noProof/>
                <w:webHidden/>
              </w:rPr>
              <w:fldChar w:fldCharType="begin"/>
            </w:r>
            <w:r w:rsidR="005744DF">
              <w:rPr>
                <w:noProof/>
                <w:webHidden/>
              </w:rPr>
              <w:instrText xml:space="preserve"> PAGEREF _Toc385249533 \h </w:instrText>
            </w:r>
            <w:r w:rsidR="005744DF">
              <w:rPr>
                <w:noProof/>
                <w:webHidden/>
              </w:rPr>
            </w:r>
            <w:r w:rsidR="005744DF">
              <w:rPr>
                <w:noProof/>
                <w:webHidden/>
              </w:rPr>
              <w:fldChar w:fldCharType="separate"/>
            </w:r>
            <w:r w:rsidR="005744DF">
              <w:rPr>
                <w:noProof/>
                <w:webHidden/>
              </w:rPr>
              <w:t>37</w:t>
            </w:r>
            <w:r w:rsidR="005744DF">
              <w:rPr>
                <w:noProof/>
                <w:webHidden/>
              </w:rPr>
              <w:fldChar w:fldCharType="end"/>
            </w:r>
          </w:hyperlink>
        </w:p>
        <w:p w:rsidR="005744DF" w:rsidRDefault="00F57DE9" w:rsidP="000E6FB7">
          <w:pPr>
            <w:pStyle w:val="TOC3"/>
            <w:tabs>
              <w:tab w:val="right" w:leader="dot" w:pos="10245"/>
            </w:tabs>
            <w:spacing w:line="360" w:lineRule="auto"/>
            <w:rPr>
              <w:rFonts w:asciiTheme="minorHAnsi" w:eastAsiaTheme="minorEastAsia" w:hAnsiTheme="minorHAnsi" w:cstheme="minorBidi"/>
              <w:noProof/>
              <w:sz w:val="22"/>
              <w:szCs w:val="22"/>
            </w:rPr>
          </w:pPr>
          <w:hyperlink w:anchor="_Toc385249534" w:history="1">
            <w:r w:rsidR="00684009">
              <w:rPr>
                <w:rStyle w:val="Hyperlink"/>
                <w:noProof/>
              </w:rPr>
              <w:t>3.2</w:t>
            </w:r>
            <w:r w:rsidR="005744DF" w:rsidRPr="00652277">
              <w:rPr>
                <w:rStyle w:val="Hyperlink"/>
                <w:noProof/>
              </w:rPr>
              <w:t xml:space="preserve">.1. </w:t>
            </w:r>
            <w:r w:rsidR="005744DF" w:rsidRPr="00652277">
              <w:rPr>
                <w:rStyle w:val="Hyperlink"/>
                <w:noProof/>
                <w:lang w:val="lt-LT"/>
              </w:rPr>
              <w:t>Savivaldybių biudžetų išlaidų vertinimas</w:t>
            </w:r>
            <w:r w:rsidR="005744DF">
              <w:rPr>
                <w:noProof/>
                <w:webHidden/>
              </w:rPr>
              <w:tab/>
            </w:r>
            <w:r w:rsidR="005744DF">
              <w:rPr>
                <w:noProof/>
                <w:webHidden/>
              </w:rPr>
              <w:fldChar w:fldCharType="begin"/>
            </w:r>
            <w:r w:rsidR="005744DF">
              <w:rPr>
                <w:noProof/>
                <w:webHidden/>
              </w:rPr>
              <w:instrText xml:space="preserve"> PAGEREF _Toc385249534 \h </w:instrText>
            </w:r>
            <w:r w:rsidR="005744DF">
              <w:rPr>
                <w:noProof/>
                <w:webHidden/>
              </w:rPr>
            </w:r>
            <w:r w:rsidR="005744DF">
              <w:rPr>
                <w:noProof/>
                <w:webHidden/>
              </w:rPr>
              <w:fldChar w:fldCharType="separate"/>
            </w:r>
            <w:r w:rsidR="005744DF">
              <w:rPr>
                <w:noProof/>
                <w:webHidden/>
              </w:rPr>
              <w:t>38</w:t>
            </w:r>
            <w:r w:rsidR="005744DF">
              <w:rPr>
                <w:noProof/>
                <w:webHidden/>
              </w:rPr>
              <w:fldChar w:fldCharType="end"/>
            </w:r>
          </w:hyperlink>
        </w:p>
        <w:p w:rsidR="005744DF" w:rsidRDefault="00F57DE9" w:rsidP="000E6FB7">
          <w:pPr>
            <w:pStyle w:val="TOC3"/>
            <w:tabs>
              <w:tab w:val="right" w:leader="dot" w:pos="10245"/>
            </w:tabs>
            <w:spacing w:line="360" w:lineRule="auto"/>
            <w:rPr>
              <w:rFonts w:asciiTheme="minorHAnsi" w:eastAsiaTheme="minorEastAsia" w:hAnsiTheme="minorHAnsi" w:cstheme="minorBidi"/>
              <w:noProof/>
              <w:sz w:val="22"/>
              <w:szCs w:val="22"/>
            </w:rPr>
          </w:pPr>
          <w:hyperlink w:anchor="_Toc385249535" w:history="1">
            <w:r w:rsidR="005744DF" w:rsidRPr="00652277">
              <w:rPr>
                <w:rStyle w:val="Hyperlink"/>
                <w:noProof/>
              </w:rPr>
              <w:t>3.2.2. Savivaldybi</w:t>
            </w:r>
            <w:r w:rsidR="005744DF" w:rsidRPr="00652277">
              <w:rPr>
                <w:rStyle w:val="Hyperlink"/>
                <w:noProof/>
                <w:lang w:val="lt-LT"/>
              </w:rPr>
              <w:t>ų biudžetų pajamų vertinimas</w:t>
            </w:r>
            <w:r w:rsidR="005744DF">
              <w:rPr>
                <w:noProof/>
                <w:webHidden/>
              </w:rPr>
              <w:tab/>
            </w:r>
            <w:r w:rsidR="005744DF">
              <w:rPr>
                <w:noProof/>
                <w:webHidden/>
              </w:rPr>
              <w:fldChar w:fldCharType="begin"/>
            </w:r>
            <w:r w:rsidR="005744DF">
              <w:rPr>
                <w:noProof/>
                <w:webHidden/>
              </w:rPr>
              <w:instrText xml:space="preserve"> PAGEREF _Toc385249535 \h </w:instrText>
            </w:r>
            <w:r w:rsidR="005744DF">
              <w:rPr>
                <w:noProof/>
                <w:webHidden/>
              </w:rPr>
            </w:r>
            <w:r w:rsidR="005744DF">
              <w:rPr>
                <w:noProof/>
                <w:webHidden/>
              </w:rPr>
              <w:fldChar w:fldCharType="separate"/>
            </w:r>
            <w:r w:rsidR="005744DF">
              <w:rPr>
                <w:noProof/>
                <w:webHidden/>
              </w:rPr>
              <w:t>41</w:t>
            </w:r>
            <w:r w:rsidR="005744DF">
              <w:rPr>
                <w:noProof/>
                <w:webHidden/>
              </w:rPr>
              <w:fldChar w:fldCharType="end"/>
            </w:r>
          </w:hyperlink>
        </w:p>
        <w:p w:rsidR="005744DF" w:rsidRDefault="00F57DE9" w:rsidP="000E6FB7">
          <w:pPr>
            <w:pStyle w:val="TOC3"/>
            <w:tabs>
              <w:tab w:val="right" w:leader="dot" w:pos="10245"/>
            </w:tabs>
            <w:spacing w:line="360" w:lineRule="auto"/>
            <w:rPr>
              <w:rFonts w:asciiTheme="minorHAnsi" w:eastAsiaTheme="minorEastAsia" w:hAnsiTheme="minorHAnsi" w:cstheme="minorBidi"/>
              <w:noProof/>
              <w:sz w:val="22"/>
              <w:szCs w:val="22"/>
            </w:rPr>
          </w:pPr>
          <w:hyperlink w:anchor="_Toc385249536" w:history="1">
            <w:r w:rsidR="00684009">
              <w:rPr>
                <w:rStyle w:val="Hyperlink"/>
                <w:noProof/>
                <w:lang w:val="lt-LT"/>
              </w:rPr>
              <w:t>3.2</w:t>
            </w:r>
            <w:r w:rsidR="005744DF" w:rsidRPr="00652277">
              <w:rPr>
                <w:rStyle w:val="Hyperlink"/>
                <w:noProof/>
                <w:lang w:val="lt-LT"/>
              </w:rPr>
              <w:t>.</w:t>
            </w:r>
            <w:r w:rsidR="005744DF" w:rsidRPr="00652277">
              <w:rPr>
                <w:rStyle w:val="Hyperlink"/>
                <w:noProof/>
              </w:rPr>
              <w:t xml:space="preserve">3. </w:t>
            </w:r>
            <w:r w:rsidR="005744DF" w:rsidRPr="00652277">
              <w:rPr>
                <w:rStyle w:val="Hyperlink"/>
                <w:noProof/>
                <w:lang w:val="lt-LT"/>
              </w:rPr>
              <w:t>Savivaldybių įsiskolinimų vertinimas</w:t>
            </w:r>
            <w:r w:rsidR="005744DF">
              <w:rPr>
                <w:noProof/>
                <w:webHidden/>
              </w:rPr>
              <w:tab/>
            </w:r>
            <w:r w:rsidR="005744DF">
              <w:rPr>
                <w:noProof/>
                <w:webHidden/>
              </w:rPr>
              <w:fldChar w:fldCharType="begin"/>
            </w:r>
            <w:r w:rsidR="005744DF">
              <w:rPr>
                <w:noProof/>
                <w:webHidden/>
              </w:rPr>
              <w:instrText xml:space="preserve"> PAGEREF _Toc385249536 \h </w:instrText>
            </w:r>
            <w:r w:rsidR="005744DF">
              <w:rPr>
                <w:noProof/>
                <w:webHidden/>
              </w:rPr>
            </w:r>
            <w:r w:rsidR="005744DF">
              <w:rPr>
                <w:noProof/>
                <w:webHidden/>
              </w:rPr>
              <w:fldChar w:fldCharType="separate"/>
            </w:r>
            <w:r w:rsidR="005744DF">
              <w:rPr>
                <w:noProof/>
                <w:webHidden/>
              </w:rPr>
              <w:t>46</w:t>
            </w:r>
            <w:r w:rsidR="005744DF">
              <w:rPr>
                <w:noProof/>
                <w:webHidden/>
              </w:rPr>
              <w:fldChar w:fldCharType="end"/>
            </w:r>
          </w:hyperlink>
        </w:p>
        <w:p w:rsidR="005744DF" w:rsidRDefault="00F57DE9" w:rsidP="000E6FB7">
          <w:pPr>
            <w:pStyle w:val="TOC2"/>
            <w:tabs>
              <w:tab w:val="right" w:leader="dot" w:pos="10245"/>
            </w:tabs>
            <w:spacing w:line="360" w:lineRule="auto"/>
            <w:rPr>
              <w:rFonts w:asciiTheme="minorHAnsi" w:eastAsiaTheme="minorEastAsia" w:hAnsiTheme="minorHAnsi" w:cstheme="minorBidi"/>
              <w:noProof/>
              <w:sz w:val="22"/>
              <w:szCs w:val="22"/>
            </w:rPr>
          </w:pPr>
          <w:hyperlink w:anchor="_Toc385249537" w:history="1">
            <w:r w:rsidR="00684009">
              <w:rPr>
                <w:rStyle w:val="Hyperlink"/>
                <w:noProof/>
                <w:lang w:val="lt-LT"/>
              </w:rPr>
              <w:t>3.3</w:t>
            </w:r>
            <w:r w:rsidR="005744DF" w:rsidRPr="00652277">
              <w:rPr>
                <w:rStyle w:val="Hyperlink"/>
                <w:noProof/>
                <w:lang w:val="lt-LT"/>
              </w:rPr>
              <w:t>. Lyginamoji Lietuvos ir ES fiskalinės decentralizacijos analizė</w:t>
            </w:r>
            <w:r w:rsidR="005744DF">
              <w:rPr>
                <w:noProof/>
                <w:webHidden/>
              </w:rPr>
              <w:tab/>
            </w:r>
            <w:r w:rsidR="005744DF">
              <w:rPr>
                <w:noProof/>
                <w:webHidden/>
              </w:rPr>
              <w:fldChar w:fldCharType="begin"/>
            </w:r>
            <w:r w:rsidR="005744DF">
              <w:rPr>
                <w:noProof/>
                <w:webHidden/>
              </w:rPr>
              <w:instrText xml:space="preserve"> PAGEREF _Toc385249537 \h </w:instrText>
            </w:r>
            <w:r w:rsidR="005744DF">
              <w:rPr>
                <w:noProof/>
                <w:webHidden/>
              </w:rPr>
            </w:r>
            <w:r w:rsidR="005744DF">
              <w:rPr>
                <w:noProof/>
                <w:webHidden/>
              </w:rPr>
              <w:fldChar w:fldCharType="separate"/>
            </w:r>
            <w:r w:rsidR="005744DF">
              <w:rPr>
                <w:noProof/>
                <w:webHidden/>
              </w:rPr>
              <w:t>49</w:t>
            </w:r>
            <w:r w:rsidR="005744DF">
              <w:rPr>
                <w:noProof/>
                <w:webHidden/>
              </w:rPr>
              <w:fldChar w:fldCharType="end"/>
            </w:r>
          </w:hyperlink>
        </w:p>
        <w:p w:rsidR="005744DF" w:rsidRDefault="00F57DE9" w:rsidP="000E6FB7">
          <w:pPr>
            <w:pStyle w:val="TOC3"/>
            <w:tabs>
              <w:tab w:val="right" w:leader="dot" w:pos="10245"/>
            </w:tabs>
            <w:spacing w:line="360" w:lineRule="auto"/>
            <w:rPr>
              <w:rFonts w:asciiTheme="minorHAnsi" w:eastAsiaTheme="minorEastAsia" w:hAnsiTheme="minorHAnsi" w:cstheme="minorBidi"/>
              <w:noProof/>
              <w:sz w:val="22"/>
              <w:szCs w:val="22"/>
            </w:rPr>
          </w:pPr>
          <w:hyperlink w:anchor="_Toc385249538" w:history="1">
            <w:r w:rsidR="00684009">
              <w:rPr>
                <w:rStyle w:val="Hyperlink"/>
                <w:noProof/>
                <w:lang w:val="lt-LT"/>
              </w:rPr>
              <w:t>3.3</w:t>
            </w:r>
            <w:r w:rsidR="005744DF" w:rsidRPr="00652277">
              <w:rPr>
                <w:rStyle w:val="Hyperlink"/>
                <w:noProof/>
                <w:lang w:val="lt-LT"/>
              </w:rPr>
              <w:t>.1. ES subnacionalinių valdžios institucijų išlaidų vertinimas</w:t>
            </w:r>
            <w:r w:rsidR="005744DF">
              <w:rPr>
                <w:noProof/>
                <w:webHidden/>
              </w:rPr>
              <w:tab/>
            </w:r>
            <w:r w:rsidR="005744DF">
              <w:rPr>
                <w:noProof/>
                <w:webHidden/>
              </w:rPr>
              <w:fldChar w:fldCharType="begin"/>
            </w:r>
            <w:r w:rsidR="005744DF">
              <w:rPr>
                <w:noProof/>
                <w:webHidden/>
              </w:rPr>
              <w:instrText xml:space="preserve"> PAGEREF _Toc385249538 \h </w:instrText>
            </w:r>
            <w:r w:rsidR="005744DF">
              <w:rPr>
                <w:noProof/>
                <w:webHidden/>
              </w:rPr>
            </w:r>
            <w:r w:rsidR="005744DF">
              <w:rPr>
                <w:noProof/>
                <w:webHidden/>
              </w:rPr>
              <w:fldChar w:fldCharType="separate"/>
            </w:r>
            <w:r w:rsidR="005744DF">
              <w:rPr>
                <w:noProof/>
                <w:webHidden/>
              </w:rPr>
              <w:t>52</w:t>
            </w:r>
            <w:r w:rsidR="005744DF">
              <w:rPr>
                <w:noProof/>
                <w:webHidden/>
              </w:rPr>
              <w:fldChar w:fldCharType="end"/>
            </w:r>
          </w:hyperlink>
        </w:p>
        <w:p w:rsidR="005744DF" w:rsidRDefault="00F57DE9" w:rsidP="000E6FB7">
          <w:pPr>
            <w:pStyle w:val="TOC3"/>
            <w:tabs>
              <w:tab w:val="right" w:leader="dot" w:pos="10245"/>
            </w:tabs>
            <w:spacing w:line="360" w:lineRule="auto"/>
            <w:rPr>
              <w:rFonts w:asciiTheme="minorHAnsi" w:eastAsiaTheme="minorEastAsia" w:hAnsiTheme="minorHAnsi" w:cstheme="minorBidi"/>
              <w:noProof/>
              <w:sz w:val="22"/>
              <w:szCs w:val="22"/>
            </w:rPr>
          </w:pPr>
          <w:hyperlink w:anchor="_Toc385249539" w:history="1">
            <w:r w:rsidR="00684009">
              <w:rPr>
                <w:rStyle w:val="Hyperlink"/>
                <w:noProof/>
                <w:lang w:val="lt-LT"/>
              </w:rPr>
              <w:t>3.3</w:t>
            </w:r>
            <w:r w:rsidR="005744DF" w:rsidRPr="00652277">
              <w:rPr>
                <w:rStyle w:val="Hyperlink"/>
                <w:noProof/>
                <w:lang w:val="lt-LT"/>
              </w:rPr>
              <w:t>.2. ES subnacionalinių valdžios institucijų pajamų vertinimas</w:t>
            </w:r>
            <w:r w:rsidR="005744DF">
              <w:rPr>
                <w:noProof/>
                <w:webHidden/>
              </w:rPr>
              <w:tab/>
            </w:r>
            <w:r w:rsidR="005744DF">
              <w:rPr>
                <w:noProof/>
                <w:webHidden/>
              </w:rPr>
              <w:fldChar w:fldCharType="begin"/>
            </w:r>
            <w:r w:rsidR="005744DF">
              <w:rPr>
                <w:noProof/>
                <w:webHidden/>
              </w:rPr>
              <w:instrText xml:space="preserve"> PAGEREF _Toc385249539 \h </w:instrText>
            </w:r>
            <w:r w:rsidR="005744DF">
              <w:rPr>
                <w:noProof/>
                <w:webHidden/>
              </w:rPr>
            </w:r>
            <w:r w:rsidR="005744DF">
              <w:rPr>
                <w:noProof/>
                <w:webHidden/>
              </w:rPr>
              <w:fldChar w:fldCharType="separate"/>
            </w:r>
            <w:r w:rsidR="005744DF">
              <w:rPr>
                <w:noProof/>
                <w:webHidden/>
              </w:rPr>
              <w:t>56</w:t>
            </w:r>
            <w:r w:rsidR="005744DF">
              <w:rPr>
                <w:noProof/>
                <w:webHidden/>
              </w:rPr>
              <w:fldChar w:fldCharType="end"/>
            </w:r>
          </w:hyperlink>
        </w:p>
        <w:p w:rsidR="005744DF" w:rsidRDefault="00F57DE9" w:rsidP="000E6FB7">
          <w:pPr>
            <w:pStyle w:val="TOC3"/>
            <w:tabs>
              <w:tab w:val="right" w:leader="dot" w:pos="10245"/>
            </w:tabs>
            <w:spacing w:line="360" w:lineRule="auto"/>
            <w:rPr>
              <w:rFonts w:asciiTheme="minorHAnsi" w:eastAsiaTheme="minorEastAsia" w:hAnsiTheme="minorHAnsi" w:cstheme="minorBidi"/>
              <w:noProof/>
              <w:sz w:val="22"/>
              <w:szCs w:val="22"/>
            </w:rPr>
          </w:pPr>
          <w:hyperlink w:anchor="_Toc385249540" w:history="1">
            <w:r w:rsidR="00684009">
              <w:rPr>
                <w:rStyle w:val="Hyperlink"/>
                <w:noProof/>
              </w:rPr>
              <w:t>3.3</w:t>
            </w:r>
            <w:r w:rsidR="005744DF" w:rsidRPr="00652277">
              <w:rPr>
                <w:rStyle w:val="Hyperlink"/>
                <w:noProof/>
              </w:rPr>
              <w:t xml:space="preserve">.3. ES </w:t>
            </w:r>
            <w:r w:rsidR="005744DF" w:rsidRPr="00652277">
              <w:rPr>
                <w:rStyle w:val="Hyperlink"/>
                <w:noProof/>
                <w:lang w:val="lt-LT"/>
              </w:rPr>
              <w:t>įsiskolinimų vertinimas</w:t>
            </w:r>
            <w:r w:rsidR="005744DF">
              <w:rPr>
                <w:noProof/>
                <w:webHidden/>
              </w:rPr>
              <w:tab/>
            </w:r>
            <w:r w:rsidR="005744DF">
              <w:rPr>
                <w:noProof/>
                <w:webHidden/>
              </w:rPr>
              <w:fldChar w:fldCharType="begin"/>
            </w:r>
            <w:r w:rsidR="005744DF">
              <w:rPr>
                <w:noProof/>
                <w:webHidden/>
              </w:rPr>
              <w:instrText xml:space="preserve"> PAGEREF _Toc385249540 \h </w:instrText>
            </w:r>
            <w:r w:rsidR="005744DF">
              <w:rPr>
                <w:noProof/>
                <w:webHidden/>
              </w:rPr>
            </w:r>
            <w:r w:rsidR="005744DF">
              <w:rPr>
                <w:noProof/>
                <w:webHidden/>
              </w:rPr>
              <w:fldChar w:fldCharType="separate"/>
            </w:r>
            <w:r w:rsidR="005744DF">
              <w:rPr>
                <w:noProof/>
                <w:webHidden/>
              </w:rPr>
              <w:t>61</w:t>
            </w:r>
            <w:r w:rsidR="005744DF">
              <w:rPr>
                <w:noProof/>
                <w:webHidden/>
              </w:rPr>
              <w:fldChar w:fldCharType="end"/>
            </w:r>
          </w:hyperlink>
        </w:p>
        <w:p w:rsidR="005744DF" w:rsidRDefault="00F57DE9" w:rsidP="000E6FB7">
          <w:pPr>
            <w:pStyle w:val="TOC2"/>
            <w:tabs>
              <w:tab w:val="right" w:leader="dot" w:pos="10245"/>
            </w:tabs>
            <w:spacing w:line="360" w:lineRule="auto"/>
            <w:rPr>
              <w:rFonts w:asciiTheme="minorHAnsi" w:eastAsiaTheme="minorEastAsia" w:hAnsiTheme="minorHAnsi" w:cstheme="minorBidi"/>
              <w:noProof/>
              <w:sz w:val="22"/>
              <w:szCs w:val="22"/>
            </w:rPr>
          </w:pPr>
          <w:hyperlink w:anchor="_Toc385249541" w:history="1">
            <w:r w:rsidR="00684009">
              <w:rPr>
                <w:rStyle w:val="Hyperlink"/>
                <w:noProof/>
                <w:lang w:val="lt-LT"/>
              </w:rPr>
              <w:t>3.4</w:t>
            </w:r>
            <w:r w:rsidR="005744DF" w:rsidRPr="00652277">
              <w:rPr>
                <w:rStyle w:val="Hyperlink"/>
                <w:noProof/>
                <w:lang w:val="lt-LT"/>
              </w:rPr>
              <w:t>.  Socialinės paramos decentralizacijos efektyvumo Lietuvos „eksperimentinėse savivaldybėse“ vertinimas</w:t>
            </w:r>
            <w:r w:rsidR="005744DF">
              <w:rPr>
                <w:noProof/>
                <w:webHidden/>
              </w:rPr>
              <w:tab/>
            </w:r>
            <w:r w:rsidR="005744DF">
              <w:rPr>
                <w:noProof/>
                <w:webHidden/>
              </w:rPr>
              <w:fldChar w:fldCharType="begin"/>
            </w:r>
            <w:r w:rsidR="005744DF">
              <w:rPr>
                <w:noProof/>
                <w:webHidden/>
              </w:rPr>
              <w:instrText xml:space="preserve"> PAGEREF _Toc385249541 \h </w:instrText>
            </w:r>
            <w:r w:rsidR="005744DF">
              <w:rPr>
                <w:noProof/>
                <w:webHidden/>
              </w:rPr>
            </w:r>
            <w:r w:rsidR="005744DF">
              <w:rPr>
                <w:noProof/>
                <w:webHidden/>
              </w:rPr>
              <w:fldChar w:fldCharType="separate"/>
            </w:r>
            <w:r w:rsidR="005744DF">
              <w:rPr>
                <w:noProof/>
                <w:webHidden/>
              </w:rPr>
              <w:t>63</w:t>
            </w:r>
            <w:r w:rsidR="005744DF">
              <w:rPr>
                <w:noProof/>
                <w:webHidden/>
              </w:rPr>
              <w:fldChar w:fldCharType="end"/>
            </w:r>
          </w:hyperlink>
        </w:p>
        <w:p w:rsidR="005744DF" w:rsidRDefault="00F57DE9" w:rsidP="000E6FB7">
          <w:pPr>
            <w:pStyle w:val="TOC1"/>
            <w:rPr>
              <w:rFonts w:asciiTheme="minorHAnsi" w:eastAsiaTheme="minorEastAsia" w:hAnsiTheme="minorHAnsi" w:cstheme="minorBidi"/>
              <w:noProof/>
              <w:sz w:val="22"/>
              <w:szCs w:val="22"/>
            </w:rPr>
          </w:pPr>
          <w:hyperlink w:anchor="_Toc385249542" w:history="1">
            <w:r w:rsidR="005744DF" w:rsidRPr="00652277">
              <w:rPr>
                <w:rStyle w:val="Hyperlink"/>
                <w:noProof/>
                <w:lang w:val="lt-LT"/>
              </w:rPr>
              <w:t>IŠVADOS IR SIŪLYMAI</w:t>
            </w:r>
            <w:r w:rsidR="005744DF">
              <w:rPr>
                <w:noProof/>
                <w:webHidden/>
              </w:rPr>
              <w:tab/>
            </w:r>
            <w:r w:rsidR="005744DF">
              <w:rPr>
                <w:noProof/>
                <w:webHidden/>
              </w:rPr>
              <w:fldChar w:fldCharType="begin"/>
            </w:r>
            <w:r w:rsidR="005744DF">
              <w:rPr>
                <w:noProof/>
                <w:webHidden/>
              </w:rPr>
              <w:instrText xml:space="preserve"> PAGEREF _Toc385249542 \h </w:instrText>
            </w:r>
            <w:r w:rsidR="005744DF">
              <w:rPr>
                <w:noProof/>
                <w:webHidden/>
              </w:rPr>
            </w:r>
            <w:r w:rsidR="005744DF">
              <w:rPr>
                <w:noProof/>
                <w:webHidden/>
              </w:rPr>
              <w:fldChar w:fldCharType="separate"/>
            </w:r>
            <w:r w:rsidR="005744DF">
              <w:rPr>
                <w:noProof/>
                <w:webHidden/>
              </w:rPr>
              <w:t>70</w:t>
            </w:r>
            <w:r w:rsidR="005744DF">
              <w:rPr>
                <w:noProof/>
                <w:webHidden/>
              </w:rPr>
              <w:fldChar w:fldCharType="end"/>
            </w:r>
          </w:hyperlink>
        </w:p>
        <w:p w:rsidR="005744DF" w:rsidRDefault="00F57DE9" w:rsidP="000E6FB7">
          <w:pPr>
            <w:pStyle w:val="TOC1"/>
            <w:rPr>
              <w:rFonts w:asciiTheme="minorHAnsi" w:eastAsiaTheme="minorEastAsia" w:hAnsiTheme="minorHAnsi" w:cstheme="minorBidi"/>
              <w:noProof/>
              <w:sz w:val="22"/>
              <w:szCs w:val="22"/>
            </w:rPr>
          </w:pPr>
          <w:hyperlink w:anchor="_Toc385249543" w:history="1">
            <w:r w:rsidR="005744DF" w:rsidRPr="00652277">
              <w:rPr>
                <w:rStyle w:val="Hyperlink"/>
                <w:noProof/>
              </w:rPr>
              <w:t>LITERAT</w:t>
            </w:r>
            <w:r w:rsidR="005744DF" w:rsidRPr="00652277">
              <w:rPr>
                <w:rStyle w:val="Hyperlink"/>
                <w:noProof/>
                <w:lang w:val="lt-LT"/>
              </w:rPr>
              <w:t>ŪRA</w:t>
            </w:r>
            <w:r w:rsidR="005744DF">
              <w:rPr>
                <w:noProof/>
                <w:webHidden/>
              </w:rPr>
              <w:tab/>
            </w:r>
            <w:r w:rsidR="005744DF">
              <w:rPr>
                <w:noProof/>
                <w:webHidden/>
              </w:rPr>
              <w:fldChar w:fldCharType="begin"/>
            </w:r>
            <w:r w:rsidR="005744DF">
              <w:rPr>
                <w:noProof/>
                <w:webHidden/>
              </w:rPr>
              <w:instrText xml:space="preserve"> PAGEREF _Toc385249543 \h </w:instrText>
            </w:r>
            <w:r w:rsidR="005744DF">
              <w:rPr>
                <w:noProof/>
                <w:webHidden/>
              </w:rPr>
            </w:r>
            <w:r w:rsidR="005744DF">
              <w:rPr>
                <w:noProof/>
                <w:webHidden/>
              </w:rPr>
              <w:fldChar w:fldCharType="separate"/>
            </w:r>
            <w:r w:rsidR="005744DF">
              <w:rPr>
                <w:noProof/>
                <w:webHidden/>
              </w:rPr>
              <w:t>72</w:t>
            </w:r>
            <w:r w:rsidR="005744DF">
              <w:rPr>
                <w:noProof/>
                <w:webHidden/>
              </w:rPr>
              <w:fldChar w:fldCharType="end"/>
            </w:r>
          </w:hyperlink>
        </w:p>
        <w:p w:rsidR="005744DF" w:rsidRDefault="00F57DE9" w:rsidP="000E6FB7">
          <w:pPr>
            <w:pStyle w:val="TOC1"/>
            <w:rPr>
              <w:rFonts w:asciiTheme="minorHAnsi" w:eastAsiaTheme="minorEastAsia" w:hAnsiTheme="minorHAnsi" w:cstheme="minorBidi"/>
              <w:noProof/>
              <w:sz w:val="22"/>
              <w:szCs w:val="22"/>
            </w:rPr>
          </w:pPr>
          <w:hyperlink w:anchor="_Toc385249544" w:history="1">
            <w:r w:rsidR="005744DF" w:rsidRPr="00652277">
              <w:rPr>
                <w:rStyle w:val="Hyperlink"/>
                <w:noProof/>
              </w:rPr>
              <w:t>ANOTACIJA</w:t>
            </w:r>
            <w:r w:rsidR="005744DF">
              <w:rPr>
                <w:noProof/>
                <w:webHidden/>
              </w:rPr>
              <w:tab/>
            </w:r>
            <w:r w:rsidR="005744DF">
              <w:rPr>
                <w:noProof/>
                <w:webHidden/>
              </w:rPr>
              <w:fldChar w:fldCharType="begin"/>
            </w:r>
            <w:r w:rsidR="005744DF">
              <w:rPr>
                <w:noProof/>
                <w:webHidden/>
              </w:rPr>
              <w:instrText xml:space="preserve"> PAGEREF _Toc385249544 \h </w:instrText>
            </w:r>
            <w:r w:rsidR="005744DF">
              <w:rPr>
                <w:noProof/>
                <w:webHidden/>
              </w:rPr>
            </w:r>
            <w:r w:rsidR="005744DF">
              <w:rPr>
                <w:noProof/>
                <w:webHidden/>
              </w:rPr>
              <w:fldChar w:fldCharType="separate"/>
            </w:r>
            <w:r w:rsidR="005744DF">
              <w:rPr>
                <w:noProof/>
                <w:webHidden/>
              </w:rPr>
              <w:t>77</w:t>
            </w:r>
            <w:r w:rsidR="005744DF">
              <w:rPr>
                <w:noProof/>
                <w:webHidden/>
              </w:rPr>
              <w:fldChar w:fldCharType="end"/>
            </w:r>
          </w:hyperlink>
        </w:p>
        <w:p w:rsidR="005744DF" w:rsidRDefault="00F57DE9" w:rsidP="000E6FB7">
          <w:pPr>
            <w:pStyle w:val="TOC1"/>
            <w:rPr>
              <w:rFonts w:asciiTheme="minorHAnsi" w:eastAsiaTheme="minorEastAsia" w:hAnsiTheme="minorHAnsi" w:cstheme="minorBidi"/>
              <w:noProof/>
              <w:sz w:val="22"/>
              <w:szCs w:val="22"/>
            </w:rPr>
          </w:pPr>
          <w:hyperlink w:anchor="_Toc385249545" w:history="1">
            <w:r w:rsidR="005744DF" w:rsidRPr="00652277">
              <w:rPr>
                <w:rStyle w:val="Hyperlink"/>
                <w:noProof/>
              </w:rPr>
              <w:t>ANNOTATION</w:t>
            </w:r>
            <w:r w:rsidR="005744DF">
              <w:rPr>
                <w:noProof/>
                <w:webHidden/>
              </w:rPr>
              <w:tab/>
            </w:r>
            <w:r w:rsidR="005744DF">
              <w:rPr>
                <w:noProof/>
                <w:webHidden/>
              </w:rPr>
              <w:fldChar w:fldCharType="begin"/>
            </w:r>
            <w:r w:rsidR="005744DF">
              <w:rPr>
                <w:noProof/>
                <w:webHidden/>
              </w:rPr>
              <w:instrText xml:space="preserve"> PAGEREF _Toc385249545 \h </w:instrText>
            </w:r>
            <w:r w:rsidR="005744DF">
              <w:rPr>
                <w:noProof/>
                <w:webHidden/>
              </w:rPr>
            </w:r>
            <w:r w:rsidR="005744DF">
              <w:rPr>
                <w:noProof/>
                <w:webHidden/>
              </w:rPr>
              <w:fldChar w:fldCharType="separate"/>
            </w:r>
            <w:r w:rsidR="005744DF">
              <w:rPr>
                <w:noProof/>
                <w:webHidden/>
              </w:rPr>
              <w:t>78</w:t>
            </w:r>
            <w:r w:rsidR="005744DF">
              <w:rPr>
                <w:noProof/>
                <w:webHidden/>
              </w:rPr>
              <w:fldChar w:fldCharType="end"/>
            </w:r>
          </w:hyperlink>
        </w:p>
        <w:p w:rsidR="005744DF" w:rsidRDefault="00F57DE9" w:rsidP="000E6FB7">
          <w:pPr>
            <w:pStyle w:val="TOC1"/>
            <w:rPr>
              <w:rFonts w:asciiTheme="minorHAnsi" w:eastAsiaTheme="minorEastAsia" w:hAnsiTheme="minorHAnsi" w:cstheme="minorBidi"/>
              <w:noProof/>
              <w:sz w:val="22"/>
              <w:szCs w:val="22"/>
            </w:rPr>
          </w:pPr>
          <w:hyperlink w:anchor="_Toc385249546" w:history="1">
            <w:r w:rsidR="005744DF" w:rsidRPr="00652277">
              <w:rPr>
                <w:rStyle w:val="Hyperlink"/>
                <w:noProof/>
              </w:rPr>
              <w:t>SANTRAUKA</w:t>
            </w:r>
            <w:r w:rsidR="005744DF">
              <w:rPr>
                <w:noProof/>
                <w:webHidden/>
              </w:rPr>
              <w:tab/>
            </w:r>
            <w:r w:rsidR="005744DF">
              <w:rPr>
                <w:noProof/>
                <w:webHidden/>
              </w:rPr>
              <w:fldChar w:fldCharType="begin"/>
            </w:r>
            <w:r w:rsidR="005744DF">
              <w:rPr>
                <w:noProof/>
                <w:webHidden/>
              </w:rPr>
              <w:instrText xml:space="preserve"> PAGEREF _Toc385249546 \h </w:instrText>
            </w:r>
            <w:r w:rsidR="005744DF">
              <w:rPr>
                <w:noProof/>
                <w:webHidden/>
              </w:rPr>
            </w:r>
            <w:r w:rsidR="005744DF">
              <w:rPr>
                <w:noProof/>
                <w:webHidden/>
              </w:rPr>
              <w:fldChar w:fldCharType="separate"/>
            </w:r>
            <w:r w:rsidR="005744DF">
              <w:rPr>
                <w:noProof/>
                <w:webHidden/>
              </w:rPr>
              <w:t>79</w:t>
            </w:r>
            <w:r w:rsidR="005744DF">
              <w:rPr>
                <w:noProof/>
                <w:webHidden/>
              </w:rPr>
              <w:fldChar w:fldCharType="end"/>
            </w:r>
          </w:hyperlink>
        </w:p>
        <w:p w:rsidR="005744DF" w:rsidRDefault="00F57DE9" w:rsidP="000E6FB7">
          <w:pPr>
            <w:pStyle w:val="TOC1"/>
            <w:rPr>
              <w:rFonts w:asciiTheme="minorHAnsi" w:eastAsiaTheme="minorEastAsia" w:hAnsiTheme="minorHAnsi" w:cstheme="minorBidi"/>
              <w:noProof/>
              <w:sz w:val="22"/>
              <w:szCs w:val="22"/>
            </w:rPr>
          </w:pPr>
          <w:hyperlink w:anchor="_Toc385249547" w:history="1">
            <w:r w:rsidR="005744DF" w:rsidRPr="00652277">
              <w:rPr>
                <w:rStyle w:val="Hyperlink"/>
                <w:noProof/>
              </w:rPr>
              <w:t>SUMMARY</w:t>
            </w:r>
            <w:r w:rsidR="005744DF">
              <w:rPr>
                <w:noProof/>
                <w:webHidden/>
              </w:rPr>
              <w:tab/>
            </w:r>
            <w:r w:rsidR="005744DF">
              <w:rPr>
                <w:noProof/>
                <w:webHidden/>
              </w:rPr>
              <w:fldChar w:fldCharType="begin"/>
            </w:r>
            <w:r w:rsidR="005744DF">
              <w:rPr>
                <w:noProof/>
                <w:webHidden/>
              </w:rPr>
              <w:instrText xml:space="preserve"> PAGEREF _Toc385249547 \h </w:instrText>
            </w:r>
            <w:r w:rsidR="005744DF">
              <w:rPr>
                <w:noProof/>
                <w:webHidden/>
              </w:rPr>
            </w:r>
            <w:r w:rsidR="005744DF">
              <w:rPr>
                <w:noProof/>
                <w:webHidden/>
              </w:rPr>
              <w:fldChar w:fldCharType="separate"/>
            </w:r>
            <w:r w:rsidR="005744DF">
              <w:rPr>
                <w:noProof/>
                <w:webHidden/>
              </w:rPr>
              <w:t>80</w:t>
            </w:r>
            <w:r w:rsidR="005744DF">
              <w:rPr>
                <w:noProof/>
                <w:webHidden/>
              </w:rPr>
              <w:fldChar w:fldCharType="end"/>
            </w:r>
          </w:hyperlink>
        </w:p>
        <w:p w:rsidR="005744DF" w:rsidRDefault="00F57DE9" w:rsidP="000E6FB7">
          <w:pPr>
            <w:pStyle w:val="TOC1"/>
            <w:rPr>
              <w:rFonts w:asciiTheme="minorHAnsi" w:eastAsiaTheme="minorEastAsia" w:hAnsiTheme="minorHAnsi" w:cstheme="minorBidi"/>
              <w:noProof/>
              <w:sz w:val="22"/>
              <w:szCs w:val="22"/>
            </w:rPr>
          </w:pPr>
          <w:hyperlink w:anchor="_Toc385249548" w:history="1">
            <w:r w:rsidR="005744DF" w:rsidRPr="00652277">
              <w:rPr>
                <w:rStyle w:val="Hyperlink"/>
                <w:noProof/>
              </w:rPr>
              <w:t>PRIEDAI</w:t>
            </w:r>
            <w:r w:rsidR="005744DF">
              <w:rPr>
                <w:noProof/>
                <w:webHidden/>
              </w:rPr>
              <w:tab/>
            </w:r>
            <w:r w:rsidR="005744DF">
              <w:rPr>
                <w:noProof/>
                <w:webHidden/>
              </w:rPr>
              <w:fldChar w:fldCharType="begin"/>
            </w:r>
            <w:r w:rsidR="005744DF">
              <w:rPr>
                <w:noProof/>
                <w:webHidden/>
              </w:rPr>
              <w:instrText xml:space="preserve"> PAGEREF _Toc385249548 \h </w:instrText>
            </w:r>
            <w:r w:rsidR="005744DF">
              <w:rPr>
                <w:noProof/>
                <w:webHidden/>
              </w:rPr>
            </w:r>
            <w:r w:rsidR="005744DF">
              <w:rPr>
                <w:noProof/>
                <w:webHidden/>
              </w:rPr>
              <w:fldChar w:fldCharType="separate"/>
            </w:r>
            <w:r w:rsidR="005744DF">
              <w:rPr>
                <w:noProof/>
                <w:webHidden/>
              </w:rPr>
              <w:t>81</w:t>
            </w:r>
            <w:r w:rsidR="005744DF">
              <w:rPr>
                <w:noProof/>
                <w:webHidden/>
              </w:rPr>
              <w:fldChar w:fldCharType="end"/>
            </w:r>
          </w:hyperlink>
        </w:p>
        <w:p w:rsidR="00D27093" w:rsidRPr="000E6FB7" w:rsidRDefault="005744DF" w:rsidP="000E6FB7">
          <w:pPr>
            <w:spacing w:line="360" w:lineRule="auto"/>
          </w:pPr>
          <w:r>
            <w:rPr>
              <w:b/>
              <w:bCs/>
              <w:noProof/>
            </w:rPr>
            <w:lastRenderedPageBreak/>
            <w:fldChar w:fldCharType="end"/>
          </w:r>
        </w:p>
      </w:sdtContent>
    </w:sdt>
    <w:p w:rsidR="00824362" w:rsidRDefault="00824362" w:rsidP="00DB0888">
      <w:pPr>
        <w:spacing w:line="360" w:lineRule="auto"/>
        <w:jc w:val="center"/>
        <w:rPr>
          <w:b/>
        </w:rPr>
      </w:pPr>
      <w:r>
        <w:rPr>
          <w:b/>
        </w:rPr>
        <w:t xml:space="preserve">PRIEDAI </w:t>
      </w:r>
    </w:p>
    <w:p w:rsidR="00AC2499" w:rsidRDefault="00AC2499" w:rsidP="00DB0888">
      <w:pPr>
        <w:spacing w:line="360" w:lineRule="auto"/>
        <w:jc w:val="center"/>
        <w:rPr>
          <w:b/>
        </w:rPr>
      </w:pPr>
    </w:p>
    <w:p w:rsidR="00C2249C" w:rsidRDefault="00C2249C">
      <w:pPr>
        <w:pStyle w:val="TOC1"/>
        <w:rPr>
          <w:rFonts w:asciiTheme="minorHAnsi" w:eastAsiaTheme="minorEastAsia" w:hAnsiTheme="minorHAnsi" w:cstheme="minorBidi"/>
          <w:noProof/>
          <w:sz w:val="22"/>
          <w:szCs w:val="22"/>
        </w:rPr>
      </w:pPr>
      <w:r>
        <w:fldChar w:fldCharType="begin"/>
      </w:r>
      <w:r>
        <w:instrText xml:space="preserve"> TOC \h \z \u \t "Heading 5;1" </w:instrText>
      </w:r>
      <w:r>
        <w:fldChar w:fldCharType="separate"/>
      </w:r>
      <w:hyperlink w:anchor="_Toc385432934" w:history="1">
        <w:r>
          <w:rPr>
            <w:rStyle w:val="Hyperlink"/>
            <w:noProof/>
          </w:rPr>
          <w:t>1 priedas</w:t>
        </w:r>
        <w:r>
          <w:rPr>
            <w:rStyle w:val="Hyperlink"/>
            <w:noProof/>
            <w:lang w:val="lt-LT"/>
          </w:rPr>
          <w:t>.</w:t>
        </w:r>
        <w:r>
          <w:rPr>
            <w:rStyle w:val="Hyperlink"/>
            <w:noProof/>
          </w:rPr>
          <w:t>Valstybių ir savivaldybių biudžetų išlaidų struktūra pagal funkcinę klasifikaciją tūkst. Lt, proc</w:t>
        </w:r>
        <w:r>
          <w:rPr>
            <w:noProof/>
            <w:webHidden/>
          </w:rPr>
          <w:tab/>
        </w:r>
        <w:r w:rsidR="00255CC9">
          <w:rPr>
            <w:noProof/>
            <w:webHidden/>
          </w:rPr>
          <w:t>82</w:t>
        </w:r>
      </w:hyperlink>
    </w:p>
    <w:p w:rsidR="00C2249C" w:rsidRDefault="00F57DE9">
      <w:pPr>
        <w:pStyle w:val="TOC1"/>
        <w:rPr>
          <w:rFonts w:asciiTheme="minorHAnsi" w:eastAsiaTheme="minorEastAsia" w:hAnsiTheme="minorHAnsi" w:cstheme="minorBidi"/>
          <w:noProof/>
          <w:sz w:val="22"/>
          <w:szCs w:val="22"/>
        </w:rPr>
      </w:pPr>
      <w:hyperlink w:anchor="_Toc385432935" w:history="1">
        <w:r w:rsidR="00C2249C">
          <w:rPr>
            <w:rStyle w:val="Hyperlink"/>
            <w:noProof/>
          </w:rPr>
          <w:t>2 priedas</w:t>
        </w:r>
        <w:r w:rsidR="00C2249C">
          <w:rPr>
            <w:rStyle w:val="Hyperlink"/>
            <w:noProof/>
            <w:lang w:val="lt-LT"/>
          </w:rPr>
          <w:t>. Valstybės ir savivaldybių biudžetų kitimas tūkst. Lt</w:t>
        </w:r>
        <w:r w:rsidR="00C2249C">
          <w:rPr>
            <w:noProof/>
            <w:webHidden/>
          </w:rPr>
          <w:tab/>
        </w:r>
        <w:r w:rsidR="00255CC9">
          <w:rPr>
            <w:noProof/>
            <w:webHidden/>
          </w:rPr>
          <w:t>83</w:t>
        </w:r>
      </w:hyperlink>
    </w:p>
    <w:p w:rsidR="00C2249C" w:rsidRDefault="00F57DE9">
      <w:pPr>
        <w:pStyle w:val="TOC1"/>
        <w:rPr>
          <w:rFonts w:asciiTheme="minorHAnsi" w:eastAsiaTheme="minorEastAsia" w:hAnsiTheme="minorHAnsi" w:cstheme="minorBidi"/>
          <w:noProof/>
          <w:sz w:val="22"/>
          <w:szCs w:val="22"/>
        </w:rPr>
      </w:pPr>
      <w:hyperlink w:anchor="_Toc385432936" w:history="1">
        <w:r w:rsidR="00C2249C">
          <w:rPr>
            <w:rStyle w:val="Hyperlink"/>
            <w:noProof/>
            <w:lang w:val="lt-LT" w:eastAsia="lt-LT"/>
          </w:rPr>
          <w:t>3 priedas. Valstybės biudžeto specialios tikslinės dotacijos ir bendrosios dotacijos kompensacijos savivaldybių biudžetams, tūkst. Lt</w:t>
        </w:r>
        <w:r w:rsidR="00C2249C">
          <w:rPr>
            <w:noProof/>
            <w:webHidden/>
          </w:rPr>
          <w:tab/>
        </w:r>
        <w:r w:rsidR="00255CC9">
          <w:rPr>
            <w:noProof/>
            <w:webHidden/>
          </w:rPr>
          <w:t>84</w:t>
        </w:r>
      </w:hyperlink>
    </w:p>
    <w:p w:rsidR="00C2249C" w:rsidRDefault="00F57DE9">
      <w:pPr>
        <w:pStyle w:val="TOC1"/>
        <w:rPr>
          <w:rFonts w:asciiTheme="minorHAnsi" w:eastAsiaTheme="minorEastAsia" w:hAnsiTheme="minorHAnsi" w:cstheme="minorBidi"/>
          <w:noProof/>
          <w:sz w:val="22"/>
          <w:szCs w:val="22"/>
        </w:rPr>
      </w:pPr>
      <w:hyperlink w:anchor="_Toc385432937" w:history="1">
        <w:r w:rsidR="00C2249C">
          <w:rPr>
            <w:rStyle w:val="Hyperlink"/>
            <w:noProof/>
          </w:rPr>
          <w:t>4 priedas. ES šalių narių populiacija, teritorija ir subnacionalinių lygmenų skaičius</w:t>
        </w:r>
        <w:r w:rsidR="00C2249C">
          <w:rPr>
            <w:noProof/>
            <w:webHidden/>
          </w:rPr>
          <w:tab/>
        </w:r>
        <w:r w:rsidR="00255CC9">
          <w:rPr>
            <w:noProof/>
            <w:webHidden/>
          </w:rPr>
          <w:t>85</w:t>
        </w:r>
      </w:hyperlink>
    </w:p>
    <w:p w:rsidR="00C2249C" w:rsidRDefault="00F57DE9">
      <w:pPr>
        <w:pStyle w:val="TOC1"/>
        <w:rPr>
          <w:rFonts w:asciiTheme="minorHAnsi" w:eastAsiaTheme="minorEastAsia" w:hAnsiTheme="minorHAnsi" w:cstheme="minorBidi"/>
          <w:noProof/>
          <w:sz w:val="22"/>
          <w:szCs w:val="22"/>
        </w:rPr>
      </w:pPr>
      <w:hyperlink w:anchor="_Toc385432938" w:history="1">
        <w:r w:rsidR="00C2249C">
          <w:rPr>
            <w:rStyle w:val="Hyperlink"/>
            <w:noProof/>
          </w:rPr>
          <w:t xml:space="preserve">5 priedas. </w:t>
        </w:r>
        <w:r w:rsidR="00AC2499">
          <w:rPr>
            <w:rStyle w:val="Hyperlink"/>
            <w:noProof/>
          </w:rPr>
          <w:t>ES šalių narių išlaidos pagal subsektorius 2012 m., mln. eurų</w:t>
        </w:r>
        <w:r w:rsidR="00C2249C">
          <w:rPr>
            <w:noProof/>
            <w:webHidden/>
          </w:rPr>
          <w:tab/>
        </w:r>
        <w:r w:rsidR="00255CC9">
          <w:rPr>
            <w:noProof/>
            <w:webHidden/>
          </w:rPr>
          <w:t>87</w:t>
        </w:r>
      </w:hyperlink>
    </w:p>
    <w:p w:rsidR="00C2249C" w:rsidRDefault="00F57DE9">
      <w:pPr>
        <w:pStyle w:val="TOC1"/>
        <w:rPr>
          <w:rFonts w:asciiTheme="minorHAnsi" w:eastAsiaTheme="minorEastAsia" w:hAnsiTheme="minorHAnsi" w:cstheme="minorBidi"/>
          <w:noProof/>
          <w:sz w:val="22"/>
          <w:szCs w:val="22"/>
        </w:rPr>
      </w:pPr>
      <w:hyperlink w:anchor="_Toc385432939" w:history="1">
        <w:r w:rsidR="00AC2499">
          <w:rPr>
            <w:rStyle w:val="Hyperlink"/>
            <w:noProof/>
            <w:lang w:val="lt-LT"/>
          </w:rPr>
          <w:t>6 priedas</w:t>
        </w:r>
        <w:r w:rsidR="00C2249C" w:rsidRPr="00915865">
          <w:rPr>
            <w:rStyle w:val="Hyperlink"/>
            <w:noProof/>
            <w:lang w:val="lt-LT"/>
          </w:rPr>
          <w:t xml:space="preserve">. </w:t>
        </w:r>
        <w:r w:rsidR="00AC2499">
          <w:rPr>
            <w:rStyle w:val="Hyperlink"/>
            <w:noProof/>
            <w:lang w:val="lt-LT"/>
          </w:rPr>
          <w:t>Subnacionalinių valdžios institucijų išlaidų ir pajamų dalis valdžios sektoriaus išlaidose ir pajamose, išlaidų dalis BVP ir valdžios sektoriaus išlaidų dalis BVP, proc.</w:t>
        </w:r>
        <w:r w:rsidR="00C2249C">
          <w:rPr>
            <w:noProof/>
            <w:webHidden/>
          </w:rPr>
          <w:tab/>
        </w:r>
        <w:r w:rsidR="00255CC9">
          <w:rPr>
            <w:noProof/>
            <w:webHidden/>
          </w:rPr>
          <w:t>88</w:t>
        </w:r>
      </w:hyperlink>
    </w:p>
    <w:p w:rsidR="00C2249C" w:rsidRDefault="00F57DE9">
      <w:pPr>
        <w:pStyle w:val="TOC1"/>
        <w:rPr>
          <w:rFonts w:asciiTheme="minorHAnsi" w:eastAsiaTheme="minorEastAsia" w:hAnsiTheme="minorHAnsi" w:cstheme="minorBidi"/>
          <w:noProof/>
          <w:sz w:val="22"/>
          <w:szCs w:val="22"/>
        </w:rPr>
      </w:pPr>
      <w:hyperlink w:anchor="_Toc385432940" w:history="1">
        <w:r w:rsidR="00C2249C" w:rsidRPr="00915865">
          <w:rPr>
            <w:rStyle w:val="Hyperlink"/>
            <w:noProof/>
          </w:rPr>
          <w:t xml:space="preserve">7 </w:t>
        </w:r>
        <w:r w:rsidR="00AC2499">
          <w:rPr>
            <w:rStyle w:val="Hyperlink"/>
            <w:noProof/>
            <w:lang w:val="lt-LT"/>
          </w:rPr>
          <w:t>priedas.ES subnacionalinių valdžios institucijų pajamos 2012 m., mln. eurų</w:t>
        </w:r>
        <w:r w:rsidR="00C2249C">
          <w:rPr>
            <w:noProof/>
            <w:webHidden/>
          </w:rPr>
          <w:tab/>
        </w:r>
        <w:r w:rsidR="00255CC9">
          <w:rPr>
            <w:noProof/>
            <w:webHidden/>
          </w:rPr>
          <w:t>89</w:t>
        </w:r>
      </w:hyperlink>
    </w:p>
    <w:p w:rsidR="00C2249C" w:rsidRDefault="00F57DE9">
      <w:pPr>
        <w:pStyle w:val="TOC1"/>
        <w:rPr>
          <w:rFonts w:asciiTheme="minorHAnsi" w:eastAsiaTheme="minorEastAsia" w:hAnsiTheme="minorHAnsi" w:cstheme="minorBidi"/>
          <w:noProof/>
          <w:sz w:val="22"/>
          <w:szCs w:val="22"/>
        </w:rPr>
      </w:pPr>
      <w:hyperlink w:anchor="_Toc385432941" w:history="1">
        <w:r w:rsidR="00AC2499">
          <w:rPr>
            <w:rStyle w:val="Hyperlink"/>
            <w:noProof/>
            <w:lang w:val="lt-LT"/>
          </w:rPr>
          <w:t>8 priedas. ES ir Lietuvos biudžetų išlaidų pasiskirstymas pagal valstybės funkcijas, proc.</w:t>
        </w:r>
        <w:r w:rsidR="00C2249C">
          <w:rPr>
            <w:noProof/>
            <w:webHidden/>
          </w:rPr>
          <w:tab/>
        </w:r>
        <w:r w:rsidR="00255CC9">
          <w:rPr>
            <w:noProof/>
            <w:webHidden/>
          </w:rPr>
          <w:t>90</w:t>
        </w:r>
      </w:hyperlink>
    </w:p>
    <w:p w:rsidR="00824362" w:rsidRDefault="00C2249C" w:rsidP="00C62571">
      <w:pPr>
        <w:pStyle w:val="Heading4"/>
      </w:pPr>
      <w:r>
        <w:fldChar w:fldCharType="end"/>
      </w:r>
    </w:p>
    <w:p w:rsidR="00824362" w:rsidRPr="00C62571" w:rsidRDefault="00824362" w:rsidP="00C62571">
      <w:pPr>
        <w:pStyle w:val="Heading4"/>
      </w:pPr>
    </w:p>
    <w:p w:rsidR="00824362" w:rsidRDefault="00824362" w:rsidP="00DB0888">
      <w:pPr>
        <w:spacing w:line="360" w:lineRule="auto"/>
        <w:jc w:val="center"/>
        <w:rPr>
          <w:b/>
        </w:rPr>
      </w:pPr>
    </w:p>
    <w:p w:rsidR="00824362" w:rsidRDefault="00824362" w:rsidP="00DB0888">
      <w:pPr>
        <w:spacing w:line="360" w:lineRule="auto"/>
        <w:jc w:val="center"/>
        <w:rPr>
          <w:b/>
        </w:rPr>
      </w:pPr>
    </w:p>
    <w:p w:rsidR="00824362" w:rsidRDefault="00824362" w:rsidP="00DB0888">
      <w:pPr>
        <w:spacing w:line="360" w:lineRule="auto"/>
        <w:jc w:val="center"/>
        <w:rPr>
          <w:b/>
        </w:rPr>
      </w:pPr>
    </w:p>
    <w:p w:rsidR="00824362" w:rsidRDefault="00824362" w:rsidP="00DB0888">
      <w:pPr>
        <w:spacing w:line="360" w:lineRule="auto"/>
        <w:jc w:val="center"/>
        <w:rPr>
          <w:b/>
        </w:rPr>
      </w:pPr>
    </w:p>
    <w:p w:rsidR="00824362" w:rsidRDefault="00824362" w:rsidP="00DB0888">
      <w:pPr>
        <w:spacing w:line="360" w:lineRule="auto"/>
        <w:jc w:val="center"/>
        <w:rPr>
          <w:b/>
        </w:rPr>
      </w:pPr>
    </w:p>
    <w:p w:rsidR="00824362" w:rsidRDefault="00824362" w:rsidP="00DB0888">
      <w:pPr>
        <w:spacing w:line="360" w:lineRule="auto"/>
        <w:jc w:val="center"/>
        <w:rPr>
          <w:b/>
        </w:rPr>
      </w:pPr>
    </w:p>
    <w:p w:rsidR="00824362" w:rsidRDefault="00824362" w:rsidP="00DB0888">
      <w:pPr>
        <w:spacing w:line="360" w:lineRule="auto"/>
        <w:jc w:val="center"/>
        <w:rPr>
          <w:b/>
        </w:rPr>
      </w:pPr>
    </w:p>
    <w:p w:rsidR="00824362" w:rsidRDefault="00824362" w:rsidP="00DB0888">
      <w:pPr>
        <w:spacing w:line="360" w:lineRule="auto"/>
        <w:jc w:val="center"/>
        <w:rPr>
          <w:b/>
        </w:rPr>
      </w:pPr>
    </w:p>
    <w:p w:rsidR="00824362" w:rsidRDefault="00824362" w:rsidP="00DB0888">
      <w:pPr>
        <w:spacing w:line="360" w:lineRule="auto"/>
        <w:jc w:val="center"/>
        <w:rPr>
          <w:b/>
        </w:rPr>
      </w:pPr>
    </w:p>
    <w:p w:rsidR="00824362" w:rsidRDefault="00824362" w:rsidP="00DB0888">
      <w:pPr>
        <w:spacing w:line="360" w:lineRule="auto"/>
        <w:jc w:val="center"/>
        <w:rPr>
          <w:b/>
        </w:rPr>
      </w:pPr>
    </w:p>
    <w:p w:rsidR="00824362" w:rsidRDefault="00824362" w:rsidP="00DB0888">
      <w:pPr>
        <w:spacing w:line="360" w:lineRule="auto"/>
        <w:jc w:val="center"/>
        <w:rPr>
          <w:b/>
        </w:rPr>
      </w:pPr>
    </w:p>
    <w:p w:rsidR="00824362" w:rsidRDefault="00824362" w:rsidP="00DB0888">
      <w:pPr>
        <w:spacing w:line="360" w:lineRule="auto"/>
        <w:jc w:val="center"/>
        <w:rPr>
          <w:b/>
        </w:rPr>
      </w:pPr>
    </w:p>
    <w:p w:rsidR="00824362" w:rsidRDefault="00824362" w:rsidP="00DB0888">
      <w:pPr>
        <w:spacing w:line="360" w:lineRule="auto"/>
        <w:jc w:val="center"/>
        <w:rPr>
          <w:b/>
        </w:rPr>
      </w:pPr>
    </w:p>
    <w:p w:rsidR="00824362" w:rsidRDefault="00824362" w:rsidP="00DB0888">
      <w:pPr>
        <w:spacing w:line="360" w:lineRule="auto"/>
        <w:jc w:val="center"/>
        <w:rPr>
          <w:b/>
        </w:rPr>
      </w:pPr>
    </w:p>
    <w:p w:rsidR="00824362" w:rsidRDefault="00824362" w:rsidP="00DB0888">
      <w:pPr>
        <w:spacing w:line="360" w:lineRule="auto"/>
        <w:jc w:val="center"/>
        <w:rPr>
          <w:b/>
        </w:rPr>
      </w:pPr>
    </w:p>
    <w:p w:rsidR="00C62571" w:rsidRDefault="00C62571" w:rsidP="00DB0888">
      <w:pPr>
        <w:spacing w:line="360" w:lineRule="auto"/>
        <w:jc w:val="center"/>
        <w:rPr>
          <w:b/>
        </w:rPr>
      </w:pPr>
    </w:p>
    <w:p w:rsidR="00824362" w:rsidRDefault="00824362" w:rsidP="00DB0888">
      <w:pPr>
        <w:spacing w:line="360" w:lineRule="auto"/>
        <w:jc w:val="center"/>
        <w:rPr>
          <w:b/>
        </w:rPr>
      </w:pPr>
    </w:p>
    <w:p w:rsidR="00D27093" w:rsidRDefault="00D27093" w:rsidP="00DB0888">
      <w:pPr>
        <w:spacing w:line="360" w:lineRule="auto"/>
        <w:jc w:val="center"/>
        <w:rPr>
          <w:b/>
          <w:lang w:val="lt-LT"/>
        </w:rPr>
      </w:pPr>
      <w:r w:rsidRPr="00D27093">
        <w:rPr>
          <w:b/>
        </w:rPr>
        <w:lastRenderedPageBreak/>
        <w:t>LENTEL</w:t>
      </w:r>
      <w:r w:rsidRPr="00D27093">
        <w:rPr>
          <w:b/>
          <w:lang w:val="lt-LT"/>
        </w:rPr>
        <w:t>ĖS</w:t>
      </w:r>
    </w:p>
    <w:p w:rsidR="00D27093" w:rsidRDefault="00D27093" w:rsidP="00DB0888">
      <w:pPr>
        <w:spacing w:line="360" w:lineRule="auto"/>
        <w:jc w:val="center"/>
        <w:rPr>
          <w:b/>
          <w:lang w:val="lt-LT"/>
        </w:rPr>
      </w:pPr>
    </w:p>
    <w:p w:rsidR="00D27093" w:rsidRDefault="00D27093" w:rsidP="00DB0888">
      <w:pPr>
        <w:spacing w:line="360" w:lineRule="auto"/>
        <w:rPr>
          <w:rFonts w:ascii="CMR10" w:hAnsi="CMR10" w:cs="CMR10"/>
          <w:sz w:val="20"/>
          <w:szCs w:val="20"/>
        </w:rPr>
      </w:pPr>
    </w:p>
    <w:p w:rsidR="00A81AD2" w:rsidRDefault="00307606" w:rsidP="00A81AD2">
      <w:pPr>
        <w:pStyle w:val="TOC1"/>
        <w:rPr>
          <w:rFonts w:asciiTheme="minorHAnsi" w:eastAsiaTheme="minorEastAsia" w:hAnsiTheme="minorHAnsi" w:cstheme="minorBidi"/>
          <w:noProof/>
          <w:sz w:val="22"/>
          <w:szCs w:val="22"/>
        </w:rPr>
      </w:pPr>
      <w:r>
        <w:rPr>
          <w:rFonts w:ascii="CMR10" w:hAnsi="CMR10" w:cs="CMR10"/>
          <w:sz w:val="20"/>
          <w:szCs w:val="20"/>
        </w:rPr>
        <w:fldChar w:fldCharType="begin"/>
      </w:r>
      <w:r>
        <w:rPr>
          <w:rFonts w:ascii="CMR10" w:hAnsi="CMR10" w:cs="CMR10"/>
          <w:sz w:val="20"/>
          <w:szCs w:val="20"/>
        </w:rPr>
        <w:instrText xml:space="preserve"> TOC \h \z \u \t "Heading 5;1" </w:instrText>
      </w:r>
      <w:r>
        <w:rPr>
          <w:rFonts w:ascii="CMR10" w:hAnsi="CMR10" w:cs="CMR10"/>
          <w:sz w:val="20"/>
          <w:szCs w:val="20"/>
        </w:rPr>
        <w:fldChar w:fldCharType="separate"/>
      </w:r>
      <w:hyperlink w:anchor="_Toc385242646" w:history="1">
        <w:r w:rsidR="00A81AD2" w:rsidRPr="009D25F2">
          <w:rPr>
            <w:rStyle w:val="Hyperlink"/>
            <w:noProof/>
          </w:rPr>
          <w:t>1 lentel</w:t>
        </w:r>
        <w:r w:rsidR="00A81AD2" w:rsidRPr="009D25F2">
          <w:rPr>
            <w:rStyle w:val="Hyperlink"/>
            <w:noProof/>
            <w:lang w:val="lt-LT"/>
          </w:rPr>
          <w:t xml:space="preserve">ė. </w:t>
        </w:r>
        <w:r w:rsidR="00A81AD2" w:rsidRPr="009D25F2">
          <w:rPr>
            <w:rStyle w:val="Hyperlink"/>
            <w:noProof/>
          </w:rPr>
          <w:t>Decentralizacijos samprata</w:t>
        </w:r>
        <w:r w:rsidR="00A81AD2">
          <w:rPr>
            <w:noProof/>
            <w:webHidden/>
          </w:rPr>
          <w:tab/>
        </w:r>
        <w:r w:rsidR="00A81AD2">
          <w:rPr>
            <w:noProof/>
            <w:webHidden/>
          </w:rPr>
          <w:fldChar w:fldCharType="begin"/>
        </w:r>
        <w:r w:rsidR="00A81AD2">
          <w:rPr>
            <w:noProof/>
            <w:webHidden/>
          </w:rPr>
          <w:instrText xml:space="preserve"> PAGEREF _Toc385242646 \h </w:instrText>
        </w:r>
        <w:r w:rsidR="00A81AD2">
          <w:rPr>
            <w:noProof/>
            <w:webHidden/>
          </w:rPr>
        </w:r>
        <w:r w:rsidR="00A81AD2">
          <w:rPr>
            <w:noProof/>
            <w:webHidden/>
          </w:rPr>
          <w:fldChar w:fldCharType="separate"/>
        </w:r>
        <w:r w:rsidR="00255CC9">
          <w:rPr>
            <w:noProof/>
            <w:webHidden/>
          </w:rPr>
          <w:t>11</w:t>
        </w:r>
        <w:r w:rsidR="00A81AD2">
          <w:rPr>
            <w:noProof/>
            <w:webHidden/>
          </w:rPr>
          <w:fldChar w:fldCharType="end"/>
        </w:r>
      </w:hyperlink>
    </w:p>
    <w:p w:rsidR="00A81AD2" w:rsidRDefault="00F57DE9" w:rsidP="00A81AD2">
      <w:pPr>
        <w:pStyle w:val="TOC1"/>
        <w:rPr>
          <w:rFonts w:asciiTheme="minorHAnsi" w:eastAsiaTheme="minorEastAsia" w:hAnsiTheme="minorHAnsi" w:cstheme="minorBidi"/>
          <w:noProof/>
          <w:sz w:val="22"/>
          <w:szCs w:val="22"/>
        </w:rPr>
      </w:pPr>
      <w:hyperlink w:anchor="_Toc385242647" w:history="1">
        <w:r w:rsidR="00A81AD2" w:rsidRPr="009D25F2">
          <w:rPr>
            <w:rStyle w:val="Hyperlink"/>
            <w:noProof/>
          </w:rPr>
          <w:t>2 lentel</w:t>
        </w:r>
        <w:r w:rsidR="00A81AD2" w:rsidRPr="009D25F2">
          <w:rPr>
            <w:rStyle w:val="Hyperlink"/>
            <w:noProof/>
            <w:lang w:val="lt-LT"/>
          </w:rPr>
          <w:t>ė. Fiskalinės decentralizacijos apibūdinimai</w:t>
        </w:r>
        <w:r w:rsidR="00A81AD2">
          <w:rPr>
            <w:noProof/>
            <w:webHidden/>
          </w:rPr>
          <w:tab/>
        </w:r>
        <w:r w:rsidR="00A81AD2">
          <w:rPr>
            <w:noProof/>
            <w:webHidden/>
          </w:rPr>
          <w:fldChar w:fldCharType="begin"/>
        </w:r>
        <w:r w:rsidR="00A81AD2">
          <w:rPr>
            <w:noProof/>
            <w:webHidden/>
          </w:rPr>
          <w:instrText xml:space="preserve"> PAGEREF _Toc385242647 \h </w:instrText>
        </w:r>
        <w:r w:rsidR="00A81AD2">
          <w:rPr>
            <w:noProof/>
            <w:webHidden/>
          </w:rPr>
        </w:r>
        <w:r w:rsidR="00A81AD2">
          <w:rPr>
            <w:noProof/>
            <w:webHidden/>
          </w:rPr>
          <w:fldChar w:fldCharType="separate"/>
        </w:r>
        <w:r w:rsidR="00255CC9">
          <w:rPr>
            <w:noProof/>
            <w:webHidden/>
          </w:rPr>
          <w:t>14</w:t>
        </w:r>
        <w:r w:rsidR="00A81AD2">
          <w:rPr>
            <w:noProof/>
            <w:webHidden/>
          </w:rPr>
          <w:fldChar w:fldCharType="end"/>
        </w:r>
      </w:hyperlink>
    </w:p>
    <w:p w:rsidR="00A81AD2" w:rsidRDefault="00F57DE9" w:rsidP="00A81AD2">
      <w:pPr>
        <w:pStyle w:val="TOC1"/>
        <w:rPr>
          <w:rFonts w:asciiTheme="minorHAnsi" w:eastAsiaTheme="minorEastAsia" w:hAnsiTheme="minorHAnsi" w:cstheme="minorBidi"/>
          <w:noProof/>
          <w:sz w:val="22"/>
          <w:szCs w:val="22"/>
        </w:rPr>
      </w:pPr>
      <w:hyperlink w:anchor="_Toc385242648" w:history="1">
        <w:r w:rsidR="00A81AD2" w:rsidRPr="009D25F2">
          <w:rPr>
            <w:rStyle w:val="Hyperlink"/>
            <w:noProof/>
            <w:lang w:val="lt-LT" w:eastAsia="lt-LT"/>
          </w:rPr>
          <w:t>3 lentelė. Decentralizacijos privalumai ir trūkumai</w:t>
        </w:r>
        <w:r w:rsidR="00A81AD2">
          <w:rPr>
            <w:noProof/>
            <w:webHidden/>
          </w:rPr>
          <w:tab/>
        </w:r>
        <w:r w:rsidR="00A81AD2">
          <w:rPr>
            <w:noProof/>
            <w:webHidden/>
          </w:rPr>
          <w:fldChar w:fldCharType="begin"/>
        </w:r>
        <w:r w:rsidR="00A81AD2">
          <w:rPr>
            <w:noProof/>
            <w:webHidden/>
          </w:rPr>
          <w:instrText xml:space="preserve"> PAGEREF _Toc385242648 \h </w:instrText>
        </w:r>
        <w:r w:rsidR="00A81AD2">
          <w:rPr>
            <w:noProof/>
            <w:webHidden/>
          </w:rPr>
        </w:r>
        <w:r w:rsidR="00A81AD2">
          <w:rPr>
            <w:noProof/>
            <w:webHidden/>
          </w:rPr>
          <w:fldChar w:fldCharType="separate"/>
        </w:r>
        <w:r w:rsidR="00255CC9">
          <w:rPr>
            <w:noProof/>
            <w:webHidden/>
          </w:rPr>
          <w:t>17</w:t>
        </w:r>
        <w:r w:rsidR="00A81AD2">
          <w:rPr>
            <w:noProof/>
            <w:webHidden/>
          </w:rPr>
          <w:fldChar w:fldCharType="end"/>
        </w:r>
      </w:hyperlink>
    </w:p>
    <w:p w:rsidR="00A81AD2" w:rsidRDefault="00F57DE9" w:rsidP="00A81AD2">
      <w:pPr>
        <w:pStyle w:val="TOC1"/>
        <w:rPr>
          <w:rFonts w:asciiTheme="minorHAnsi" w:eastAsiaTheme="minorEastAsia" w:hAnsiTheme="minorHAnsi" w:cstheme="minorBidi"/>
          <w:noProof/>
          <w:sz w:val="22"/>
          <w:szCs w:val="22"/>
        </w:rPr>
      </w:pPr>
      <w:hyperlink w:anchor="_Toc385242649" w:history="1">
        <w:r w:rsidR="00A81AD2" w:rsidRPr="009D25F2">
          <w:rPr>
            <w:rStyle w:val="Hyperlink"/>
            <w:noProof/>
          </w:rPr>
          <w:t>4 lentelė. Savivaldybės apibrėžimai Lietuvos Respublikos teisės aktuose</w:t>
        </w:r>
        <w:r w:rsidR="00A81AD2">
          <w:rPr>
            <w:noProof/>
            <w:webHidden/>
          </w:rPr>
          <w:tab/>
        </w:r>
        <w:r w:rsidR="00A81AD2">
          <w:rPr>
            <w:noProof/>
            <w:webHidden/>
          </w:rPr>
          <w:fldChar w:fldCharType="begin"/>
        </w:r>
        <w:r w:rsidR="00A81AD2">
          <w:rPr>
            <w:noProof/>
            <w:webHidden/>
          </w:rPr>
          <w:instrText xml:space="preserve"> PAGEREF _Toc385242649 \h </w:instrText>
        </w:r>
        <w:r w:rsidR="00A81AD2">
          <w:rPr>
            <w:noProof/>
            <w:webHidden/>
          </w:rPr>
        </w:r>
        <w:r w:rsidR="00A81AD2">
          <w:rPr>
            <w:noProof/>
            <w:webHidden/>
          </w:rPr>
          <w:fldChar w:fldCharType="separate"/>
        </w:r>
        <w:r w:rsidR="00255CC9">
          <w:rPr>
            <w:noProof/>
            <w:webHidden/>
          </w:rPr>
          <w:t>21</w:t>
        </w:r>
        <w:r w:rsidR="00A81AD2">
          <w:rPr>
            <w:noProof/>
            <w:webHidden/>
          </w:rPr>
          <w:fldChar w:fldCharType="end"/>
        </w:r>
      </w:hyperlink>
    </w:p>
    <w:p w:rsidR="00A81AD2" w:rsidRDefault="00F57DE9" w:rsidP="00A81AD2">
      <w:pPr>
        <w:pStyle w:val="TOC1"/>
        <w:rPr>
          <w:rFonts w:asciiTheme="minorHAnsi" w:eastAsiaTheme="minorEastAsia" w:hAnsiTheme="minorHAnsi" w:cstheme="minorBidi"/>
          <w:noProof/>
          <w:sz w:val="22"/>
          <w:szCs w:val="22"/>
        </w:rPr>
      </w:pPr>
      <w:hyperlink w:anchor="_Toc385242650" w:history="1">
        <w:r w:rsidR="00A81AD2" w:rsidRPr="009D25F2">
          <w:rPr>
            <w:rStyle w:val="Hyperlink"/>
            <w:noProof/>
          </w:rPr>
          <w:t>5 lentelė. Vietos savivaldos principai</w:t>
        </w:r>
        <w:r w:rsidR="00A81AD2">
          <w:rPr>
            <w:noProof/>
            <w:webHidden/>
          </w:rPr>
          <w:tab/>
        </w:r>
        <w:r w:rsidR="00A81AD2">
          <w:rPr>
            <w:noProof/>
            <w:webHidden/>
          </w:rPr>
          <w:fldChar w:fldCharType="begin"/>
        </w:r>
        <w:r w:rsidR="00A81AD2">
          <w:rPr>
            <w:noProof/>
            <w:webHidden/>
          </w:rPr>
          <w:instrText xml:space="preserve"> PAGEREF _Toc385242650 \h </w:instrText>
        </w:r>
        <w:r w:rsidR="00A81AD2">
          <w:rPr>
            <w:noProof/>
            <w:webHidden/>
          </w:rPr>
        </w:r>
        <w:r w:rsidR="00A81AD2">
          <w:rPr>
            <w:noProof/>
            <w:webHidden/>
          </w:rPr>
          <w:fldChar w:fldCharType="separate"/>
        </w:r>
        <w:r w:rsidR="00255CC9">
          <w:rPr>
            <w:noProof/>
            <w:webHidden/>
          </w:rPr>
          <w:t>24</w:t>
        </w:r>
        <w:r w:rsidR="00A81AD2">
          <w:rPr>
            <w:noProof/>
            <w:webHidden/>
          </w:rPr>
          <w:fldChar w:fldCharType="end"/>
        </w:r>
      </w:hyperlink>
    </w:p>
    <w:p w:rsidR="00A81AD2" w:rsidRDefault="00F57DE9" w:rsidP="00A81AD2">
      <w:pPr>
        <w:pStyle w:val="TOC1"/>
        <w:rPr>
          <w:rFonts w:asciiTheme="minorHAnsi" w:eastAsiaTheme="minorEastAsia" w:hAnsiTheme="minorHAnsi" w:cstheme="minorBidi"/>
          <w:noProof/>
          <w:sz w:val="22"/>
          <w:szCs w:val="22"/>
        </w:rPr>
      </w:pPr>
      <w:hyperlink w:anchor="_Toc385242651" w:history="1">
        <w:r w:rsidR="00A81AD2" w:rsidRPr="009D25F2">
          <w:rPr>
            <w:rStyle w:val="Hyperlink"/>
            <w:noProof/>
            <w:lang w:val="lt-LT"/>
          </w:rPr>
          <w:t>6 lentelė. Savivaldybių skolinimosi limitai</w:t>
        </w:r>
        <w:r w:rsidR="00A81AD2">
          <w:rPr>
            <w:noProof/>
            <w:webHidden/>
          </w:rPr>
          <w:tab/>
        </w:r>
        <w:r w:rsidR="00A81AD2">
          <w:rPr>
            <w:noProof/>
            <w:webHidden/>
          </w:rPr>
          <w:fldChar w:fldCharType="begin"/>
        </w:r>
        <w:r w:rsidR="00A81AD2">
          <w:rPr>
            <w:noProof/>
            <w:webHidden/>
          </w:rPr>
          <w:instrText xml:space="preserve"> PAGEREF _Toc385242651 \h </w:instrText>
        </w:r>
        <w:r w:rsidR="00A81AD2">
          <w:rPr>
            <w:noProof/>
            <w:webHidden/>
          </w:rPr>
        </w:r>
        <w:r w:rsidR="00A81AD2">
          <w:rPr>
            <w:noProof/>
            <w:webHidden/>
          </w:rPr>
          <w:fldChar w:fldCharType="separate"/>
        </w:r>
        <w:r w:rsidR="00255CC9">
          <w:rPr>
            <w:noProof/>
            <w:webHidden/>
          </w:rPr>
          <w:t>31</w:t>
        </w:r>
        <w:r w:rsidR="00A81AD2">
          <w:rPr>
            <w:noProof/>
            <w:webHidden/>
          </w:rPr>
          <w:fldChar w:fldCharType="end"/>
        </w:r>
      </w:hyperlink>
    </w:p>
    <w:p w:rsidR="00A81AD2" w:rsidRDefault="00F57DE9" w:rsidP="00A81AD2">
      <w:pPr>
        <w:pStyle w:val="TOC1"/>
        <w:rPr>
          <w:rFonts w:asciiTheme="minorHAnsi" w:eastAsiaTheme="minorEastAsia" w:hAnsiTheme="minorHAnsi" w:cstheme="minorBidi"/>
          <w:noProof/>
          <w:sz w:val="22"/>
          <w:szCs w:val="22"/>
        </w:rPr>
      </w:pPr>
      <w:hyperlink w:anchor="_Toc385242652" w:history="1">
        <w:r w:rsidR="00A81AD2" w:rsidRPr="009D25F2">
          <w:rPr>
            <w:rStyle w:val="Hyperlink"/>
            <w:noProof/>
          </w:rPr>
          <w:t xml:space="preserve">7 </w:t>
        </w:r>
        <w:r w:rsidR="00A81AD2" w:rsidRPr="009D25F2">
          <w:rPr>
            <w:rStyle w:val="Hyperlink"/>
            <w:noProof/>
            <w:lang w:val="lt-LT"/>
          </w:rPr>
          <w:t>lentelė. Minimalių pajamų apsaugos išmokų finansavimo modeliai</w:t>
        </w:r>
        <w:r w:rsidR="00A81AD2">
          <w:rPr>
            <w:noProof/>
            <w:webHidden/>
          </w:rPr>
          <w:tab/>
        </w:r>
        <w:r w:rsidR="00A81AD2">
          <w:rPr>
            <w:noProof/>
            <w:webHidden/>
          </w:rPr>
          <w:fldChar w:fldCharType="begin"/>
        </w:r>
        <w:r w:rsidR="00A81AD2">
          <w:rPr>
            <w:noProof/>
            <w:webHidden/>
          </w:rPr>
          <w:instrText xml:space="preserve"> PAGEREF _Toc385242652 \h </w:instrText>
        </w:r>
        <w:r w:rsidR="00A81AD2">
          <w:rPr>
            <w:noProof/>
            <w:webHidden/>
          </w:rPr>
        </w:r>
        <w:r w:rsidR="00A81AD2">
          <w:rPr>
            <w:noProof/>
            <w:webHidden/>
          </w:rPr>
          <w:fldChar w:fldCharType="separate"/>
        </w:r>
        <w:r w:rsidR="00255CC9">
          <w:rPr>
            <w:noProof/>
            <w:webHidden/>
          </w:rPr>
          <w:t>67</w:t>
        </w:r>
        <w:r w:rsidR="00A81AD2">
          <w:rPr>
            <w:noProof/>
            <w:webHidden/>
          </w:rPr>
          <w:fldChar w:fldCharType="end"/>
        </w:r>
      </w:hyperlink>
    </w:p>
    <w:p w:rsidR="00A81AD2" w:rsidRDefault="00F57DE9" w:rsidP="00A81AD2">
      <w:pPr>
        <w:pStyle w:val="TOC1"/>
        <w:rPr>
          <w:rFonts w:asciiTheme="minorHAnsi" w:eastAsiaTheme="minorEastAsia" w:hAnsiTheme="minorHAnsi" w:cstheme="minorBidi"/>
          <w:noProof/>
          <w:sz w:val="22"/>
          <w:szCs w:val="22"/>
        </w:rPr>
      </w:pPr>
      <w:hyperlink w:anchor="_Toc385242653" w:history="1">
        <w:r w:rsidR="00A81AD2" w:rsidRPr="009D25F2">
          <w:rPr>
            <w:rStyle w:val="Hyperlink"/>
            <w:noProof/>
            <w:lang w:val="lt-LT"/>
          </w:rPr>
          <w:t>8 lentelė. Decentralizuotos socialinės paramos teikimo teigiami ir neigiami aspektai</w:t>
        </w:r>
        <w:r w:rsidR="00A81AD2">
          <w:rPr>
            <w:noProof/>
            <w:webHidden/>
          </w:rPr>
          <w:tab/>
        </w:r>
        <w:r w:rsidR="00A81AD2">
          <w:rPr>
            <w:noProof/>
            <w:webHidden/>
          </w:rPr>
          <w:fldChar w:fldCharType="begin"/>
        </w:r>
        <w:r w:rsidR="00A81AD2">
          <w:rPr>
            <w:noProof/>
            <w:webHidden/>
          </w:rPr>
          <w:instrText xml:space="preserve"> PAGEREF _Toc385242653 \h </w:instrText>
        </w:r>
        <w:r w:rsidR="00A81AD2">
          <w:rPr>
            <w:noProof/>
            <w:webHidden/>
          </w:rPr>
        </w:r>
        <w:r w:rsidR="00A81AD2">
          <w:rPr>
            <w:noProof/>
            <w:webHidden/>
          </w:rPr>
          <w:fldChar w:fldCharType="separate"/>
        </w:r>
        <w:r w:rsidR="00255CC9">
          <w:rPr>
            <w:noProof/>
            <w:webHidden/>
          </w:rPr>
          <w:t>68</w:t>
        </w:r>
        <w:r w:rsidR="00A81AD2">
          <w:rPr>
            <w:noProof/>
            <w:webHidden/>
          </w:rPr>
          <w:fldChar w:fldCharType="end"/>
        </w:r>
      </w:hyperlink>
    </w:p>
    <w:p w:rsidR="00D27093" w:rsidRDefault="00307606" w:rsidP="00DB0888">
      <w:pPr>
        <w:spacing w:line="360" w:lineRule="auto"/>
        <w:rPr>
          <w:rFonts w:ascii="CMR10" w:hAnsi="CMR10" w:cs="CMR10"/>
          <w:sz w:val="20"/>
          <w:szCs w:val="20"/>
        </w:rPr>
      </w:pPr>
      <w:r>
        <w:rPr>
          <w:rFonts w:ascii="CMR10" w:hAnsi="CMR10" w:cs="CMR10"/>
          <w:sz w:val="20"/>
          <w:szCs w:val="20"/>
        </w:rPr>
        <w:fldChar w:fldCharType="end"/>
      </w:r>
    </w:p>
    <w:p w:rsidR="00D27093" w:rsidRDefault="00D27093" w:rsidP="00DB0888">
      <w:pPr>
        <w:spacing w:line="360" w:lineRule="auto"/>
        <w:rPr>
          <w:rFonts w:ascii="CMR10" w:hAnsi="CMR10" w:cs="CMR10"/>
          <w:sz w:val="20"/>
          <w:szCs w:val="20"/>
        </w:rPr>
      </w:pPr>
    </w:p>
    <w:p w:rsidR="00D27093" w:rsidRDefault="00D27093" w:rsidP="00DB0888">
      <w:pPr>
        <w:spacing w:line="360" w:lineRule="auto"/>
        <w:rPr>
          <w:rFonts w:ascii="CMR10" w:hAnsi="CMR10" w:cs="CMR10"/>
          <w:sz w:val="20"/>
          <w:szCs w:val="20"/>
        </w:rPr>
      </w:pPr>
    </w:p>
    <w:p w:rsidR="00DB0888" w:rsidRDefault="00DB0888" w:rsidP="00DB0888">
      <w:pPr>
        <w:spacing w:line="360" w:lineRule="auto"/>
        <w:rPr>
          <w:rFonts w:ascii="CMR10" w:hAnsi="CMR10" w:cs="CMR10"/>
          <w:sz w:val="20"/>
          <w:szCs w:val="20"/>
        </w:rPr>
      </w:pPr>
    </w:p>
    <w:p w:rsidR="00DB0888" w:rsidRDefault="00DB0888" w:rsidP="00DB0888">
      <w:pPr>
        <w:spacing w:line="360" w:lineRule="auto"/>
        <w:rPr>
          <w:rFonts w:ascii="CMR10" w:hAnsi="CMR10" w:cs="CMR10"/>
          <w:sz w:val="20"/>
          <w:szCs w:val="20"/>
        </w:rPr>
      </w:pPr>
    </w:p>
    <w:p w:rsidR="00DB0888" w:rsidRDefault="00DB0888" w:rsidP="00DB0888">
      <w:pPr>
        <w:spacing w:line="360" w:lineRule="auto"/>
        <w:rPr>
          <w:rFonts w:ascii="CMR10" w:hAnsi="CMR10" w:cs="CMR10"/>
          <w:sz w:val="20"/>
          <w:szCs w:val="20"/>
        </w:rPr>
      </w:pPr>
    </w:p>
    <w:p w:rsidR="00DB0888" w:rsidRDefault="00DB0888" w:rsidP="00DB0888">
      <w:pPr>
        <w:spacing w:line="360" w:lineRule="auto"/>
        <w:rPr>
          <w:rFonts w:ascii="CMR10" w:hAnsi="CMR10" w:cs="CMR10"/>
          <w:sz w:val="20"/>
          <w:szCs w:val="20"/>
        </w:rPr>
      </w:pPr>
    </w:p>
    <w:p w:rsidR="00DB0888" w:rsidRDefault="00DB0888" w:rsidP="00DB0888">
      <w:pPr>
        <w:spacing w:line="360" w:lineRule="auto"/>
        <w:rPr>
          <w:rFonts w:ascii="CMR10" w:hAnsi="CMR10" w:cs="CMR10"/>
          <w:sz w:val="20"/>
          <w:szCs w:val="20"/>
        </w:rPr>
      </w:pPr>
    </w:p>
    <w:p w:rsidR="00DB0888" w:rsidRDefault="00DB0888" w:rsidP="00DB0888">
      <w:pPr>
        <w:spacing w:line="360" w:lineRule="auto"/>
        <w:rPr>
          <w:rFonts w:ascii="CMR10" w:hAnsi="CMR10" w:cs="CMR10"/>
          <w:sz w:val="20"/>
          <w:szCs w:val="20"/>
        </w:rPr>
      </w:pPr>
    </w:p>
    <w:p w:rsidR="00DB0888" w:rsidRDefault="00DB0888" w:rsidP="00DB0888">
      <w:pPr>
        <w:spacing w:line="360" w:lineRule="auto"/>
        <w:rPr>
          <w:rFonts w:ascii="CMR10" w:hAnsi="CMR10" w:cs="CMR10"/>
          <w:sz w:val="20"/>
          <w:szCs w:val="20"/>
        </w:rPr>
      </w:pPr>
    </w:p>
    <w:p w:rsidR="00DB0888" w:rsidRDefault="00DB0888" w:rsidP="00DB0888">
      <w:pPr>
        <w:spacing w:line="360" w:lineRule="auto"/>
        <w:rPr>
          <w:rFonts w:ascii="CMR10" w:hAnsi="CMR10" w:cs="CMR10"/>
          <w:sz w:val="20"/>
          <w:szCs w:val="20"/>
        </w:rPr>
      </w:pPr>
    </w:p>
    <w:p w:rsidR="00DB0888" w:rsidRDefault="00DB0888" w:rsidP="00DB0888">
      <w:pPr>
        <w:spacing w:line="360" w:lineRule="auto"/>
        <w:rPr>
          <w:rFonts w:ascii="CMR10" w:hAnsi="CMR10" w:cs="CMR10"/>
          <w:sz w:val="20"/>
          <w:szCs w:val="20"/>
        </w:rPr>
      </w:pPr>
    </w:p>
    <w:p w:rsidR="00DB0888" w:rsidRDefault="00DB0888" w:rsidP="00DB0888">
      <w:pPr>
        <w:spacing w:line="360" w:lineRule="auto"/>
        <w:rPr>
          <w:rFonts w:ascii="CMR10" w:hAnsi="CMR10" w:cs="CMR10"/>
          <w:sz w:val="20"/>
          <w:szCs w:val="20"/>
        </w:rPr>
      </w:pPr>
    </w:p>
    <w:p w:rsidR="00DB0888" w:rsidRDefault="00DB0888" w:rsidP="00DB0888">
      <w:pPr>
        <w:spacing w:line="360" w:lineRule="auto"/>
        <w:rPr>
          <w:rFonts w:ascii="CMR10" w:hAnsi="CMR10" w:cs="CMR10"/>
          <w:sz w:val="20"/>
          <w:szCs w:val="20"/>
        </w:rPr>
      </w:pPr>
    </w:p>
    <w:p w:rsidR="00DB0888" w:rsidRDefault="00DB0888" w:rsidP="00DB0888">
      <w:pPr>
        <w:spacing w:line="360" w:lineRule="auto"/>
        <w:rPr>
          <w:rFonts w:ascii="CMR10" w:hAnsi="CMR10" w:cs="CMR10"/>
          <w:sz w:val="20"/>
          <w:szCs w:val="20"/>
        </w:rPr>
      </w:pPr>
    </w:p>
    <w:p w:rsidR="00DB0888" w:rsidRDefault="00DB0888" w:rsidP="00DB0888">
      <w:pPr>
        <w:spacing w:line="360" w:lineRule="auto"/>
        <w:rPr>
          <w:rFonts w:ascii="CMR10" w:hAnsi="CMR10" w:cs="CMR10"/>
          <w:sz w:val="20"/>
          <w:szCs w:val="20"/>
        </w:rPr>
      </w:pPr>
    </w:p>
    <w:p w:rsidR="00DB0888" w:rsidRDefault="00DB0888" w:rsidP="00DB0888">
      <w:pPr>
        <w:spacing w:line="360" w:lineRule="auto"/>
        <w:rPr>
          <w:rFonts w:ascii="CMR10" w:hAnsi="CMR10" w:cs="CMR10"/>
          <w:sz w:val="20"/>
          <w:szCs w:val="20"/>
        </w:rPr>
      </w:pPr>
    </w:p>
    <w:p w:rsidR="00DB0888" w:rsidRDefault="00DB0888" w:rsidP="00DB0888">
      <w:pPr>
        <w:spacing w:line="360" w:lineRule="auto"/>
        <w:rPr>
          <w:rFonts w:ascii="CMR10" w:hAnsi="CMR10" w:cs="CMR10"/>
          <w:sz w:val="20"/>
          <w:szCs w:val="20"/>
        </w:rPr>
      </w:pPr>
    </w:p>
    <w:p w:rsidR="00DB0888" w:rsidRDefault="00DB0888" w:rsidP="00DB0888">
      <w:pPr>
        <w:spacing w:line="360" w:lineRule="auto"/>
        <w:rPr>
          <w:rFonts w:ascii="CMR10" w:hAnsi="CMR10" w:cs="CMR10"/>
          <w:sz w:val="20"/>
          <w:szCs w:val="20"/>
        </w:rPr>
      </w:pPr>
    </w:p>
    <w:p w:rsidR="00EF40D0" w:rsidRDefault="00EF40D0" w:rsidP="00DB0888">
      <w:pPr>
        <w:spacing w:line="360" w:lineRule="auto"/>
        <w:rPr>
          <w:rFonts w:ascii="CMR10" w:hAnsi="CMR10" w:cs="CMR10"/>
          <w:sz w:val="20"/>
          <w:szCs w:val="20"/>
        </w:rPr>
      </w:pPr>
    </w:p>
    <w:p w:rsidR="00EF40D0" w:rsidRDefault="00EF40D0" w:rsidP="00DB0888">
      <w:pPr>
        <w:spacing w:line="360" w:lineRule="auto"/>
        <w:rPr>
          <w:rFonts w:ascii="CMR10" w:hAnsi="CMR10" w:cs="CMR10"/>
          <w:sz w:val="20"/>
          <w:szCs w:val="20"/>
        </w:rPr>
      </w:pPr>
    </w:p>
    <w:p w:rsidR="00EF40D0" w:rsidRDefault="00EF40D0" w:rsidP="00DB0888">
      <w:pPr>
        <w:spacing w:line="360" w:lineRule="auto"/>
        <w:rPr>
          <w:rFonts w:ascii="CMR10" w:hAnsi="CMR10" w:cs="CMR10"/>
          <w:sz w:val="20"/>
          <w:szCs w:val="20"/>
        </w:rPr>
      </w:pPr>
    </w:p>
    <w:p w:rsidR="00EF40D0" w:rsidRDefault="00EF40D0" w:rsidP="00DB0888">
      <w:pPr>
        <w:spacing w:line="360" w:lineRule="auto"/>
        <w:rPr>
          <w:rFonts w:ascii="CMR10" w:hAnsi="CMR10" w:cs="CMR10"/>
          <w:sz w:val="20"/>
          <w:szCs w:val="20"/>
        </w:rPr>
      </w:pPr>
    </w:p>
    <w:p w:rsidR="00EF40D0" w:rsidRDefault="00EF40D0" w:rsidP="00DB0888">
      <w:pPr>
        <w:spacing w:line="360" w:lineRule="auto"/>
        <w:rPr>
          <w:rFonts w:ascii="CMR10" w:hAnsi="CMR10" w:cs="CMR10"/>
          <w:sz w:val="20"/>
          <w:szCs w:val="20"/>
        </w:rPr>
      </w:pPr>
    </w:p>
    <w:p w:rsidR="00A81AD2" w:rsidRDefault="00A81AD2" w:rsidP="00DB0888">
      <w:pPr>
        <w:spacing w:line="360" w:lineRule="auto"/>
        <w:rPr>
          <w:rFonts w:ascii="CMR10" w:hAnsi="CMR10" w:cs="CMR10"/>
          <w:sz w:val="20"/>
          <w:szCs w:val="20"/>
        </w:rPr>
      </w:pPr>
    </w:p>
    <w:p w:rsidR="00A204BB" w:rsidRDefault="00A204BB" w:rsidP="00DB0888">
      <w:pPr>
        <w:spacing w:line="360" w:lineRule="auto"/>
        <w:rPr>
          <w:rFonts w:ascii="CMR10" w:hAnsi="CMR10" w:cs="CMR10"/>
          <w:sz w:val="20"/>
          <w:szCs w:val="20"/>
        </w:rPr>
      </w:pPr>
    </w:p>
    <w:p w:rsidR="00D27093" w:rsidRDefault="00DB0888" w:rsidP="002E3544">
      <w:pPr>
        <w:spacing w:line="360" w:lineRule="auto"/>
        <w:jc w:val="center"/>
        <w:rPr>
          <w:b/>
        </w:rPr>
      </w:pPr>
      <w:r w:rsidRPr="00DB0888">
        <w:rPr>
          <w:b/>
        </w:rPr>
        <w:lastRenderedPageBreak/>
        <w:t>PAVEIKSLAI</w:t>
      </w:r>
    </w:p>
    <w:p w:rsidR="00DB0888" w:rsidRDefault="00DB0888" w:rsidP="002E3544">
      <w:pPr>
        <w:spacing w:line="360" w:lineRule="auto"/>
        <w:jc w:val="center"/>
        <w:rPr>
          <w:b/>
        </w:rPr>
      </w:pPr>
    </w:p>
    <w:p w:rsidR="00F36B8F" w:rsidRDefault="00F36B8F" w:rsidP="00A81AD2">
      <w:pPr>
        <w:pStyle w:val="TOC1"/>
        <w:rPr>
          <w:rFonts w:asciiTheme="minorHAnsi" w:eastAsiaTheme="minorEastAsia" w:hAnsiTheme="minorHAnsi" w:cstheme="minorBidi"/>
          <w:noProof/>
          <w:sz w:val="22"/>
          <w:szCs w:val="22"/>
        </w:rPr>
      </w:pPr>
      <w:r>
        <w:fldChar w:fldCharType="begin"/>
      </w:r>
      <w:r>
        <w:instrText xml:space="preserve"> TOC \h \z \t "Caption;1" </w:instrText>
      </w:r>
      <w:r>
        <w:fldChar w:fldCharType="separate"/>
      </w:r>
    </w:p>
    <w:p w:rsidR="00F36B8F" w:rsidRDefault="00F57DE9" w:rsidP="00A81AD2">
      <w:pPr>
        <w:pStyle w:val="TOC1"/>
        <w:rPr>
          <w:rFonts w:asciiTheme="minorHAnsi" w:eastAsiaTheme="minorEastAsia" w:hAnsiTheme="minorHAnsi" w:cstheme="minorBidi"/>
          <w:noProof/>
          <w:sz w:val="22"/>
          <w:szCs w:val="22"/>
        </w:rPr>
      </w:pPr>
      <w:hyperlink w:anchor="_Toc385239354" w:history="1">
        <w:r w:rsidR="00F36B8F" w:rsidRPr="00936E2F">
          <w:rPr>
            <w:rStyle w:val="Hyperlink"/>
            <w:noProof/>
          </w:rPr>
          <w:t>1 pav. Decentralizacijos formų ir rūšių klasifikacija</w:t>
        </w:r>
        <w:r w:rsidR="00F36B8F">
          <w:rPr>
            <w:noProof/>
            <w:webHidden/>
          </w:rPr>
          <w:tab/>
        </w:r>
        <w:r w:rsidR="00F36B8F">
          <w:rPr>
            <w:noProof/>
            <w:webHidden/>
          </w:rPr>
          <w:fldChar w:fldCharType="begin"/>
        </w:r>
        <w:r w:rsidR="00F36B8F">
          <w:rPr>
            <w:noProof/>
            <w:webHidden/>
          </w:rPr>
          <w:instrText xml:space="preserve"> PAGEREF _Toc385239354 \h </w:instrText>
        </w:r>
        <w:r w:rsidR="00F36B8F">
          <w:rPr>
            <w:noProof/>
            <w:webHidden/>
          </w:rPr>
        </w:r>
        <w:r w:rsidR="00F36B8F">
          <w:rPr>
            <w:noProof/>
            <w:webHidden/>
          </w:rPr>
          <w:fldChar w:fldCharType="separate"/>
        </w:r>
        <w:r w:rsidR="00255CC9">
          <w:rPr>
            <w:noProof/>
            <w:webHidden/>
          </w:rPr>
          <w:t>12</w:t>
        </w:r>
        <w:r w:rsidR="00F36B8F">
          <w:rPr>
            <w:noProof/>
            <w:webHidden/>
          </w:rPr>
          <w:fldChar w:fldCharType="end"/>
        </w:r>
      </w:hyperlink>
    </w:p>
    <w:p w:rsidR="00F36B8F" w:rsidRDefault="00F57DE9" w:rsidP="00A81AD2">
      <w:pPr>
        <w:pStyle w:val="TOC1"/>
        <w:rPr>
          <w:rFonts w:asciiTheme="minorHAnsi" w:eastAsiaTheme="minorEastAsia" w:hAnsiTheme="minorHAnsi" w:cstheme="minorBidi"/>
          <w:noProof/>
          <w:sz w:val="22"/>
          <w:szCs w:val="22"/>
        </w:rPr>
      </w:pPr>
      <w:hyperlink w:anchor="_Toc385239355" w:history="1">
        <w:r w:rsidR="00F36B8F" w:rsidRPr="00936E2F">
          <w:rPr>
            <w:rStyle w:val="Hyperlink"/>
            <w:noProof/>
          </w:rPr>
          <w:t>2 pav. Fiskalinės decentralizacijos dedamosios</w:t>
        </w:r>
        <w:r w:rsidR="00F36B8F">
          <w:rPr>
            <w:noProof/>
            <w:webHidden/>
          </w:rPr>
          <w:tab/>
        </w:r>
        <w:r w:rsidR="00F36B8F">
          <w:rPr>
            <w:noProof/>
            <w:webHidden/>
          </w:rPr>
          <w:fldChar w:fldCharType="begin"/>
        </w:r>
        <w:r w:rsidR="00F36B8F">
          <w:rPr>
            <w:noProof/>
            <w:webHidden/>
          </w:rPr>
          <w:instrText xml:space="preserve"> PAGEREF _Toc385239355 \h </w:instrText>
        </w:r>
        <w:r w:rsidR="00F36B8F">
          <w:rPr>
            <w:noProof/>
            <w:webHidden/>
          </w:rPr>
        </w:r>
        <w:r w:rsidR="00F36B8F">
          <w:rPr>
            <w:noProof/>
            <w:webHidden/>
          </w:rPr>
          <w:fldChar w:fldCharType="separate"/>
        </w:r>
        <w:r w:rsidR="00255CC9">
          <w:rPr>
            <w:noProof/>
            <w:webHidden/>
          </w:rPr>
          <w:t>15</w:t>
        </w:r>
        <w:r w:rsidR="00F36B8F">
          <w:rPr>
            <w:noProof/>
            <w:webHidden/>
          </w:rPr>
          <w:fldChar w:fldCharType="end"/>
        </w:r>
      </w:hyperlink>
    </w:p>
    <w:p w:rsidR="00F36B8F" w:rsidRDefault="00F57DE9" w:rsidP="00A81AD2">
      <w:pPr>
        <w:pStyle w:val="TOC1"/>
        <w:rPr>
          <w:rFonts w:asciiTheme="minorHAnsi" w:eastAsiaTheme="minorEastAsia" w:hAnsiTheme="minorHAnsi" w:cstheme="minorBidi"/>
          <w:noProof/>
          <w:sz w:val="22"/>
          <w:szCs w:val="22"/>
        </w:rPr>
      </w:pPr>
      <w:hyperlink w:anchor="_Toc385239356" w:history="1">
        <w:r w:rsidR="00F36B8F" w:rsidRPr="00936E2F">
          <w:rPr>
            <w:rStyle w:val="Hyperlink"/>
            <w:noProof/>
            <w:lang w:val="lt-LT"/>
          </w:rPr>
          <w:t>3 pav. Lietuvos savivaldybių funkcijos</w:t>
        </w:r>
        <w:r w:rsidR="00F36B8F">
          <w:rPr>
            <w:noProof/>
            <w:webHidden/>
          </w:rPr>
          <w:tab/>
        </w:r>
        <w:r w:rsidR="00F36B8F">
          <w:rPr>
            <w:noProof/>
            <w:webHidden/>
          </w:rPr>
          <w:fldChar w:fldCharType="begin"/>
        </w:r>
        <w:r w:rsidR="00F36B8F">
          <w:rPr>
            <w:noProof/>
            <w:webHidden/>
          </w:rPr>
          <w:instrText xml:space="preserve"> PAGEREF _Toc385239356 \h </w:instrText>
        </w:r>
        <w:r w:rsidR="00F36B8F">
          <w:rPr>
            <w:noProof/>
            <w:webHidden/>
          </w:rPr>
        </w:r>
        <w:r w:rsidR="00F36B8F">
          <w:rPr>
            <w:noProof/>
            <w:webHidden/>
          </w:rPr>
          <w:fldChar w:fldCharType="separate"/>
        </w:r>
        <w:r w:rsidR="00255CC9">
          <w:rPr>
            <w:noProof/>
            <w:webHidden/>
          </w:rPr>
          <w:t>25</w:t>
        </w:r>
        <w:r w:rsidR="00F36B8F">
          <w:rPr>
            <w:noProof/>
            <w:webHidden/>
          </w:rPr>
          <w:fldChar w:fldCharType="end"/>
        </w:r>
      </w:hyperlink>
    </w:p>
    <w:p w:rsidR="00F36B8F" w:rsidRDefault="00F57DE9" w:rsidP="00A81AD2">
      <w:pPr>
        <w:pStyle w:val="TOC1"/>
        <w:rPr>
          <w:rFonts w:asciiTheme="minorHAnsi" w:eastAsiaTheme="minorEastAsia" w:hAnsiTheme="minorHAnsi" w:cstheme="minorBidi"/>
          <w:noProof/>
          <w:sz w:val="22"/>
          <w:szCs w:val="22"/>
        </w:rPr>
      </w:pPr>
      <w:hyperlink w:anchor="_Toc385239357" w:history="1">
        <w:r w:rsidR="00F36B8F" w:rsidRPr="00936E2F">
          <w:rPr>
            <w:rStyle w:val="Hyperlink"/>
            <w:noProof/>
          </w:rPr>
          <w:t>4 pav. Savivaldybių biudžeto išlaidų klasifikacija pagal COFOG</w:t>
        </w:r>
        <w:r w:rsidR="00F36B8F">
          <w:rPr>
            <w:noProof/>
            <w:webHidden/>
          </w:rPr>
          <w:tab/>
        </w:r>
        <w:r w:rsidR="00F36B8F">
          <w:rPr>
            <w:noProof/>
            <w:webHidden/>
          </w:rPr>
          <w:fldChar w:fldCharType="begin"/>
        </w:r>
        <w:r w:rsidR="00F36B8F">
          <w:rPr>
            <w:noProof/>
            <w:webHidden/>
          </w:rPr>
          <w:instrText xml:space="preserve"> PAGEREF _Toc385239357 \h </w:instrText>
        </w:r>
        <w:r w:rsidR="00F36B8F">
          <w:rPr>
            <w:noProof/>
            <w:webHidden/>
          </w:rPr>
        </w:r>
        <w:r w:rsidR="00F36B8F">
          <w:rPr>
            <w:noProof/>
            <w:webHidden/>
          </w:rPr>
          <w:fldChar w:fldCharType="separate"/>
        </w:r>
        <w:r w:rsidR="00255CC9">
          <w:rPr>
            <w:noProof/>
            <w:webHidden/>
          </w:rPr>
          <w:t>27</w:t>
        </w:r>
        <w:r w:rsidR="00F36B8F">
          <w:rPr>
            <w:noProof/>
            <w:webHidden/>
          </w:rPr>
          <w:fldChar w:fldCharType="end"/>
        </w:r>
      </w:hyperlink>
    </w:p>
    <w:p w:rsidR="00F36B8F" w:rsidRDefault="00F57DE9" w:rsidP="00A81AD2">
      <w:pPr>
        <w:pStyle w:val="TOC1"/>
        <w:rPr>
          <w:rFonts w:asciiTheme="minorHAnsi" w:eastAsiaTheme="minorEastAsia" w:hAnsiTheme="minorHAnsi" w:cstheme="minorBidi"/>
          <w:noProof/>
          <w:sz w:val="22"/>
          <w:szCs w:val="22"/>
        </w:rPr>
      </w:pPr>
      <w:hyperlink w:anchor="_Toc385239358" w:history="1">
        <w:r w:rsidR="00F36B8F" w:rsidRPr="00936E2F">
          <w:rPr>
            <w:rStyle w:val="Hyperlink"/>
            <w:noProof/>
          </w:rPr>
          <w:t>5 pav. Savivaldybių biudžetų pajamų šaltiniai</w:t>
        </w:r>
        <w:r w:rsidR="00F36B8F">
          <w:rPr>
            <w:noProof/>
            <w:webHidden/>
          </w:rPr>
          <w:tab/>
        </w:r>
        <w:r w:rsidR="00F36B8F">
          <w:rPr>
            <w:noProof/>
            <w:webHidden/>
          </w:rPr>
          <w:fldChar w:fldCharType="begin"/>
        </w:r>
        <w:r w:rsidR="00F36B8F">
          <w:rPr>
            <w:noProof/>
            <w:webHidden/>
          </w:rPr>
          <w:instrText xml:space="preserve"> PAGEREF _Toc385239358 \h </w:instrText>
        </w:r>
        <w:r w:rsidR="00F36B8F">
          <w:rPr>
            <w:noProof/>
            <w:webHidden/>
          </w:rPr>
        </w:r>
        <w:r w:rsidR="00F36B8F">
          <w:rPr>
            <w:noProof/>
            <w:webHidden/>
          </w:rPr>
          <w:fldChar w:fldCharType="separate"/>
        </w:r>
        <w:r w:rsidR="00255CC9">
          <w:rPr>
            <w:noProof/>
            <w:webHidden/>
          </w:rPr>
          <w:t>28</w:t>
        </w:r>
        <w:r w:rsidR="00F36B8F">
          <w:rPr>
            <w:noProof/>
            <w:webHidden/>
          </w:rPr>
          <w:fldChar w:fldCharType="end"/>
        </w:r>
      </w:hyperlink>
    </w:p>
    <w:p w:rsidR="00F36B8F" w:rsidRDefault="00F57DE9" w:rsidP="00A81AD2">
      <w:pPr>
        <w:pStyle w:val="TOC1"/>
        <w:rPr>
          <w:rFonts w:asciiTheme="minorHAnsi" w:eastAsiaTheme="minorEastAsia" w:hAnsiTheme="minorHAnsi" w:cstheme="minorBidi"/>
          <w:noProof/>
          <w:sz w:val="22"/>
          <w:szCs w:val="22"/>
        </w:rPr>
      </w:pPr>
      <w:hyperlink w:anchor="_Toc385239359" w:history="1">
        <w:r w:rsidR="00F36B8F" w:rsidRPr="00936E2F">
          <w:rPr>
            <w:rStyle w:val="Hyperlink"/>
            <w:noProof/>
          </w:rPr>
          <w:t>6 pav. Valstybės biudžeto dotacijų klasifikacija</w:t>
        </w:r>
        <w:r w:rsidR="00F36B8F">
          <w:rPr>
            <w:noProof/>
            <w:webHidden/>
          </w:rPr>
          <w:tab/>
        </w:r>
        <w:r w:rsidR="00F36B8F">
          <w:rPr>
            <w:noProof/>
            <w:webHidden/>
          </w:rPr>
          <w:fldChar w:fldCharType="begin"/>
        </w:r>
        <w:r w:rsidR="00F36B8F">
          <w:rPr>
            <w:noProof/>
            <w:webHidden/>
          </w:rPr>
          <w:instrText xml:space="preserve"> PAGEREF _Toc385239359 \h </w:instrText>
        </w:r>
        <w:r w:rsidR="00F36B8F">
          <w:rPr>
            <w:noProof/>
            <w:webHidden/>
          </w:rPr>
        </w:r>
        <w:r w:rsidR="00F36B8F">
          <w:rPr>
            <w:noProof/>
            <w:webHidden/>
          </w:rPr>
          <w:fldChar w:fldCharType="separate"/>
        </w:r>
        <w:r w:rsidR="00255CC9">
          <w:rPr>
            <w:noProof/>
            <w:webHidden/>
          </w:rPr>
          <w:t>29</w:t>
        </w:r>
        <w:r w:rsidR="00F36B8F">
          <w:rPr>
            <w:noProof/>
            <w:webHidden/>
          </w:rPr>
          <w:fldChar w:fldCharType="end"/>
        </w:r>
      </w:hyperlink>
    </w:p>
    <w:p w:rsidR="00F36B8F" w:rsidRDefault="00F57DE9" w:rsidP="00A81AD2">
      <w:pPr>
        <w:pStyle w:val="TOC1"/>
        <w:rPr>
          <w:rFonts w:asciiTheme="minorHAnsi" w:eastAsiaTheme="minorEastAsia" w:hAnsiTheme="minorHAnsi" w:cstheme="minorBidi"/>
          <w:noProof/>
          <w:sz w:val="22"/>
          <w:szCs w:val="22"/>
        </w:rPr>
      </w:pPr>
      <w:hyperlink w:anchor="_Toc385239360" w:history="1">
        <w:r w:rsidR="00F36B8F" w:rsidRPr="00936E2F">
          <w:rPr>
            <w:rStyle w:val="Hyperlink"/>
            <w:noProof/>
          </w:rPr>
          <w:t>7 pav. Lietuvos bendrasis vidaus produktas 2008–2012 m., mlrd. Lt.</w:t>
        </w:r>
        <w:r w:rsidR="00F36B8F">
          <w:rPr>
            <w:noProof/>
            <w:webHidden/>
          </w:rPr>
          <w:tab/>
        </w:r>
        <w:r w:rsidR="00F36B8F">
          <w:rPr>
            <w:noProof/>
            <w:webHidden/>
          </w:rPr>
          <w:fldChar w:fldCharType="begin"/>
        </w:r>
        <w:r w:rsidR="00F36B8F">
          <w:rPr>
            <w:noProof/>
            <w:webHidden/>
          </w:rPr>
          <w:instrText xml:space="preserve"> PAGEREF _Toc385239360 \h </w:instrText>
        </w:r>
        <w:r w:rsidR="00F36B8F">
          <w:rPr>
            <w:noProof/>
            <w:webHidden/>
          </w:rPr>
        </w:r>
        <w:r w:rsidR="00F36B8F">
          <w:rPr>
            <w:noProof/>
            <w:webHidden/>
          </w:rPr>
          <w:fldChar w:fldCharType="separate"/>
        </w:r>
        <w:r w:rsidR="00255CC9">
          <w:rPr>
            <w:noProof/>
            <w:webHidden/>
          </w:rPr>
          <w:t>39</w:t>
        </w:r>
        <w:r w:rsidR="00F36B8F">
          <w:rPr>
            <w:noProof/>
            <w:webHidden/>
          </w:rPr>
          <w:fldChar w:fldCharType="end"/>
        </w:r>
      </w:hyperlink>
    </w:p>
    <w:p w:rsidR="00F36B8F" w:rsidRDefault="00F57DE9" w:rsidP="00A81AD2">
      <w:pPr>
        <w:pStyle w:val="TOC1"/>
        <w:rPr>
          <w:rFonts w:asciiTheme="minorHAnsi" w:eastAsiaTheme="minorEastAsia" w:hAnsiTheme="minorHAnsi" w:cstheme="minorBidi"/>
          <w:noProof/>
          <w:sz w:val="22"/>
          <w:szCs w:val="22"/>
        </w:rPr>
      </w:pPr>
      <w:hyperlink w:anchor="_Toc385239361" w:history="1">
        <w:r w:rsidR="00F36B8F" w:rsidRPr="00936E2F">
          <w:rPr>
            <w:rStyle w:val="Hyperlink"/>
            <w:noProof/>
          </w:rPr>
          <w:t>8 pav. Valstybės ir savivaldybių biudžetų išlaidų dalis BVP 2008–2012 m., proc.</w:t>
        </w:r>
        <w:r w:rsidR="00F36B8F">
          <w:rPr>
            <w:noProof/>
            <w:webHidden/>
          </w:rPr>
          <w:tab/>
        </w:r>
        <w:r w:rsidR="00F36B8F">
          <w:rPr>
            <w:noProof/>
            <w:webHidden/>
          </w:rPr>
          <w:fldChar w:fldCharType="begin"/>
        </w:r>
        <w:r w:rsidR="00F36B8F">
          <w:rPr>
            <w:noProof/>
            <w:webHidden/>
          </w:rPr>
          <w:instrText xml:space="preserve"> PAGEREF _Toc385239361 \h </w:instrText>
        </w:r>
        <w:r w:rsidR="00F36B8F">
          <w:rPr>
            <w:noProof/>
            <w:webHidden/>
          </w:rPr>
        </w:r>
        <w:r w:rsidR="00F36B8F">
          <w:rPr>
            <w:noProof/>
            <w:webHidden/>
          </w:rPr>
          <w:fldChar w:fldCharType="separate"/>
        </w:r>
        <w:r w:rsidR="00255CC9">
          <w:rPr>
            <w:noProof/>
            <w:webHidden/>
          </w:rPr>
          <w:t>40</w:t>
        </w:r>
        <w:r w:rsidR="00F36B8F">
          <w:rPr>
            <w:noProof/>
            <w:webHidden/>
          </w:rPr>
          <w:fldChar w:fldCharType="end"/>
        </w:r>
      </w:hyperlink>
    </w:p>
    <w:p w:rsidR="00F36B8F" w:rsidRDefault="00F57DE9" w:rsidP="00A81AD2">
      <w:pPr>
        <w:pStyle w:val="TOC1"/>
        <w:rPr>
          <w:rFonts w:asciiTheme="minorHAnsi" w:eastAsiaTheme="minorEastAsia" w:hAnsiTheme="minorHAnsi" w:cstheme="minorBidi"/>
          <w:noProof/>
          <w:sz w:val="22"/>
          <w:szCs w:val="22"/>
        </w:rPr>
      </w:pPr>
      <w:hyperlink w:anchor="_Toc385239362" w:history="1">
        <w:r w:rsidR="00F36B8F" w:rsidRPr="00936E2F">
          <w:rPr>
            <w:rStyle w:val="Hyperlink"/>
            <w:noProof/>
            <w:lang w:val="lt-LT"/>
          </w:rPr>
          <w:t xml:space="preserve">9 pav. </w:t>
        </w:r>
        <w:r w:rsidR="00F36B8F" w:rsidRPr="00936E2F">
          <w:rPr>
            <w:rStyle w:val="Hyperlink"/>
            <w:noProof/>
          </w:rPr>
          <w:t>Savivaldybių biudžetų išlaidų dalis nacionaliniame biudžete 2008–2012 m., proc.</w:t>
        </w:r>
        <w:r w:rsidR="00F36B8F">
          <w:rPr>
            <w:noProof/>
            <w:webHidden/>
          </w:rPr>
          <w:tab/>
        </w:r>
        <w:r w:rsidR="00F36B8F">
          <w:rPr>
            <w:noProof/>
            <w:webHidden/>
          </w:rPr>
          <w:fldChar w:fldCharType="begin"/>
        </w:r>
        <w:r w:rsidR="00F36B8F">
          <w:rPr>
            <w:noProof/>
            <w:webHidden/>
          </w:rPr>
          <w:instrText xml:space="preserve"> PAGEREF _Toc385239362 \h </w:instrText>
        </w:r>
        <w:r w:rsidR="00F36B8F">
          <w:rPr>
            <w:noProof/>
            <w:webHidden/>
          </w:rPr>
        </w:r>
        <w:r w:rsidR="00F36B8F">
          <w:rPr>
            <w:noProof/>
            <w:webHidden/>
          </w:rPr>
          <w:fldChar w:fldCharType="separate"/>
        </w:r>
        <w:r w:rsidR="00255CC9">
          <w:rPr>
            <w:noProof/>
            <w:webHidden/>
          </w:rPr>
          <w:t>40</w:t>
        </w:r>
        <w:r w:rsidR="00F36B8F">
          <w:rPr>
            <w:noProof/>
            <w:webHidden/>
          </w:rPr>
          <w:fldChar w:fldCharType="end"/>
        </w:r>
      </w:hyperlink>
    </w:p>
    <w:p w:rsidR="00F36B8F" w:rsidRDefault="00F57DE9" w:rsidP="00A81AD2">
      <w:pPr>
        <w:pStyle w:val="TOC1"/>
        <w:rPr>
          <w:rFonts w:asciiTheme="minorHAnsi" w:eastAsiaTheme="minorEastAsia" w:hAnsiTheme="minorHAnsi" w:cstheme="minorBidi"/>
          <w:noProof/>
          <w:sz w:val="22"/>
          <w:szCs w:val="22"/>
        </w:rPr>
      </w:pPr>
      <w:hyperlink w:anchor="_Toc385239363" w:history="1">
        <w:r w:rsidR="00F36B8F" w:rsidRPr="00936E2F">
          <w:rPr>
            <w:rStyle w:val="Hyperlink"/>
            <w:noProof/>
          </w:rPr>
          <w:t>10 pav. Valstyb</w:t>
        </w:r>
        <w:r w:rsidR="00F36B8F" w:rsidRPr="00936E2F">
          <w:rPr>
            <w:rStyle w:val="Hyperlink"/>
            <w:noProof/>
            <w:lang w:val="lt-LT"/>
          </w:rPr>
          <w:t xml:space="preserve">ės ir </w:t>
        </w:r>
        <w:r w:rsidR="00F36B8F" w:rsidRPr="00936E2F">
          <w:rPr>
            <w:rStyle w:val="Hyperlink"/>
            <w:noProof/>
          </w:rPr>
          <w:t>savivaldybių biudžetų išlaidų dalis nacionaliniame biudžete pagal funkcijas 2012 m., proc.</w:t>
        </w:r>
        <w:r w:rsidR="00F36B8F">
          <w:rPr>
            <w:noProof/>
            <w:webHidden/>
          </w:rPr>
          <w:tab/>
        </w:r>
        <w:r w:rsidR="00F36B8F">
          <w:rPr>
            <w:noProof/>
            <w:webHidden/>
          </w:rPr>
          <w:fldChar w:fldCharType="begin"/>
        </w:r>
        <w:r w:rsidR="00F36B8F">
          <w:rPr>
            <w:noProof/>
            <w:webHidden/>
          </w:rPr>
          <w:instrText xml:space="preserve"> PAGEREF _Toc385239363 \h </w:instrText>
        </w:r>
        <w:r w:rsidR="00F36B8F">
          <w:rPr>
            <w:noProof/>
            <w:webHidden/>
          </w:rPr>
        </w:r>
        <w:r w:rsidR="00F36B8F">
          <w:rPr>
            <w:noProof/>
            <w:webHidden/>
          </w:rPr>
          <w:fldChar w:fldCharType="separate"/>
        </w:r>
        <w:r w:rsidR="00255CC9">
          <w:rPr>
            <w:noProof/>
            <w:webHidden/>
          </w:rPr>
          <w:t>41</w:t>
        </w:r>
        <w:r w:rsidR="00F36B8F">
          <w:rPr>
            <w:noProof/>
            <w:webHidden/>
          </w:rPr>
          <w:fldChar w:fldCharType="end"/>
        </w:r>
      </w:hyperlink>
    </w:p>
    <w:p w:rsidR="00F36B8F" w:rsidRDefault="00F57DE9" w:rsidP="00A81AD2">
      <w:pPr>
        <w:pStyle w:val="TOC1"/>
        <w:rPr>
          <w:rFonts w:asciiTheme="minorHAnsi" w:eastAsiaTheme="minorEastAsia" w:hAnsiTheme="minorHAnsi" w:cstheme="minorBidi"/>
          <w:noProof/>
          <w:sz w:val="22"/>
          <w:szCs w:val="22"/>
        </w:rPr>
      </w:pPr>
      <w:hyperlink w:anchor="_Toc385239364" w:history="1">
        <w:r w:rsidR="00F36B8F" w:rsidRPr="00936E2F">
          <w:rPr>
            <w:rStyle w:val="Hyperlink"/>
            <w:noProof/>
          </w:rPr>
          <w:t>11 pav. Savivaldybių biudžetų pajamų dalis nacionaliniame biudžete ir BVP</w:t>
        </w:r>
        <w:r w:rsidR="00F36B8F">
          <w:rPr>
            <w:noProof/>
            <w:webHidden/>
          </w:rPr>
          <w:tab/>
        </w:r>
        <w:r w:rsidR="00F36B8F">
          <w:rPr>
            <w:noProof/>
            <w:webHidden/>
          </w:rPr>
          <w:fldChar w:fldCharType="begin"/>
        </w:r>
        <w:r w:rsidR="00F36B8F">
          <w:rPr>
            <w:noProof/>
            <w:webHidden/>
          </w:rPr>
          <w:instrText xml:space="preserve"> PAGEREF _Toc385239364 \h </w:instrText>
        </w:r>
        <w:r w:rsidR="00F36B8F">
          <w:rPr>
            <w:noProof/>
            <w:webHidden/>
          </w:rPr>
        </w:r>
        <w:r w:rsidR="00F36B8F">
          <w:rPr>
            <w:noProof/>
            <w:webHidden/>
          </w:rPr>
          <w:fldChar w:fldCharType="separate"/>
        </w:r>
        <w:r w:rsidR="00255CC9">
          <w:rPr>
            <w:noProof/>
            <w:webHidden/>
          </w:rPr>
          <w:t>42</w:t>
        </w:r>
        <w:r w:rsidR="00F36B8F">
          <w:rPr>
            <w:noProof/>
            <w:webHidden/>
          </w:rPr>
          <w:fldChar w:fldCharType="end"/>
        </w:r>
      </w:hyperlink>
    </w:p>
    <w:p w:rsidR="00F36B8F" w:rsidRDefault="00F57DE9" w:rsidP="00A81AD2">
      <w:pPr>
        <w:pStyle w:val="TOC1"/>
        <w:rPr>
          <w:rFonts w:asciiTheme="minorHAnsi" w:eastAsiaTheme="minorEastAsia" w:hAnsiTheme="minorHAnsi" w:cstheme="minorBidi"/>
          <w:noProof/>
          <w:sz w:val="22"/>
          <w:szCs w:val="22"/>
        </w:rPr>
      </w:pPr>
      <w:hyperlink w:anchor="_Toc385239365" w:history="1">
        <w:r w:rsidR="00F36B8F" w:rsidRPr="00936E2F">
          <w:rPr>
            <w:rStyle w:val="Hyperlink"/>
            <w:noProof/>
          </w:rPr>
          <w:t>2008–2012 m., proc.</w:t>
        </w:r>
        <w:r w:rsidR="00F36B8F">
          <w:rPr>
            <w:noProof/>
            <w:webHidden/>
          </w:rPr>
          <w:tab/>
        </w:r>
        <w:r w:rsidR="00F36B8F">
          <w:rPr>
            <w:noProof/>
            <w:webHidden/>
          </w:rPr>
          <w:fldChar w:fldCharType="begin"/>
        </w:r>
        <w:r w:rsidR="00F36B8F">
          <w:rPr>
            <w:noProof/>
            <w:webHidden/>
          </w:rPr>
          <w:instrText xml:space="preserve"> PAGEREF _Toc385239365 \h </w:instrText>
        </w:r>
        <w:r w:rsidR="00F36B8F">
          <w:rPr>
            <w:noProof/>
            <w:webHidden/>
          </w:rPr>
        </w:r>
        <w:r w:rsidR="00F36B8F">
          <w:rPr>
            <w:noProof/>
            <w:webHidden/>
          </w:rPr>
          <w:fldChar w:fldCharType="separate"/>
        </w:r>
        <w:r w:rsidR="00255CC9">
          <w:rPr>
            <w:noProof/>
            <w:webHidden/>
          </w:rPr>
          <w:t>42</w:t>
        </w:r>
        <w:r w:rsidR="00F36B8F">
          <w:rPr>
            <w:noProof/>
            <w:webHidden/>
          </w:rPr>
          <w:fldChar w:fldCharType="end"/>
        </w:r>
      </w:hyperlink>
    </w:p>
    <w:p w:rsidR="00F36B8F" w:rsidRDefault="00F57DE9" w:rsidP="00A81AD2">
      <w:pPr>
        <w:pStyle w:val="TOC1"/>
        <w:rPr>
          <w:rFonts w:asciiTheme="minorHAnsi" w:eastAsiaTheme="minorEastAsia" w:hAnsiTheme="minorHAnsi" w:cstheme="minorBidi"/>
          <w:noProof/>
          <w:sz w:val="22"/>
          <w:szCs w:val="22"/>
        </w:rPr>
      </w:pPr>
      <w:hyperlink w:anchor="_Toc385239366" w:history="1">
        <w:r w:rsidR="00F36B8F" w:rsidRPr="00936E2F">
          <w:rPr>
            <w:rStyle w:val="Hyperlink"/>
            <w:noProof/>
          </w:rPr>
          <w:t>12 pav. Savivaldybių biudžetų pajamų struktūra 2008–2012 m., proc.</w:t>
        </w:r>
        <w:r w:rsidR="00F36B8F">
          <w:rPr>
            <w:noProof/>
            <w:webHidden/>
          </w:rPr>
          <w:tab/>
        </w:r>
        <w:r w:rsidR="00F36B8F">
          <w:rPr>
            <w:noProof/>
            <w:webHidden/>
          </w:rPr>
          <w:fldChar w:fldCharType="begin"/>
        </w:r>
        <w:r w:rsidR="00F36B8F">
          <w:rPr>
            <w:noProof/>
            <w:webHidden/>
          </w:rPr>
          <w:instrText xml:space="preserve"> PAGEREF _Toc385239366 \h </w:instrText>
        </w:r>
        <w:r w:rsidR="00F36B8F">
          <w:rPr>
            <w:noProof/>
            <w:webHidden/>
          </w:rPr>
        </w:r>
        <w:r w:rsidR="00F36B8F">
          <w:rPr>
            <w:noProof/>
            <w:webHidden/>
          </w:rPr>
          <w:fldChar w:fldCharType="separate"/>
        </w:r>
        <w:r w:rsidR="00255CC9">
          <w:rPr>
            <w:noProof/>
            <w:webHidden/>
          </w:rPr>
          <w:t>43</w:t>
        </w:r>
        <w:r w:rsidR="00F36B8F">
          <w:rPr>
            <w:noProof/>
            <w:webHidden/>
          </w:rPr>
          <w:fldChar w:fldCharType="end"/>
        </w:r>
      </w:hyperlink>
    </w:p>
    <w:p w:rsidR="00F36B8F" w:rsidRDefault="00F57DE9" w:rsidP="00A81AD2">
      <w:pPr>
        <w:pStyle w:val="TOC1"/>
        <w:rPr>
          <w:rFonts w:asciiTheme="minorHAnsi" w:eastAsiaTheme="minorEastAsia" w:hAnsiTheme="minorHAnsi" w:cstheme="minorBidi"/>
          <w:noProof/>
          <w:sz w:val="22"/>
          <w:szCs w:val="22"/>
        </w:rPr>
      </w:pPr>
      <w:hyperlink w:anchor="_Toc385239367" w:history="1">
        <w:r w:rsidR="00F36B8F" w:rsidRPr="00936E2F">
          <w:rPr>
            <w:rStyle w:val="Hyperlink"/>
            <w:noProof/>
          </w:rPr>
          <w:t>13 pav. Specialiųjų tikslinių ir bendrųjų dotacijų kompensacijų kitimas 2008-2012 m., mln. Lt</w:t>
        </w:r>
        <w:r w:rsidR="00F36B8F">
          <w:rPr>
            <w:noProof/>
            <w:webHidden/>
          </w:rPr>
          <w:tab/>
        </w:r>
        <w:r w:rsidR="00F36B8F">
          <w:rPr>
            <w:noProof/>
            <w:webHidden/>
          </w:rPr>
          <w:fldChar w:fldCharType="begin"/>
        </w:r>
        <w:r w:rsidR="00F36B8F">
          <w:rPr>
            <w:noProof/>
            <w:webHidden/>
          </w:rPr>
          <w:instrText xml:space="preserve"> PAGEREF _Toc385239367 \h </w:instrText>
        </w:r>
        <w:r w:rsidR="00F36B8F">
          <w:rPr>
            <w:noProof/>
            <w:webHidden/>
          </w:rPr>
        </w:r>
        <w:r w:rsidR="00F36B8F">
          <w:rPr>
            <w:noProof/>
            <w:webHidden/>
          </w:rPr>
          <w:fldChar w:fldCharType="separate"/>
        </w:r>
        <w:r w:rsidR="00255CC9">
          <w:rPr>
            <w:noProof/>
            <w:webHidden/>
          </w:rPr>
          <w:t>44</w:t>
        </w:r>
        <w:r w:rsidR="00F36B8F">
          <w:rPr>
            <w:noProof/>
            <w:webHidden/>
          </w:rPr>
          <w:fldChar w:fldCharType="end"/>
        </w:r>
      </w:hyperlink>
    </w:p>
    <w:p w:rsidR="00F36B8F" w:rsidRDefault="00F57DE9" w:rsidP="00A81AD2">
      <w:pPr>
        <w:pStyle w:val="TOC1"/>
        <w:rPr>
          <w:rFonts w:asciiTheme="minorHAnsi" w:eastAsiaTheme="minorEastAsia" w:hAnsiTheme="minorHAnsi" w:cstheme="minorBidi"/>
          <w:noProof/>
          <w:sz w:val="22"/>
          <w:szCs w:val="22"/>
        </w:rPr>
      </w:pPr>
      <w:hyperlink w:anchor="_Toc385239368" w:history="1">
        <w:r w:rsidR="00F36B8F" w:rsidRPr="00936E2F">
          <w:rPr>
            <w:rStyle w:val="Hyperlink"/>
            <w:noProof/>
          </w:rPr>
          <w:t>14 pav. Savivaldybių biudžetų mokestinių dalių kitimas 2008-2012 m., mln. Lt</w:t>
        </w:r>
        <w:r w:rsidR="00F36B8F">
          <w:rPr>
            <w:noProof/>
            <w:webHidden/>
          </w:rPr>
          <w:tab/>
        </w:r>
        <w:r w:rsidR="00F36B8F">
          <w:rPr>
            <w:noProof/>
            <w:webHidden/>
          </w:rPr>
          <w:fldChar w:fldCharType="begin"/>
        </w:r>
        <w:r w:rsidR="00F36B8F">
          <w:rPr>
            <w:noProof/>
            <w:webHidden/>
          </w:rPr>
          <w:instrText xml:space="preserve"> PAGEREF _Toc385239368 \h </w:instrText>
        </w:r>
        <w:r w:rsidR="00F36B8F">
          <w:rPr>
            <w:noProof/>
            <w:webHidden/>
          </w:rPr>
        </w:r>
        <w:r w:rsidR="00F36B8F">
          <w:rPr>
            <w:noProof/>
            <w:webHidden/>
          </w:rPr>
          <w:fldChar w:fldCharType="separate"/>
        </w:r>
        <w:r w:rsidR="00255CC9">
          <w:rPr>
            <w:noProof/>
            <w:webHidden/>
          </w:rPr>
          <w:t>45</w:t>
        </w:r>
        <w:r w:rsidR="00F36B8F">
          <w:rPr>
            <w:noProof/>
            <w:webHidden/>
          </w:rPr>
          <w:fldChar w:fldCharType="end"/>
        </w:r>
      </w:hyperlink>
    </w:p>
    <w:p w:rsidR="00F36B8F" w:rsidRDefault="00F57DE9" w:rsidP="00A81AD2">
      <w:pPr>
        <w:pStyle w:val="TOC1"/>
        <w:rPr>
          <w:rFonts w:asciiTheme="minorHAnsi" w:eastAsiaTheme="minorEastAsia" w:hAnsiTheme="minorHAnsi" w:cstheme="minorBidi"/>
          <w:noProof/>
          <w:sz w:val="22"/>
          <w:szCs w:val="22"/>
        </w:rPr>
      </w:pPr>
      <w:hyperlink w:anchor="_Toc385239369" w:history="1">
        <w:r w:rsidR="00F36B8F" w:rsidRPr="00936E2F">
          <w:rPr>
            <w:rStyle w:val="Hyperlink"/>
            <w:noProof/>
          </w:rPr>
          <w:t>15 pav. Valstybės ir savivaldybių biudžetų mokestinių pajamų dalies kitimas nacionaliniame</w:t>
        </w:r>
        <w:r w:rsidR="00F36B8F">
          <w:rPr>
            <w:noProof/>
            <w:webHidden/>
          </w:rPr>
          <w:tab/>
        </w:r>
        <w:r w:rsidR="00F36B8F">
          <w:rPr>
            <w:noProof/>
            <w:webHidden/>
          </w:rPr>
          <w:fldChar w:fldCharType="begin"/>
        </w:r>
        <w:r w:rsidR="00F36B8F">
          <w:rPr>
            <w:noProof/>
            <w:webHidden/>
          </w:rPr>
          <w:instrText xml:space="preserve"> PAGEREF _Toc385239369 \h </w:instrText>
        </w:r>
        <w:r w:rsidR="00F36B8F">
          <w:rPr>
            <w:noProof/>
            <w:webHidden/>
          </w:rPr>
        </w:r>
        <w:r w:rsidR="00F36B8F">
          <w:rPr>
            <w:noProof/>
            <w:webHidden/>
          </w:rPr>
          <w:fldChar w:fldCharType="separate"/>
        </w:r>
        <w:r w:rsidR="00255CC9">
          <w:rPr>
            <w:noProof/>
            <w:webHidden/>
          </w:rPr>
          <w:t>46</w:t>
        </w:r>
        <w:r w:rsidR="00F36B8F">
          <w:rPr>
            <w:noProof/>
            <w:webHidden/>
          </w:rPr>
          <w:fldChar w:fldCharType="end"/>
        </w:r>
      </w:hyperlink>
    </w:p>
    <w:p w:rsidR="00F36B8F" w:rsidRDefault="00F57DE9" w:rsidP="00A81AD2">
      <w:pPr>
        <w:pStyle w:val="TOC1"/>
        <w:rPr>
          <w:rFonts w:asciiTheme="minorHAnsi" w:eastAsiaTheme="minorEastAsia" w:hAnsiTheme="minorHAnsi" w:cstheme="minorBidi"/>
          <w:noProof/>
          <w:sz w:val="22"/>
          <w:szCs w:val="22"/>
        </w:rPr>
      </w:pPr>
      <w:hyperlink w:anchor="_Toc385239370" w:history="1">
        <w:r w:rsidR="00F36B8F" w:rsidRPr="00936E2F">
          <w:rPr>
            <w:rStyle w:val="Hyperlink"/>
            <w:noProof/>
          </w:rPr>
          <w:t>biudžete 2008–2012 m., proc</w:t>
        </w:r>
        <w:r w:rsidR="00F36B8F">
          <w:rPr>
            <w:noProof/>
            <w:webHidden/>
          </w:rPr>
          <w:tab/>
        </w:r>
        <w:r w:rsidR="00F36B8F">
          <w:rPr>
            <w:noProof/>
            <w:webHidden/>
          </w:rPr>
          <w:fldChar w:fldCharType="begin"/>
        </w:r>
        <w:r w:rsidR="00F36B8F">
          <w:rPr>
            <w:noProof/>
            <w:webHidden/>
          </w:rPr>
          <w:instrText xml:space="preserve"> PAGEREF _Toc385239370 \h </w:instrText>
        </w:r>
        <w:r w:rsidR="00F36B8F">
          <w:rPr>
            <w:noProof/>
            <w:webHidden/>
          </w:rPr>
        </w:r>
        <w:r w:rsidR="00F36B8F">
          <w:rPr>
            <w:noProof/>
            <w:webHidden/>
          </w:rPr>
          <w:fldChar w:fldCharType="separate"/>
        </w:r>
        <w:r w:rsidR="00255CC9">
          <w:rPr>
            <w:noProof/>
            <w:webHidden/>
          </w:rPr>
          <w:t>46</w:t>
        </w:r>
        <w:r w:rsidR="00F36B8F">
          <w:rPr>
            <w:noProof/>
            <w:webHidden/>
          </w:rPr>
          <w:fldChar w:fldCharType="end"/>
        </w:r>
      </w:hyperlink>
    </w:p>
    <w:p w:rsidR="00F36B8F" w:rsidRDefault="00F57DE9" w:rsidP="00A81AD2">
      <w:pPr>
        <w:pStyle w:val="TOC1"/>
        <w:rPr>
          <w:rFonts w:asciiTheme="minorHAnsi" w:eastAsiaTheme="minorEastAsia" w:hAnsiTheme="minorHAnsi" w:cstheme="minorBidi"/>
          <w:noProof/>
          <w:sz w:val="22"/>
          <w:szCs w:val="22"/>
        </w:rPr>
      </w:pPr>
      <w:hyperlink w:anchor="_Toc385239371" w:history="1">
        <w:r w:rsidR="00F36B8F" w:rsidRPr="00936E2F">
          <w:rPr>
            <w:rStyle w:val="Hyperlink"/>
            <w:noProof/>
          </w:rPr>
          <w:t>16 pav. Valstybės ir savivaldybių biudžetų pajamų ir išlaidų kitimas 2008-2012 m., mln. Lt</w:t>
        </w:r>
        <w:r w:rsidR="00F36B8F">
          <w:rPr>
            <w:noProof/>
            <w:webHidden/>
          </w:rPr>
          <w:tab/>
        </w:r>
        <w:r w:rsidR="00F36B8F">
          <w:rPr>
            <w:noProof/>
            <w:webHidden/>
          </w:rPr>
          <w:fldChar w:fldCharType="begin"/>
        </w:r>
        <w:r w:rsidR="00F36B8F">
          <w:rPr>
            <w:noProof/>
            <w:webHidden/>
          </w:rPr>
          <w:instrText xml:space="preserve"> PAGEREF _Toc385239371 \h </w:instrText>
        </w:r>
        <w:r w:rsidR="00F36B8F">
          <w:rPr>
            <w:noProof/>
            <w:webHidden/>
          </w:rPr>
        </w:r>
        <w:r w:rsidR="00F36B8F">
          <w:rPr>
            <w:noProof/>
            <w:webHidden/>
          </w:rPr>
          <w:fldChar w:fldCharType="separate"/>
        </w:r>
        <w:r w:rsidR="00255CC9">
          <w:rPr>
            <w:noProof/>
            <w:webHidden/>
          </w:rPr>
          <w:t>47</w:t>
        </w:r>
        <w:r w:rsidR="00F36B8F">
          <w:rPr>
            <w:noProof/>
            <w:webHidden/>
          </w:rPr>
          <w:fldChar w:fldCharType="end"/>
        </w:r>
      </w:hyperlink>
    </w:p>
    <w:p w:rsidR="00F36B8F" w:rsidRDefault="00F57DE9" w:rsidP="00A81AD2">
      <w:pPr>
        <w:pStyle w:val="TOC1"/>
        <w:rPr>
          <w:rFonts w:asciiTheme="minorHAnsi" w:eastAsiaTheme="minorEastAsia" w:hAnsiTheme="minorHAnsi" w:cstheme="minorBidi"/>
          <w:noProof/>
          <w:sz w:val="22"/>
          <w:szCs w:val="22"/>
        </w:rPr>
      </w:pPr>
      <w:hyperlink w:anchor="_Toc385239372" w:history="1">
        <w:r w:rsidR="00F36B8F" w:rsidRPr="00936E2F">
          <w:rPr>
            <w:rStyle w:val="Hyperlink"/>
            <w:noProof/>
          </w:rPr>
          <w:t>17 pav. Valstybės skola pagal subsektorius 2008-2012 m., mln. Lt</w:t>
        </w:r>
        <w:r w:rsidR="00F36B8F">
          <w:rPr>
            <w:noProof/>
            <w:webHidden/>
          </w:rPr>
          <w:tab/>
        </w:r>
        <w:r w:rsidR="00F36B8F">
          <w:rPr>
            <w:noProof/>
            <w:webHidden/>
          </w:rPr>
          <w:fldChar w:fldCharType="begin"/>
        </w:r>
        <w:r w:rsidR="00F36B8F">
          <w:rPr>
            <w:noProof/>
            <w:webHidden/>
          </w:rPr>
          <w:instrText xml:space="preserve"> PAGEREF _Toc385239372 \h </w:instrText>
        </w:r>
        <w:r w:rsidR="00F36B8F">
          <w:rPr>
            <w:noProof/>
            <w:webHidden/>
          </w:rPr>
        </w:r>
        <w:r w:rsidR="00F36B8F">
          <w:rPr>
            <w:noProof/>
            <w:webHidden/>
          </w:rPr>
          <w:fldChar w:fldCharType="separate"/>
        </w:r>
        <w:r w:rsidR="00255CC9">
          <w:rPr>
            <w:noProof/>
            <w:webHidden/>
          </w:rPr>
          <w:t>47</w:t>
        </w:r>
        <w:r w:rsidR="00F36B8F">
          <w:rPr>
            <w:noProof/>
            <w:webHidden/>
          </w:rPr>
          <w:fldChar w:fldCharType="end"/>
        </w:r>
      </w:hyperlink>
    </w:p>
    <w:p w:rsidR="00F36B8F" w:rsidRDefault="00F57DE9" w:rsidP="00A81AD2">
      <w:pPr>
        <w:pStyle w:val="TOC1"/>
        <w:rPr>
          <w:rFonts w:asciiTheme="minorHAnsi" w:eastAsiaTheme="minorEastAsia" w:hAnsiTheme="minorHAnsi" w:cstheme="minorBidi"/>
          <w:noProof/>
          <w:sz w:val="22"/>
          <w:szCs w:val="22"/>
        </w:rPr>
      </w:pPr>
      <w:hyperlink w:anchor="_Toc385239373" w:history="1">
        <w:r w:rsidR="00F36B8F" w:rsidRPr="00936E2F">
          <w:rPr>
            <w:rStyle w:val="Hyperlink"/>
            <w:noProof/>
          </w:rPr>
          <w:t>18 pav. Valstybės subsektorių skolos dalies kitimas nuo bendros valstybės skolos</w:t>
        </w:r>
        <w:r w:rsidR="00F36B8F">
          <w:rPr>
            <w:noProof/>
            <w:webHidden/>
          </w:rPr>
          <w:tab/>
        </w:r>
        <w:r w:rsidR="00F36B8F">
          <w:rPr>
            <w:noProof/>
            <w:webHidden/>
          </w:rPr>
          <w:fldChar w:fldCharType="begin"/>
        </w:r>
        <w:r w:rsidR="00F36B8F">
          <w:rPr>
            <w:noProof/>
            <w:webHidden/>
          </w:rPr>
          <w:instrText xml:space="preserve"> PAGEREF _Toc385239373 \h </w:instrText>
        </w:r>
        <w:r w:rsidR="00F36B8F">
          <w:rPr>
            <w:noProof/>
            <w:webHidden/>
          </w:rPr>
        </w:r>
        <w:r w:rsidR="00F36B8F">
          <w:rPr>
            <w:noProof/>
            <w:webHidden/>
          </w:rPr>
          <w:fldChar w:fldCharType="separate"/>
        </w:r>
        <w:r w:rsidR="00255CC9">
          <w:rPr>
            <w:noProof/>
            <w:webHidden/>
          </w:rPr>
          <w:t>48</w:t>
        </w:r>
        <w:r w:rsidR="00F36B8F">
          <w:rPr>
            <w:noProof/>
            <w:webHidden/>
          </w:rPr>
          <w:fldChar w:fldCharType="end"/>
        </w:r>
      </w:hyperlink>
    </w:p>
    <w:p w:rsidR="00F36B8F" w:rsidRDefault="00F57DE9" w:rsidP="00A81AD2">
      <w:pPr>
        <w:pStyle w:val="TOC1"/>
        <w:rPr>
          <w:rFonts w:asciiTheme="minorHAnsi" w:eastAsiaTheme="minorEastAsia" w:hAnsiTheme="minorHAnsi" w:cstheme="minorBidi"/>
          <w:noProof/>
          <w:sz w:val="22"/>
          <w:szCs w:val="22"/>
        </w:rPr>
      </w:pPr>
      <w:hyperlink w:anchor="_Toc385239374" w:history="1">
        <w:r w:rsidR="00F36B8F" w:rsidRPr="00936E2F">
          <w:rPr>
            <w:rStyle w:val="Hyperlink"/>
            <w:noProof/>
          </w:rPr>
          <w:t>2008-2012 m., proc.</w:t>
        </w:r>
        <w:r w:rsidR="00F36B8F">
          <w:rPr>
            <w:noProof/>
            <w:webHidden/>
          </w:rPr>
          <w:tab/>
        </w:r>
        <w:r w:rsidR="00F36B8F">
          <w:rPr>
            <w:noProof/>
            <w:webHidden/>
          </w:rPr>
          <w:fldChar w:fldCharType="begin"/>
        </w:r>
        <w:r w:rsidR="00F36B8F">
          <w:rPr>
            <w:noProof/>
            <w:webHidden/>
          </w:rPr>
          <w:instrText xml:space="preserve"> PAGEREF _Toc385239374 \h </w:instrText>
        </w:r>
        <w:r w:rsidR="00F36B8F">
          <w:rPr>
            <w:noProof/>
            <w:webHidden/>
          </w:rPr>
        </w:r>
        <w:r w:rsidR="00F36B8F">
          <w:rPr>
            <w:noProof/>
            <w:webHidden/>
          </w:rPr>
          <w:fldChar w:fldCharType="separate"/>
        </w:r>
        <w:r w:rsidR="00255CC9">
          <w:rPr>
            <w:noProof/>
            <w:webHidden/>
          </w:rPr>
          <w:t>48</w:t>
        </w:r>
        <w:r w:rsidR="00F36B8F">
          <w:rPr>
            <w:noProof/>
            <w:webHidden/>
          </w:rPr>
          <w:fldChar w:fldCharType="end"/>
        </w:r>
      </w:hyperlink>
    </w:p>
    <w:p w:rsidR="00F36B8F" w:rsidRDefault="00F57DE9" w:rsidP="00A81AD2">
      <w:pPr>
        <w:pStyle w:val="TOC1"/>
        <w:rPr>
          <w:rFonts w:asciiTheme="minorHAnsi" w:eastAsiaTheme="minorEastAsia" w:hAnsiTheme="minorHAnsi" w:cstheme="minorBidi"/>
          <w:noProof/>
          <w:sz w:val="22"/>
          <w:szCs w:val="22"/>
        </w:rPr>
      </w:pPr>
      <w:hyperlink w:anchor="_Toc385239375" w:history="1">
        <w:r w:rsidR="00F36B8F" w:rsidRPr="00936E2F">
          <w:rPr>
            <w:rStyle w:val="Hyperlink"/>
            <w:noProof/>
          </w:rPr>
          <w:t>19 pav. BVP vienam gyventojui apimties indeksai 2012 m. (EU27=100), proc.</w:t>
        </w:r>
        <w:r w:rsidR="00F36B8F">
          <w:rPr>
            <w:noProof/>
            <w:webHidden/>
          </w:rPr>
          <w:tab/>
        </w:r>
        <w:r w:rsidR="00F36B8F">
          <w:rPr>
            <w:noProof/>
            <w:webHidden/>
          </w:rPr>
          <w:fldChar w:fldCharType="begin"/>
        </w:r>
        <w:r w:rsidR="00F36B8F">
          <w:rPr>
            <w:noProof/>
            <w:webHidden/>
          </w:rPr>
          <w:instrText xml:space="preserve"> PAGEREF _Toc385239375 \h </w:instrText>
        </w:r>
        <w:r w:rsidR="00F36B8F">
          <w:rPr>
            <w:noProof/>
            <w:webHidden/>
          </w:rPr>
        </w:r>
        <w:r w:rsidR="00F36B8F">
          <w:rPr>
            <w:noProof/>
            <w:webHidden/>
          </w:rPr>
          <w:fldChar w:fldCharType="separate"/>
        </w:r>
        <w:r w:rsidR="00255CC9">
          <w:rPr>
            <w:noProof/>
            <w:webHidden/>
          </w:rPr>
          <w:t>50</w:t>
        </w:r>
        <w:r w:rsidR="00F36B8F">
          <w:rPr>
            <w:noProof/>
            <w:webHidden/>
          </w:rPr>
          <w:fldChar w:fldCharType="end"/>
        </w:r>
      </w:hyperlink>
    </w:p>
    <w:p w:rsidR="00F36B8F" w:rsidRDefault="00F57DE9" w:rsidP="00A81AD2">
      <w:pPr>
        <w:pStyle w:val="TOC1"/>
        <w:rPr>
          <w:rFonts w:asciiTheme="minorHAnsi" w:eastAsiaTheme="minorEastAsia" w:hAnsiTheme="minorHAnsi" w:cstheme="minorBidi"/>
          <w:noProof/>
          <w:sz w:val="22"/>
          <w:szCs w:val="22"/>
        </w:rPr>
      </w:pPr>
      <w:hyperlink w:anchor="_Toc385239376" w:history="1">
        <w:r w:rsidR="00F36B8F" w:rsidRPr="00936E2F">
          <w:rPr>
            <w:rStyle w:val="Hyperlink"/>
            <w:noProof/>
          </w:rPr>
          <w:t>20 pav. ES šalių narių vidutinis gyventojų skaičius savivaldybėse ir vidutinis savivaldybių plotas (km</w:t>
        </w:r>
        <w:r w:rsidR="00F36B8F" w:rsidRPr="00936E2F">
          <w:rPr>
            <w:rStyle w:val="Hyperlink"/>
            <w:noProof/>
            <w:vertAlign w:val="superscript"/>
          </w:rPr>
          <w:t>2</w:t>
        </w:r>
        <w:r w:rsidR="00F36B8F" w:rsidRPr="00936E2F">
          <w:rPr>
            <w:rStyle w:val="Hyperlink"/>
            <w:noProof/>
          </w:rPr>
          <w:t>) 2011 m.</w:t>
        </w:r>
        <w:r w:rsidR="00F36B8F">
          <w:rPr>
            <w:noProof/>
            <w:webHidden/>
          </w:rPr>
          <w:tab/>
        </w:r>
        <w:r w:rsidR="00F36B8F">
          <w:rPr>
            <w:noProof/>
            <w:webHidden/>
          </w:rPr>
          <w:fldChar w:fldCharType="begin"/>
        </w:r>
        <w:r w:rsidR="00F36B8F">
          <w:rPr>
            <w:noProof/>
            <w:webHidden/>
          </w:rPr>
          <w:instrText xml:space="preserve"> PAGEREF _Toc385239376 \h </w:instrText>
        </w:r>
        <w:r w:rsidR="00F36B8F">
          <w:rPr>
            <w:noProof/>
            <w:webHidden/>
          </w:rPr>
        </w:r>
        <w:r w:rsidR="00F36B8F">
          <w:rPr>
            <w:noProof/>
            <w:webHidden/>
          </w:rPr>
          <w:fldChar w:fldCharType="separate"/>
        </w:r>
        <w:r w:rsidR="00255CC9">
          <w:rPr>
            <w:noProof/>
            <w:webHidden/>
          </w:rPr>
          <w:t>51</w:t>
        </w:r>
        <w:r w:rsidR="00F36B8F">
          <w:rPr>
            <w:noProof/>
            <w:webHidden/>
          </w:rPr>
          <w:fldChar w:fldCharType="end"/>
        </w:r>
      </w:hyperlink>
    </w:p>
    <w:p w:rsidR="00F36B8F" w:rsidRDefault="00F57DE9" w:rsidP="00A81AD2">
      <w:pPr>
        <w:pStyle w:val="TOC1"/>
        <w:rPr>
          <w:rFonts w:asciiTheme="minorHAnsi" w:eastAsiaTheme="minorEastAsia" w:hAnsiTheme="minorHAnsi" w:cstheme="minorBidi"/>
          <w:noProof/>
          <w:sz w:val="22"/>
          <w:szCs w:val="22"/>
        </w:rPr>
      </w:pPr>
      <w:hyperlink w:anchor="_Toc385239377" w:history="1">
        <w:r w:rsidR="00F36B8F" w:rsidRPr="00936E2F">
          <w:rPr>
            <w:rStyle w:val="Hyperlink"/>
            <w:noProof/>
          </w:rPr>
          <w:t>21 pav. Subnacionalinių valdžios institucijų išlaidų dalis valdžios sektoriaus biudžete 2012 m., proc.</w:t>
        </w:r>
        <w:r w:rsidR="00F36B8F">
          <w:rPr>
            <w:noProof/>
            <w:webHidden/>
          </w:rPr>
          <w:tab/>
        </w:r>
        <w:r w:rsidR="00F36B8F">
          <w:rPr>
            <w:noProof/>
            <w:webHidden/>
          </w:rPr>
          <w:fldChar w:fldCharType="begin"/>
        </w:r>
        <w:r w:rsidR="00F36B8F">
          <w:rPr>
            <w:noProof/>
            <w:webHidden/>
          </w:rPr>
          <w:instrText xml:space="preserve"> PAGEREF _Toc385239377 \h </w:instrText>
        </w:r>
        <w:r w:rsidR="00F36B8F">
          <w:rPr>
            <w:noProof/>
            <w:webHidden/>
          </w:rPr>
        </w:r>
        <w:r w:rsidR="00F36B8F">
          <w:rPr>
            <w:noProof/>
            <w:webHidden/>
          </w:rPr>
          <w:fldChar w:fldCharType="separate"/>
        </w:r>
        <w:r w:rsidR="00255CC9">
          <w:rPr>
            <w:noProof/>
            <w:webHidden/>
          </w:rPr>
          <w:t>53</w:t>
        </w:r>
        <w:r w:rsidR="00F36B8F">
          <w:rPr>
            <w:noProof/>
            <w:webHidden/>
          </w:rPr>
          <w:fldChar w:fldCharType="end"/>
        </w:r>
      </w:hyperlink>
    </w:p>
    <w:p w:rsidR="00F36B8F" w:rsidRDefault="00F57DE9" w:rsidP="00A81AD2">
      <w:pPr>
        <w:pStyle w:val="TOC1"/>
        <w:rPr>
          <w:rFonts w:asciiTheme="minorHAnsi" w:eastAsiaTheme="minorEastAsia" w:hAnsiTheme="minorHAnsi" w:cstheme="minorBidi"/>
          <w:noProof/>
          <w:sz w:val="22"/>
          <w:szCs w:val="22"/>
        </w:rPr>
      </w:pPr>
      <w:hyperlink w:anchor="_Toc385239378" w:history="1">
        <w:r w:rsidR="00F36B8F" w:rsidRPr="00936E2F">
          <w:rPr>
            <w:rStyle w:val="Hyperlink"/>
            <w:noProof/>
          </w:rPr>
          <w:t>22 pav. Subsektorių išlaidų dalis valdžios sektoriaus išlaidose 2012 m., proc.</w:t>
        </w:r>
        <w:r w:rsidR="00F36B8F">
          <w:rPr>
            <w:noProof/>
            <w:webHidden/>
          </w:rPr>
          <w:tab/>
        </w:r>
        <w:r w:rsidR="00F36B8F">
          <w:rPr>
            <w:noProof/>
            <w:webHidden/>
          </w:rPr>
          <w:fldChar w:fldCharType="begin"/>
        </w:r>
        <w:r w:rsidR="00F36B8F">
          <w:rPr>
            <w:noProof/>
            <w:webHidden/>
          </w:rPr>
          <w:instrText xml:space="preserve"> PAGEREF _Toc385239378 \h </w:instrText>
        </w:r>
        <w:r w:rsidR="00F36B8F">
          <w:rPr>
            <w:noProof/>
            <w:webHidden/>
          </w:rPr>
        </w:r>
        <w:r w:rsidR="00F36B8F">
          <w:rPr>
            <w:noProof/>
            <w:webHidden/>
          </w:rPr>
          <w:fldChar w:fldCharType="separate"/>
        </w:r>
        <w:r w:rsidR="00255CC9">
          <w:rPr>
            <w:noProof/>
            <w:webHidden/>
          </w:rPr>
          <w:t>54</w:t>
        </w:r>
        <w:r w:rsidR="00F36B8F">
          <w:rPr>
            <w:noProof/>
            <w:webHidden/>
          </w:rPr>
          <w:fldChar w:fldCharType="end"/>
        </w:r>
      </w:hyperlink>
    </w:p>
    <w:p w:rsidR="00F36B8F" w:rsidRDefault="00F57DE9" w:rsidP="00A81AD2">
      <w:pPr>
        <w:pStyle w:val="TOC1"/>
        <w:rPr>
          <w:rFonts w:asciiTheme="minorHAnsi" w:eastAsiaTheme="minorEastAsia" w:hAnsiTheme="minorHAnsi" w:cstheme="minorBidi"/>
          <w:noProof/>
          <w:sz w:val="22"/>
          <w:szCs w:val="22"/>
        </w:rPr>
      </w:pPr>
      <w:hyperlink w:anchor="_Toc385239379" w:history="1">
        <w:r w:rsidR="00F36B8F" w:rsidRPr="00936E2F">
          <w:rPr>
            <w:rStyle w:val="Hyperlink"/>
            <w:noProof/>
          </w:rPr>
          <w:t>23 pav. ES ir Lietuvos nacionalinio ir subnacionalinių valdžios institucijų biudžetų išlaidų dalis BVP pagal COFOG klasifikaciją 2012 m., proc.</w:t>
        </w:r>
        <w:r w:rsidR="00F36B8F">
          <w:rPr>
            <w:noProof/>
            <w:webHidden/>
          </w:rPr>
          <w:tab/>
        </w:r>
        <w:r w:rsidR="00F36B8F">
          <w:rPr>
            <w:noProof/>
            <w:webHidden/>
          </w:rPr>
          <w:fldChar w:fldCharType="begin"/>
        </w:r>
        <w:r w:rsidR="00F36B8F">
          <w:rPr>
            <w:noProof/>
            <w:webHidden/>
          </w:rPr>
          <w:instrText xml:space="preserve"> PAGEREF _Toc385239379 \h </w:instrText>
        </w:r>
        <w:r w:rsidR="00F36B8F">
          <w:rPr>
            <w:noProof/>
            <w:webHidden/>
          </w:rPr>
        </w:r>
        <w:r w:rsidR="00F36B8F">
          <w:rPr>
            <w:noProof/>
            <w:webHidden/>
          </w:rPr>
          <w:fldChar w:fldCharType="separate"/>
        </w:r>
        <w:r w:rsidR="00255CC9">
          <w:rPr>
            <w:noProof/>
            <w:webHidden/>
          </w:rPr>
          <w:t>55</w:t>
        </w:r>
        <w:r w:rsidR="00F36B8F">
          <w:rPr>
            <w:noProof/>
            <w:webHidden/>
          </w:rPr>
          <w:fldChar w:fldCharType="end"/>
        </w:r>
      </w:hyperlink>
    </w:p>
    <w:p w:rsidR="00F36B8F" w:rsidRDefault="00F57DE9" w:rsidP="00A81AD2">
      <w:pPr>
        <w:pStyle w:val="TOC1"/>
        <w:rPr>
          <w:rFonts w:asciiTheme="minorHAnsi" w:eastAsiaTheme="minorEastAsia" w:hAnsiTheme="minorHAnsi" w:cstheme="minorBidi"/>
          <w:noProof/>
          <w:sz w:val="22"/>
          <w:szCs w:val="22"/>
        </w:rPr>
      </w:pPr>
      <w:hyperlink w:anchor="_Toc385239380" w:history="1">
        <w:r w:rsidR="00F36B8F" w:rsidRPr="00936E2F">
          <w:rPr>
            <w:rStyle w:val="Hyperlink"/>
            <w:noProof/>
          </w:rPr>
          <w:t>24 pav. Nacionalinio biudžeto išlaidų BVP ir subnacionalinių valdžios institucijų išlaidų dalies nacionaliniame biudžete ryšys 2012 m., proc.</w:t>
        </w:r>
        <w:r w:rsidR="00F36B8F">
          <w:rPr>
            <w:noProof/>
            <w:webHidden/>
          </w:rPr>
          <w:tab/>
        </w:r>
        <w:r w:rsidR="00F36B8F">
          <w:rPr>
            <w:noProof/>
            <w:webHidden/>
          </w:rPr>
          <w:fldChar w:fldCharType="begin"/>
        </w:r>
        <w:r w:rsidR="00F36B8F">
          <w:rPr>
            <w:noProof/>
            <w:webHidden/>
          </w:rPr>
          <w:instrText xml:space="preserve"> PAGEREF _Toc385239380 \h </w:instrText>
        </w:r>
        <w:r w:rsidR="00F36B8F">
          <w:rPr>
            <w:noProof/>
            <w:webHidden/>
          </w:rPr>
        </w:r>
        <w:r w:rsidR="00F36B8F">
          <w:rPr>
            <w:noProof/>
            <w:webHidden/>
          </w:rPr>
          <w:fldChar w:fldCharType="separate"/>
        </w:r>
        <w:r w:rsidR="00255CC9">
          <w:rPr>
            <w:noProof/>
            <w:webHidden/>
          </w:rPr>
          <w:t>56</w:t>
        </w:r>
        <w:r w:rsidR="00F36B8F">
          <w:rPr>
            <w:noProof/>
            <w:webHidden/>
          </w:rPr>
          <w:fldChar w:fldCharType="end"/>
        </w:r>
      </w:hyperlink>
    </w:p>
    <w:p w:rsidR="00F36B8F" w:rsidRDefault="00F57DE9" w:rsidP="00A81AD2">
      <w:pPr>
        <w:pStyle w:val="TOC1"/>
        <w:rPr>
          <w:rFonts w:asciiTheme="minorHAnsi" w:eastAsiaTheme="minorEastAsia" w:hAnsiTheme="minorHAnsi" w:cstheme="minorBidi"/>
          <w:noProof/>
          <w:sz w:val="22"/>
          <w:szCs w:val="22"/>
        </w:rPr>
      </w:pPr>
      <w:hyperlink w:anchor="_Toc385239381" w:history="1">
        <w:r w:rsidR="00F36B8F" w:rsidRPr="00936E2F">
          <w:rPr>
            <w:rStyle w:val="Hyperlink"/>
            <w:noProof/>
          </w:rPr>
          <w:t>25 pav. ES valstybių narių subnacionalinių biudžetų pajamų dalis valdžios sektoriaus biudžete</w:t>
        </w:r>
        <w:r w:rsidR="00F36B8F">
          <w:rPr>
            <w:noProof/>
            <w:webHidden/>
          </w:rPr>
          <w:tab/>
        </w:r>
        <w:r w:rsidR="00F36B8F">
          <w:rPr>
            <w:noProof/>
            <w:webHidden/>
          </w:rPr>
          <w:fldChar w:fldCharType="begin"/>
        </w:r>
        <w:r w:rsidR="00F36B8F">
          <w:rPr>
            <w:noProof/>
            <w:webHidden/>
          </w:rPr>
          <w:instrText xml:space="preserve"> PAGEREF _Toc385239381 \h </w:instrText>
        </w:r>
        <w:r w:rsidR="00F36B8F">
          <w:rPr>
            <w:noProof/>
            <w:webHidden/>
          </w:rPr>
        </w:r>
        <w:r w:rsidR="00F36B8F">
          <w:rPr>
            <w:noProof/>
            <w:webHidden/>
          </w:rPr>
          <w:fldChar w:fldCharType="separate"/>
        </w:r>
        <w:r w:rsidR="00255CC9">
          <w:rPr>
            <w:noProof/>
            <w:webHidden/>
          </w:rPr>
          <w:t>57</w:t>
        </w:r>
        <w:r w:rsidR="00F36B8F">
          <w:rPr>
            <w:noProof/>
            <w:webHidden/>
          </w:rPr>
          <w:fldChar w:fldCharType="end"/>
        </w:r>
      </w:hyperlink>
    </w:p>
    <w:p w:rsidR="00F36B8F" w:rsidRDefault="00F57DE9" w:rsidP="00A81AD2">
      <w:pPr>
        <w:pStyle w:val="TOC1"/>
        <w:rPr>
          <w:rFonts w:asciiTheme="minorHAnsi" w:eastAsiaTheme="minorEastAsia" w:hAnsiTheme="minorHAnsi" w:cstheme="minorBidi"/>
          <w:noProof/>
          <w:sz w:val="22"/>
          <w:szCs w:val="22"/>
        </w:rPr>
      </w:pPr>
      <w:hyperlink w:anchor="_Toc385239382" w:history="1">
        <w:r w:rsidR="00F36B8F" w:rsidRPr="00936E2F">
          <w:rPr>
            <w:rStyle w:val="Hyperlink"/>
            <w:noProof/>
          </w:rPr>
          <w:t>2012 m., proc.</w:t>
        </w:r>
        <w:r w:rsidR="00F36B8F">
          <w:rPr>
            <w:noProof/>
            <w:webHidden/>
          </w:rPr>
          <w:tab/>
        </w:r>
        <w:r w:rsidR="00F36B8F">
          <w:rPr>
            <w:noProof/>
            <w:webHidden/>
          </w:rPr>
          <w:fldChar w:fldCharType="begin"/>
        </w:r>
        <w:r w:rsidR="00F36B8F">
          <w:rPr>
            <w:noProof/>
            <w:webHidden/>
          </w:rPr>
          <w:instrText xml:space="preserve"> PAGEREF _Toc385239382 \h </w:instrText>
        </w:r>
        <w:r w:rsidR="00F36B8F">
          <w:rPr>
            <w:noProof/>
            <w:webHidden/>
          </w:rPr>
        </w:r>
        <w:r w:rsidR="00F36B8F">
          <w:rPr>
            <w:noProof/>
            <w:webHidden/>
          </w:rPr>
          <w:fldChar w:fldCharType="separate"/>
        </w:r>
        <w:r w:rsidR="00255CC9">
          <w:rPr>
            <w:noProof/>
            <w:webHidden/>
          </w:rPr>
          <w:t>57</w:t>
        </w:r>
        <w:r w:rsidR="00F36B8F">
          <w:rPr>
            <w:noProof/>
            <w:webHidden/>
          </w:rPr>
          <w:fldChar w:fldCharType="end"/>
        </w:r>
      </w:hyperlink>
    </w:p>
    <w:p w:rsidR="00F36B8F" w:rsidRDefault="00F57DE9" w:rsidP="00A81AD2">
      <w:pPr>
        <w:pStyle w:val="TOC1"/>
        <w:rPr>
          <w:rFonts w:asciiTheme="minorHAnsi" w:eastAsiaTheme="minorEastAsia" w:hAnsiTheme="minorHAnsi" w:cstheme="minorBidi"/>
          <w:noProof/>
          <w:sz w:val="22"/>
          <w:szCs w:val="22"/>
        </w:rPr>
      </w:pPr>
      <w:hyperlink w:anchor="_Toc385239383" w:history="1">
        <w:r w:rsidR="00F36B8F" w:rsidRPr="00936E2F">
          <w:rPr>
            <w:rStyle w:val="Hyperlink"/>
            <w:noProof/>
          </w:rPr>
          <w:t>26 pav. ES šalių narių subnacionalinių biudžetų pajamų struktūra 2012 m., proc.</w:t>
        </w:r>
        <w:r w:rsidR="00F36B8F">
          <w:rPr>
            <w:noProof/>
            <w:webHidden/>
          </w:rPr>
          <w:tab/>
        </w:r>
        <w:r w:rsidR="00F36B8F">
          <w:rPr>
            <w:noProof/>
            <w:webHidden/>
          </w:rPr>
          <w:fldChar w:fldCharType="begin"/>
        </w:r>
        <w:r w:rsidR="00F36B8F">
          <w:rPr>
            <w:noProof/>
            <w:webHidden/>
          </w:rPr>
          <w:instrText xml:space="preserve"> PAGEREF _Toc385239383 \h </w:instrText>
        </w:r>
        <w:r w:rsidR="00F36B8F">
          <w:rPr>
            <w:noProof/>
            <w:webHidden/>
          </w:rPr>
        </w:r>
        <w:r w:rsidR="00F36B8F">
          <w:rPr>
            <w:noProof/>
            <w:webHidden/>
          </w:rPr>
          <w:fldChar w:fldCharType="separate"/>
        </w:r>
        <w:r w:rsidR="00255CC9">
          <w:rPr>
            <w:noProof/>
            <w:webHidden/>
          </w:rPr>
          <w:t>57</w:t>
        </w:r>
        <w:r w:rsidR="00F36B8F">
          <w:rPr>
            <w:noProof/>
            <w:webHidden/>
          </w:rPr>
          <w:fldChar w:fldCharType="end"/>
        </w:r>
      </w:hyperlink>
    </w:p>
    <w:p w:rsidR="00F36B8F" w:rsidRDefault="00F57DE9" w:rsidP="00A81AD2">
      <w:pPr>
        <w:pStyle w:val="TOC1"/>
        <w:rPr>
          <w:rFonts w:asciiTheme="minorHAnsi" w:eastAsiaTheme="minorEastAsia" w:hAnsiTheme="minorHAnsi" w:cstheme="minorBidi"/>
          <w:noProof/>
          <w:sz w:val="22"/>
          <w:szCs w:val="22"/>
        </w:rPr>
      </w:pPr>
      <w:hyperlink w:anchor="_Toc385239384" w:history="1">
        <w:r w:rsidR="00F36B8F" w:rsidRPr="00936E2F">
          <w:rPr>
            <w:rStyle w:val="Hyperlink"/>
            <w:noProof/>
          </w:rPr>
          <w:t>27 pav.  ES ir Lietuvos skiriamų subnacionaliniam sektoriui dotacijų dalies kitimas 2008-2012 m. proc. nuo vis</w:t>
        </w:r>
        <w:r w:rsidR="00F36B8F" w:rsidRPr="00936E2F">
          <w:rPr>
            <w:rStyle w:val="Hyperlink"/>
            <w:noProof/>
            <w:lang w:val="lt-LT"/>
          </w:rPr>
          <w:t>ų subnacionalinio sektoriaus gaunamų pajamų</w:t>
        </w:r>
        <w:r w:rsidR="00F36B8F">
          <w:rPr>
            <w:noProof/>
            <w:webHidden/>
          </w:rPr>
          <w:tab/>
        </w:r>
        <w:r w:rsidR="00F36B8F">
          <w:rPr>
            <w:noProof/>
            <w:webHidden/>
          </w:rPr>
          <w:fldChar w:fldCharType="begin"/>
        </w:r>
        <w:r w:rsidR="00F36B8F">
          <w:rPr>
            <w:noProof/>
            <w:webHidden/>
          </w:rPr>
          <w:instrText xml:space="preserve"> PAGEREF _Toc385239384 \h </w:instrText>
        </w:r>
        <w:r w:rsidR="00F36B8F">
          <w:rPr>
            <w:noProof/>
            <w:webHidden/>
          </w:rPr>
        </w:r>
        <w:r w:rsidR="00F36B8F">
          <w:rPr>
            <w:noProof/>
            <w:webHidden/>
          </w:rPr>
          <w:fldChar w:fldCharType="separate"/>
        </w:r>
        <w:r w:rsidR="00255CC9">
          <w:rPr>
            <w:noProof/>
            <w:webHidden/>
          </w:rPr>
          <w:t>59</w:t>
        </w:r>
        <w:r w:rsidR="00F36B8F">
          <w:rPr>
            <w:noProof/>
            <w:webHidden/>
          </w:rPr>
          <w:fldChar w:fldCharType="end"/>
        </w:r>
      </w:hyperlink>
    </w:p>
    <w:p w:rsidR="00F36B8F" w:rsidRDefault="00F57DE9" w:rsidP="00A81AD2">
      <w:pPr>
        <w:pStyle w:val="TOC1"/>
        <w:rPr>
          <w:rFonts w:asciiTheme="minorHAnsi" w:eastAsiaTheme="minorEastAsia" w:hAnsiTheme="minorHAnsi" w:cstheme="minorBidi"/>
          <w:noProof/>
          <w:sz w:val="22"/>
          <w:szCs w:val="22"/>
        </w:rPr>
      </w:pPr>
      <w:hyperlink w:anchor="_Toc385239385" w:history="1">
        <w:r w:rsidR="00F36B8F" w:rsidRPr="00936E2F">
          <w:rPr>
            <w:rStyle w:val="Hyperlink"/>
            <w:noProof/>
          </w:rPr>
          <w:t>28 pav. ES šalių narių mokestinių pajamų, pagal atskiras mokesčių grupes, dalis subnacionalinio lygio biudžete 2012 m., proc.</w:t>
        </w:r>
        <w:r w:rsidR="00F36B8F">
          <w:rPr>
            <w:noProof/>
            <w:webHidden/>
          </w:rPr>
          <w:tab/>
        </w:r>
        <w:r w:rsidR="00F36B8F">
          <w:rPr>
            <w:noProof/>
            <w:webHidden/>
          </w:rPr>
          <w:fldChar w:fldCharType="begin"/>
        </w:r>
        <w:r w:rsidR="00F36B8F">
          <w:rPr>
            <w:noProof/>
            <w:webHidden/>
          </w:rPr>
          <w:instrText xml:space="preserve"> PAGEREF _Toc385239385 \h </w:instrText>
        </w:r>
        <w:r w:rsidR="00F36B8F">
          <w:rPr>
            <w:noProof/>
            <w:webHidden/>
          </w:rPr>
        </w:r>
        <w:r w:rsidR="00F36B8F">
          <w:rPr>
            <w:noProof/>
            <w:webHidden/>
          </w:rPr>
          <w:fldChar w:fldCharType="separate"/>
        </w:r>
        <w:r w:rsidR="00255CC9">
          <w:rPr>
            <w:noProof/>
            <w:webHidden/>
          </w:rPr>
          <w:t>60</w:t>
        </w:r>
        <w:r w:rsidR="00F36B8F">
          <w:rPr>
            <w:noProof/>
            <w:webHidden/>
          </w:rPr>
          <w:fldChar w:fldCharType="end"/>
        </w:r>
      </w:hyperlink>
    </w:p>
    <w:p w:rsidR="00F36B8F" w:rsidRDefault="00F57DE9" w:rsidP="00A81AD2">
      <w:pPr>
        <w:pStyle w:val="TOC1"/>
        <w:rPr>
          <w:rFonts w:asciiTheme="minorHAnsi" w:eastAsiaTheme="minorEastAsia" w:hAnsiTheme="minorHAnsi" w:cstheme="minorBidi"/>
          <w:noProof/>
          <w:sz w:val="22"/>
          <w:szCs w:val="22"/>
        </w:rPr>
      </w:pPr>
      <w:hyperlink w:anchor="_Toc385239386" w:history="1">
        <w:r w:rsidR="00F36B8F" w:rsidRPr="00936E2F">
          <w:rPr>
            <w:rStyle w:val="Hyperlink"/>
            <w:noProof/>
          </w:rPr>
          <w:t>29 pav. Konsoliduota ES šalių narių skola 2012 m., proc. nuo BVP</w:t>
        </w:r>
        <w:r w:rsidR="00F36B8F">
          <w:rPr>
            <w:noProof/>
            <w:webHidden/>
          </w:rPr>
          <w:tab/>
        </w:r>
        <w:r w:rsidR="00F36B8F">
          <w:rPr>
            <w:noProof/>
            <w:webHidden/>
          </w:rPr>
          <w:fldChar w:fldCharType="begin"/>
        </w:r>
        <w:r w:rsidR="00F36B8F">
          <w:rPr>
            <w:noProof/>
            <w:webHidden/>
          </w:rPr>
          <w:instrText xml:space="preserve"> PAGEREF _Toc385239386 \h </w:instrText>
        </w:r>
        <w:r w:rsidR="00F36B8F">
          <w:rPr>
            <w:noProof/>
            <w:webHidden/>
          </w:rPr>
        </w:r>
        <w:r w:rsidR="00F36B8F">
          <w:rPr>
            <w:noProof/>
            <w:webHidden/>
          </w:rPr>
          <w:fldChar w:fldCharType="separate"/>
        </w:r>
        <w:r w:rsidR="00255CC9">
          <w:rPr>
            <w:noProof/>
            <w:webHidden/>
          </w:rPr>
          <w:t>61</w:t>
        </w:r>
        <w:r w:rsidR="00F36B8F">
          <w:rPr>
            <w:noProof/>
            <w:webHidden/>
          </w:rPr>
          <w:fldChar w:fldCharType="end"/>
        </w:r>
      </w:hyperlink>
    </w:p>
    <w:p w:rsidR="00F36B8F" w:rsidRDefault="00F57DE9" w:rsidP="00A81AD2">
      <w:pPr>
        <w:pStyle w:val="TOC1"/>
        <w:rPr>
          <w:rFonts w:asciiTheme="minorHAnsi" w:eastAsiaTheme="minorEastAsia" w:hAnsiTheme="minorHAnsi" w:cstheme="minorBidi"/>
          <w:noProof/>
          <w:sz w:val="22"/>
          <w:szCs w:val="22"/>
        </w:rPr>
      </w:pPr>
      <w:hyperlink w:anchor="_Toc385239387" w:history="1">
        <w:r w:rsidR="00F36B8F" w:rsidRPr="00936E2F">
          <w:rPr>
            <w:rStyle w:val="Hyperlink"/>
            <w:noProof/>
          </w:rPr>
          <w:t>30 pav. Subnacionalinio valdžios sektoriaus biudžeto išlaidų dalies valdžios sektoriaus išlaidose ir subnacionalinio valdžios sektoriaus biudžeto skolos dalies valdžios sektoriaus skolos ryšys, proc.</w:t>
        </w:r>
        <w:r w:rsidR="00F36B8F">
          <w:rPr>
            <w:noProof/>
            <w:webHidden/>
          </w:rPr>
          <w:tab/>
        </w:r>
        <w:r w:rsidR="00F36B8F">
          <w:rPr>
            <w:noProof/>
            <w:webHidden/>
          </w:rPr>
          <w:fldChar w:fldCharType="begin"/>
        </w:r>
        <w:r w:rsidR="00F36B8F">
          <w:rPr>
            <w:noProof/>
            <w:webHidden/>
          </w:rPr>
          <w:instrText xml:space="preserve"> PAGEREF _Toc385239387 \h </w:instrText>
        </w:r>
        <w:r w:rsidR="00F36B8F">
          <w:rPr>
            <w:noProof/>
            <w:webHidden/>
          </w:rPr>
        </w:r>
        <w:r w:rsidR="00F36B8F">
          <w:rPr>
            <w:noProof/>
            <w:webHidden/>
          </w:rPr>
          <w:fldChar w:fldCharType="separate"/>
        </w:r>
        <w:r w:rsidR="00255CC9">
          <w:rPr>
            <w:noProof/>
            <w:webHidden/>
          </w:rPr>
          <w:t>62</w:t>
        </w:r>
        <w:r w:rsidR="00F36B8F">
          <w:rPr>
            <w:noProof/>
            <w:webHidden/>
          </w:rPr>
          <w:fldChar w:fldCharType="end"/>
        </w:r>
      </w:hyperlink>
    </w:p>
    <w:p w:rsidR="00F36B8F" w:rsidRDefault="00F57DE9" w:rsidP="00A81AD2">
      <w:pPr>
        <w:pStyle w:val="TOC1"/>
        <w:rPr>
          <w:rFonts w:asciiTheme="minorHAnsi" w:eastAsiaTheme="minorEastAsia" w:hAnsiTheme="minorHAnsi" w:cstheme="minorBidi"/>
          <w:noProof/>
          <w:sz w:val="22"/>
          <w:szCs w:val="22"/>
        </w:rPr>
      </w:pPr>
      <w:hyperlink w:anchor="_Toc385239388" w:history="1">
        <w:r w:rsidR="00F36B8F" w:rsidRPr="00936E2F">
          <w:rPr>
            <w:rStyle w:val="Hyperlink"/>
            <w:noProof/>
          </w:rPr>
          <w:t>31 pav. Socialinės pašalpos gavėjų skaičiaus kitimas Lietuvoje 2008-2012 m., tūkst.</w:t>
        </w:r>
        <w:r w:rsidR="00F36B8F">
          <w:rPr>
            <w:noProof/>
            <w:webHidden/>
          </w:rPr>
          <w:tab/>
        </w:r>
        <w:r w:rsidR="00F36B8F">
          <w:rPr>
            <w:noProof/>
            <w:webHidden/>
          </w:rPr>
          <w:fldChar w:fldCharType="begin"/>
        </w:r>
        <w:r w:rsidR="00F36B8F">
          <w:rPr>
            <w:noProof/>
            <w:webHidden/>
          </w:rPr>
          <w:instrText xml:space="preserve"> PAGEREF _Toc385239388 \h </w:instrText>
        </w:r>
        <w:r w:rsidR="00F36B8F">
          <w:rPr>
            <w:noProof/>
            <w:webHidden/>
          </w:rPr>
        </w:r>
        <w:r w:rsidR="00F36B8F">
          <w:rPr>
            <w:noProof/>
            <w:webHidden/>
          </w:rPr>
          <w:fldChar w:fldCharType="separate"/>
        </w:r>
        <w:r w:rsidR="00255CC9">
          <w:rPr>
            <w:noProof/>
            <w:webHidden/>
          </w:rPr>
          <w:t>64</w:t>
        </w:r>
        <w:r w:rsidR="00F36B8F">
          <w:rPr>
            <w:noProof/>
            <w:webHidden/>
          </w:rPr>
          <w:fldChar w:fldCharType="end"/>
        </w:r>
      </w:hyperlink>
    </w:p>
    <w:p w:rsidR="00F36B8F" w:rsidRDefault="00F57DE9" w:rsidP="00A81AD2">
      <w:pPr>
        <w:pStyle w:val="TOC1"/>
        <w:rPr>
          <w:rFonts w:asciiTheme="minorHAnsi" w:eastAsiaTheme="minorEastAsia" w:hAnsiTheme="minorHAnsi" w:cstheme="minorBidi"/>
          <w:noProof/>
          <w:sz w:val="22"/>
          <w:szCs w:val="22"/>
        </w:rPr>
      </w:pPr>
      <w:hyperlink w:anchor="_Toc385239389" w:history="1">
        <w:r w:rsidR="00F36B8F" w:rsidRPr="00936E2F">
          <w:rPr>
            <w:rStyle w:val="Hyperlink"/>
            <w:noProof/>
          </w:rPr>
          <w:t>32 pav. Išmokų ir gavėjų skaičiaus 1000 gyventojų kitimas 2008-2012 m., (S5 ir S55)</w:t>
        </w:r>
        <w:r w:rsidR="00F36B8F">
          <w:rPr>
            <w:noProof/>
            <w:webHidden/>
          </w:rPr>
          <w:tab/>
        </w:r>
        <w:r w:rsidR="00F36B8F">
          <w:rPr>
            <w:noProof/>
            <w:webHidden/>
          </w:rPr>
          <w:fldChar w:fldCharType="begin"/>
        </w:r>
        <w:r w:rsidR="00F36B8F">
          <w:rPr>
            <w:noProof/>
            <w:webHidden/>
          </w:rPr>
          <w:instrText xml:space="preserve"> PAGEREF _Toc385239389 \h </w:instrText>
        </w:r>
        <w:r w:rsidR="00F36B8F">
          <w:rPr>
            <w:noProof/>
            <w:webHidden/>
          </w:rPr>
        </w:r>
        <w:r w:rsidR="00F36B8F">
          <w:rPr>
            <w:noProof/>
            <w:webHidden/>
          </w:rPr>
          <w:fldChar w:fldCharType="separate"/>
        </w:r>
        <w:r w:rsidR="00255CC9">
          <w:rPr>
            <w:noProof/>
            <w:webHidden/>
          </w:rPr>
          <w:t>64</w:t>
        </w:r>
        <w:r w:rsidR="00F36B8F">
          <w:rPr>
            <w:noProof/>
            <w:webHidden/>
          </w:rPr>
          <w:fldChar w:fldCharType="end"/>
        </w:r>
      </w:hyperlink>
    </w:p>
    <w:p w:rsidR="00F36B8F" w:rsidRDefault="00F57DE9" w:rsidP="00A81AD2">
      <w:pPr>
        <w:pStyle w:val="TOC1"/>
        <w:rPr>
          <w:rFonts w:asciiTheme="minorHAnsi" w:eastAsiaTheme="minorEastAsia" w:hAnsiTheme="minorHAnsi" w:cstheme="minorBidi"/>
          <w:noProof/>
          <w:sz w:val="22"/>
          <w:szCs w:val="22"/>
        </w:rPr>
      </w:pPr>
      <w:hyperlink w:anchor="_Toc385239390" w:history="1">
        <w:r w:rsidR="00F36B8F" w:rsidRPr="00936E2F">
          <w:rPr>
            <w:rStyle w:val="Hyperlink"/>
            <w:noProof/>
          </w:rPr>
          <w:t>33 pav. Socialinių pašalpos vienam sąlyginiam savivaldybės gyventojui sumos litais per</w:t>
        </w:r>
        <w:r w:rsidR="00F36B8F">
          <w:rPr>
            <w:noProof/>
            <w:webHidden/>
          </w:rPr>
          <w:tab/>
        </w:r>
        <w:r w:rsidR="00F36B8F">
          <w:rPr>
            <w:noProof/>
            <w:webHidden/>
          </w:rPr>
          <w:fldChar w:fldCharType="begin"/>
        </w:r>
        <w:r w:rsidR="00F36B8F">
          <w:rPr>
            <w:noProof/>
            <w:webHidden/>
          </w:rPr>
          <w:instrText xml:space="preserve"> PAGEREF _Toc385239390 \h </w:instrText>
        </w:r>
        <w:r w:rsidR="00F36B8F">
          <w:rPr>
            <w:noProof/>
            <w:webHidden/>
          </w:rPr>
        </w:r>
        <w:r w:rsidR="00F36B8F">
          <w:rPr>
            <w:noProof/>
            <w:webHidden/>
          </w:rPr>
          <w:fldChar w:fldCharType="separate"/>
        </w:r>
        <w:r w:rsidR="00255CC9">
          <w:rPr>
            <w:noProof/>
            <w:webHidden/>
          </w:rPr>
          <w:t>65</w:t>
        </w:r>
        <w:r w:rsidR="00F36B8F">
          <w:rPr>
            <w:noProof/>
            <w:webHidden/>
          </w:rPr>
          <w:fldChar w:fldCharType="end"/>
        </w:r>
      </w:hyperlink>
    </w:p>
    <w:p w:rsidR="00F36B8F" w:rsidRDefault="00F57DE9" w:rsidP="00A81AD2">
      <w:pPr>
        <w:pStyle w:val="TOC1"/>
        <w:rPr>
          <w:rFonts w:asciiTheme="minorHAnsi" w:eastAsiaTheme="minorEastAsia" w:hAnsiTheme="minorHAnsi" w:cstheme="minorBidi"/>
          <w:noProof/>
          <w:sz w:val="22"/>
          <w:szCs w:val="22"/>
        </w:rPr>
      </w:pPr>
      <w:hyperlink w:anchor="_Toc385239391" w:history="1">
        <w:r w:rsidR="00F36B8F" w:rsidRPr="00936E2F">
          <w:rPr>
            <w:rStyle w:val="Hyperlink"/>
            <w:noProof/>
          </w:rPr>
          <w:t>mėnesį palyginimas (S5, S55)</w:t>
        </w:r>
        <w:r w:rsidR="00F36B8F">
          <w:rPr>
            <w:noProof/>
            <w:webHidden/>
          </w:rPr>
          <w:tab/>
        </w:r>
        <w:r w:rsidR="00F36B8F">
          <w:rPr>
            <w:noProof/>
            <w:webHidden/>
          </w:rPr>
          <w:fldChar w:fldCharType="begin"/>
        </w:r>
        <w:r w:rsidR="00F36B8F">
          <w:rPr>
            <w:noProof/>
            <w:webHidden/>
          </w:rPr>
          <w:instrText xml:space="preserve"> PAGEREF _Toc385239391 \h </w:instrText>
        </w:r>
        <w:r w:rsidR="00F36B8F">
          <w:rPr>
            <w:noProof/>
            <w:webHidden/>
          </w:rPr>
        </w:r>
        <w:r w:rsidR="00F36B8F">
          <w:rPr>
            <w:noProof/>
            <w:webHidden/>
          </w:rPr>
          <w:fldChar w:fldCharType="separate"/>
        </w:r>
        <w:r w:rsidR="00255CC9">
          <w:rPr>
            <w:noProof/>
            <w:webHidden/>
          </w:rPr>
          <w:t>65</w:t>
        </w:r>
        <w:r w:rsidR="00F36B8F">
          <w:rPr>
            <w:noProof/>
            <w:webHidden/>
          </w:rPr>
          <w:fldChar w:fldCharType="end"/>
        </w:r>
      </w:hyperlink>
    </w:p>
    <w:p w:rsidR="00F36B8F" w:rsidRDefault="00F57DE9" w:rsidP="00A81AD2">
      <w:pPr>
        <w:pStyle w:val="TOC1"/>
        <w:rPr>
          <w:rFonts w:asciiTheme="minorHAnsi" w:eastAsiaTheme="minorEastAsia" w:hAnsiTheme="minorHAnsi" w:cstheme="minorBidi"/>
          <w:noProof/>
          <w:sz w:val="22"/>
          <w:szCs w:val="22"/>
        </w:rPr>
      </w:pPr>
      <w:hyperlink w:anchor="_Toc385239392" w:history="1">
        <w:r w:rsidR="00F36B8F" w:rsidRPr="00936E2F">
          <w:rPr>
            <w:rStyle w:val="Hyperlink"/>
            <w:noProof/>
          </w:rPr>
          <w:t>34 pav. Socialinės pašalpos gavėjų skaičiaus kitimas eksperimentinėse savivaldybėse       2008-2012 m.</w:t>
        </w:r>
        <w:r w:rsidR="00F36B8F">
          <w:rPr>
            <w:noProof/>
            <w:webHidden/>
          </w:rPr>
          <w:tab/>
        </w:r>
        <w:r w:rsidR="00F36B8F">
          <w:rPr>
            <w:noProof/>
            <w:webHidden/>
          </w:rPr>
          <w:fldChar w:fldCharType="begin"/>
        </w:r>
        <w:r w:rsidR="00F36B8F">
          <w:rPr>
            <w:noProof/>
            <w:webHidden/>
          </w:rPr>
          <w:instrText xml:space="preserve"> PAGEREF _Toc385239392 \h </w:instrText>
        </w:r>
        <w:r w:rsidR="00F36B8F">
          <w:rPr>
            <w:noProof/>
            <w:webHidden/>
          </w:rPr>
        </w:r>
        <w:r w:rsidR="00F36B8F">
          <w:rPr>
            <w:noProof/>
            <w:webHidden/>
          </w:rPr>
          <w:fldChar w:fldCharType="separate"/>
        </w:r>
        <w:r w:rsidR="00255CC9">
          <w:rPr>
            <w:noProof/>
            <w:webHidden/>
          </w:rPr>
          <w:t>66</w:t>
        </w:r>
        <w:r w:rsidR="00F36B8F">
          <w:rPr>
            <w:noProof/>
            <w:webHidden/>
          </w:rPr>
          <w:fldChar w:fldCharType="end"/>
        </w:r>
      </w:hyperlink>
    </w:p>
    <w:p w:rsidR="00D55D3A" w:rsidRDefault="00F36B8F" w:rsidP="00A204BB">
      <w:pPr>
        <w:autoSpaceDE w:val="0"/>
        <w:autoSpaceDN w:val="0"/>
        <w:adjustRightInd w:val="0"/>
        <w:spacing w:line="360" w:lineRule="auto"/>
        <w:ind w:firstLine="720"/>
      </w:pPr>
      <w:r>
        <w:fldChar w:fldCharType="end"/>
      </w:r>
    </w:p>
    <w:p w:rsidR="00A204BB" w:rsidRDefault="00A204BB" w:rsidP="00A204BB">
      <w:pPr>
        <w:autoSpaceDE w:val="0"/>
        <w:autoSpaceDN w:val="0"/>
        <w:adjustRightInd w:val="0"/>
        <w:spacing w:line="360" w:lineRule="auto"/>
        <w:ind w:firstLine="720"/>
      </w:pPr>
    </w:p>
    <w:p w:rsidR="00A204BB" w:rsidRDefault="00A204BB" w:rsidP="00A204BB">
      <w:pPr>
        <w:autoSpaceDE w:val="0"/>
        <w:autoSpaceDN w:val="0"/>
        <w:adjustRightInd w:val="0"/>
        <w:spacing w:line="360" w:lineRule="auto"/>
        <w:ind w:firstLine="720"/>
      </w:pPr>
    </w:p>
    <w:p w:rsidR="00A204BB" w:rsidRDefault="00A204BB" w:rsidP="00A204BB">
      <w:pPr>
        <w:autoSpaceDE w:val="0"/>
        <w:autoSpaceDN w:val="0"/>
        <w:adjustRightInd w:val="0"/>
        <w:spacing w:line="360" w:lineRule="auto"/>
        <w:ind w:firstLine="720"/>
      </w:pPr>
    </w:p>
    <w:p w:rsidR="00A204BB" w:rsidRDefault="00A204BB" w:rsidP="00A204BB">
      <w:pPr>
        <w:autoSpaceDE w:val="0"/>
        <w:autoSpaceDN w:val="0"/>
        <w:adjustRightInd w:val="0"/>
        <w:spacing w:line="360" w:lineRule="auto"/>
        <w:ind w:firstLine="720"/>
      </w:pPr>
    </w:p>
    <w:p w:rsidR="00A204BB" w:rsidRDefault="00A204BB" w:rsidP="00A204BB">
      <w:pPr>
        <w:autoSpaceDE w:val="0"/>
        <w:autoSpaceDN w:val="0"/>
        <w:adjustRightInd w:val="0"/>
        <w:spacing w:line="360" w:lineRule="auto"/>
        <w:ind w:firstLine="720"/>
      </w:pPr>
    </w:p>
    <w:p w:rsidR="00A204BB" w:rsidRDefault="00A204BB" w:rsidP="00A204BB">
      <w:pPr>
        <w:autoSpaceDE w:val="0"/>
        <w:autoSpaceDN w:val="0"/>
        <w:adjustRightInd w:val="0"/>
        <w:spacing w:line="360" w:lineRule="auto"/>
        <w:ind w:firstLine="720"/>
      </w:pPr>
    </w:p>
    <w:p w:rsidR="00A204BB" w:rsidRDefault="00A204BB" w:rsidP="00A204BB">
      <w:pPr>
        <w:autoSpaceDE w:val="0"/>
        <w:autoSpaceDN w:val="0"/>
        <w:adjustRightInd w:val="0"/>
        <w:spacing w:line="360" w:lineRule="auto"/>
        <w:ind w:firstLine="720"/>
      </w:pPr>
    </w:p>
    <w:p w:rsidR="00A204BB" w:rsidRDefault="00A204BB" w:rsidP="00A204BB">
      <w:pPr>
        <w:autoSpaceDE w:val="0"/>
        <w:autoSpaceDN w:val="0"/>
        <w:adjustRightInd w:val="0"/>
        <w:spacing w:line="360" w:lineRule="auto"/>
        <w:ind w:firstLine="720"/>
      </w:pPr>
    </w:p>
    <w:p w:rsidR="00A204BB" w:rsidRDefault="00A204BB" w:rsidP="00A204BB">
      <w:pPr>
        <w:autoSpaceDE w:val="0"/>
        <w:autoSpaceDN w:val="0"/>
        <w:adjustRightInd w:val="0"/>
        <w:spacing w:line="360" w:lineRule="auto"/>
        <w:ind w:firstLine="720"/>
      </w:pPr>
    </w:p>
    <w:p w:rsidR="00A204BB" w:rsidRDefault="00A204BB" w:rsidP="00A204BB">
      <w:pPr>
        <w:autoSpaceDE w:val="0"/>
        <w:autoSpaceDN w:val="0"/>
        <w:adjustRightInd w:val="0"/>
        <w:spacing w:line="360" w:lineRule="auto"/>
        <w:ind w:firstLine="720"/>
      </w:pPr>
    </w:p>
    <w:p w:rsidR="00A204BB" w:rsidRDefault="00A204BB" w:rsidP="00A204BB">
      <w:pPr>
        <w:autoSpaceDE w:val="0"/>
        <w:autoSpaceDN w:val="0"/>
        <w:adjustRightInd w:val="0"/>
        <w:spacing w:line="360" w:lineRule="auto"/>
        <w:ind w:firstLine="720"/>
      </w:pPr>
    </w:p>
    <w:p w:rsidR="00A204BB" w:rsidRDefault="00A204BB" w:rsidP="00A204BB">
      <w:pPr>
        <w:autoSpaceDE w:val="0"/>
        <w:autoSpaceDN w:val="0"/>
        <w:adjustRightInd w:val="0"/>
        <w:spacing w:line="360" w:lineRule="auto"/>
        <w:ind w:firstLine="720"/>
      </w:pPr>
    </w:p>
    <w:p w:rsidR="00A204BB" w:rsidRDefault="00A204BB" w:rsidP="00A204BB">
      <w:pPr>
        <w:autoSpaceDE w:val="0"/>
        <w:autoSpaceDN w:val="0"/>
        <w:adjustRightInd w:val="0"/>
        <w:spacing w:line="360" w:lineRule="auto"/>
        <w:ind w:firstLine="720"/>
      </w:pPr>
    </w:p>
    <w:p w:rsidR="00A204BB" w:rsidRDefault="00A204BB" w:rsidP="00A204BB">
      <w:pPr>
        <w:autoSpaceDE w:val="0"/>
        <w:autoSpaceDN w:val="0"/>
        <w:adjustRightInd w:val="0"/>
        <w:spacing w:line="360" w:lineRule="auto"/>
        <w:ind w:firstLine="720"/>
      </w:pPr>
    </w:p>
    <w:p w:rsidR="00A204BB" w:rsidRDefault="00A204BB" w:rsidP="00A204BB">
      <w:pPr>
        <w:autoSpaceDE w:val="0"/>
        <w:autoSpaceDN w:val="0"/>
        <w:adjustRightInd w:val="0"/>
        <w:spacing w:line="360" w:lineRule="auto"/>
        <w:ind w:firstLine="720"/>
      </w:pPr>
    </w:p>
    <w:p w:rsidR="00A204BB" w:rsidRPr="00A81AD2" w:rsidRDefault="00A81AD2" w:rsidP="00A81AD2">
      <w:pPr>
        <w:autoSpaceDE w:val="0"/>
        <w:autoSpaceDN w:val="0"/>
        <w:adjustRightInd w:val="0"/>
        <w:spacing w:line="360" w:lineRule="auto"/>
        <w:ind w:firstLine="720"/>
        <w:jc w:val="center"/>
        <w:rPr>
          <w:b/>
        </w:rPr>
      </w:pPr>
      <w:r w:rsidRPr="00A81AD2">
        <w:rPr>
          <w:b/>
        </w:rPr>
        <w:lastRenderedPageBreak/>
        <w:t>SANTRUMPOS</w:t>
      </w:r>
    </w:p>
    <w:p w:rsidR="00A204BB" w:rsidRDefault="00A204BB" w:rsidP="00A204BB">
      <w:pPr>
        <w:autoSpaceDE w:val="0"/>
        <w:autoSpaceDN w:val="0"/>
        <w:adjustRightInd w:val="0"/>
        <w:spacing w:line="360" w:lineRule="auto"/>
        <w:ind w:firstLine="720"/>
      </w:pPr>
    </w:p>
    <w:p w:rsidR="00255CC9" w:rsidRDefault="00255CC9" w:rsidP="00255CC9">
      <w:pPr>
        <w:autoSpaceDE w:val="0"/>
        <w:autoSpaceDN w:val="0"/>
        <w:adjustRightInd w:val="0"/>
        <w:spacing w:line="360" w:lineRule="auto"/>
        <w:ind w:firstLine="720"/>
      </w:pPr>
      <w:r>
        <w:t>EU27</w:t>
      </w:r>
      <w:r w:rsidR="005445F7">
        <w:t xml:space="preserve"> – Europos Sąjungos šalys narės</w:t>
      </w:r>
    </w:p>
    <w:p w:rsidR="00255CC9" w:rsidRDefault="00255CC9" w:rsidP="00255CC9">
      <w:pPr>
        <w:autoSpaceDE w:val="0"/>
        <w:autoSpaceDN w:val="0"/>
        <w:adjustRightInd w:val="0"/>
        <w:spacing w:line="360" w:lineRule="auto"/>
        <w:ind w:firstLine="720"/>
      </w:pPr>
      <w:r>
        <w:t>LT - Lietuva</w:t>
      </w:r>
    </w:p>
    <w:p w:rsidR="00255CC9" w:rsidRDefault="00255CC9" w:rsidP="00255CC9">
      <w:pPr>
        <w:autoSpaceDE w:val="0"/>
        <w:autoSpaceDN w:val="0"/>
        <w:adjustRightInd w:val="0"/>
        <w:spacing w:line="360" w:lineRule="auto"/>
        <w:ind w:firstLine="720"/>
      </w:pPr>
      <w:r>
        <w:t>BE -Belgija</w:t>
      </w:r>
    </w:p>
    <w:p w:rsidR="00255CC9" w:rsidRDefault="00255CC9" w:rsidP="00255CC9">
      <w:pPr>
        <w:autoSpaceDE w:val="0"/>
        <w:autoSpaceDN w:val="0"/>
        <w:adjustRightInd w:val="0"/>
        <w:spacing w:line="360" w:lineRule="auto"/>
        <w:ind w:firstLine="720"/>
      </w:pPr>
      <w:r>
        <w:t>BG - Bulgarija</w:t>
      </w:r>
    </w:p>
    <w:p w:rsidR="00255CC9" w:rsidRDefault="00255CC9" w:rsidP="00255CC9">
      <w:pPr>
        <w:autoSpaceDE w:val="0"/>
        <w:autoSpaceDN w:val="0"/>
        <w:adjustRightInd w:val="0"/>
        <w:spacing w:line="360" w:lineRule="auto"/>
        <w:ind w:firstLine="720"/>
      </w:pPr>
      <w:r>
        <w:t>CZ - Čekija</w:t>
      </w:r>
    </w:p>
    <w:p w:rsidR="00255CC9" w:rsidRDefault="00255CC9" w:rsidP="00255CC9">
      <w:pPr>
        <w:autoSpaceDE w:val="0"/>
        <w:autoSpaceDN w:val="0"/>
        <w:adjustRightInd w:val="0"/>
        <w:spacing w:line="360" w:lineRule="auto"/>
        <w:ind w:firstLine="720"/>
      </w:pPr>
      <w:r>
        <w:t>DK - Danija</w:t>
      </w:r>
    </w:p>
    <w:p w:rsidR="00255CC9" w:rsidRDefault="00255CC9" w:rsidP="00255CC9">
      <w:pPr>
        <w:autoSpaceDE w:val="0"/>
        <w:autoSpaceDN w:val="0"/>
        <w:adjustRightInd w:val="0"/>
        <w:spacing w:line="360" w:lineRule="auto"/>
        <w:ind w:firstLine="720"/>
      </w:pPr>
      <w:r>
        <w:t>DE - Vokietija</w:t>
      </w:r>
    </w:p>
    <w:p w:rsidR="00255CC9" w:rsidRDefault="00255CC9" w:rsidP="00255CC9">
      <w:pPr>
        <w:autoSpaceDE w:val="0"/>
        <w:autoSpaceDN w:val="0"/>
        <w:adjustRightInd w:val="0"/>
        <w:spacing w:line="360" w:lineRule="auto"/>
        <w:ind w:firstLine="720"/>
      </w:pPr>
      <w:r>
        <w:t>EE - Estija</w:t>
      </w:r>
    </w:p>
    <w:p w:rsidR="00255CC9" w:rsidRDefault="00255CC9" w:rsidP="00255CC9">
      <w:pPr>
        <w:autoSpaceDE w:val="0"/>
        <w:autoSpaceDN w:val="0"/>
        <w:adjustRightInd w:val="0"/>
        <w:spacing w:line="360" w:lineRule="auto"/>
        <w:ind w:firstLine="720"/>
      </w:pPr>
      <w:r>
        <w:t>IE - Airija</w:t>
      </w:r>
    </w:p>
    <w:p w:rsidR="00255CC9" w:rsidRDefault="00255CC9" w:rsidP="00255CC9">
      <w:pPr>
        <w:autoSpaceDE w:val="0"/>
        <w:autoSpaceDN w:val="0"/>
        <w:adjustRightInd w:val="0"/>
        <w:spacing w:line="360" w:lineRule="auto"/>
        <w:ind w:firstLine="720"/>
      </w:pPr>
      <w:r>
        <w:t>EL - Graikija</w:t>
      </w:r>
    </w:p>
    <w:p w:rsidR="00255CC9" w:rsidRDefault="00255CC9" w:rsidP="00255CC9">
      <w:pPr>
        <w:autoSpaceDE w:val="0"/>
        <w:autoSpaceDN w:val="0"/>
        <w:adjustRightInd w:val="0"/>
        <w:spacing w:line="360" w:lineRule="auto"/>
        <w:ind w:firstLine="720"/>
      </w:pPr>
      <w:r>
        <w:t>ES - Ispanija</w:t>
      </w:r>
    </w:p>
    <w:p w:rsidR="00255CC9" w:rsidRDefault="00255CC9" w:rsidP="00255CC9">
      <w:pPr>
        <w:autoSpaceDE w:val="0"/>
        <w:autoSpaceDN w:val="0"/>
        <w:adjustRightInd w:val="0"/>
        <w:spacing w:line="360" w:lineRule="auto"/>
        <w:ind w:firstLine="720"/>
      </w:pPr>
      <w:r>
        <w:t>FR - Prancūzija</w:t>
      </w:r>
    </w:p>
    <w:p w:rsidR="00255CC9" w:rsidRDefault="00255CC9" w:rsidP="00255CC9">
      <w:pPr>
        <w:autoSpaceDE w:val="0"/>
        <w:autoSpaceDN w:val="0"/>
        <w:adjustRightInd w:val="0"/>
        <w:spacing w:line="360" w:lineRule="auto"/>
        <w:ind w:firstLine="720"/>
      </w:pPr>
      <w:r>
        <w:t>IT - Italija</w:t>
      </w:r>
    </w:p>
    <w:p w:rsidR="00255CC9" w:rsidRDefault="00255CC9" w:rsidP="00255CC9">
      <w:pPr>
        <w:autoSpaceDE w:val="0"/>
        <w:autoSpaceDN w:val="0"/>
        <w:adjustRightInd w:val="0"/>
        <w:spacing w:line="360" w:lineRule="auto"/>
        <w:ind w:firstLine="720"/>
      </w:pPr>
      <w:r>
        <w:t>CY - Kipras</w:t>
      </w:r>
    </w:p>
    <w:p w:rsidR="00255CC9" w:rsidRDefault="00255CC9" w:rsidP="00255CC9">
      <w:pPr>
        <w:autoSpaceDE w:val="0"/>
        <w:autoSpaceDN w:val="0"/>
        <w:adjustRightInd w:val="0"/>
        <w:spacing w:line="360" w:lineRule="auto"/>
        <w:ind w:firstLine="720"/>
      </w:pPr>
      <w:r>
        <w:t>LV - Latvija</w:t>
      </w:r>
    </w:p>
    <w:p w:rsidR="00255CC9" w:rsidRDefault="00255CC9" w:rsidP="00255CC9">
      <w:pPr>
        <w:autoSpaceDE w:val="0"/>
        <w:autoSpaceDN w:val="0"/>
        <w:adjustRightInd w:val="0"/>
        <w:spacing w:line="360" w:lineRule="auto"/>
        <w:ind w:firstLine="720"/>
      </w:pPr>
      <w:r>
        <w:t>LU - Liuksemburgas</w:t>
      </w:r>
    </w:p>
    <w:p w:rsidR="00255CC9" w:rsidRDefault="00255CC9" w:rsidP="00255CC9">
      <w:pPr>
        <w:autoSpaceDE w:val="0"/>
        <w:autoSpaceDN w:val="0"/>
        <w:adjustRightInd w:val="0"/>
        <w:spacing w:line="360" w:lineRule="auto"/>
        <w:ind w:firstLine="720"/>
      </w:pPr>
      <w:r>
        <w:t>HU - Vengrija</w:t>
      </w:r>
    </w:p>
    <w:p w:rsidR="00255CC9" w:rsidRDefault="00255CC9" w:rsidP="00255CC9">
      <w:pPr>
        <w:autoSpaceDE w:val="0"/>
        <w:autoSpaceDN w:val="0"/>
        <w:adjustRightInd w:val="0"/>
        <w:spacing w:line="360" w:lineRule="auto"/>
        <w:ind w:firstLine="720"/>
      </w:pPr>
      <w:r>
        <w:t>MT- Malta</w:t>
      </w:r>
    </w:p>
    <w:p w:rsidR="00255CC9" w:rsidRDefault="00255CC9" w:rsidP="00255CC9">
      <w:pPr>
        <w:autoSpaceDE w:val="0"/>
        <w:autoSpaceDN w:val="0"/>
        <w:adjustRightInd w:val="0"/>
        <w:spacing w:line="360" w:lineRule="auto"/>
        <w:ind w:firstLine="720"/>
      </w:pPr>
      <w:r>
        <w:t>NL - Nyderlandai</w:t>
      </w:r>
    </w:p>
    <w:p w:rsidR="00255CC9" w:rsidRDefault="00255CC9" w:rsidP="00255CC9">
      <w:pPr>
        <w:autoSpaceDE w:val="0"/>
        <w:autoSpaceDN w:val="0"/>
        <w:adjustRightInd w:val="0"/>
        <w:spacing w:line="360" w:lineRule="auto"/>
        <w:ind w:firstLine="720"/>
      </w:pPr>
      <w:r>
        <w:t>AT - Austrija</w:t>
      </w:r>
    </w:p>
    <w:p w:rsidR="00255CC9" w:rsidRDefault="00255CC9" w:rsidP="00255CC9">
      <w:pPr>
        <w:autoSpaceDE w:val="0"/>
        <w:autoSpaceDN w:val="0"/>
        <w:adjustRightInd w:val="0"/>
        <w:spacing w:line="360" w:lineRule="auto"/>
        <w:ind w:firstLine="720"/>
      </w:pPr>
      <w:r>
        <w:t>PL - Lenkija</w:t>
      </w:r>
    </w:p>
    <w:p w:rsidR="00255CC9" w:rsidRDefault="00255CC9" w:rsidP="00255CC9">
      <w:pPr>
        <w:autoSpaceDE w:val="0"/>
        <w:autoSpaceDN w:val="0"/>
        <w:adjustRightInd w:val="0"/>
        <w:spacing w:line="360" w:lineRule="auto"/>
        <w:ind w:firstLine="720"/>
      </w:pPr>
      <w:r>
        <w:t>PT - Portugalija</w:t>
      </w:r>
    </w:p>
    <w:p w:rsidR="00255CC9" w:rsidRDefault="00255CC9" w:rsidP="00255CC9">
      <w:pPr>
        <w:autoSpaceDE w:val="0"/>
        <w:autoSpaceDN w:val="0"/>
        <w:adjustRightInd w:val="0"/>
        <w:spacing w:line="360" w:lineRule="auto"/>
        <w:ind w:firstLine="720"/>
      </w:pPr>
      <w:r>
        <w:t>RO - Rumunija</w:t>
      </w:r>
    </w:p>
    <w:p w:rsidR="00255CC9" w:rsidRDefault="00255CC9" w:rsidP="00255CC9">
      <w:pPr>
        <w:autoSpaceDE w:val="0"/>
        <w:autoSpaceDN w:val="0"/>
        <w:adjustRightInd w:val="0"/>
        <w:spacing w:line="360" w:lineRule="auto"/>
        <w:ind w:firstLine="720"/>
      </w:pPr>
      <w:r>
        <w:t>SI</w:t>
      </w:r>
      <w:r w:rsidR="005445F7">
        <w:t xml:space="preserve"> - Slovėnija</w:t>
      </w:r>
    </w:p>
    <w:p w:rsidR="00255CC9" w:rsidRDefault="00255CC9" w:rsidP="00255CC9">
      <w:pPr>
        <w:autoSpaceDE w:val="0"/>
        <w:autoSpaceDN w:val="0"/>
        <w:adjustRightInd w:val="0"/>
        <w:spacing w:line="360" w:lineRule="auto"/>
        <w:ind w:firstLine="720"/>
      </w:pPr>
      <w:r>
        <w:t>SK</w:t>
      </w:r>
      <w:r w:rsidR="005445F7">
        <w:t xml:space="preserve"> - Slovakija</w:t>
      </w:r>
    </w:p>
    <w:p w:rsidR="00255CC9" w:rsidRDefault="00255CC9" w:rsidP="00255CC9">
      <w:pPr>
        <w:autoSpaceDE w:val="0"/>
        <w:autoSpaceDN w:val="0"/>
        <w:adjustRightInd w:val="0"/>
        <w:spacing w:line="360" w:lineRule="auto"/>
        <w:ind w:firstLine="720"/>
      </w:pPr>
      <w:r>
        <w:t>FI</w:t>
      </w:r>
      <w:r w:rsidR="005445F7">
        <w:t xml:space="preserve"> - Suomija</w:t>
      </w:r>
    </w:p>
    <w:p w:rsidR="00255CC9" w:rsidRDefault="00255CC9" w:rsidP="00255CC9">
      <w:pPr>
        <w:autoSpaceDE w:val="0"/>
        <w:autoSpaceDN w:val="0"/>
        <w:adjustRightInd w:val="0"/>
        <w:spacing w:line="360" w:lineRule="auto"/>
        <w:ind w:firstLine="720"/>
      </w:pPr>
      <w:r>
        <w:t>SE</w:t>
      </w:r>
      <w:r w:rsidR="005445F7">
        <w:t xml:space="preserve"> - Švedija</w:t>
      </w:r>
    </w:p>
    <w:p w:rsidR="00255CC9" w:rsidRDefault="00255CC9" w:rsidP="00255CC9">
      <w:pPr>
        <w:autoSpaceDE w:val="0"/>
        <w:autoSpaceDN w:val="0"/>
        <w:adjustRightInd w:val="0"/>
        <w:spacing w:line="360" w:lineRule="auto"/>
        <w:ind w:firstLine="720"/>
      </w:pPr>
      <w:r>
        <w:t>UK</w:t>
      </w:r>
      <w:r w:rsidR="005445F7">
        <w:t xml:space="preserve"> – Jungtinė Karalystė</w:t>
      </w:r>
    </w:p>
    <w:p w:rsidR="00A204BB" w:rsidRDefault="00A204BB" w:rsidP="00A204BB">
      <w:pPr>
        <w:autoSpaceDE w:val="0"/>
        <w:autoSpaceDN w:val="0"/>
        <w:adjustRightInd w:val="0"/>
        <w:spacing w:line="360" w:lineRule="auto"/>
        <w:ind w:firstLine="720"/>
      </w:pPr>
    </w:p>
    <w:p w:rsidR="00A204BB" w:rsidRDefault="00A204BB" w:rsidP="00A204BB">
      <w:pPr>
        <w:autoSpaceDE w:val="0"/>
        <w:autoSpaceDN w:val="0"/>
        <w:adjustRightInd w:val="0"/>
        <w:spacing w:line="360" w:lineRule="auto"/>
        <w:ind w:firstLine="720"/>
      </w:pPr>
    </w:p>
    <w:p w:rsidR="006F44C6" w:rsidRDefault="006F44C6" w:rsidP="00D55D3A">
      <w:pPr>
        <w:autoSpaceDE w:val="0"/>
        <w:autoSpaceDN w:val="0"/>
        <w:adjustRightInd w:val="0"/>
        <w:spacing w:line="360" w:lineRule="auto"/>
        <w:rPr>
          <w:b/>
        </w:rPr>
      </w:pPr>
    </w:p>
    <w:p w:rsidR="00825A49" w:rsidRPr="00825A49" w:rsidRDefault="00825A49" w:rsidP="00825A49">
      <w:pPr>
        <w:autoSpaceDE w:val="0"/>
        <w:autoSpaceDN w:val="0"/>
        <w:adjustRightInd w:val="0"/>
        <w:spacing w:line="360" w:lineRule="auto"/>
        <w:ind w:firstLine="720"/>
        <w:jc w:val="center"/>
        <w:rPr>
          <w:b/>
        </w:rPr>
      </w:pPr>
      <w:r w:rsidRPr="00825A49">
        <w:rPr>
          <w:b/>
        </w:rPr>
        <w:lastRenderedPageBreak/>
        <w:t>ĮVADAS</w:t>
      </w:r>
    </w:p>
    <w:p w:rsidR="00825A49" w:rsidRDefault="00825A49" w:rsidP="0096508C">
      <w:pPr>
        <w:autoSpaceDE w:val="0"/>
        <w:autoSpaceDN w:val="0"/>
        <w:adjustRightInd w:val="0"/>
        <w:spacing w:line="360" w:lineRule="auto"/>
        <w:ind w:firstLine="720"/>
        <w:jc w:val="both"/>
      </w:pPr>
    </w:p>
    <w:p w:rsidR="002C6E5A" w:rsidRDefault="00307673" w:rsidP="0096508C">
      <w:pPr>
        <w:autoSpaceDE w:val="0"/>
        <w:autoSpaceDN w:val="0"/>
        <w:adjustRightInd w:val="0"/>
        <w:spacing w:line="360" w:lineRule="auto"/>
        <w:ind w:firstLine="720"/>
        <w:jc w:val="both"/>
        <w:rPr>
          <w:lang w:val="lt-LT" w:eastAsia="lt-LT"/>
        </w:rPr>
      </w:pPr>
      <w:proofErr w:type="gramStart"/>
      <w:r w:rsidRPr="0096508C">
        <w:t>Pastarai</w:t>
      </w:r>
      <w:r w:rsidR="007E14FC" w:rsidRPr="0096508C">
        <w:t>siais</w:t>
      </w:r>
      <w:r w:rsidR="007E14FC" w:rsidRPr="0096508C">
        <w:rPr>
          <w:color w:val="FFFFFF"/>
        </w:rPr>
        <w:t>_</w:t>
      </w:r>
      <w:r w:rsidR="008972D3" w:rsidRPr="0096508C">
        <w:t>dešimtmečiais pasaulyje išryškė</w:t>
      </w:r>
      <w:r w:rsidRPr="0096508C">
        <w:t>jo decentralizacijos tendencija</w:t>
      </w:r>
      <w:r w:rsidR="008972D3" w:rsidRPr="0096508C">
        <w:t>, besireiš</w:t>
      </w:r>
      <w:r w:rsidRPr="0096508C">
        <w:t>kiant</w:t>
      </w:r>
      <w:r w:rsidR="008972D3" w:rsidRPr="0096508C">
        <w:t>i tiek ir besivystančiose ar išsivysč</w:t>
      </w:r>
      <w:r w:rsidRPr="0096508C">
        <w:t>iusiose</w:t>
      </w:r>
      <w:r w:rsidR="008972D3" w:rsidRPr="0096508C">
        <w:t xml:space="preserve"> valstybėse.</w:t>
      </w:r>
      <w:proofErr w:type="gramEnd"/>
      <w:r w:rsidR="008972D3" w:rsidRPr="0096508C">
        <w:t xml:space="preserve"> </w:t>
      </w:r>
      <w:proofErr w:type="gramStart"/>
      <w:r w:rsidR="008972D3" w:rsidRPr="0096508C">
        <w:t>Nors XX a. daugelio šalių valstybės valdžia atliko didžiulį vaidmenį</w:t>
      </w:r>
      <w:r w:rsidRPr="0096508C">
        <w:t xml:space="preserve"> visose</w:t>
      </w:r>
      <w:r w:rsidR="008972D3" w:rsidRPr="0096508C">
        <w:t xml:space="preserve"> viešojo valdymo srityse, jau amžiaus antrojoje pusėje</w:t>
      </w:r>
      <w:r w:rsidR="007E14FC" w:rsidRPr="0096508C">
        <w:rPr>
          <w:color w:val="FFFFFF"/>
        </w:rPr>
        <w:t>_</w:t>
      </w:r>
      <w:r w:rsidR="008972D3" w:rsidRPr="0096508C">
        <w:t>tikėjimas didelės valstybė</w:t>
      </w:r>
      <w:r w:rsidRPr="0096508C">
        <w:t>s</w:t>
      </w:r>
      <w:r w:rsidR="008972D3" w:rsidRPr="0096508C">
        <w:t xml:space="preserve"> valdžios pranašumais pradeda blė</w:t>
      </w:r>
      <w:r w:rsidRPr="0096508C">
        <w:t>sti.</w:t>
      </w:r>
      <w:proofErr w:type="gramEnd"/>
      <w:r w:rsidR="007E14FC" w:rsidRPr="0096508C">
        <w:rPr>
          <w:lang w:val="lt-LT" w:eastAsia="lt-LT"/>
        </w:rPr>
        <w:t xml:space="preserve"> </w:t>
      </w:r>
    </w:p>
    <w:p w:rsidR="002C6E5A" w:rsidRDefault="002C6E5A" w:rsidP="0096508C">
      <w:pPr>
        <w:autoSpaceDE w:val="0"/>
        <w:autoSpaceDN w:val="0"/>
        <w:adjustRightInd w:val="0"/>
        <w:spacing w:line="360" w:lineRule="auto"/>
        <w:ind w:firstLine="720"/>
        <w:jc w:val="both"/>
        <w:rPr>
          <w:lang w:val="lt-LT"/>
        </w:rPr>
      </w:pPr>
      <w:r>
        <w:rPr>
          <w:lang w:val="lt-LT" w:eastAsia="lt-LT"/>
        </w:rPr>
        <w:t xml:space="preserve">Ratifikavus </w:t>
      </w:r>
      <w:r w:rsidRPr="002C6E5A">
        <w:rPr>
          <w:lang w:val="lt-LT" w:eastAsia="lt-LT"/>
        </w:rPr>
        <w:t xml:space="preserve">Europos vietos savivaldos chartiją </w:t>
      </w:r>
      <w:r>
        <w:rPr>
          <w:lang w:val="lt-LT" w:eastAsia="lt-LT"/>
        </w:rPr>
        <w:t xml:space="preserve">Lietuva </w:t>
      </w:r>
      <w:r w:rsidRPr="002C6E5A">
        <w:rPr>
          <w:lang w:val="lt-LT" w:eastAsia="lt-LT"/>
        </w:rPr>
        <w:t>į</w:t>
      </w:r>
      <w:r>
        <w:rPr>
          <w:lang w:val="lt-LT" w:eastAsia="lt-LT"/>
        </w:rPr>
        <w:t>sipareigojo</w:t>
      </w:r>
      <w:r w:rsidRPr="002C6E5A">
        <w:rPr>
          <w:lang w:val="lt-LT" w:eastAsia="lt-LT"/>
        </w:rPr>
        <w:t xml:space="preserve"> suderinti vietos savivaldą reguliuojančius įstatymus su chartijos nuostatomis ir laikytis visų joje įtvirtintų principinių reikalavimų. Chartijos ratifikavimas neabejotinai buvo teigiamas žingsnis plėtojant demokratiją, įgyvendinant decentralizacijos ir subsidarumo principus Lietuvoje. ES aiškiai deklaruoja savo palankumą regionų ar vietos savivaldai</w:t>
      </w:r>
      <w:r>
        <w:rPr>
          <w:lang w:val="lt-LT" w:eastAsia="lt-LT"/>
        </w:rPr>
        <w:t>.</w:t>
      </w:r>
      <w:r w:rsidRPr="002C6E5A">
        <w:rPr>
          <w:lang w:val="lt-LT" w:eastAsia="lt-LT"/>
        </w:rPr>
        <w:t xml:space="preserve"> </w:t>
      </w:r>
      <w:r>
        <w:rPr>
          <w:lang w:val="lt-LT" w:eastAsia="lt-LT"/>
        </w:rPr>
        <w:t xml:space="preserve">Lietuvai </w:t>
      </w:r>
      <w:r w:rsidRPr="002C6E5A">
        <w:rPr>
          <w:lang w:val="lt-LT" w:eastAsia="lt-LT"/>
        </w:rPr>
        <w:t>Valstybės valdymo decentralizacijos procesai, vykstantys šiuolaikinės demokratijos šalyse, yra svarbus veiksnys plėtojant demokratiją ir didinant ekonomikos efektyvumą. Šie procesai ekonominėje srityje įgauna vadinamąją fiskalinės decentralizacijos formą.</w:t>
      </w:r>
      <w:r>
        <w:rPr>
          <w:lang w:val="lt-LT" w:eastAsia="lt-LT"/>
        </w:rPr>
        <w:t xml:space="preserve"> </w:t>
      </w:r>
      <w:r w:rsidR="007E14FC" w:rsidRPr="0096508C">
        <w:rPr>
          <w:lang w:val="lt-LT" w:eastAsia="lt-LT"/>
        </w:rPr>
        <w:t>Viešojo sektoriaus</w:t>
      </w:r>
      <w:r w:rsidR="007E14FC" w:rsidRPr="0096508C">
        <w:rPr>
          <w:color w:val="FFFFFF"/>
          <w:lang w:val="lt-LT" w:eastAsia="lt-LT"/>
        </w:rPr>
        <w:t>-</w:t>
      </w:r>
      <w:r w:rsidR="007E14FC" w:rsidRPr="0096508C">
        <w:rPr>
          <w:lang w:val="lt-LT" w:eastAsia="lt-LT"/>
        </w:rPr>
        <w:t>ekonomikoje vykdoma</w:t>
      </w:r>
      <w:r w:rsidR="007E14FC" w:rsidRPr="0096508C">
        <w:rPr>
          <w:color w:val="FFFFFF"/>
          <w:lang w:val="lt-LT" w:eastAsia="lt-LT"/>
        </w:rPr>
        <w:t xml:space="preserve"> </w:t>
      </w:r>
      <w:r w:rsidR="007E14FC" w:rsidRPr="0096508C">
        <w:rPr>
          <w:lang w:val="lt-LT" w:eastAsia="lt-LT"/>
        </w:rPr>
        <w:t>decentralizacija įgavo fiskalinės decentralizacijos, išreiškiančios finansinį savarankiškumą, formą.</w:t>
      </w:r>
      <w:r w:rsidR="00ED0A1C" w:rsidRPr="0096508C">
        <w:rPr>
          <w:lang w:val="lt-LT"/>
        </w:rPr>
        <w:t xml:space="preserve"> </w:t>
      </w:r>
      <w:r w:rsidR="007C5682">
        <w:rPr>
          <w:lang w:val="lt-LT"/>
        </w:rPr>
        <w:t>Kaip teigia Oates (1993</w:t>
      </w:r>
      <w:r w:rsidR="00ED0A1C" w:rsidRPr="0096508C">
        <w:rPr>
          <w:lang w:val="lt-LT"/>
        </w:rPr>
        <w:t>) fiskalinė decentralizacija didina vyriausybės efektyvumą ir skatina ekonomikos plėtrą.</w:t>
      </w:r>
      <w:r w:rsidR="00730FAC">
        <w:rPr>
          <w:lang w:val="lt-LT"/>
        </w:rPr>
        <w:t xml:space="preserve"> </w:t>
      </w:r>
    </w:p>
    <w:p w:rsidR="00ED0A1C" w:rsidRPr="0096508C" w:rsidRDefault="004168AD" w:rsidP="0096508C">
      <w:pPr>
        <w:autoSpaceDE w:val="0"/>
        <w:autoSpaceDN w:val="0"/>
        <w:adjustRightInd w:val="0"/>
        <w:spacing w:line="360" w:lineRule="auto"/>
        <w:ind w:firstLine="720"/>
        <w:jc w:val="both"/>
        <w:rPr>
          <w:color w:val="000000"/>
          <w:lang w:val="lt-LT"/>
        </w:rPr>
      </w:pPr>
      <w:r w:rsidRPr="0096508C">
        <w:rPr>
          <w:b/>
          <w:color w:val="000000"/>
          <w:lang w:val="lt-LT"/>
        </w:rPr>
        <w:t>Temos</w:t>
      </w:r>
      <w:r w:rsidR="00C84672" w:rsidRPr="0096508C">
        <w:rPr>
          <w:b/>
          <w:color w:val="000000"/>
          <w:lang w:val="lt-LT"/>
        </w:rPr>
        <w:t xml:space="preserve"> aktualumas</w:t>
      </w:r>
      <w:r w:rsidR="00C84672" w:rsidRPr="0096508C">
        <w:rPr>
          <w:color w:val="000000"/>
          <w:lang w:val="lt-LT"/>
        </w:rPr>
        <w:t>.</w:t>
      </w:r>
      <w:r w:rsidRPr="0096508C">
        <w:rPr>
          <w:color w:val="000000"/>
          <w:lang w:val="lt-LT"/>
        </w:rPr>
        <w:t xml:space="preserve"> </w:t>
      </w:r>
      <w:r w:rsidRPr="0096508C">
        <w:rPr>
          <w:lang w:val="lt-LT" w:eastAsia="lt-LT"/>
        </w:rPr>
        <w:t>Lietuvai atkūrus nepriklausomybę ir pasikeitus socialinei bei ekonominei sistemai, iškilo būtinybė reformuoti teritorijos administracinį suskirstymą ir įtvirtinti naujas</w:t>
      </w:r>
      <w:r w:rsidRPr="0096508C">
        <w:rPr>
          <w:color w:val="FFFFFF"/>
          <w:lang w:val="lt-LT" w:eastAsia="lt-LT"/>
        </w:rPr>
        <w:t xml:space="preserve">. </w:t>
      </w:r>
      <w:r w:rsidRPr="0096508C">
        <w:rPr>
          <w:lang w:val="lt-LT" w:eastAsia="lt-LT"/>
        </w:rPr>
        <w:t>teritorinės savivaldos</w:t>
      </w:r>
      <w:r w:rsidRPr="0096508C">
        <w:rPr>
          <w:color w:val="FFFFFF"/>
          <w:lang w:val="lt-LT" w:eastAsia="lt-LT"/>
        </w:rPr>
        <w:t>i</w:t>
      </w:r>
      <w:r w:rsidRPr="0096508C">
        <w:rPr>
          <w:lang w:val="lt-LT" w:eastAsia="lt-LT"/>
        </w:rPr>
        <w:t>institucijas. Pasak Daugirdo</w:t>
      </w:r>
      <w:r w:rsidR="00ED0A1C" w:rsidRPr="0096508C">
        <w:rPr>
          <w:lang w:val="lt-LT" w:eastAsia="lt-LT"/>
        </w:rPr>
        <w:t xml:space="preserve"> bei</w:t>
      </w:r>
      <w:r w:rsidRPr="0096508C">
        <w:rPr>
          <w:lang w:val="lt-LT" w:eastAsia="lt-LT"/>
        </w:rPr>
        <w:t xml:space="preserve"> Mačiulytės (2006) vaidmenį atliko ir ES iškelti savivaldos organizavimo ir regioninės politikos vykdymo reikalavimai. </w:t>
      </w:r>
      <w:r w:rsidR="00C84672" w:rsidRPr="0096508C">
        <w:rPr>
          <w:color w:val="000000"/>
          <w:lang w:val="lt-LT"/>
        </w:rPr>
        <w:t>S</w:t>
      </w:r>
      <w:r w:rsidR="00615C09" w:rsidRPr="0096508C">
        <w:rPr>
          <w:color w:val="000000"/>
          <w:lang w:val="lt-LT"/>
        </w:rPr>
        <w:t>avivaldybių savarankiškumas</w:t>
      </w:r>
      <w:r w:rsidR="00615C09" w:rsidRPr="0096508C">
        <w:rPr>
          <w:color w:val="FFFFFF"/>
          <w:lang w:val="lt-LT"/>
        </w:rPr>
        <w:t>_</w:t>
      </w:r>
      <w:r w:rsidR="00C84672" w:rsidRPr="0096508C">
        <w:rPr>
          <w:color w:val="000000"/>
          <w:lang w:val="lt-LT"/>
        </w:rPr>
        <w:t>da</w:t>
      </w:r>
      <w:r w:rsidRPr="0096508C">
        <w:rPr>
          <w:color w:val="000000"/>
          <w:lang w:val="lt-LT"/>
        </w:rPr>
        <w:t xml:space="preserve">ro </w:t>
      </w:r>
      <w:r w:rsidR="00C84672" w:rsidRPr="0096508C">
        <w:rPr>
          <w:color w:val="000000"/>
          <w:lang w:val="lt-LT"/>
        </w:rPr>
        <w:t>įtaką tokiems procesams kaip: viešųjų gėrybių, paslaugų teikimas</w:t>
      </w:r>
      <w:r w:rsidR="00ED0A1C" w:rsidRPr="0096508C">
        <w:rPr>
          <w:color w:val="000000"/>
          <w:lang w:val="lt-LT"/>
        </w:rPr>
        <w:t xml:space="preserve">, socialinės apsaugos ir skurdo </w:t>
      </w:r>
      <w:r w:rsidR="00C84672" w:rsidRPr="0096508C">
        <w:rPr>
          <w:color w:val="000000"/>
          <w:lang w:val="lt-LT"/>
        </w:rPr>
        <w:t>mažinimas, finansų sektori</w:t>
      </w:r>
      <w:r w:rsidR="00F350B3" w:rsidRPr="0096508C">
        <w:rPr>
          <w:color w:val="000000"/>
          <w:lang w:val="lt-LT"/>
        </w:rPr>
        <w:t>aus vystymasis, makroekonominis</w:t>
      </w:r>
      <w:r w:rsidR="00F350B3" w:rsidRPr="0096508C">
        <w:rPr>
          <w:color w:val="FFFFFF"/>
          <w:lang w:val="lt-LT"/>
        </w:rPr>
        <w:t>_</w:t>
      </w:r>
      <w:r w:rsidR="00C84672" w:rsidRPr="0096508C">
        <w:rPr>
          <w:color w:val="000000"/>
          <w:lang w:val="lt-LT"/>
        </w:rPr>
        <w:t>stabil</w:t>
      </w:r>
      <w:r w:rsidR="00F350B3" w:rsidRPr="0096508C">
        <w:rPr>
          <w:color w:val="000000"/>
          <w:lang w:val="lt-LT"/>
        </w:rPr>
        <w:t xml:space="preserve">umas ir kt. </w:t>
      </w:r>
    </w:p>
    <w:p w:rsidR="00DB0888" w:rsidRPr="0096508C" w:rsidRDefault="00ED0A1C" w:rsidP="0096508C">
      <w:pPr>
        <w:autoSpaceDE w:val="0"/>
        <w:autoSpaceDN w:val="0"/>
        <w:adjustRightInd w:val="0"/>
        <w:spacing w:line="360" w:lineRule="auto"/>
        <w:ind w:firstLine="720"/>
        <w:jc w:val="both"/>
        <w:rPr>
          <w:lang w:val="lt-LT" w:eastAsia="lt-LT"/>
        </w:rPr>
      </w:pPr>
      <w:r w:rsidRPr="0096508C">
        <w:rPr>
          <w:lang w:val="lt-LT" w:eastAsia="lt-LT"/>
        </w:rPr>
        <w:t>Pasak</w:t>
      </w:r>
      <w:r w:rsidR="00505B60" w:rsidRPr="0096508C">
        <w:rPr>
          <w:lang w:val="lt-LT" w:eastAsia="lt-LT"/>
        </w:rPr>
        <w:t xml:space="preserve"> Davulio (2004</w:t>
      </w:r>
      <w:r w:rsidRPr="0096508C">
        <w:rPr>
          <w:lang w:val="lt-LT" w:eastAsia="lt-LT"/>
        </w:rPr>
        <w:t xml:space="preserve">) </w:t>
      </w:r>
      <w:r w:rsidR="00505B60" w:rsidRPr="0096508C">
        <w:rPr>
          <w:lang w:val="lt-LT"/>
        </w:rPr>
        <w:t>fiskalinės decentralizacijos požiūrių problemą nagrinėjo kur kas mažiau autorių, nors pastaraisiais metais ši tyrimų krytis yra sparčiai plėto</w:t>
      </w:r>
      <w:r w:rsidR="00505B60" w:rsidRPr="0096508C">
        <w:rPr>
          <w:lang w:val="lt-LT"/>
        </w:rPr>
        <w:softHyphen/>
        <w:t>jama</w:t>
      </w:r>
      <w:r w:rsidRPr="0096508C">
        <w:rPr>
          <w:lang w:val="lt-LT" w:eastAsia="lt-LT"/>
        </w:rPr>
        <w:t xml:space="preserve"> </w:t>
      </w:r>
      <w:r w:rsidR="00505B60" w:rsidRPr="0096508C">
        <w:rPr>
          <w:lang w:val="lt-LT" w:eastAsia="lt-LT"/>
        </w:rPr>
        <w:t>I</w:t>
      </w:r>
      <w:r w:rsidRPr="0096508C">
        <w:rPr>
          <w:lang w:val="lt-LT" w:eastAsia="lt-LT"/>
        </w:rPr>
        <w:t>škyla fiskalinės</w:t>
      </w:r>
      <w:r w:rsidR="00505B60" w:rsidRPr="0096508C">
        <w:rPr>
          <w:lang w:val="lt-LT" w:eastAsia="lt-LT"/>
        </w:rPr>
        <w:t xml:space="preserve"> </w:t>
      </w:r>
      <w:r w:rsidRPr="0096508C">
        <w:rPr>
          <w:lang w:val="lt-LT" w:eastAsia="lt-LT"/>
        </w:rPr>
        <w:t>decentralizacijos vertinimo poreikis, kuris atskleidžia ne tik finansinių išteklių paskirstymą tarp</w:t>
      </w:r>
      <w:r w:rsidR="00505B60" w:rsidRPr="0096508C">
        <w:rPr>
          <w:lang w:val="lt-LT" w:eastAsia="lt-LT"/>
        </w:rPr>
        <w:t xml:space="preserve"> </w:t>
      </w:r>
      <w:r w:rsidRPr="0096508C">
        <w:rPr>
          <w:lang w:val="lt-LT" w:eastAsia="lt-LT"/>
        </w:rPr>
        <w:t>centrinės ir vietinės valdž</w:t>
      </w:r>
      <w:r w:rsidR="00505B60" w:rsidRPr="0096508C">
        <w:rPr>
          <w:lang w:val="lt-LT" w:eastAsia="lt-LT"/>
        </w:rPr>
        <w:t xml:space="preserve">ios, </w:t>
      </w:r>
      <w:r w:rsidRPr="0096508C">
        <w:rPr>
          <w:lang w:val="lt-LT" w:eastAsia="lt-LT"/>
        </w:rPr>
        <w:t>savivaldybių savarankiškumo lygį</w:t>
      </w:r>
      <w:r w:rsidR="00647ADA" w:rsidRPr="0096508C">
        <w:rPr>
          <w:lang w:val="lt-LT" w:eastAsia="lt-LT"/>
        </w:rPr>
        <w:t>,</w:t>
      </w:r>
      <w:r w:rsidR="00647ADA" w:rsidRPr="0096508C">
        <w:rPr>
          <w:color w:val="FFFFFF"/>
          <w:lang w:val="lt-LT" w:eastAsia="lt-LT"/>
        </w:rPr>
        <w:t>_</w:t>
      </w:r>
      <w:r w:rsidRPr="0096508C">
        <w:rPr>
          <w:lang w:val="lt-LT" w:eastAsia="lt-LT"/>
        </w:rPr>
        <w:t>bet ir rodo demokratinių principų</w:t>
      </w:r>
      <w:r w:rsidR="00505B60" w:rsidRPr="0096508C">
        <w:rPr>
          <w:lang w:val="lt-LT" w:eastAsia="lt-LT"/>
        </w:rPr>
        <w:t xml:space="preserve"> </w:t>
      </w:r>
      <w:r w:rsidRPr="0096508C">
        <w:rPr>
          <w:lang w:val="lt-LT" w:eastAsia="lt-LT"/>
        </w:rPr>
        <w:t>įgyvendinimą šalyje. Š</w:t>
      </w:r>
      <w:r w:rsidR="00505B60" w:rsidRPr="0096508C">
        <w:rPr>
          <w:lang w:val="lt-LT" w:eastAsia="lt-LT"/>
        </w:rPr>
        <w:t xml:space="preserve">iuo metu, </w:t>
      </w:r>
      <w:r w:rsidRPr="0096508C">
        <w:rPr>
          <w:lang w:val="lt-LT" w:eastAsia="lt-LT"/>
        </w:rPr>
        <w:t>kai Lietuvoje nuolat nagrinėjami savivaldos savarankiškumo</w:t>
      </w:r>
      <w:r w:rsidR="00505B60" w:rsidRPr="0096508C">
        <w:rPr>
          <w:lang w:val="lt-LT" w:eastAsia="lt-LT"/>
        </w:rPr>
        <w:t xml:space="preserve"> </w:t>
      </w:r>
      <w:r w:rsidRPr="0096508C">
        <w:rPr>
          <w:lang w:val="lt-LT" w:eastAsia="lt-LT"/>
        </w:rPr>
        <w:t>klausimai, sprendžiamas griežtos kompetencijos ir atsakomybės už</w:t>
      </w:r>
      <w:r w:rsidR="00647ADA" w:rsidRPr="0096508C">
        <w:rPr>
          <w:color w:val="FFFFFF"/>
          <w:lang w:val="lt-LT" w:eastAsia="lt-LT"/>
        </w:rPr>
        <w:t>.</w:t>
      </w:r>
      <w:r w:rsidR="00647ADA" w:rsidRPr="0096508C">
        <w:rPr>
          <w:lang w:val="lt-LT" w:eastAsia="lt-LT"/>
        </w:rPr>
        <w:t xml:space="preserve"> </w:t>
      </w:r>
      <w:r w:rsidRPr="0096508C">
        <w:rPr>
          <w:lang w:val="lt-LT" w:eastAsia="lt-LT"/>
        </w:rPr>
        <w:t>mokestines pajamas bei išlaidas</w:t>
      </w:r>
      <w:r w:rsidR="00505B60" w:rsidRPr="0096508C">
        <w:rPr>
          <w:lang w:val="lt-LT" w:eastAsia="lt-LT"/>
        </w:rPr>
        <w:t xml:space="preserve"> </w:t>
      </w:r>
      <w:r w:rsidRPr="0096508C">
        <w:rPr>
          <w:lang w:val="lt-LT" w:eastAsia="lt-LT"/>
        </w:rPr>
        <w:t>pasiskirstymas, kyla poreikis į</w:t>
      </w:r>
      <w:r w:rsidR="00647ADA" w:rsidRPr="0096508C">
        <w:rPr>
          <w:lang w:val="lt-LT" w:eastAsia="lt-LT"/>
        </w:rPr>
        <w:t>vertinti</w:t>
      </w:r>
      <w:r w:rsidR="00647ADA" w:rsidRPr="0096508C">
        <w:rPr>
          <w:color w:val="FFFFFF"/>
          <w:lang w:val="lt-LT" w:eastAsia="lt-LT"/>
        </w:rPr>
        <w:t>.</w:t>
      </w:r>
      <w:r w:rsidR="00647ADA" w:rsidRPr="0096508C">
        <w:rPr>
          <w:lang w:val="lt-LT" w:eastAsia="lt-LT"/>
        </w:rPr>
        <w:t xml:space="preserve"> </w:t>
      </w:r>
      <w:r w:rsidRPr="0096508C">
        <w:rPr>
          <w:lang w:val="lt-LT" w:eastAsia="lt-LT"/>
        </w:rPr>
        <w:t>ir išanalizuoti fiskalinės decentralizacijos lygį šalyje.</w:t>
      </w:r>
      <w:r w:rsidRPr="0096508C">
        <w:rPr>
          <w:color w:val="000000"/>
          <w:lang w:val="lt-LT"/>
        </w:rPr>
        <w:t xml:space="preserve"> </w:t>
      </w:r>
      <w:proofErr w:type="gramStart"/>
      <w:r w:rsidR="00697CEF" w:rsidRPr="0096508C">
        <w:t>Lietuvoje kol kas nėra atliekami nuoseklūs tyrimai vietos viešųjų finansų srityje, ypač akcentuojant fiskalinės decentralizacijos problemą.</w:t>
      </w:r>
      <w:proofErr w:type="gramEnd"/>
      <w:r w:rsidR="00697CEF" w:rsidRPr="0096508C">
        <w:rPr>
          <w:color w:val="000000"/>
        </w:rPr>
        <w:t xml:space="preserve"> </w:t>
      </w:r>
      <w:r w:rsidR="004168AD" w:rsidRPr="0096508C">
        <w:rPr>
          <w:color w:val="000000"/>
        </w:rPr>
        <w:t xml:space="preserve">Todėl kyla </w:t>
      </w:r>
      <w:r w:rsidR="00F350B3" w:rsidRPr="0096508C">
        <w:rPr>
          <w:color w:val="000000"/>
        </w:rPr>
        <w:t>poreikis</w:t>
      </w:r>
      <w:r w:rsidRPr="0096508C">
        <w:rPr>
          <w:color w:val="FFFFFF"/>
        </w:rPr>
        <w:t xml:space="preserve"> </w:t>
      </w:r>
      <w:r w:rsidR="00F350B3" w:rsidRPr="0096508C">
        <w:rPr>
          <w:color w:val="000000"/>
        </w:rPr>
        <w:t xml:space="preserve">įvertinti ir </w:t>
      </w:r>
      <w:r w:rsidR="00647ADA" w:rsidRPr="0096508C">
        <w:rPr>
          <w:color w:val="000000"/>
        </w:rPr>
        <w:t xml:space="preserve">išanalizuoti </w:t>
      </w:r>
      <w:proofErr w:type="gramStart"/>
      <w:r w:rsidR="00647ADA" w:rsidRPr="0096508C">
        <w:rPr>
          <w:color w:val="000000"/>
        </w:rPr>
        <w:t xml:space="preserve">fiskalinės  </w:t>
      </w:r>
      <w:r w:rsidR="00C84672" w:rsidRPr="0096508C">
        <w:rPr>
          <w:color w:val="000000"/>
        </w:rPr>
        <w:t>decentralizacijos</w:t>
      </w:r>
      <w:proofErr w:type="gramEnd"/>
      <w:r w:rsidRPr="0096508C">
        <w:rPr>
          <w:color w:val="FFFFFF"/>
        </w:rPr>
        <w:t>.</w:t>
      </w:r>
      <w:r w:rsidR="00C84672" w:rsidRPr="0096508C">
        <w:rPr>
          <w:color w:val="000000"/>
        </w:rPr>
        <w:t xml:space="preserve"> </w:t>
      </w:r>
      <w:proofErr w:type="gramStart"/>
      <w:r w:rsidR="00C84672" w:rsidRPr="0096508C">
        <w:rPr>
          <w:color w:val="000000"/>
        </w:rPr>
        <w:t>lygį</w:t>
      </w:r>
      <w:proofErr w:type="gramEnd"/>
      <w:r w:rsidR="00C84672" w:rsidRPr="0096508C">
        <w:rPr>
          <w:color w:val="000000"/>
        </w:rPr>
        <w:t xml:space="preserve"> šalyje.</w:t>
      </w:r>
    </w:p>
    <w:p w:rsidR="00ED0A1C" w:rsidRDefault="00ED0A1C" w:rsidP="0096508C">
      <w:pPr>
        <w:autoSpaceDE w:val="0"/>
        <w:autoSpaceDN w:val="0"/>
        <w:adjustRightInd w:val="0"/>
        <w:spacing w:line="360" w:lineRule="auto"/>
        <w:ind w:firstLine="720"/>
        <w:jc w:val="both"/>
        <w:rPr>
          <w:bCs/>
          <w:lang w:val="lt-LT" w:eastAsia="lt-LT"/>
        </w:rPr>
      </w:pPr>
      <w:r w:rsidRPr="0096508C">
        <w:rPr>
          <w:lang w:val="lt-LT" w:eastAsia="lt-LT"/>
        </w:rPr>
        <w:t xml:space="preserve">Taigi atskleidus tyrimo temos aktualumą keliama </w:t>
      </w:r>
      <w:r w:rsidRPr="0096508C">
        <w:rPr>
          <w:b/>
          <w:bCs/>
          <w:lang w:val="lt-LT" w:eastAsia="lt-LT"/>
        </w:rPr>
        <w:t>šio darbo problema</w:t>
      </w:r>
      <w:r w:rsidR="00647ADA" w:rsidRPr="0096508C">
        <w:rPr>
          <w:b/>
          <w:bCs/>
          <w:lang w:val="lt-LT" w:eastAsia="lt-LT"/>
        </w:rPr>
        <w:t xml:space="preserve"> – </w:t>
      </w:r>
      <w:r w:rsidR="00647ADA" w:rsidRPr="0096508C">
        <w:rPr>
          <w:bCs/>
          <w:lang w:val="lt-LT" w:eastAsia="lt-LT"/>
        </w:rPr>
        <w:t xml:space="preserve">koks fiskalinės decentralizacijos lygis Lietuvoje ES kontekste. </w:t>
      </w:r>
    </w:p>
    <w:p w:rsidR="00D02952" w:rsidRPr="0096508C" w:rsidRDefault="00D02952" w:rsidP="0096508C">
      <w:pPr>
        <w:autoSpaceDE w:val="0"/>
        <w:autoSpaceDN w:val="0"/>
        <w:adjustRightInd w:val="0"/>
        <w:spacing w:line="360" w:lineRule="auto"/>
        <w:ind w:firstLine="720"/>
        <w:jc w:val="both"/>
        <w:rPr>
          <w:bCs/>
          <w:lang w:val="lt-LT" w:eastAsia="lt-LT"/>
        </w:rPr>
      </w:pPr>
      <w:r w:rsidRPr="00D02952">
        <w:rPr>
          <w:b/>
          <w:bCs/>
          <w:lang w:val="lt-LT" w:eastAsia="lt-LT"/>
        </w:rPr>
        <w:lastRenderedPageBreak/>
        <w:t xml:space="preserve">Darbo tikslas </w:t>
      </w:r>
      <w:r>
        <w:rPr>
          <w:bCs/>
          <w:lang w:val="lt-LT" w:eastAsia="lt-LT"/>
        </w:rPr>
        <w:t>– nustatyti fiskalinės decentralizacijos lygį Lietuvoje ir palyginti su ES šalimis.</w:t>
      </w:r>
    </w:p>
    <w:p w:rsidR="00647ADA" w:rsidRPr="0096508C" w:rsidRDefault="0096508C" w:rsidP="0096508C">
      <w:pPr>
        <w:autoSpaceDE w:val="0"/>
        <w:autoSpaceDN w:val="0"/>
        <w:adjustRightInd w:val="0"/>
        <w:spacing w:line="360" w:lineRule="auto"/>
        <w:ind w:firstLine="720"/>
        <w:rPr>
          <w:lang w:val="lt-LT" w:eastAsia="lt-LT"/>
        </w:rPr>
      </w:pPr>
      <w:r w:rsidRPr="0096508C">
        <w:rPr>
          <w:b/>
          <w:bCs/>
          <w:lang w:val="lt-LT" w:eastAsia="lt-LT"/>
        </w:rPr>
        <w:t>Magistrinio d</w:t>
      </w:r>
      <w:r w:rsidR="00647ADA" w:rsidRPr="0096508C">
        <w:rPr>
          <w:b/>
          <w:bCs/>
          <w:lang w:val="lt-LT" w:eastAsia="lt-LT"/>
        </w:rPr>
        <w:t xml:space="preserve">arbo objektas. </w:t>
      </w:r>
      <w:r w:rsidR="00647ADA" w:rsidRPr="0096508C">
        <w:rPr>
          <w:lang w:val="lt-LT" w:eastAsia="lt-LT"/>
        </w:rPr>
        <w:t>Darbe analizuojamas fiskalinė</w:t>
      </w:r>
      <w:r w:rsidR="00D02952">
        <w:rPr>
          <w:lang w:val="lt-LT" w:eastAsia="lt-LT"/>
        </w:rPr>
        <w:t>s</w:t>
      </w:r>
      <w:r w:rsidR="00647ADA" w:rsidRPr="0096508C">
        <w:rPr>
          <w:lang w:val="lt-LT" w:eastAsia="lt-LT"/>
        </w:rPr>
        <w:t xml:space="preserve"> decentralizacijos procesas,  todėl galima išskirti darbo objektą – fiskalinė </w:t>
      </w:r>
      <w:r w:rsidRPr="0096508C">
        <w:rPr>
          <w:lang w:val="lt-LT" w:eastAsia="lt-LT"/>
        </w:rPr>
        <w:t>decentralizacija.</w:t>
      </w:r>
    </w:p>
    <w:p w:rsidR="0096508C" w:rsidRPr="0096508C" w:rsidRDefault="0096508C" w:rsidP="0096508C">
      <w:pPr>
        <w:autoSpaceDE w:val="0"/>
        <w:autoSpaceDN w:val="0"/>
        <w:adjustRightInd w:val="0"/>
        <w:spacing w:line="360" w:lineRule="auto"/>
        <w:rPr>
          <w:rFonts w:ascii="TimesNewRomanPS-BoldMT" w:hAnsi="TimesNewRomanPS-BoldMT" w:cs="TimesNewRomanPS-BoldMT"/>
          <w:b/>
          <w:bCs/>
          <w:lang w:val="lt-LT" w:eastAsia="lt-LT"/>
        </w:rPr>
      </w:pPr>
      <w:r w:rsidRPr="0096508C">
        <w:rPr>
          <w:rFonts w:ascii="TimesNewRomanPS-BoldMT" w:hAnsi="TimesNewRomanPS-BoldMT" w:cs="TimesNewRomanPS-BoldMT"/>
          <w:bCs/>
          <w:lang w:val="lt-LT" w:eastAsia="lt-LT"/>
        </w:rPr>
        <w:t>Keliami šie</w:t>
      </w:r>
      <w:r w:rsidRPr="0096508C">
        <w:rPr>
          <w:rFonts w:ascii="TimesNewRomanPS-BoldMT" w:hAnsi="TimesNewRomanPS-BoldMT" w:cs="TimesNewRomanPS-BoldMT"/>
          <w:b/>
          <w:bCs/>
          <w:lang w:val="lt-LT" w:eastAsia="lt-LT"/>
        </w:rPr>
        <w:t xml:space="preserve"> darbo uždaviniai:</w:t>
      </w:r>
    </w:p>
    <w:p w:rsidR="0096508C" w:rsidRPr="0096508C" w:rsidRDefault="0096508C" w:rsidP="00CC565B">
      <w:pPr>
        <w:numPr>
          <w:ilvl w:val="0"/>
          <w:numId w:val="1"/>
        </w:numPr>
        <w:autoSpaceDE w:val="0"/>
        <w:autoSpaceDN w:val="0"/>
        <w:adjustRightInd w:val="0"/>
        <w:spacing w:line="360" w:lineRule="auto"/>
        <w:rPr>
          <w:rFonts w:ascii="TimesNewRomanPSMT" w:hAnsi="TimesNewRomanPSMT" w:cs="TimesNewRomanPSMT"/>
          <w:lang w:val="lt-LT" w:eastAsia="lt-LT"/>
        </w:rPr>
      </w:pPr>
      <w:r w:rsidRPr="0096508C">
        <w:rPr>
          <w:rFonts w:ascii="TimesNewRomanPSMT" w:hAnsi="TimesNewRomanPSMT" w:cs="TimesNewRomanPSMT"/>
          <w:lang w:val="lt-LT" w:eastAsia="lt-LT"/>
        </w:rPr>
        <w:t>Apibrėžti fiskalinės decentralizacijos sampratą.</w:t>
      </w:r>
    </w:p>
    <w:p w:rsidR="0096508C" w:rsidRPr="0096508C" w:rsidRDefault="0096508C" w:rsidP="00CC565B">
      <w:pPr>
        <w:numPr>
          <w:ilvl w:val="0"/>
          <w:numId w:val="1"/>
        </w:numPr>
        <w:autoSpaceDE w:val="0"/>
        <w:autoSpaceDN w:val="0"/>
        <w:adjustRightInd w:val="0"/>
        <w:spacing w:line="360" w:lineRule="auto"/>
        <w:rPr>
          <w:rFonts w:ascii="TimesNewRomanPSMT" w:hAnsi="TimesNewRomanPSMT" w:cs="TimesNewRomanPSMT"/>
          <w:lang w:val="lt-LT" w:eastAsia="lt-LT"/>
        </w:rPr>
      </w:pPr>
      <w:r w:rsidRPr="0096508C">
        <w:rPr>
          <w:rFonts w:ascii="TimesNewRomanPSMT" w:hAnsi="TimesNewRomanPSMT" w:cs="TimesNewRomanPSMT"/>
          <w:lang w:val="lt-LT" w:eastAsia="lt-LT"/>
        </w:rPr>
        <w:t>Apžvelgti fiskalinės decentralizacijos teisinį reglamentavimą</w:t>
      </w:r>
      <w:r>
        <w:rPr>
          <w:rFonts w:ascii="TimesNewRomanPSMT" w:hAnsi="TimesNewRomanPSMT" w:cs="TimesNewRomanPSMT"/>
          <w:lang w:val="lt-LT" w:eastAsia="lt-LT"/>
        </w:rPr>
        <w:t xml:space="preserve"> </w:t>
      </w:r>
      <w:r w:rsidRPr="0096508C">
        <w:rPr>
          <w:rFonts w:ascii="TimesNewRomanPSMT" w:hAnsi="TimesNewRomanPSMT" w:cs="TimesNewRomanPSMT"/>
          <w:lang w:val="lt-LT" w:eastAsia="lt-LT"/>
        </w:rPr>
        <w:t>Lietuvoje.</w:t>
      </w:r>
    </w:p>
    <w:p w:rsidR="0096508C" w:rsidRPr="0096508C" w:rsidRDefault="0096508C" w:rsidP="00CC565B">
      <w:pPr>
        <w:numPr>
          <w:ilvl w:val="0"/>
          <w:numId w:val="2"/>
        </w:numPr>
        <w:autoSpaceDE w:val="0"/>
        <w:autoSpaceDN w:val="0"/>
        <w:adjustRightInd w:val="0"/>
        <w:spacing w:line="360" w:lineRule="auto"/>
        <w:rPr>
          <w:rFonts w:ascii="TimesNewRomanPSMT" w:hAnsi="TimesNewRomanPSMT" w:cs="TimesNewRomanPSMT"/>
          <w:lang w:val="lt-LT" w:eastAsia="lt-LT"/>
        </w:rPr>
      </w:pPr>
      <w:r w:rsidRPr="0096508C">
        <w:rPr>
          <w:rFonts w:ascii="TimesNewRomanPSMT" w:hAnsi="TimesNewRomanPSMT" w:cs="TimesNewRomanPSMT"/>
          <w:lang w:val="lt-LT" w:eastAsia="lt-LT"/>
        </w:rPr>
        <w:t>Išanalizuoti fiskalinės de</w:t>
      </w:r>
      <w:r w:rsidR="00102E26">
        <w:rPr>
          <w:rFonts w:ascii="TimesNewRomanPSMT" w:hAnsi="TimesNewRomanPSMT" w:cs="TimesNewRomanPSMT"/>
          <w:lang w:val="lt-LT" w:eastAsia="lt-LT"/>
        </w:rPr>
        <w:t>centralizacijos lygį Lietuvoje, lyginant</w:t>
      </w:r>
      <w:r w:rsidRPr="0096508C">
        <w:rPr>
          <w:rFonts w:ascii="TimesNewRomanPSMT" w:hAnsi="TimesNewRomanPSMT" w:cs="TimesNewRomanPSMT"/>
          <w:lang w:val="lt-LT" w:eastAsia="lt-LT"/>
        </w:rPr>
        <w:t xml:space="preserve"> su kitomis ES šalimis</w:t>
      </w:r>
    </w:p>
    <w:p w:rsidR="0096508C" w:rsidRPr="00D02952" w:rsidRDefault="0096508C" w:rsidP="00CC565B">
      <w:pPr>
        <w:numPr>
          <w:ilvl w:val="0"/>
          <w:numId w:val="2"/>
        </w:numPr>
        <w:autoSpaceDE w:val="0"/>
        <w:autoSpaceDN w:val="0"/>
        <w:adjustRightInd w:val="0"/>
        <w:spacing w:line="360" w:lineRule="auto"/>
        <w:rPr>
          <w:rFonts w:ascii="TimesNewRomanPSMT" w:hAnsi="TimesNewRomanPSMT" w:cs="TimesNewRomanPSMT"/>
          <w:lang w:val="lt-LT" w:eastAsia="lt-LT"/>
        </w:rPr>
      </w:pPr>
      <w:r w:rsidRPr="0096508C">
        <w:rPr>
          <w:rFonts w:ascii="TimesNewRomanPSMT" w:hAnsi="TimesNewRomanPSMT" w:cs="TimesNewRomanPSMT"/>
          <w:lang w:val="lt-LT" w:eastAsia="lt-LT"/>
        </w:rPr>
        <w:t>Pateikti išvadas ir siūlymus dėl fiskalinės decentralizacijos Lietuvoje.</w:t>
      </w:r>
    </w:p>
    <w:p w:rsidR="00D02952" w:rsidRDefault="0096508C" w:rsidP="0096508C">
      <w:pPr>
        <w:autoSpaceDE w:val="0"/>
        <w:autoSpaceDN w:val="0"/>
        <w:adjustRightInd w:val="0"/>
        <w:spacing w:line="360" w:lineRule="auto"/>
        <w:rPr>
          <w:rFonts w:ascii="TimesNewRomanPS-BoldMT" w:hAnsi="TimesNewRomanPS-BoldMT" w:cs="TimesNewRomanPS-BoldMT"/>
          <w:b/>
          <w:bCs/>
          <w:lang w:val="lt-LT" w:eastAsia="lt-LT"/>
        </w:rPr>
      </w:pPr>
      <w:r w:rsidRPr="0096508C">
        <w:rPr>
          <w:rFonts w:ascii="TimesNewRomanPS-BoldMT" w:hAnsi="TimesNewRomanPS-BoldMT" w:cs="TimesNewRomanPS-BoldMT"/>
          <w:bCs/>
          <w:lang w:val="lt-LT" w:eastAsia="lt-LT"/>
        </w:rPr>
        <w:t>Taikyti baigiamojo</w:t>
      </w:r>
      <w:r w:rsidRPr="0096508C">
        <w:rPr>
          <w:rFonts w:ascii="TimesNewRomanPS-BoldMT" w:hAnsi="TimesNewRomanPS-BoldMT" w:cs="TimesNewRomanPS-BoldMT"/>
          <w:b/>
          <w:bCs/>
          <w:lang w:val="lt-LT" w:eastAsia="lt-LT"/>
        </w:rPr>
        <w:t xml:space="preserve"> darbo metodai:</w:t>
      </w:r>
    </w:p>
    <w:p w:rsidR="00D02952" w:rsidRDefault="0096508C" w:rsidP="00CC565B">
      <w:pPr>
        <w:numPr>
          <w:ilvl w:val="0"/>
          <w:numId w:val="3"/>
        </w:numPr>
        <w:autoSpaceDE w:val="0"/>
        <w:autoSpaceDN w:val="0"/>
        <w:adjustRightInd w:val="0"/>
        <w:spacing w:line="360" w:lineRule="auto"/>
        <w:rPr>
          <w:rFonts w:ascii="TimesNewRomanPS-BoldMT" w:hAnsi="TimesNewRomanPS-BoldMT" w:cs="TimesNewRomanPS-BoldMT"/>
          <w:b/>
          <w:bCs/>
          <w:lang w:val="lt-LT" w:eastAsia="lt-LT"/>
        </w:rPr>
      </w:pPr>
      <w:r w:rsidRPr="0096508C">
        <w:rPr>
          <w:rFonts w:ascii="TimesNewRomanPSMT" w:hAnsi="TimesNewRomanPSMT" w:cs="TimesNewRomanPSMT"/>
          <w:lang w:val="lt-LT" w:eastAsia="lt-LT"/>
        </w:rPr>
        <w:t>Mokslinės literatūros analizė.</w:t>
      </w:r>
    </w:p>
    <w:p w:rsidR="00D02952" w:rsidRDefault="0096508C" w:rsidP="00CC565B">
      <w:pPr>
        <w:numPr>
          <w:ilvl w:val="0"/>
          <w:numId w:val="3"/>
        </w:numPr>
        <w:autoSpaceDE w:val="0"/>
        <w:autoSpaceDN w:val="0"/>
        <w:adjustRightInd w:val="0"/>
        <w:spacing w:line="360" w:lineRule="auto"/>
        <w:rPr>
          <w:rFonts w:ascii="TimesNewRomanPS-BoldMT" w:hAnsi="TimesNewRomanPS-BoldMT" w:cs="TimesNewRomanPS-BoldMT"/>
          <w:b/>
          <w:bCs/>
          <w:lang w:val="lt-LT" w:eastAsia="lt-LT"/>
        </w:rPr>
      </w:pPr>
      <w:r w:rsidRPr="00D02952">
        <w:rPr>
          <w:rFonts w:ascii="TimesNewRomanPSMT" w:hAnsi="TimesNewRomanPSMT" w:cs="TimesNewRomanPSMT"/>
          <w:lang w:val="lt-LT" w:eastAsia="lt-LT"/>
        </w:rPr>
        <w:t>Teisinių aktų analizė.</w:t>
      </w:r>
    </w:p>
    <w:p w:rsidR="00D02952" w:rsidRDefault="0096508C" w:rsidP="00CC565B">
      <w:pPr>
        <w:numPr>
          <w:ilvl w:val="0"/>
          <w:numId w:val="3"/>
        </w:numPr>
        <w:autoSpaceDE w:val="0"/>
        <w:autoSpaceDN w:val="0"/>
        <w:adjustRightInd w:val="0"/>
        <w:spacing w:line="360" w:lineRule="auto"/>
        <w:rPr>
          <w:rFonts w:ascii="TimesNewRomanPS-BoldMT" w:hAnsi="TimesNewRomanPS-BoldMT" w:cs="TimesNewRomanPS-BoldMT"/>
          <w:b/>
          <w:bCs/>
          <w:lang w:val="lt-LT" w:eastAsia="lt-LT"/>
        </w:rPr>
      </w:pPr>
      <w:r w:rsidRPr="00D02952">
        <w:rPr>
          <w:rFonts w:ascii="TimesNewRomanPSMT" w:hAnsi="TimesNewRomanPSMT" w:cs="TimesNewRomanPSMT"/>
          <w:lang w:val="lt-LT" w:eastAsia="lt-LT"/>
        </w:rPr>
        <w:t>Statistinių duomenų analizė.</w:t>
      </w:r>
    </w:p>
    <w:p w:rsidR="0096508C" w:rsidRPr="00D02952" w:rsidRDefault="0096508C" w:rsidP="00CC565B">
      <w:pPr>
        <w:numPr>
          <w:ilvl w:val="0"/>
          <w:numId w:val="3"/>
        </w:numPr>
        <w:autoSpaceDE w:val="0"/>
        <w:autoSpaceDN w:val="0"/>
        <w:adjustRightInd w:val="0"/>
        <w:spacing w:line="360" w:lineRule="auto"/>
        <w:rPr>
          <w:rFonts w:ascii="TimesNewRomanPS-BoldMT" w:hAnsi="TimesNewRomanPS-BoldMT" w:cs="TimesNewRomanPS-BoldMT"/>
          <w:b/>
          <w:bCs/>
          <w:lang w:val="lt-LT" w:eastAsia="lt-LT"/>
        </w:rPr>
      </w:pPr>
      <w:r w:rsidRPr="00D02952">
        <w:rPr>
          <w:rFonts w:ascii="TimesNewRomanPSMT" w:hAnsi="TimesNewRomanPSMT" w:cs="TimesNewRomanPSMT"/>
          <w:lang w:val="lt-LT" w:eastAsia="lt-LT"/>
        </w:rPr>
        <w:t>Lyginamoji analizė.</w:t>
      </w:r>
    </w:p>
    <w:p w:rsidR="00647ADA" w:rsidRPr="00D02952" w:rsidRDefault="0096508C" w:rsidP="002C6E5A">
      <w:pPr>
        <w:autoSpaceDE w:val="0"/>
        <w:autoSpaceDN w:val="0"/>
        <w:adjustRightInd w:val="0"/>
        <w:spacing w:line="360" w:lineRule="auto"/>
        <w:ind w:firstLine="360"/>
        <w:jc w:val="both"/>
        <w:rPr>
          <w:rFonts w:ascii="TimesNewRomanPSMT" w:hAnsi="TimesNewRomanPSMT" w:cs="TimesNewRomanPSMT"/>
          <w:lang w:val="lt-LT" w:eastAsia="lt-LT"/>
        </w:rPr>
      </w:pPr>
      <w:r w:rsidRPr="0096508C">
        <w:rPr>
          <w:rFonts w:ascii="TimesNewRomanPSMT" w:hAnsi="TimesNewRomanPSMT" w:cs="TimesNewRomanPSMT"/>
          <w:lang w:val="lt-LT" w:eastAsia="lt-LT"/>
        </w:rPr>
        <w:t>Atliekant šį darbą remtasi įvairių Lietuvos bei užsienio autorių moksline literatūra, interneto,</w:t>
      </w:r>
      <w:r w:rsidR="00D02952" w:rsidRPr="00D02952">
        <w:rPr>
          <w:rFonts w:ascii="TimesNewRomanPSMT" w:hAnsi="TimesNewRomanPSMT" w:cs="TimesNewRomanPSMT"/>
          <w:lang w:val="lt-LT" w:eastAsia="lt-LT"/>
        </w:rPr>
        <w:t xml:space="preserve"> </w:t>
      </w:r>
      <w:r w:rsidR="00D02952" w:rsidRPr="0096508C">
        <w:rPr>
          <w:rFonts w:ascii="TimesNewRomanPSMT" w:hAnsi="TimesNewRomanPSMT" w:cs="TimesNewRomanPSMT"/>
          <w:lang w:val="lt-LT" w:eastAsia="lt-LT"/>
        </w:rPr>
        <w:t xml:space="preserve">teisinėmis </w:t>
      </w:r>
      <w:r w:rsidR="00D02952">
        <w:rPr>
          <w:rFonts w:ascii="TimesNewRomanPSMT" w:hAnsi="TimesNewRomanPSMT" w:cs="TimesNewRomanPSMT"/>
          <w:lang w:val="lt-LT" w:eastAsia="lt-LT"/>
        </w:rPr>
        <w:t xml:space="preserve">bei </w:t>
      </w:r>
      <w:r w:rsidR="00D02952" w:rsidRPr="0096508C">
        <w:rPr>
          <w:rFonts w:ascii="TimesNewRomanPSMT" w:hAnsi="TimesNewRomanPSMT" w:cs="TimesNewRomanPSMT"/>
          <w:lang w:val="lt-LT" w:eastAsia="lt-LT"/>
        </w:rPr>
        <w:t>statistinėmis</w:t>
      </w:r>
      <w:r w:rsidR="00D02952">
        <w:rPr>
          <w:rFonts w:ascii="TimesNewRomanPSMT" w:hAnsi="TimesNewRomanPSMT" w:cs="TimesNewRomanPSMT"/>
          <w:lang w:val="lt-LT" w:eastAsia="lt-LT"/>
        </w:rPr>
        <w:t xml:space="preserve"> </w:t>
      </w:r>
      <w:r w:rsidR="00D02952" w:rsidRPr="0096508C">
        <w:rPr>
          <w:rFonts w:ascii="TimesNewRomanPSMT" w:hAnsi="TimesNewRomanPSMT" w:cs="TimesNewRomanPSMT"/>
          <w:lang w:val="lt-LT" w:eastAsia="lt-LT"/>
        </w:rPr>
        <w:t>duomenų bazė</w:t>
      </w:r>
      <w:r w:rsidR="00D02952">
        <w:rPr>
          <w:rFonts w:ascii="TimesNewRomanPSMT" w:hAnsi="TimesNewRomanPSMT" w:cs="TimesNewRomanPSMT"/>
          <w:lang w:val="lt-LT" w:eastAsia="lt-LT"/>
        </w:rPr>
        <w:t>mis</w:t>
      </w:r>
      <w:r w:rsidRPr="0096508C">
        <w:rPr>
          <w:rFonts w:ascii="TimesNewRomanPSMT" w:hAnsi="TimesNewRomanPSMT" w:cs="TimesNewRomanPSMT"/>
          <w:lang w:val="lt-LT" w:eastAsia="lt-LT"/>
        </w:rPr>
        <w:t>, inter</w:t>
      </w:r>
      <w:r w:rsidR="00D02952">
        <w:rPr>
          <w:rFonts w:ascii="TimesNewRomanPSMT" w:hAnsi="TimesNewRomanPSMT" w:cs="TimesNewRomanPSMT"/>
          <w:lang w:val="lt-LT" w:eastAsia="lt-LT"/>
        </w:rPr>
        <w:t xml:space="preserve">nete ir spaudoje publikuojamais </w:t>
      </w:r>
      <w:r w:rsidRPr="0096508C">
        <w:rPr>
          <w:rFonts w:ascii="TimesNewRomanPSMT" w:hAnsi="TimesNewRomanPSMT" w:cs="TimesNewRomanPSMT"/>
          <w:lang w:val="lt-LT" w:eastAsia="lt-LT"/>
        </w:rPr>
        <w:t>straipsniais ir kita</w:t>
      </w:r>
      <w:r w:rsidR="00D02952">
        <w:rPr>
          <w:rFonts w:ascii="TimesNewRomanPSMT" w:hAnsi="TimesNewRomanPSMT" w:cs="TimesNewRomanPSMT"/>
          <w:lang w:val="lt-LT" w:eastAsia="lt-LT"/>
        </w:rPr>
        <w:t xml:space="preserve"> </w:t>
      </w:r>
      <w:r w:rsidRPr="0096508C">
        <w:rPr>
          <w:rFonts w:ascii="TimesNewRomanPSMT" w:hAnsi="TimesNewRomanPSMT" w:cs="TimesNewRomanPSMT"/>
          <w:lang w:val="lt-LT" w:eastAsia="lt-LT"/>
        </w:rPr>
        <w:t>šiai temai aktualia literatūra.</w:t>
      </w:r>
    </w:p>
    <w:p w:rsidR="00647ADA" w:rsidRPr="0096508C" w:rsidRDefault="00647ADA" w:rsidP="0096508C">
      <w:pPr>
        <w:autoSpaceDE w:val="0"/>
        <w:autoSpaceDN w:val="0"/>
        <w:adjustRightInd w:val="0"/>
        <w:spacing w:line="360" w:lineRule="auto"/>
        <w:ind w:firstLine="720"/>
        <w:jc w:val="both"/>
        <w:rPr>
          <w:color w:val="000000"/>
          <w:lang w:val="lt-LT"/>
        </w:rPr>
      </w:pPr>
    </w:p>
    <w:p w:rsidR="00ED0A1C" w:rsidRPr="0096508C" w:rsidRDefault="00ED0A1C" w:rsidP="0096508C">
      <w:pPr>
        <w:autoSpaceDE w:val="0"/>
        <w:autoSpaceDN w:val="0"/>
        <w:adjustRightInd w:val="0"/>
        <w:spacing w:line="360" w:lineRule="auto"/>
        <w:ind w:firstLine="720"/>
        <w:jc w:val="both"/>
        <w:rPr>
          <w:lang w:val="lt-LT" w:eastAsia="lt-LT"/>
        </w:rPr>
      </w:pPr>
    </w:p>
    <w:p w:rsidR="00D57172" w:rsidRDefault="00D57172" w:rsidP="001A5B7D">
      <w:pPr>
        <w:spacing w:line="360" w:lineRule="auto"/>
        <w:jc w:val="both"/>
        <w:rPr>
          <w:b/>
          <w:lang w:val="lt-LT"/>
        </w:rPr>
      </w:pPr>
    </w:p>
    <w:p w:rsidR="00D57172" w:rsidRDefault="00D57172" w:rsidP="001A5B7D">
      <w:pPr>
        <w:spacing w:line="360" w:lineRule="auto"/>
        <w:jc w:val="both"/>
        <w:rPr>
          <w:b/>
          <w:lang w:val="lt-LT"/>
        </w:rPr>
      </w:pPr>
    </w:p>
    <w:p w:rsidR="00D57172" w:rsidRDefault="00D57172" w:rsidP="001A5B7D">
      <w:pPr>
        <w:spacing w:line="360" w:lineRule="auto"/>
        <w:jc w:val="both"/>
        <w:rPr>
          <w:b/>
          <w:lang w:val="lt-LT"/>
        </w:rPr>
      </w:pPr>
    </w:p>
    <w:p w:rsidR="00D57172" w:rsidRDefault="00D57172" w:rsidP="001A5B7D">
      <w:pPr>
        <w:spacing w:line="360" w:lineRule="auto"/>
        <w:jc w:val="both"/>
        <w:rPr>
          <w:b/>
          <w:lang w:val="lt-LT"/>
        </w:rPr>
      </w:pPr>
    </w:p>
    <w:p w:rsidR="00D57172" w:rsidRDefault="00D57172" w:rsidP="001A5B7D">
      <w:pPr>
        <w:spacing w:line="360" w:lineRule="auto"/>
        <w:jc w:val="both"/>
        <w:rPr>
          <w:b/>
          <w:lang w:val="lt-LT"/>
        </w:rPr>
      </w:pPr>
    </w:p>
    <w:p w:rsidR="00D57172" w:rsidRDefault="00D57172" w:rsidP="001A5B7D">
      <w:pPr>
        <w:spacing w:line="360" w:lineRule="auto"/>
        <w:jc w:val="both"/>
        <w:rPr>
          <w:b/>
          <w:lang w:val="lt-LT"/>
        </w:rPr>
      </w:pPr>
    </w:p>
    <w:p w:rsidR="00D57172" w:rsidRDefault="00D57172" w:rsidP="001A5B7D">
      <w:pPr>
        <w:spacing w:line="360" w:lineRule="auto"/>
        <w:jc w:val="both"/>
        <w:rPr>
          <w:b/>
          <w:lang w:val="lt-LT"/>
        </w:rPr>
      </w:pPr>
    </w:p>
    <w:p w:rsidR="00996C09" w:rsidRDefault="00996C09" w:rsidP="001A5B7D">
      <w:pPr>
        <w:spacing w:line="360" w:lineRule="auto"/>
        <w:jc w:val="both"/>
        <w:rPr>
          <w:b/>
          <w:lang w:val="lt-LT"/>
        </w:rPr>
      </w:pPr>
    </w:p>
    <w:p w:rsidR="00996C09" w:rsidRDefault="00996C09" w:rsidP="001A5B7D">
      <w:pPr>
        <w:spacing w:line="360" w:lineRule="auto"/>
        <w:jc w:val="both"/>
        <w:rPr>
          <w:b/>
          <w:lang w:val="lt-LT"/>
        </w:rPr>
      </w:pPr>
    </w:p>
    <w:p w:rsidR="00996C09" w:rsidRDefault="00996C09" w:rsidP="001A5B7D">
      <w:pPr>
        <w:spacing w:line="360" w:lineRule="auto"/>
        <w:jc w:val="both"/>
        <w:rPr>
          <w:b/>
          <w:lang w:val="lt-LT"/>
        </w:rPr>
      </w:pPr>
    </w:p>
    <w:p w:rsidR="004007A5" w:rsidRDefault="004007A5" w:rsidP="001A5B7D">
      <w:pPr>
        <w:spacing w:line="360" w:lineRule="auto"/>
        <w:jc w:val="both"/>
        <w:rPr>
          <w:b/>
          <w:lang w:val="lt-LT"/>
        </w:rPr>
      </w:pPr>
    </w:p>
    <w:p w:rsidR="004007A5" w:rsidRDefault="004007A5" w:rsidP="001A5B7D">
      <w:pPr>
        <w:spacing w:line="360" w:lineRule="auto"/>
        <w:jc w:val="both"/>
        <w:rPr>
          <w:b/>
          <w:lang w:val="lt-LT"/>
        </w:rPr>
      </w:pPr>
    </w:p>
    <w:p w:rsidR="00A204BB" w:rsidRDefault="00A204BB" w:rsidP="001A5B7D">
      <w:pPr>
        <w:spacing w:line="360" w:lineRule="auto"/>
        <w:jc w:val="both"/>
        <w:rPr>
          <w:b/>
          <w:lang w:val="lt-LT"/>
        </w:rPr>
      </w:pPr>
    </w:p>
    <w:p w:rsidR="004521A6" w:rsidRPr="00647ADA" w:rsidRDefault="004521A6" w:rsidP="00DB0888">
      <w:pPr>
        <w:rPr>
          <w:b/>
          <w:lang w:val="lt-LT"/>
        </w:rPr>
      </w:pPr>
    </w:p>
    <w:p w:rsidR="00C219EB" w:rsidRPr="00AC57FA" w:rsidRDefault="00AC57FA" w:rsidP="00C96EB3">
      <w:pPr>
        <w:pStyle w:val="Heading1"/>
        <w:spacing w:before="0" w:after="0" w:line="360" w:lineRule="auto"/>
        <w:jc w:val="center"/>
        <w:rPr>
          <w:lang w:val="lt-LT"/>
        </w:rPr>
      </w:pPr>
      <w:bookmarkStart w:id="0" w:name="_Toc345766251"/>
      <w:bookmarkStart w:id="1" w:name="_Toc385249522"/>
      <w:r>
        <w:lastRenderedPageBreak/>
        <w:t xml:space="preserve">1. </w:t>
      </w:r>
      <w:r w:rsidR="00C219EB" w:rsidRPr="00AC57FA">
        <w:t>FISKALIN</w:t>
      </w:r>
      <w:r w:rsidR="00C219EB" w:rsidRPr="00AC57FA">
        <w:rPr>
          <w:lang w:val="lt-LT"/>
        </w:rPr>
        <w:t>ĖS DECENTRALIZACIJOS SAMPRATA</w:t>
      </w:r>
      <w:bookmarkEnd w:id="0"/>
      <w:bookmarkEnd w:id="1"/>
    </w:p>
    <w:p w:rsidR="00C219EB" w:rsidRPr="00AC57FA" w:rsidRDefault="00C219EB" w:rsidP="00C96EB3">
      <w:pPr>
        <w:spacing w:line="360" w:lineRule="auto"/>
        <w:ind w:left="360"/>
        <w:jc w:val="center"/>
      </w:pPr>
    </w:p>
    <w:p w:rsidR="00C219EB" w:rsidRPr="00AC57FA" w:rsidRDefault="00AC57FA" w:rsidP="00C96EB3">
      <w:pPr>
        <w:pStyle w:val="Heading2"/>
        <w:spacing w:before="0" w:after="0" w:line="360" w:lineRule="auto"/>
        <w:jc w:val="center"/>
        <w:rPr>
          <w:lang w:val="lt-LT"/>
        </w:rPr>
      </w:pPr>
      <w:bookmarkStart w:id="2" w:name="_Toc345766252"/>
      <w:bookmarkStart w:id="3" w:name="_Toc385249523"/>
      <w:r>
        <w:t xml:space="preserve">1.1. </w:t>
      </w:r>
      <w:r w:rsidR="00C70455" w:rsidRPr="00AC57FA">
        <w:t>Decentralizacijos s</w:t>
      </w:r>
      <w:r w:rsidR="00D02952">
        <w:rPr>
          <w:lang w:val="lt-LT"/>
        </w:rPr>
        <w:t>amprata</w:t>
      </w:r>
      <w:bookmarkEnd w:id="2"/>
      <w:bookmarkEnd w:id="3"/>
    </w:p>
    <w:p w:rsidR="00AC57FA" w:rsidRDefault="00AC57FA" w:rsidP="00C96EB3">
      <w:pPr>
        <w:autoSpaceDE w:val="0"/>
        <w:autoSpaceDN w:val="0"/>
        <w:adjustRightInd w:val="0"/>
        <w:spacing w:line="360" w:lineRule="auto"/>
        <w:jc w:val="both"/>
        <w:rPr>
          <w:lang w:val="lt-LT"/>
        </w:rPr>
      </w:pPr>
    </w:p>
    <w:p w:rsidR="00AC57FA" w:rsidRPr="00440109" w:rsidRDefault="00AC57FA" w:rsidP="00C96EB3">
      <w:pPr>
        <w:autoSpaceDE w:val="0"/>
        <w:autoSpaceDN w:val="0"/>
        <w:adjustRightInd w:val="0"/>
        <w:spacing w:line="360" w:lineRule="auto"/>
        <w:ind w:firstLine="567"/>
        <w:jc w:val="both"/>
      </w:pPr>
      <w:r w:rsidRPr="00440109">
        <w:t>Decentralizacija intensyviai tyrinėjama jau keturis dešimtmečius, tačiau mokslininkai ir praktikai skirtingai suvokia šį reiškinį</w:t>
      </w:r>
      <w:proofErr w:type="gramStart"/>
      <w:r w:rsidRPr="00440109">
        <w:t>:</w:t>
      </w:r>
      <w:r w:rsidRPr="00440109">
        <w:rPr>
          <w:color w:val="FFFFFF"/>
        </w:rPr>
        <w:t>_</w:t>
      </w:r>
      <w:proofErr w:type="gramEnd"/>
      <w:r w:rsidRPr="00440109">
        <w:t>mokslinėje literatūroje pateikiamos skirtingos decentralizacijos sampratos</w:t>
      </w:r>
      <w:r w:rsidR="004357EE" w:rsidRPr="00440109">
        <w:t xml:space="preserve"> (Baltušnikienė, 2006).</w:t>
      </w:r>
      <w:r w:rsidRPr="00440109">
        <w:t xml:space="preserve"> </w:t>
      </w:r>
      <w:proofErr w:type="gramStart"/>
      <w:r w:rsidRPr="00440109">
        <w:t xml:space="preserve">Todėl </w:t>
      </w:r>
      <w:r w:rsidR="00440109" w:rsidRPr="00440109">
        <w:t>b</w:t>
      </w:r>
      <w:r w:rsidR="00440109" w:rsidRPr="00440109">
        <w:rPr>
          <w:lang w:val="lt-LT"/>
        </w:rPr>
        <w:t>ūtų</w:t>
      </w:r>
      <w:r w:rsidRPr="00440109">
        <w:t xml:space="preserve"> </w:t>
      </w:r>
      <w:r w:rsidR="00440109" w:rsidRPr="00440109">
        <w:t>tikslinga pateikti</w:t>
      </w:r>
      <w:r w:rsidRPr="00440109">
        <w:t xml:space="preserve"> decentralizacijos apibrėžtį, kad galėtume vėliau aptarti fiskalinės decentralizacijos sampratą.</w:t>
      </w:r>
      <w:proofErr w:type="gramEnd"/>
    </w:p>
    <w:p w:rsidR="00C70455" w:rsidRPr="00440109" w:rsidRDefault="00AC57FA" w:rsidP="00C96EB3">
      <w:pPr>
        <w:autoSpaceDE w:val="0"/>
        <w:autoSpaceDN w:val="0"/>
        <w:adjustRightInd w:val="0"/>
        <w:spacing w:line="360" w:lineRule="auto"/>
        <w:ind w:firstLine="567"/>
        <w:jc w:val="both"/>
      </w:pPr>
      <w:proofErr w:type="gramStart"/>
      <w:r w:rsidRPr="00440109">
        <w:t xml:space="preserve">Per pastaruosius </w:t>
      </w:r>
      <w:r w:rsidR="00C70455" w:rsidRPr="00440109">
        <w:t>dešimtmečius pasaulyje pasirodė daug įvairiausios literatūros</w:t>
      </w:r>
      <w:r w:rsidRPr="00440109">
        <w:t xml:space="preserve">, kurioje </w:t>
      </w:r>
      <w:r w:rsidR="00C70455" w:rsidRPr="00440109">
        <w:t>analizuojami</w:t>
      </w:r>
      <w:r w:rsidRPr="00440109">
        <w:t xml:space="preserve"> </w:t>
      </w:r>
      <w:r w:rsidR="00C70455" w:rsidRPr="00440109">
        <w:t>skirtingi decentralizacijos aspektai ir reformos.</w:t>
      </w:r>
      <w:proofErr w:type="gramEnd"/>
      <w:r w:rsidR="004357EE" w:rsidRPr="00440109">
        <w:t xml:space="preserve"> “Decentralizacija – įgaliojimų ir atsakomybės perdavimas iš valstybės valdžios pavaldiems ar nepavaldiems viešojo valdymo arba privataus sektoriaus subjektams – yra daugiabriaunis reiškinys, kurį nevienodai suvokia įvairūs autoriai, jam apibūdinti naudojamos skirtingos sąvokos, terminai bei tipų ir formų klasifikacijos.” </w:t>
      </w:r>
      <w:proofErr w:type="gramStart"/>
      <w:r w:rsidR="004357EE" w:rsidRPr="00440109">
        <w:t>(Baltušnikienė, 2006)</w:t>
      </w:r>
      <w:r w:rsidR="00440109" w:rsidRPr="00440109">
        <w:t>.</w:t>
      </w:r>
      <w:proofErr w:type="gramEnd"/>
      <w:r w:rsidR="00440109" w:rsidRPr="00440109">
        <w:t xml:space="preserve"> </w:t>
      </w:r>
      <w:proofErr w:type="gramStart"/>
      <w:r w:rsidR="00440109" w:rsidRPr="00440109">
        <w:t>Šiame poskyryje pateiksime įvairių autorių decentralizacijos apibrėžimo apibūdinimą, nepaisant to, kad jų interpretacijos skiriasi.</w:t>
      </w:r>
      <w:proofErr w:type="gramEnd"/>
      <w:r w:rsidR="00440109" w:rsidRPr="00440109">
        <w:t xml:space="preserve"> </w:t>
      </w:r>
      <w:proofErr w:type="gramStart"/>
      <w:r w:rsidR="00440109" w:rsidRPr="00440109">
        <w:t>Pateiksime decentralizacijos sąvoką apibūdinančių kelių autorių lentelę.</w:t>
      </w:r>
      <w:proofErr w:type="gramEnd"/>
    </w:p>
    <w:p w:rsidR="00440109" w:rsidRDefault="00440109" w:rsidP="00C96EB3">
      <w:pPr>
        <w:autoSpaceDE w:val="0"/>
        <w:autoSpaceDN w:val="0"/>
        <w:adjustRightInd w:val="0"/>
        <w:spacing w:line="360" w:lineRule="auto"/>
        <w:ind w:firstLine="360"/>
        <w:jc w:val="both"/>
      </w:pPr>
    </w:p>
    <w:p w:rsidR="00440109" w:rsidRDefault="00440109" w:rsidP="00C96EB3">
      <w:pPr>
        <w:pStyle w:val="Heading5"/>
        <w:spacing w:before="0" w:line="360" w:lineRule="auto"/>
      </w:pPr>
      <w:bookmarkStart w:id="4" w:name="_Toc385239353"/>
      <w:bookmarkStart w:id="5" w:name="_Toc385242646"/>
      <w:bookmarkStart w:id="6" w:name="_Toc385432934"/>
      <w:proofErr w:type="gramStart"/>
      <w:r w:rsidRPr="00440109">
        <w:t>1 lentel</w:t>
      </w:r>
      <w:r w:rsidRPr="00440109">
        <w:rPr>
          <w:lang w:val="lt-LT"/>
        </w:rPr>
        <w:t>ė.</w:t>
      </w:r>
      <w:proofErr w:type="gramEnd"/>
      <w:r w:rsidRPr="00440109">
        <w:rPr>
          <w:lang w:val="lt-LT"/>
        </w:rPr>
        <w:t xml:space="preserve"> </w:t>
      </w:r>
      <w:r w:rsidRPr="00440109">
        <w:t>Decentralizacijos samprata</w:t>
      </w:r>
      <w:bookmarkEnd w:id="4"/>
      <w:bookmarkEnd w:id="5"/>
      <w:bookmarkEnd w:id="6"/>
    </w:p>
    <w:p w:rsidR="00440109" w:rsidRDefault="00440109" w:rsidP="00C96EB3">
      <w:pPr>
        <w:autoSpaceDE w:val="0"/>
        <w:autoSpaceDN w:val="0"/>
        <w:adjustRightInd w:val="0"/>
        <w:spacing w:line="360" w:lineRule="auto"/>
        <w:ind w:firstLine="360"/>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84"/>
        <w:gridCol w:w="6754"/>
      </w:tblGrid>
      <w:tr w:rsidR="00A3587A" w:rsidRPr="00C87E80" w:rsidTr="00C96EB3">
        <w:trPr>
          <w:trHeight w:val="224"/>
        </w:trPr>
        <w:tc>
          <w:tcPr>
            <w:tcW w:w="3484" w:type="dxa"/>
          </w:tcPr>
          <w:p w:rsidR="00A3587A" w:rsidRPr="00C87E80" w:rsidRDefault="00A3587A" w:rsidP="00C96EB3">
            <w:pPr>
              <w:autoSpaceDE w:val="0"/>
              <w:autoSpaceDN w:val="0"/>
              <w:adjustRightInd w:val="0"/>
              <w:spacing w:line="360" w:lineRule="auto"/>
              <w:jc w:val="center"/>
              <w:rPr>
                <w:b/>
                <w:sz w:val="20"/>
                <w:szCs w:val="20"/>
              </w:rPr>
            </w:pPr>
            <w:r w:rsidRPr="00C87E80">
              <w:rPr>
                <w:b/>
                <w:sz w:val="20"/>
                <w:szCs w:val="20"/>
              </w:rPr>
              <w:t>Autorius</w:t>
            </w:r>
          </w:p>
        </w:tc>
        <w:tc>
          <w:tcPr>
            <w:tcW w:w="6754" w:type="dxa"/>
          </w:tcPr>
          <w:p w:rsidR="00A3587A" w:rsidRPr="00C87E80" w:rsidRDefault="00A3587A" w:rsidP="00C96EB3">
            <w:pPr>
              <w:autoSpaceDE w:val="0"/>
              <w:autoSpaceDN w:val="0"/>
              <w:adjustRightInd w:val="0"/>
              <w:spacing w:line="360" w:lineRule="auto"/>
              <w:jc w:val="center"/>
              <w:rPr>
                <w:b/>
                <w:sz w:val="20"/>
                <w:szCs w:val="20"/>
              </w:rPr>
            </w:pPr>
            <w:r w:rsidRPr="00C87E80">
              <w:rPr>
                <w:b/>
                <w:sz w:val="20"/>
                <w:szCs w:val="20"/>
              </w:rPr>
              <w:t>Apibūdinimas</w:t>
            </w:r>
          </w:p>
        </w:tc>
      </w:tr>
      <w:tr w:rsidR="00A3587A" w:rsidRPr="00C87E80" w:rsidTr="00C96EB3">
        <w:trPr>
          <w:trHeight w:val="2284"/>
        </w:trPr>
        <w:tc>
          <w:tcPr>
            <w:tcW w:w="3484" w:type="dxa"/>
          </w:tcPr>
          <w:p w:rsidR="00A3587A" w:rsidRPr="00FD6F38" w:rsidRDefault="00FD6F38" w:rsidP="00C96EB3">
            <w:pPr>
              <w:autoSpaceDE w:val="0"/>
              <w:autoSpaceDN w:val="0"/>
              <w:adjustRightInd w:val="0"/>
              <w:spacing w:line="360" w:lineRule="auto"/>
              <w:rPr>
                <w:sz w:val="20"/>
                <w:szCs w:val="20"/>
              </w:rPr>
            </w:pPr>
            <w:r>
              <w:rPr>
                <w:sz w:val="20"/>
                <w:szCs w:val="20"/>
              </w:rPr>
              <w:t xml:space="preserve">Baltušnikienė, </w:t>
            </w:r>
            <w:r w:rsidR="00A3587A" w:rsidRPr="00C87E80">
              <w:rPr>
                <w:sz w:val="20"/>
                <w:szCs w:val="20"/>
              </w:rPr>
              <w:t>Astrauskas</w:t>
            </w:r>
            <w:r>
              <w:rPr>
                <w:sz w:val="20"/>
                <w:szCs w:val="20"/>
              </w:rPr>
              <w:t xml:space="preserve"> (2006, p. </w:t>
            </w:r>
            <w:r w:rsidR="00A3587A" w:rsidRPr="00C87E80">
              <w:rPr>
                <w:sz w:val="20"/>
                <w:szCs w:val="20"/>
              </w:rPr>
              <w:t>32</w:t>
            </w:r>
            <w:r>
              <w:rPr>
                <w:sz w:val="20"/>
                <w:szCs w:val="20"/>
              </w:rPr>
              <w:t>)</w:t>
            </w:r>
          </w:p>
        </w:tc>
        <w:tc>
          <w:tcPr>
            <w:tcW w:w="6754" w:type="dxa"/>
          </w:tcPr>
          <w:p w:rsidR="00A3587A" w:rsidRPr="00C87E80" w:rsidRDefault="00A3587A" w:rsidP="00C96EB3">
            <w:pPr>
              <w:autoSpaceDE w:val="0"/>
              <w:autoSpaceDN w:val="0"/>
              <w:adjustRightInd w:val="0"/>
              <w:jc w:val="both"/>
              <w:rPr>
                <w:sz w:val="20"/>
                <w:szCs w:val="20"/>
              </w:rPr>
            </w:pPr>
            <w:r w:rsidRPr="00C87E80">
              <w:rPr>
                <w:sz w:val="20"/>
                <w:szCs w:val="20"/>
              </w:rPr>
              <w:t>Decentralizacija (devoliucija)</w:t>
            </w:r>
            <w:r w:rsidR="004007A5">
              <w:rPr>
                <w:sz w:val="20"/>
                <w:szCs w:val="20"/>
              </w:rPr>
              <w:t xml:space="preserve"> </w:t>
            </w:r>
            <w:r w:rsidRPr="00C87E80">
              <w:rPr>
                <w:sz w:val="20"/>
                <w:szCs w:val="20"/>
              </w:rPr>
              <w:t>-</w:t>
            </w:r>
            <w:r w:rsidR="004007A5">
              <w:rPr>
                <w:sz w:val="20"/>
                <w:szCs w:val="20"/>
              </w:rPr>
              <w:t xml:space="preserve"> </w:t>
            </w:r>
            <w:r w:rsidRPr="00C87E80">
              <w:rPr>
                <w:sz w:val="20"/>
                <w:szCs w:val="20"/>
              </w:rPr>
              <w:t>tai įstatymais pagrįstas valdymo funkcijų perdavimas iš valstybės valdymo subjektų savaveiksmiškumo pagrindais veikiantiems regioninėms ir vietinės (arba tik vietinės) savivaldos subjektams. Pastaroji definicija netiesiogiai leidžia suvokti, kad žemesniųjų valdymo lygių valdžios institucijos, turėdamos tam tikrą autonomijos laipsnį, pirmiausia - atskaitingos ne valstybės valdymo subjektams, o regiono arba vietos rinkėjams. Šalies parlamentas suteikia teisę ir nustato pareigą valstybės valdžiai reguliuoti savaveiksmiškumo pagrindais veikiančių regioninės ir vietinės savivaldos subjektų veiklą tik teisinėmis ir ekonominėmis priemonėmis bei vykdyti jų veiklos administracinę</w:t>
            </w:r>
            <w:proofErr w:type="gramStart"/>
            <w:r w:rsidRPr="00C87E80">
              <w:rPr>
                <w:sz w:val="20"/>
                <w:szCs w:val="20"/>
              </w:rPr>
              <w:t>,dalykinę</w:t>
            </w:r>
            <w:proofErr w:type="gramEnd"/>
            <w:r w:rsidRPr="00C87E80">
              <w:rPr>
                <w:sz w:val="20"/>
                <w:szCs w:val="20"/>
              </w:rPr>
              <w:t xml:space="preserve"> ir finansinę kontrolę.</w:t>
            </w:r>
          </w:p>
        </w:tc>
      </w:tr>
      <w:tr w:rsidR="004E2197" w:rsidRPr="00C87E80" w:rsidTr="00C96EB3">
        <w:trPr>
          <w:trHeight w:val="1597"/>
        </w:trPr>
        <w:tc>
          <w:tcPr>
            <w:tcW w:w="3484" w:type="dxa"/>
          </w:tcPr>
          <w:p w:rsidR="004E2197" w:rsidRPr="00C87E80" w:rsidRDefault="004E2197" w:rsidP="00C87E80">
            <w:pPr>
              <w:autoSpaceDE w:val="0"/>
              <w:autoSpaceDN w:val="0"/>
              <w:adjustRightInd w:val="0"/>
              <w:rPr>
                <w:sz w:val="20"/>
                <w:szCs w:val="20"/>
              </w:rPr>
            </w:pPr>
            <w:r w:rsidRPr="00C87E80">
              <w:rPr>
                <w:sz w:val="20"/>
                <w:szCs w:val="20"/>
              </w:rPr>
              <w:t>Baltušnikienė (2009, p. 80)</w:t>
            </w:r>
          </w:p>
        </w:tc>
        <w:tc>
          <w:tcPr>
            <w:tcW w:w="6754" w:type="dxa"/>
          </w:tcPr>
          <w:p w:rsidR="004E2197" w:rsidRPr="00C87E80" w:rsidRDefault="004007A5" w:rsidP="004007A5">
            <w:pPr>
              <w:autoSpaceDE w:val="0"/>
              <w:autoSpaceDN w:val="0"/>
              <w:adjustRightInd w:val="0"/>
              <w:jc w:val="both"/>
              <w:rPr>
                <w:sz w:val="20"/>
                <w:szCs w:val="20"/>
              </w:rPr>
            </w:pPr>
            <w:r>
              <w:rPr>
                <w:sz w:val="20"/>
                <w:szCs w:val="20"/>
              </w:rPr>
              <w:t>S</w:t>
            </w:r>
            <w:r w:rsidR="004E2197" w:rsidRPr="00C87E80">
              <w:rPr>
                <w:sz w:val="20"/>
                <w:szCs w:val="20"/>
              </w:rPr>
              <w:t>iaurąja prasme decentralizacija suvokiama kaip įgaliojimų ir išteklių perdavimą iš centrinių valstybės valdymo subjektų savivaldos teises turintiems viešojo valdymo subjektams. Plačiąja prasme – kaip veikimo laisvės (diskrecijos), funkcijų, atsakomybės ir išteklių perdavimas ne tik savivaldos teises turintiems viešojo valdymo subjektams, bet ir skirtingose viešojo valdymo pakopose funkcionuojantiems valstybės valdymo ir (ar) privataus sektoriaus subjektams, nevyriausybinėms organizacijoms.</w:t>
            </w:r>
          </w:p>
        </w:tc>
      </w:tr>
      <w:tr w:rsidR="00A3587A" w:rsidRPr="00C87E80" w:rsidTr="00C96EB3">
        <w:trPr>
          <w:trHeight w:val="1135"/>
        </w:trPr>
        <w:tc>
          <w:tcPr>
            <w:tcW w:w="3484" w:type="dxa"/>
          </w:tcPr>
          <w:p w:rsidR="00A3587A" w:rsidRPr="00FD6F38" w:rsidRDefault="00FD6F38" w:rsidP="00FD6F38">
            <w:pPr>
              <w:autoSpaceDE w:val="0"/>
              <w:autoSpaceDN w:val="0"/>
              <w:adjustRightInd w:val="0"/>
              <w:rPr>
                <w:sz w:val="20"/>
                <w:szCs w:val="20"/>
              </w:rPr>
            </w:pPr>
            <w:r>
              <w:rPr>
                <w:sz w:val="20"/>
                <w:szCs w:val="20"/>
              </w:rPr>
              <w:t xml:space="preserve">Žilinskas (2001, p. </w:t>
            </w:r>
            <w:r w:rsidR="00A3587A" w:rsidRPr="00C87E80">
              <w:rPr>
                <w:sz w:val="20"/>
                <w:szCs w:val="20"/>
              </w:rPr>
              <w:t>66-67</w:t>
            </w:r>
            <w:r>
              <w:rPr>
                <w:sz w:val="20"/>
                <w:szCs w:val="20"/>
              </w:rPr>
              <w:t>)</w:t>
            </w:r>
          </w:p>
        </w:tc>
        <w:tc>
          <w:tcPr>
            <w:tcW w:w="6754" w:type="dxa"/>
          </w:tcPr>
          <w:p w:rsidR="00A3587A" w:rsidRPr="00C87E80" w:rsidRDefault="00A3587A" w:rsidP="004007A5">
            <w:pPr>
              <w:autoSpaceDE w:val="0"/>
              <w:autoSpaceDN w:val="0"/>
              <w:adjustRightInd w:val="0"/>
              <w:jc w:val="both"/>
              <w:rPr>
                <w:sz w:val="20"/>
                <w:szCs w:val="20"/>
              </w:rPr>
            </w:pPr>
            <w:r w:rsidRPr="00C87E80">
              <w:rPr>
                <w:sz w:val="20"/>
                <w:szCs w:val="20"/>
              </w:rPr>
              <w:t xml:space="preserve">Decentralizacija - tai valstybės organizacijos sistema, kurioje pripažįstama sprendimų teisė įvairiems teritoriniams kolektyvams (pavedama dalis teritorijos) arba viešosioms įstaigoms (pavedamos paslaugos). Decentralizavimas </w:t>
            </w:r>
            <w:r w:rsidR="004007A5">
              <w:rPr>
                <w:sz w:val="20"/>
                <w:szCs w:val="20"/>
              </w:rPr>
              <w:t>y</w:t>
            </w:r>
            <w:r w:rsidRPr="00C87E80">
              <w:rPr>
                <w:sz w:val="20"/>
                <w:szCs w:val="20"/>
              </w:rPr>
              <w:t>ra įstatymais pagrįstas valdymo funkcijų perdavimas iš centrinių valstybinės valdžios institucijų savivaldos teises turinčioms teritorijoms (savivaldybėms).</w:t>
            </w:r>
          </w:p>
        </w:tc>
      </w:tr>
      <w:tr w:rsidR="00A3587A" w:rsidRPr="00C87E80" w:rsidTr="00C96EB3">
        <w:trPr>
          <w:trHeight w:val="763"/>
        </w:trPr>
        <w:tc>
          <w:tcPr>
            <w:tcW w:w="3484" w:type="dxa"/>
          </w:tcPr>
          <w:p w:rsidR="00A3587A" w:rsidRPr="00C87E80" w:rsidRDefault="00953503" w:rsidP="00C87E80">
            <w:pPr>
              <w:autoSpaceDE w:val="0"/>
              <w:autoSpaceDN w:val="0"/>
              <w:adjustRightInd w:val="0"/>
              <w:rPr>
                <w:b/>
                <w:sz w:val="20"/>
                <w:szCs w:val="20"/>
              </w:rPr>
            </w:pPr>
            <w:r w:rsidRPr="00C87E80">
              <w:rPr>
                <w:sz w:val="20"/>
                <w:szCs w:val="20"/>
              </w:rPr>
              <w:lastRenderedPageBreak/>
              <w:t>Raipa, Backūnaitė (2004, p. 24)</w:t>
            </w:r>
          </w:p>
        </w:tc>
        <w:tc>
          <w:tcPr>
            <w:tcW w:w="6754" w:type="dxa"/>
          </w:tcPr>
          <w:p w:rsidR="00A3587A" w:rsidRPr="00C87E80" w:rsidRDefault="00953503" w:rsidP="004007A5">
            <w:pPr>
              <w:autoSpaceDE w:val="0"/>
              <w:autoSpaceDN w:val="0"/>
              <w:adjustRightInd w:val="0"/>
              <w:jc w:val="both"/>
              <w:rPr>
                <w:sz w:val="20"/>
                <w:szCs w:val="20"/>
              </w:rPr>
            </w:pPr>
            <w:r w:rsidRPr="00C87E80">
              <w:rPr>
                <w:sz w:val="20"/>
                <w:szCs w:val="20"/>
              </w:rPr>
              <w:t>Decentralizacija viešajame administravime – valdžios</w:t>
            </w:r>
            <w:r w:rsidR="004007A5">
              <w:rPr>
                <w:sz w:val="20"/>
                <w:szCs w:val="20"/>
              </w:rPr>
              <w:t xml:space="preserve"> </w:t>
            </w:r>
            <w:r w:rsidRPr="00C87E80">
              <w:rPr>
                <w:sz w:val="20"/>
                <w:szCs w:val="20"/>
              </w:rPr>
              <w:t>ir atsakomybės už viešųjų funkcijų vykdymą perdavimas iš centrinės valdžios jai pavaldžiai valdžiai ar kvazine</w:t>
            </w:r>
            <w:r w:rsidR="004007A5">
              <w:rPr>
                <w:sz w:val="20"/>
                <w:szCs w:val="20"/>
              </w:rPr>
              <w:t xml:space="preserve"> </w:t>
            </w:r>
            <w:r w:rsidRPr="00C87E80">
              <w:rPr>
                <w:sz w:val="20"/>
                <w:szCs w:val="20"/>
              </w:rPr>
              <w:t>priklausomoms valstybinėms organizacijoms ir (arba) privačiam sektoriui</w:t>
            </w:r>
            <w:r w:rsidR="00FD6F38">
              <w:rPr>
                <w:sz w:val="20"/>
                <w:szCs w:val="20"/>
              </w:rPr>
              <w:t>.</w:t>
            </w:r>
          </w:p>
        </w:tc>
      </w:tr>
    </w:tbl>
    <w:p w:rsidR="00440109" w:rsidRDefault="00FC16C1" w:rsidP="004E2197">
      <w:pPr>
        <w:autoSpaceDE w:val="0"/>
        <w:autoSpaceDN w:val="0"/>
        <w:adjustRightInd w:val="0"/>
        <w:jc w:val="both"/>
        <w:rPr>
          <w:b/>
          <w:sz w:val="20"/>
          <w:szCs w:val="20"/>
        </w:rPr>
      </w:pPr>
      <w:r w:rsidRPr="00FC16C1">
        <w:rPr>
          <w:b/>
          <w:sz w:val="20"/>
          <w:szCs w:val="20"/>
        </w:rPr>
        <w:t xml:space="preserve">Šaltinis: </w:t>
      </w:r>
      <w:r w:rsidRPr="00855841">
        <w:rPr>
          <w:sz w:val="20"/>
          <w:szCs w:val="20"/>
        </w:rPr>
        <w:t>sudaryta autorės</w:t>
      </w:r>
    </w:p>
    <w:p w:rsidR="00FC16C1" w:rsidRPr="00FC16C1" w:rsidRDefault="00FC16C1" w:rsidP="004E2197">
      <w:pPr>
        <w:autoSpaceDE w:val="0"/>
        <w:autoSpaceDN w:val="0"/>
        <w:adjustRightInd w:val="0"/>
        <w:jc w:val="both"/>
        <w:rPr>
          <w:b/>
          <w:sz w:val="20"/>
          <w:szCs w:val="20"/>
        </w:rPr>
      </w:pPr>
    </w:p>
    <w:p w:rsidR="00953503" w:rsidRPr="00FC16C1" w:rsidRDefault="004E2197" w:rsidP="00FC16C1">
      <w:pPr>
        <w:autoSpaceDE w:val="0"/>
        <w:autoSpaceDN w:val="0"/>
        <w:adjustRightInd w:val="0"/>
        <w:spacing w:line="360" w:lineRule="auto"/>
        <w:jc w:val="both"/>
      </w:pPr>
      <w:r>
        <w:tab/>
      </w:r>
      <w:r w:rsidRPr="00FC16C1">
        <w:t>Iš autorių suformuluotų apibrėžimų galima teigti, kad decentralizacija suvokiama kaip</w:t>
      </w:r>
      <w:r w:rsidR="004007A5">
        <w:t xml:space="preserve"> atsakomy</w:t>
      </w:r>
      <w:r w:rsidR="00953503" w:rsidRPr="00FC16C1">
        <w:t>bės perdavimas demokratiškai nepriklausomiems žemesniesiems valdymo lygiams, duodant jiems</w:t>
      </w:r>
      <w:r w:rsidR="00FC16C1">
        <w:t xml:space="preserve"> </w:t>
      </w:r>
      <w:r w:rsidR="00953503" w:rsidRPr="00FC16C1">
        <w:t>daugiau valdymo laisvės</w:t>
      </w:r>
      <w:r w:rsidR="00953503" w:rsidRPr="00FC16C1">
        <w:rPr>
          <w:i/>
          <w:iCs/>
        </w:rPr>
        <w:t xml:space="preserve"> </w:t>
      </w:r>
      <w:r w:rsidR="00953503" w:rsidRPr="00FC16C1">
        <w:t>bet nebūtinai daugiau finansinio savarankiškumo.</w:t>
      </w:r>
    </w:p>
    <w:p w:rsidR="00953503" w:rsidRDefault="00953503" w:rsidP="00FC16C1">
      <w:pPr>
        <w:autoSpaceDE w:val="0"/>
        <w:autoSpaceDN w:val="0"/>
        <w:adjustRightInd w:val="0"/>
        <w:spacing w:line="360" w:lineRule="auto"/>
        <w:jc w:val="both"/>
      </w:pPr>
      <w:r w:rsidRPr="00FC16C1">
        <w:tab/>
      </w:r>
      <w:proofErr w:type="gramStart"/>
      <w:r w:rsidR="00FC16C1">
        <w:t>Autorių</w:t>
      </w:r>
      <w:r w:rsidR="00FC16C1" w:rsidRPr="00FC16C1">
        <w:t xml:space="preserve"> nuomone decentralizacija gali būti skirstoma į tam tikras formas, tipus.</w:t>
      </w:r>
      <w:proofErr w:type="gramEnd"/>
      <w:r w:rsidR="00FC16C1" w:rsidRPr="00FC16C1">
        <w:t xml:space="preserve"> Galima sutikti su daugelio mokslininkų nuomone, kad decentralizacija yra daugialypis</w:t>
      </w:r>
      <w:proofErr w:type="gramStart"/>
      <w:r w:rsidR="00FC16C1" w:rsidRPr="00FC16C1">
        <w:t>,</w:t>
      </w:r>
      <w:r w:rsidR="00FC16C1" w:rsidRPr="00FC16C1">
        <w:rPr>
          <w:color w:val="FFFFFF"/>
        </w:rPr>
        <w:t>_</w:t>
      </w:r>
      <w:proofErr w:type="gramEnd"/>
      <w:r w:rsidR="00FD6F38">
        <w:t xml:space="preserve">daug sričių </w:t>
      </w:r>
      <w:r w:rsidR="00FD6F38" w:rsidRPr="00FD6F38">
        <w:rPr>
          <w:color w:val="FFFFFF"/>
        </w:rPr>
        <w:t>-</w:t>
      </w:r>
      <w:r w:rsidR="00FC16C1" w:rsidRPr="00FC16C1">
        <w:t>vienu metu apimantis socialinės sistemos valdymo ir (ar) viešųjų paslaugų teikimo posistemių pertvarkymas.</w:t>
      </w:r>
      <w:r w:rsidR="00FC16C1">
        <w:t xml:space="preserve"> </w:t>
      </w:r>
      <w:r w:rsidR="00FC16C1" w:rsidRPr="00FC16C1">
        <w:t>Pasak Baltušnikienės (2009) „pagal objektinį aspektą išskiriami politinės, fiskalinės, rinkos</w:t>
      </w:r>
      <w:r w:rsidR="004007A5">
        <w:t xml:space="preserve"> </w:t>
      </w:r>
      <w:r w:rsidR="00FC16C1" w:rsidRPr="00FC16C1">
        <w:t>(ekonominės), erdvinės ir administracinės decentralizacijos tipai</w:t>
      </w:r>
      <w:proofErr w:type="gramStart"/>
      <w:r w:rsidR="00FC16C1" w:rsidRPr="00FC16C1">
        <w:t>.“</w:t>
      </w:r>
      <w:proofErr w:type="gramEnd"/>
      <w:r w:rsidR="00FC16C1" w:rsidRPr="00FC16C1">
        <w:t xml:space="preserve"> </w:t>
      </w:r>
      <w:proofErr w:type="gramStart"/>
      <w:r w:rsidR="00FC16C1" w:rsidRPr="00FC16C1">
        <w:t>(81 p.).</w:t>
      </w:r>
      <w:proofErr w:type="gramEnd"/>
      <w:r w:rsidR="00FC16C1" w:rsidRPr="00FC16C1">
        <w:t xml:space="preserve"> Pasak Raipos, Backūnaitės (2004) „decentralizacija apima fiskalinius, politinius bei administracinius pokyčius ir gali iš esmės paveikt</w:t>
      </w:r>
      <w:r w:rsidR="00FD6F38">
        <w:t>i visus vystymosi aspektus</w:t>
      </w:r>
      <w:proofErr w:type="gramStart"/>
      <w:r w:rsidR="00FD6F38">
        <w:t>.“</w:t>
      </w:r>
      <w:proofErr w:type="gramEnd"/>
      <w:r w:rsidR="00FD6F38">
        <w:t xml:space="preserve"> </w:t>
      </w:r>
      <w:proofErr w:type="gramStart"/>
      <w:r w:rsidR="00FD6F38">
        <w:t>(24</w:t>
      </w:r>
      <w:r w:rsidR="00FC16C1" w:rsidRPr="00FC16C1">
        <w:t xml:space="preserve"> p.).</w:t>
      </w:r>
      <w:proofErr w:type="gramEnd"/>
      <w:r w:rsidR="00FC16C1" w:rsidRPr="00FC16C1">
        <w:t xml:space="preserve"> </w:t>
      </w:r>
      <w:smartTag w:uri="urn:schemas-microsoft-com:office:smarttags" w:element="place">
        <w:r w:rsidR="00FC16C1" w:rsidRPr="00FC16C1">
          <w:t>Vis</w:t>
        </w:r>
      </w:smartTag>
      <w:r w:rsidR="00FC16C1" w:rsidRPr="00FC16C1">
        <w:t xml:space="preserve"> dėlto kartais decentralizacija sutelkiama į atskiras sritis, pavyzdžiui: finansų ar ekonomikos sritį. Tai sudaro prielaidas atsirasti tokioms specifinėms decentralizacijos formoms kaip: 1) fiskalinė decentralizacija; 2) ekonominė decentralizacija (Astrauskas, 2007). Pasak Baltušnikienės (2006) „decentralizacijos esmė ir kompleksiškumas atskleidžiamas analizuojant decentralizacijo</w:t>
      </w:r>
      <w:r w:rsidR="007F5077">
        <w:t>s formų ir tipų klasifikaciją</w:t>
      </w:r>
      <w:proofErr w:type="gramStart"/>
      <w:r w:rsidR="007F5077">
        <w:t>.“</w:t>
      </w:r>
      <w:proofErr w:type="gramEnd"/>
      <w:r w:rsidR="007F5077">
        <w:t xml:space="preserve"> </w:t>
      </w:r>
      <w:proofErr w:type="gramStart"/>
      <w:r w:rsidR="00FC16C1" w:rsidRPr="00FC16C1">
        <w:t>(14 p.), todėl toliau pateikiame decentralizacijos formų ir tipų klasifikaciją (žr. 1 pav.).</w:t>
      </w:r>
      <w:proofErr w:type="gramEnd"/>
    </w:p>
    <w:p w:rsidR="00114D8E" w:rsidRDefault="00114D8E" w:rsidP="00FC16C1">
      <w:pPr>
        <w:autoSpaceDE w:val="0"/>
        <w:autoSpaceDN w:val="0"/>
        <w:adjustRightInd w:val="0"/>
        <w:spacing w:line="360" w:lineRule="auto"/>
        <w:jc w:val="both"/>
      </w:pPr>
    </w:p>
    <w:p w:rsidR="00FC16C1" w:rsidRDefault="00880BC7" w:rsidP="00FC16C1">
      <w:pPr>
        <w:autoSpaceDE w:val="0"/>
        <w:autoSpaceDN w:val="0"/>
        <w:adjustRightInd w:val="0"/>
        <w:spacing w:line="360" w:lineRule="auto"/>
        <w:jc w:val="both"/>
      </w:pPr>
      <w:r>
        <w:rPr>
          <w:noProof/>
        </w:rPr>
        <w:drawing>
          <wp:inline distT="0" distB="0" distL="0" distR="0" wp14:anchorId="47475B15" wp14:editId="177E0B66">
            <wp:extent cx="6515100" cy="3086100"/>
            <wp:effectExtent l="0" t="0" r="0" b="0"/>
            <wp:docPr id="2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15100" cy="3086100"/>
                    </a:xfrm>
                    <a:prstGeom prst="rect">
                      <a:avLst/>
                    </a:prstGeom>
                    <a:solidFill>
                      <a:srgbClr val="FFFFFF"/>
                    </a:solidFill>
                    <a:ln>
                      <a:noFill/>
                    </a:ln>
                  </pic:spPr>
                </pic:pic>
              </a:graphicData>
            </a:graphic>
          </wp:inline>
        </w:drawing>
      </w:r>
    </w:p>
    <w:p w:rsidR="00114D8E" w:rsidRDefault="005D78C6" w:rsidP="00FC16C1">
      <w:pPr>
        <w:autoSpaceDE w:val="0"/>
        <w:autoSpaceDN w:val="0"/>
        <w:adjustRightInd w:val="0"/>
        <w:spacing w:line="360" w:lineRule="auto"/>
        <w:jc w:val="both"/>
        <w:rPr>
          <w:sz w:val="20"/>
          <w:szCs w:val="20"/>
        </w:rPr>
      </w:pPr>
      <w:r w:rsidRPr="005D78C6">
        <w:rPr>
          <w:b/>
          <w:sz w:val="20"/>
          <w:szCs w:val="20"/>
        </w:rPr>
        <w:t>Šaltinis</w:t>
      </w:r>
      <w:r>
        <w:rPr>
          <w:b/>
          <w:sz w:val="20"/>
          <w:szCs w:val="20"/>
        </w:rPr>
        <w:t xml:space="preserve">: </w:t>
      </w:r>
      <w:r w:rsidR="00114D8E" w:rsidRPr="00114D8E">
        <w:rPr>
          <w:sz w:val="20"/>
          <w:szCs w:val="20"/>
        </w:rPr>
        <w:t>Baltuškinienė, 2009 m., p. 83</w:t>
      </w:r>
    </w:p>
    <w:p w:rsidR="00114D8E" w:rsidRPr="00A204BB" w:rsidRDefault="00114D8E" w:rsidP="00A204BB">
      <w:pPr>
        <w:pStyle w:val="Caption"/>
        <w:rPr>
          <w:rStyle w:val="Emphasis"/>
          <w:b/>
          <w:iCs w:val="0"/>
        </w:rPr>
      </w:pPr>
      <w:bookmarkStart w:id="7" w:name="_Toc385239354"/>
      <w:proofErr w:type="gramStart"/>
      <w:r w:rsidRPr="00A204BB">
        <w:rPr>
          <w:rStyle w:val="Emphasis"/>
          <w:b/>
          <w:iCs w:val="0"/>
        </w:rPr>
        <w:t>1 pav.</w:t>
      </w:r>
      <w:proofErr w:type="gramEnd"/>
      <w:r w:rsidRPr="00A204BB">
        <w:rPr>
          <w:rStyle w:val="Emphasis"/>
          <w:b/>
          <w:iCs w:val="0"/>
        </w:rPr>
        <w:t xml:space="preserve"> Decentralizacijos formų ir rūšių klasifikacija</w:t>
      </w:r>
      <w:bookmarkEnd w:id="7"/>
    </w:p>
    <w:p w:rsidR="00452D18" w:rsidRDefault="00452D18" w:rsidP="00114D8E">
      <w:pPr>
        <w:autoSpaceDE w:val="0"/>
        <w:autoSpaceDN w:val="0"/>
        <w:adjustRightInd w:val="0"/>
        <w:spacing w:line="360" w:lineRule="auto"/>
        <w:jc w:val="center"/>
        <w:rPr>
          <w:b/>
          <w:lang w:val="lt-LT"/>
        </w:rPr>
      </w:pPr>
    </w:p>
    <w:p w:rsidR="00452D18" w:rsidRPr="009A5DC2" w:rsidRDefault="00114D8E" w:rsidP="009A5DC2">
      <w:pPr>
        <w:autoSpaceDE w:val="0"/>
        <w:autoSpaceDN w:val="0"/>
        <w:adjustRightInd w:val="0"/>
        <w:spacing w:line="360" w:lineRule="auto"/>
        <w:ind w:firstLine="720"/>
        <w:jc w:val="both"/>
      </w:pPr>
      <w:r w:rsidRPr="00452D18">
        <w:t xml:space="preserve">Kaip matome </w:t>
      </w:r>
      <w:r w:rsidR="00320292" w:rsidRPr="00452D18">
        <w:t>pagal 1 paveikslą Baltuškinienė (2009)</w:t>
      </w:r>
      <w:r w:rsidRPr="00452D18">
        <w:t xml:space="preserve"> </w:t>
      </w:r>
      <w:r w:rsidR="00320292" w:rsidRPr="00452D18">
        <w:t>i</w:t>
      </w:r>
      <w:r w:rsidR="00320292" w:rsidRPr="00452D18">
        <w:rPr>
          <w:lang w:val="lt-LT"/>
        </w:rPr>
        <w:t>šskiria</w:t>
      </w:r>
      <w:r w:rsidRPr="00452D18">
        <w:t xml:space="preserve"> politin</w:t>
      </w:r>
      <w:r w:rsidR="00320292" w:rsidRPr="00452D18">
        <w:t>ę</w:t>
      </w:r>
      <w:r w:rsidRPr="00452D18">
        <w:t>, fiskalin</w:t>
      </w:r>
      <w:r w:rsidR="00320292" w:rsidRPr="00452D18">
        <w:t xml:space="preserve">ę, </w:t>
      </w:r>
      <w:r w:rsidRPr="00452D18">
        <w:t>ekonomin</w:t>
      </w:r>
      <w:r w:rsidR="00320292" w:rsidRPr="00452D18">
        <w:t>ę,</w:t>
      </w:r>
      <w:r w:rsidRPr="00452D18">
        <w:t xml:space="preserve"> erdvin</w:t>
      </w:r>
      <w:r w:rsidR="00320292" w:rsidRPr="00452D18">
        <w:t>ę</w:t>
      </w:r>
      <w:r w:rsidRPr="00452D18">
        <w:t xml:space="preserve"> ir administracin</w:t>
      </w:r>
      <w:r w:rsidR="00320292" w:rsidRPr="00452D18">
        <w:t>ę</w:t>
      </w:r>
      <w:r w:rsidRPr="00452D18">
        <w:t xml:space="preserve"> decentralizacijos</w:t>
      </w:r>
      <w:r w:rsidR="00320292" w:rsidRPr="00452D18">
        <w:t xml:space="preserve"> formas</w:t>
      </w:r>
      <w:r w:rsidR="00452D18">
        <w:t>.</w:t>
      </w:r>
      <w:r w:rsidR="00320292" w:rsidRPr="00452D18">
        <w:t xml:space="preserve"> Nors Astrauskas (2007) kaip decentralizacijos form</w:t>
      </w:r>
      <w:r w:rsidR="00320292" w:rsidRPr="00452D18">
        <w:rPr>
          <w:lang w:val="lt-LT"/>
        </w:rPr>
        <w:t xml:space="preserve">ą išskiria įgaliojimų </w:t>
      </w:r>
      <w:r w:rsidR="00452D18" w:rsidRPr="00452D18">
        <w:rPr>
          <w:lang w:val="lt-LT"/>
        </w:rPr>
        <w:t>perdavimą (delegavimą), o Raipa, Backūnaitė (</w:t>
      </w:r>
      <w:r w:rsidR="00452D18" w:rsidRPr="00452D18">
        <w:t>2004) išskyrė tik keturias formas, tačiau mano nuomone, Baltuškinienės (</w:t>
      </w:r>
      <w:r w:rsidR="00452D18">
        <w:t xml:space="preserve">2009) </w:t>
      </w:r>
      <w:r w:rsidR="00452D18" w:rsidRPr="00452D18">
        <w:t xml:space="preserve">decentralizacijos skirstymas geriausiai atspindi jos ypatumus. </w:t>
      </w:r>
      <w:r w:rsidRPr="00452D18">
        <w:t xml:space="preserve">Taip pat daugelio autorių darbuose </w:t>
      </w:r>
      <w:r w:rsidR="00452D18" w:rsidRPr="00452D18">
        <w:t xml:space="preserve">pateikiamas procesinis </w:t>
      </w:r>
      <w:r w:rsidRPr="00452D18">
        <w:t>tam</w:t>
      </w:r>
      <w:r w:rsidR="00452D18" w:rsidRPr="00452D18">
        <w:t xml:space="preserve"> </w:t>
      </w:r>
      <w:r w:rsidRPr="00452D18">
        <w:t>tikrų decentralizacijos formų aspektas arba, kitaip</w:t>
      </w:r>
      <w:r w:rsidR="00452D18" w:rsidRPr="00452D18">
        <w:t xml:space="preserve"> </w:t>
      </w:r>
      <w:r w:rsidRPr="00452D18">
        <w:t>tariant, būdai (tipai), kuriais įgyvendinama viena ar</w:t>
      </w:r>
      <w:r w:rsidR="00452D18" w:rsidRPr="00452D18">
        <w:t xml:space="preserve"> </w:t>
      </w:r>
      <w:r w:rsidRPr="00452D18">
        <w:t>kita de</w:t>
      </w:r>
      <w:r w:rsidR="00452D18" w:rsidRPr="00452D18">
        <w:t>centralizacijos forma. Pasak Baltu</w:t>
      </w:r>
      <w:r w:rsidR="00452D18" w:rsidRPr="00452D18">
        <w:rPr>
          <w:lang w:val="lt-LT"/>
        </w:rPr>
        <w:t>škinienės (</w:t>
      </w:r>
      <w:r w:rsidR="00452D18" w:rsidRPr="00452D18">
        <w:t>2006)</w:t>
      </w:r>
      <w:r w:rsidRPr="00452D18">
        <w:t xml:space="preserve"> procesiniu</w:t>
      </w:r>
      <w:r w:rsidR="00452D18" w:rsidRPr="00452D18">
        <w:t xml:space="preserve"> </w:t>
      </w:r>
      <w:r w:rsidRPr="00452D18">
        <w:t xml:space="preserve">aspektu dažniausiai pateikiami ekonominės ir </w:t>
      </w:r>
      <w:r w:rsidRPr="009A5DC2">
        <w:t>administracinės</w:t>
      </w:r>
      <w:r w:rsidR="00452D18" w:rsidRPr="009A5DC2">
        <w:t xml:space="preserve"> </w:t>
      </w:r>
      <w:r w:rsidRPr="009A5DC2">
        <w:t>decentralizacijos tipai. Ekonominė decentralizacija</w:t>
      </w:r>
      <w:r w:rsidR="00452D18" w:rsidRPr="009A5DC2">
        <w:t xml:space="preserve"> </w:t>
      </w:r>
      <w:r w:rsidRPr="009A5DC2">
        <w:t>paprastai skirstoma į du tipus – privatizavimą</w:t>
      </w:r>
      <w:r w:rsidR="00452D18" w:rsidRPr="009A5DC2">
        <w:t xml:space="preserve"> </w:t>
      </w:r>
      <w:r w:rsidRPr="009A5DC2">
        <w:t>ir dereguliavimą, o administracinė decentralizacija</w:t>
      </w:r>
      <w:r w:rsidR="00452D18" w:rsidRPr="009A5DC2">
        <w:t xml:space="preserve"> </w:t>
      </w:r>
      <w:r w:rsidRPr="009A5DC2">
        <w:t>– į tris: dekoncentravimą, delegavimą ir</w:t>
      </w:r>
      <w:r w:rsidR="00452D18" w:rsidRPr="009A5DC2">
        <w:t xml:space="preserve"> </w:t>
      </w:r>
      <w:r w:rsidRPr="009A5DC2">
        <w:t>devoliuciją.</w:t>
      </w:r>
      <w:r w:rsidR="00452D18" w:rsidRPr="009A5DC2">
        <w:t xml:space="preserve"> Remiantis Baltušnikienės (2009) klasifikacija trumpai apibūdinsime kiekvieną decentralizacijos formą:</w:t>
      </w:r>
    </w:p>
    <w:p w:rsidR="00452D18" w:rsidRPr="009A5DC2" w:rsidRDefault="00452D18" w:rsidP="00422459">
      <w:pPr>
        <w:autoSpaceDE w:val="0"/>
        <w:autoSpaceDN w:val="0"/>
        <w:adjustRightInd w:val="0"/>
        <w:spacing w:line="360" w:lineRule="auto"/>
        <w:ind w:firstLine="720"/>
        <w:jc w:val="both"/>
      </w:pPr>
      <w:r w:rsidRPr="009A5DC2">
        <w:rPr>
          <w:i/>
          <w:iCs/>
        </w:rPr>
        <w:t xml:space="preserve">Politinė decentralizacija </w:t>
      </w:r>
      <w:r w:rsidRPr="009A5DC2">
        <w:t>dažniausia suvokiama kaip procesas, kurio metu teritorinių</w:t>
      </w:r>
      <w:r w:rsidR="00422459">
        <w:t xml:space="preserve"> </w:t>
      </w:r>
      <w:r w:rsidRPr="009A5DC2">
        <w:t xml:space="preserve">bendruomenių nariams ir jų išrinktiems atstovams perduodama daugiau galių priimti viešuosius sprendimus. Kita vertus, legislatyvinių galių suteikimas teritoriniams valstybės valdymo subjektams taip pat traktuotinas kaip politinė decentralizacija. </w:t>
      </w:r>
      <w:r w:rsidRPr="009A5DC2">
        <w:rPr>
          <w:i/>
          <w:iCs/>
        </w:rPr>
        <w:t xml:space="preserve">Fiskalinė decentralizacija </w:t>
      </w:r>
      <w:r w:rsidRPr="009A5DC2">
        <w:t>– tai procesas, kurio metu konkrečių viešojo valdymo lygių subjektų sprendimų priėmimo ir jų įgyvendinimo atsakomybė valstybės finansų srityje perskirstoma žemesniųjų valdymo lygių subjektų fiskalinės autonomijos didėjimo link.</w:t>
      </w:r>
    </w:p>
    <w:p w:rsidR="00452D18" w:rsidRPr="009A5DC2" w:rsidRDefault="00452D18" w:rsidP="00422459">
      <w:pPr>
        <w:autoSpaceDE w:val="0"/>
        <w:autoSpaceDN w:val="0"/>
        <w:adjustRightInd w:val="0"/>
        <w:spacing w:line="360" w:lineRule="auto"/>
        <w:ind w:firstLine="720"/>
        <w:jc w:val="both"/>
      </w:pPr>
      <w:r w:rsidRPr="009A5DC2">
        <w:rPr>
          <w:i/>
          <w:iCs/>
        </w:rPr>
        <w:t xml:space="preserve">Rinkos (ekonominė) decentralizacija </w:t>
      </w:r>
      <w:r w:rsidR="004007A5">
        <w:t>– „</w:t>
      </w:r>
      <w:r w:rsidRPr="009A5DC2">
        <w:t>giliausia</w:t>
      </w:r>
      <w:proofErr w:type="gramStart"/>
      <w:r w:rsidRPr="009A5DC2">
        <w:t>“ decentralizacijos</w:t>
      </w:r>
      <w:proofErr w:type="gramEnd"/>
      <w:r w:rsidRPr="009A5DC2">
        <w:t xml:space="preserve"> forma. Ji skirstoma į du tipus: privatizavimą ir dereguliavimą. Privatizuojant ir dereguliuojant dalis viešojo valdymo kompetencijos perduodama privačioms įmonėms, visuomeninėms organizacijoms, kooperatyvams ir kitoms nevyriausybinėms organizacijoms.</w:t>
      </w:r>
    </w:p>
    <w:p w:rsidR="00452D18" w:rsidRPr="009A5DC2" w:rsidRDefault="00452D18" w:rsidP="00422459">
      <w:pPr>
        <w:autoSpaceDE w:val="0"/>
        <w:autoSpaceDN w:val="0"/>
        <w:adjustRightInd w:val="0"/>
        <w:spacing w:line="360" w:lineRule="auto"/>
        <w:ind w:firstLine="720"/>
        <w:jc w:val="both"/>
      </w:pPr>
      <w:r w:rsidRPr="009A5DC2">
        <w:rPr>
          <w:i/>
          <w:iCs/>
        </w:rPr>
        <w:t xml:space="preserve">Erdvinė decentralizacija </w:t>
      </w:r>
      <w:r w:rsidRPr="009A5DC2">
        <w:t>yra vienas iš regioninės politikos instrumentų. Jos esmė – tolygios regioninės plėtros šalyje skatinimas, sudarant sąlygas mažesniems ir ekonomiškai silpnesniems miestams bei vietovėms tapti švietimo, komercijos, pramonės ir žemės ūkio centrais.</w:t>
      </w:r>
    </w:p>
    <w:p w:rsidR="00114D8E" w:rsidRDefault="00452D18" w:rsidP="00422459">
      <w:pPr>
        <w:autoSpaceDE w:val="0"/>
        <w:autoSpaceDN w:val="0"/>
        <w:adjustRightInd w:val="0"/>
        <w:spacing w:line="360" w:lineRule="auto"/>
        <w:ind w:firstLine="720"/>
        <w:jc w:val="both"/>
      </w:pPr>
      <w:r w:rsidRPr="009A5DC2">
        <w:rPr>
          <w:i/>
          <w:iCs/>
        </w:rPr>
        <w:t xml:space="preserve">Administracinė decentralizacija </w:t>
      </w:r>
      <w:r w:rsidRPr="009A5DC2">
        <w:t>– skirtinguose viešojo valdymo lygiuose ar valstybės valdymo pakopose funkcionuojančių subjektų funkcijų ir atsakomybės perskirstymas.</w:t>
      </w:r>
    </w:p>
    <w:p w:rsidR="00BD7C74" w:rsidRDefault="00BD7C74" w:rsidP="00BD7C74">
      <w:pPr>
        <w:autoSpaceDE w:val="0"/>
        <w:autoSpaceDN w:val="0"/>
        <w:adjustRightInd w:val="0"/>
        <w:spacing w:line="360" w:lineRule="auto"/>
        <w:ind w:firstLine="720"/>
        <w:jc w:val="both"/>
      </w:pPr>
      <w:r w:rsidRPr="00BD7C74">
        <w:t xml:space="preserve">Taigi susisteminus decentralizacijos sampratų įvairovę ir apibendrinus decentralizacijos formų ir tipų klasifikaciją galima teigti, kad decentralizacija – tai </w:t>
      </w:r>
      <w:r w:rsidRPr="00BD7C74">
        <w:rPr>
          <w:lang w:val="lt-LT"/>
        </w:rPr>
        <w:t>įvairiapusis</w:t>
      </w:r>
      <w:r w:rsidRPr="00BD7C74">
        <w:t xml:space="preserve"> reiškinys, apimantis viešųjų sprendimų priėmimo ir įgyvendinimo galių, finansinių išteklių perdavimą teritorinių savivaldybių atstovams,</w:t>
      </w:r>
      <w:r w:rsidRPr="00BD7C74">
        <w:rPr>
          <w:color w:val="FFFFFF"/>
        </w:rPr>
        <w:t>_</w:t>
      </w:r>
      <w:r w:rsidRPr="00BD7C74">
        <w:t>skirtingų viešojo valdymo lygių valstybinio valdymo ir privataus sektoriaus subjektams, nevyriausybinėms</w:t>
      </w:r>
      <w:r>
        <w:t xml:space="preserve"> </w:t>
      </w:r>
      <w:r w:rsidRPr="00BD7C74">
        <w:t>organizacijoms.</w:t>
      </w:r>
    </w:p>
    <w:p w:rsidR="00A204BB" w:rsidRDefault="00A204BB" w:rsidP="00BD7C74">
      <w:pPr>
        <w:autoSpaceDE w:val="0"/>
        <w:autoSpaceDN w:val="0"/>
        <w:adjustRightInd w:val="0"/>
        <w:spacing w:line="360" w:lineRule="auto"/>
        <w:ind w:firstLine="720"/>
        <w:jc w:val="both"/>
      </w:pPr>
    </w:p>
    <w:p w:rsidR="00BD7C74" w:rsidRDefault="00BD7C74" w:rsidP="00BD7C74">
      <w:pPr>
        <w:autoSpaceDE w:val="0"/>
        <w:autoSpaceDN w:val="0"/>
        <w:adjustRightInd w:val="0"/>
        <w:spacing w:line="360" w:lineRule="auto"/>
        <w:ind w:firstLine="720"/>
        <w:jc w:val="both"/>
      </w:pPr>
    </w:p>
    <w:p w:rsidR="000B01C3" w:rsidRDefault="00BD7C74" w:rsidP="001503EE">
      <w:pPr>
        <w:pStyle w:val="Heading2"/>
        <w:spacing w:before="0" w:after="0" w:line="360" w:lineRule="auto"/>
        <w:jc w:val="center"/>
        <w:rPr>
          <w:lang w:val="lt-LT"/>
        </w:rPr>
      </w:pPr>
      <w:bookmarkStart w:id="8" w:name="_Toc345766253"/>
      <w:bookmarkStart w:id="9" w:name="_Toc385249524"/>
      <w:r>
        <w:lastRenderedPageBreak/>
        <w:t>1.2. Fiskalin</w:t>
      </w:r>
      <w:r>
        <w:rPr>
          <w:lang w:val="lt-LT"/>
        </w:rPr>
        <w:t>ės decentralizacijos samprata</w:t>
      </w:r>
      <w:bookmarkEnd w:id="8"/>
      <w:bookmarkEnd w:id="9"/>
    </w:p>
    <w:p w:rsidR="001503EE" w:rsidRPr="001503EE" w:rsidRDefault="001503EE" w:rsidP="001503EE">
      <w:pPr>
        <w:spacing w:line="360" w:lineRule="auto"/>
        <w:rPr>
          <w:lang w:val="lt-LT"/>
        </w:rPr>
      </w:pPr>
    </w:p>
    <w:p w:rsidR="000B01C3" w:rsidRPr="008972D3" w:rsidRDefault="000B01C3" w:rsidP="001503EE">
      <w:pPr>
        <w:autoSpaceDE w:val="0"/>
        <w:autoSpaceDN w:val="0"/>
        <w:adjustRightInd w:val="0"/>
        <w:spacing w:line="360" w:lineRule="auto"/>
        <w:ind w:firstLine="720"/>
        <w:jc w:val="both"/>
        <w:rPr>
          <w:lang w:val="lt-LT"/>
        </w:rPr>
      </w:pPr>
      <w:r w:rsidRPr="001503EE">
        <w:t>Decentralizavimo procesas, pagrįstas nurodytais prin</w:t>
      </w:r>
      <w:r w:rsidRPr="001503EE">
        <w:softHyphen/>
        <w:t>ci</w:t>
      </w:r>
      <w:r w:rsidRPr="001503EE">
        <w:softHyphen/>
        <w:t>pais, ekonominėje sferoje įgauna vadinamosios fiskalinės decentralizacijos formą (Davulis, 2006). Todėl aptarus decentralizacijos s</w:t>
      </w:r>
      <w:r w:rsidRPr="001503EE">
        <w:rPr>
          <w:lang w:val="lt-LT"/>
        </w:rPr>
        <w:t xml:space="preserve">ąvoką, galime aptarti šio darbo objektą – fiskalinę decentralizaciją. </w:t>
      </w:r>
      <w:r w:rsidRPr="008972D3">
        <w:rPr>
          <w:lang w:val="lt-LT"/>
        </w:rPr>
        <w:t>Fiskalin</w:t>
      </w:r>
      <w:r w:rsidRPr="001503EE">
        <w:rPr>
          <w:lang w:val="lt-LT"/>
        </w:rPr>
        <w:t>ė</w:t>
      </w:r>
      <w:r w:rsidRPr="008972D3">
        <w:rPr>
          <w:lang w:val="lt-LT"/>
        </w:rPr>
        <w:t xml:space="preserve">s decentralizacijos, o taip pat ir vietinių mokesčių problemas nagrinėja tiek užsienio, tiek ir Lietuvos mokslininkai, todėl </w:t>
      </w:r>
      <w:r w:rsidRPr="001503EE">
        <w:rPr>
          <w:lang w:val="lt-LT"/>
        </w:rPr>
        <w:t xml:space="preserve"> </w:t>
      </w:r>
      <w:r w:rsidRPr="008972D3">
        <w:rPr>
          <w:lang w:val="lt-LT"/>
        </w:rPr>
        <w:t xml:space="preserve">2 </w:t>
      </w:r>
      <w:r w:rsidR="001503EE" w:rsidRPr="008972D3">
        <w:rPr>
          <w:lang w:val="lt-LT"/>
        </w:rPr>
        <w:t xml:space="preserve">lentelėje </w:t>
      </w:r>
      <w:r w:rsidRPr="008972D3">
        <w:rPr>
          <w:lang w:val="lt-LT"/>
        </w:rPr>
        <w:t xml:space="preserve"> pateikt</w:t>
      </w:r>
      <w:r w:rsidR="001503EE" w:rsidRPr="008972D3">
        <w:rPr>
          <w:lang w:val="lt-LT"/>
        </w:rPr>
        <w:t>i fiskalinės decentralizacijos apibūdinimai.</w:t>
      </w:r>
    </w:p>
    <w:p w:rsidR="0054632A" w:rsidRPr="008972D3" w:rsidRDefault="0054632A" w:rsidP="001503EE">
      <w:pPr>
        <w:autoSpaceDE w:val="0"/>
        <w:autoSpaceDN w:val="0"/>
        <w:adjustRightInd w:val="0"/>
        <w:spacing w:line="360" w:lineRule="auto"/>
        <w:ind w:firstLine="720"/>
        <w:jc w:val="both"/>
        <w:rPr>
          <w:lang w:val="lt-LT"/>
        </w:rPr>
      </w:pPr>
    </w:p>
    <w:p w:rsidR="0054632A" w:rsidRPr="0054632A" w:rsidRDefault="0054632A" w:rsidP="00C62571">
      <w:pPr>
        <w:pStyle w:val="Heading5"/>
        <w:rPr>
          <w:lang w:val="lt-LT"/>
        </w:rPr>
      </w:pPr>
      <w:bookmarkStart w:id="10" w:name="_Toc385242647"/>
      <w:bookmarkStart w:id="11" w:name="_Toc385432935"/>
      <w:r w:rsidRPr="0054632A">
        <w:t>2 lentel</w:t>
      </w:r>
      <w:r w:rsidRPr="0054632A">
        <w:rPr>
          <w:lang w:val="lt-LT"/>
        </w:rPr>
        <w:t>ė. Fiskalinės decentralizacijos apibūdinimai</w:t>
      </w:r>
      <w:bookmarkEnd w:id="10"/>
      <w:bookmarkEnd w:id="11"/>
    </w:p>
    <w:p w:rsidR="0054632A" w:rsidRPr="0054632A" w:rsidRDefault="0054632A" w:rsidP="001503EE">
      <w:pPr>
        <w:autoSpaceDE w:val="0"/>
        <w:autoSpaceDN w:val="0"/>
        <w:adjustRightInd w:val="0"/>
        <w:spacing w:line="360" w:lineRule="auto"/>
        <w:ind w:firstLine="720"/>
        <w:jc w:val="both"/>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6228"/>
      </w:tblGrid>
      <w:tr w:rsidR="00422459" w:rsidRPr="00C87E80">
        <w:tc>
          <w:tcPr>
            <w:tcW w:w="3528" w:type="dxa"/>
          </w:tcPr>
          <w:p w:rsidR="00422459" w:rsidRPr="00C87E80" w:rsidRDefault="00422459" w:rsidP="00C87E80">
            <w:pPr>
              <w:autoSpaceDE w:val="0"/>
              <w:autoSpaceDN w:val="0"/>
              <w:adjustRightInd w:val="0"/>
              <w:spacing w:line="360" w:lineRule="auto"/>
              <w:jc w:val="center"/>
              <w:rPr>
                <w:b/>
                <w:sz w:val="20"/>
                <w:szCs w:val="20"/>
              </w:rPr>
            </w:pPr>
            <w:r w:rsidRPr="00C87E80">
              <w:rPr>
                <w:b/>
                <w:sz w:val="20"/>
                <w:szCs w:val="20"/>
              </w:rPr>
              <w:t>Autorius</w:t>
            </w:r>
          </w:p>
        </w:tc>
        <w:tc>
          <w:tcPr>
            <w:tcW w:w="6228" w:type="dxa"/>
          </w:tcPr>
          <w:p w:rsidR="00422459" w:rsidRPr="00C87E80" w:rsidRDefault="00422459" w:rsidP="00C87E80">
            <w:pPr>
              <w:autoSpaceDE w:val="0"/>
              <w:autoSpaceDN w:val="0"/>
              <w:adjustRightInd w:val="0"/>
              <w:spacing w:line="360" w:lineRule="auto"/>
              <w:jc w:val="center"/>
              <w:rPr>
                <w:b/>
                <w:sz w:val="20"/>
                <w:szCs w:val="20"/>
                <w:lang w:val="lt-LT"/>
              </w:rPr>
            </w:pPr>
            <w:r w:rsidRPr="00C87E80">
              <w:rPr>
                <w:b/>
                <w:sz w:val="20"/>
                <w:szCs w:val="20"/>
              </w:rPr>
              <w:t>Fiskalin</w:t>
            </w:r>
            <w:r w:rsidRPr="00C87E80">
              <w:rPr>
                <w:b/>
                <w:sz w:val="20"/>
                <w:szCs w:val="20"/>
                <w:lang w:val="lt-LT"/>
              </w:rPr>
              <w:t>ė decentralizacija:</w:t>
            </w:r>
          </w:p>
        </w:tc>
      </w:tr>
      <w:tr w:rsidR="00422459" w:rsidRPr="00C87E80">
        <w:tc>
          <w:tcPr>
            <w:tcW w:w="3528" w:type="dxa"/>
          </w:tcPr>
          <w:p w:rsidR="00422459" w:rsidRPr="00C87E80" w:rsidRDefault="0054632A" w:rsidP="00C87E80">
            <w:pPr>
              <w:autoSpaceDE w:val="0"/>
              <w:autoSpaceDN w:val="0"/>
              <w:adjustRightInd w:val="0"/>
              <w:spacing w:line="360" w:lineRule="auto"/>
              <w:jc w:val="both"/>
              <w:rPr>
                <w:sz w:val="20"/>
                <w:szCs w:val="20"/>
              </w:rPr>
            </w:pPr>
            <w:r w:rsidRPr="00C87E80">
              <w:rPr>
                <w:sz w:val="20"/>
                <w:szCs w:val="20"/>
              </w:rPr>
              <w:t>Raipa, Backūnaitė (2004, p. 24)</w:t>
            </w:r>
          </w:p>
        </w:tc>
        <w:tc>
          <w:tcPr>
            <w:tcW w:w="6228" w:type="dxa"/>
          </w:tcPr>
          <w:p w:rsidR="00422459" w:rsidRPr="00C87E80" w:rsidRDefault="0054632A" w:rsidP="004007A5">
            <w:pPr>
              <w:autoSpaceDE w:val="0"/>
              <w:autoSpaceDN w:val="0"/>
              <w:adjustRightInd w:val="0"/>
              <w:jc w:val="both"/>
              <w:rPr>
                <w:sz w:val="20"/>
                <w:szCs w:val="20"/>
              </w:rPr>
            </w:pPr>
            <w:r w:rsidRPr="00C87E80">
              <w:rPr>
                <w:sz w:val="20"/>
                <w:szCs w:val="20"/>
              </w:rPr>
              <w:t xml:space="preserve">decentralizacijos pagrindinis komponentas yra finansinė atsakomybė. Kad vietos valdžia efektyviai realizuotų decentralizuotas funkcijas, jos turi turėti atitinkamo lygio pajamas – nesvarbu ar padidintas vietoje, ar pervestas iš centrinės valdžios – taip pat kaip ir galią priimti sprendimus </w:t>
            </w:r>
            <w:smartTag w:uri="urn:schemas-microsoft-com:office:smarttags" w:element="place">
              <w:smartTag w:uri="urn:schemas-microsoft-com:office:smarttags" w:element="State">
                <w:r w:rsidRPr="00C87E80">
                  <w:rPr>
                    <w:sz w:val="20"/>
                    <w:szCs w:val="20"/>
                  </w:rPr>
                  <w:t>dėl</w:t>
                </w:r>
              </w:smartTag>
            </w:smartTag>
            <w:r w:rsidRPr="00C87E80">
              <w:rPr>
                <w:sz w:val="20"/>
                <w:szCs w:val="20"/>
              </w:rPr>
              <w:t xml:space="preserve"> išlaidų.</w:t>
            </w:r>
          </w:p>
        </w:tc>
      </w:tr>
      <w:tr w:rsidR="00422459" w:rsidRPr="00C87E80">
        <w:tc>
          <w:tcPr>
            <w:tcW w:w="3528" w:type="dxa"/>
          </w:tcPr>
          <w:p w:rsidR="00422459" w:rsidRPr="00C87E80" w:rsidRDefault="0054632A" w:rsidP="00C87E80">
            <w:pPr>
              <w:autoSpaceDE w:val="0"/>
              <w:autoSpaceDN w:val="0"/>
              <w:adjustRightInd w:val="0"/>
              <w:spacing w:line="360" w:lineRule="auto"/>
              <w:jc w:val="both"/>
              <w:rPr>
                <w:sz w:val="20"/>
                <w:szCs w:val="20"/>
              </w:rPr>
            </w:pPr>
            <w:r w:rsidRPr="00C87E80">
              <w:rPr>
                <w:sz w:val="20"/>
                <w:szCs w:val="20"/>
              </w:rPr>
              <w:t>Davulis (2006, p. 20)</w:t>
            </w:r>
          </w:p>
        </w:tc>
        <w:tc>
          <w:tcPr>
            <w:tcW w:w="6228" w:type="dxa"/>
          </w:tcPr>
          <w:p w:rsidR="00422459" w:rsidRPr="00C87E80" w:rsidRDefault="0054632A" w:rsidP="004007A5">
            <w:pPr>
              <w:autoSpaceDE w:val="0"/>
              <w:autoSpaceDN w:val="0"/>
              <w:adjustRightInd w:val="0"/>
              <w:jc w:val="both"/>
              <w:rPr>
                <w:sz w:val="20"/>
                <w:szCs w:val="20"/>
              </w:rPr>
            </w:pPr>
            <w:r w:rsidRPr="00C87E80">
              <w:rPr>
                <w:sz w:val="20"/>
                <w:szCs w:val="20"/>
              </w:rPr>
              <w:t>vietinės valdžios finansinio savarankiškumo didinimas,  atribojant vietinių ir centinės valdžios funkcijas viešajame  ekonomikos sektoriuje atitinkamai paskirstant ir finansinius išteklius šioms funkcijoms vykdyti. Ekonominis tokios decentralizacijos pagrindimas – viešojo ekonomikos sektoriaus efektyvumo didinimas, decentralizuojant viešojo sektoriaus ekonomikos ekonomines funkcijas.</w:t>
            </w:r>
          </w:p>
        </w:tc>
      </w:tr>
      <w:tr w:rsidR="00422459" w:rsidRPr="00C87E80">
        <w:tc>
          <w:tcPr>
            <w:tcW w:w="3528" w:type="dxa"/>
          </w:tcPr>
          <w:p w:rsidR="00422459" w:rsidRPr="00C87E80" w:rsidRDefault="0054632A" w:rsidP="00C87E80">
            <w:pPr>
              <w:autoSpaceDE w:val="0"/>
              <w:autoSpaceDN w:val="0"/>
              <w:adjustRightInd w:val="0"/>
              <w:spacing w:line="360" w:lineRule="auto"/>
              <w:jc w:val="both"/>
              <w:rPr>
                <w:sz w:val="20"/>
                <w:szCs w:val="20"/>
              </w:rPr>
            </w:pPr>
            <w:r w:rsidRPr="00C87E80">
              <w:rPr>
                <w:sz w:val="20"/>
                <w:szCs w:val="20"/>
              </w:rPr>
              <w:t>Baltušnikienė (2009, p. 81)</w:t>
            </w:r>
          </w:p>
        </w:tc>
        <w:tc>
          <w:tcPr>
            <w:tcW w:w="6228" w:type="dxa"/>
          </w:tcPr>
          <w:p w:rsidR="00422459" w:rsidRPr="00C87E80" w:rsidRDefault="0054632A" w:rsidP="004007A5">
            <w:pPr>
              <w:autoSpaceDE w:val="0"/>
              <w:autoSpaceDN w:val="0"/>
              <w:adjustRightInd w:val="0"/>
              <w:jc w:val="both"/>
              <w:rPr>
                <w:sz w:val="20"/>
                <w:szCs w:val="20"/>
              </w:rPr>
            </w:pPr>
            <w:r w:rsidRPr="00C87E80">
              <w:rPr>
                <w:sz w:val="20"/>
                <w:szCs w:val="20"/>
              </w:rPr>
              <w:t>Tai multidimensinis reiškinys, aprėpiantis atskirų valdymo lygių išlaidų ir pajamų, finansinių pervedimų paskirstymo ir skolinimosi mechanizmus, jų tarpusavio sąveiką plėtojant regioninės ir vietos valdžios subjektų fiskalinę autonomiją.</w:t>
            </w:r>
          </w:p>
        </w:tc>
      </w:tr>
    </w:tbl>
    <w:p w:rsidR="001503EE" w:rsidRDefault="0054632A" w:rsidP="0054632A">
      <w:pPr>
        <w:autoSpaceDE w:val="0"/>
        <w:autoSpaceDN w:val="0"/>
        <w:adjustRightInd w:val="0"/>
        <w:spacing w:line="360" w:lineRule="auto"/>
        <w:jc w:val="both"/>
        <w:rPr>
          <w:sz w:val="20"/>
          <w:szCs w:val="20"/>
        </w:rPr>
      </w:pPr>
      <w:r w:rsidRPr="0054632A">
        <w:rPr>
          <w:b/>
          <w:sz w:val="20"/>
          <w:szCs w:val="20"/>
        </w:rPr>
        <w:t>Šaltinis</w:t>
      </w:r>
      <w:r w:rsidRPr="0054632A">
        <w:rPr>
          <w:sz w:val="20"/>
          <w:szCs w:val="20"/>
        </w:rPr>
        <w:t>: sudaryta autorės</w:t>
      </w:r>
    </w:p>
    <w:p w:rsidR="00C957C3" w:rsidRDefault="00C957C3" w:rsidP="0054632A">
      <w:pPr>
        <w:autoSpaceDE w:val="0"/>
        <w:autoSpaceDN w:val="0"/>
        <w:adjustRightInd w:val="0"/>
        <w:spacing w:line="360" w:lineRule="auto"/>
        <w:jc w:val="both"/>
        <w:rPr>
          <w:sz w:val="20"/>
          <w:szCs w:val="20"/>
        </w:rPr>
      </w:pPr>
    </w:p>
    <w:p w:rsidR="00C2628C" w:rsidRDefault="0054632A" w:rsidP="00C2628C">
      <w:pPr>
        <w:autoSpaceDE w:val="0"/>
        <w:autoSpaceDN w:val="0"/>
        <w:adjustRightInd w:val="0"/>
        <w:spacing w:line="360" w:lineRule="auto"/>
        <w:ind w:firstLine="720"/>
        <w:jc w:val="both"/>
      </w:pPr>
      <w:r w:rsidRPr="00C2628C">
        <w:t>Baltušnikienė (2009) plačiai nagrinėjusi fiskalinės decentralizacijos terminą, esmę bei</w:t>
      </w:r>
      <w:r w:rsidR="00C2628C">
        <w:t xml:space="preserve"> </w:t>
      </w:r>
      <w:r w:rsidRPr="00C2628C">
        <w:t>turinį teigia, kad fiskalinė decentralizacija skirstoma į fiskalinę dekoncentraciją, delegavimą ir</w:t>
      </w:r>
      <w:r w:rsidR="00C2628C">
        <w:t xml:space="preserve"> </w:t>
      </w:r>
      <w:r w:rsidRPr="00C2628C">
        <w:t>devoliuciją (žr</w:t>
      </w:r>
      <w:r w:rsidR="00C2628C">
        <w:t xml:space="preserve">. 1 pav.). </w:t>
      </w:r>
    </w:p>
    <w:p w:rsidR="0054632A" w:rsidRPr="00C2628C" w:rsidRDefault="00C2628C" w:rsidP="00C2628C">
      <w:pPr>
        <w:autoSpaceDE w:val="0"/>
        <w:autoSpaceDN w:val="0"/>
        <w:adjustRightInd w:val="0"/>
        <w:spacing w:line="360" w:lineRule="auto"/>
        <w:ind w:firstLine="720"/>
        <w:jc w:val="both"/>
      </w:pPr>
      <w:r>
        <w:t>D</w:t>
      </w:r>
      <w:r w:rsidR="0054632A" w:rsidRPr="00C2628C">
        <w:rPr>
          <w:i/>
          <w:iCs/>
        </w:rPr>
        <w:t xml:space="preserve">ekoncentracija </w:t>
      </w:r>
      <w:r w:rsidR="0054632A" w:rsidRPr="00C2628C">
        <w:t>suvokiama kaip silpniausia</w:t>
      </w:r>
      <w:r>
        <w:t xml:space="preserve"> </w:t>
      </w:r>
      <w:r w:rsidR="0054632A" w:rsidRPr="00C2628C">
        <w:t>decen</w:t>
      </w:r>
      <w:r>
        <w:t xml:space="preserve">tralizacijos rūšis, dažniausiai </w:t>
      </w:r>
      <w:r w:rsidR="0054632A" w:rsidRPr="00C2628C">
        <w:t>įgyve</w:t>
      </w:r>
      <w:r w:rsidRPr="00C2628C">
        <w:t>ndinama unitarinėse valstybėse.</w:t>
      </w:r>
      <w:r w:rsidRPr="00C2628C">
        <w:rPr>
          <w:color w:val="FFFFFF"/>
        </w:rPr>
        <w:t>-</w:t>
      </w:r>
      <w:r w:rsidR="0054632A" w:rsidRPr="00C2628C">
        <w:t>Tai teisės aktais detaliai</w:t>
      </w:r>
      <w:r>
        <w:t xml:space="preserve"> pagrįstas finansinių išteklių </w:t>
      </w:r>
      <w:r w:rsidR="0054632A" w:rsidRPr="00C2628C">
        <w:t>perdavimas iš centrinių valstybės valdymo subjektų teritoriniams valstybės</w:t>
      </w:r>
      <w:r>
        <w:t xml:space="preserve"> valdymo subjektams. </w:t>
      </w:r>
      <w:r w:rsidR="0054632A" w:rsidRPr="00C2628C">
        <w:t>Tai galima suvokti kaip „iš viršaus į apačią“ modelį arba fiskalinę</w:t>
      </w:r>
      <w:r>
        <w:t xml:space="preserve"> </w:t>
      </w:r>
      <w:r w:rsidR="0054632A" w:rsidRPr="00C2628C">
        <w:t>decentralizaciją valstybiniu ar makro lygiu.</w:t>
      </w:r>
    </w:p>
    <w:p w:rsidR="0054632A" w:rsidRPr="00C2628C" w:rsidRDefault="0054632A" w:rsidP="00C2628C">
      <w:pPr>
        <w:autoSpaceDE w:val="0"/>
        <w:autoSpaceDN w:val="0"/>
        <w:adjustRightInd w:val="0"/>
        <w:spacing w:line="360" w:lineRule="auto"/>
        <w:ind w:firstLine="720"/>
        <w:jc w:val="both"/>
      </w:pPr>
      <w:r w:rsidRPr="00C2628C">
        <w:rPr>
          <w:i/>
          <w:iCs/>
        </w:rPr>
        <w:t xml:space="preserve">Delegavimą </w:t>
      </w:r>
      <w:r w:rsidRPr="00C2628C">
        <w:t>moks</w:t>
      </w:r>
      <w:r w:rsidR="00C2628C" w:rsidRPr="00C2628C">
        <w:t>lininkė išskiria kaip stipresnę</w:t>
      </w:r>
      <w:r w:rsidR="00C2628C" w:rsidRPr="00C2628C">
        <w:rPr>
          <w:color w:val="FFFFFF"/>
        </w:rPr>
        <w:t>-</w:t>
      </w:r>
      <w:r w:rsidRPr="00C2628C">
        <w:t>decentralizacijos rūšį, palyginti su</w:t>
      </w:r>
      <w:r w:rsidR="00C2628C">
        <w:t xml:space="preserve"> </w:t>
      </w:r>
      <w:r w:rsidRPr="00C2628C">
        <w:t>dekoncentravimu, kai finansiniai ištekliai perduodami iš centrinių valstybės valdymo subjektų</w:t>
      </w:r>
      <w:r w:rsidR="00C2628C">
        <w:t xml:space="preserve"> </w:t>
      </w:r>
      <w:r w:rsidRPr="00C2628C">
        <w:t>įvairiems teritorinio valdymo subjektams (kurie gali turėti savivaldos teises arba jų neturėti),</w:t>
      </w:r>
      <w:r w:rsidR="00C2628C">
        <w:t xml:space="preserve"> </w:t>
      </w:r>
      <w:r w:rsidRPr="00C2628C">
        <w:t>valstybinėms įmonėms, gyvenamųjų namų bendrijoms, specialios paskirties regionams, pusiau</w:t>
      </w:r>
      <w:r w:rsidR="00C2628C">
        <w:t xml:space="preserve"> </w:t>
      </w:r>
      <w:r w:rsidRPr="00C2628C">
        <w:t xml:space="preserve">autonominiams mokyklų </w:t>
      </w:r>
      <w:r w:rsidRPr="00C2628C">
        <w:lastRenderedPageBreak/>
        <w:t>regionams, regioninės plėtros institucijoms ar specialiems projektų</w:t>
      </w:r>
      <w:r w:rsidR="00C2628C">
        <w:t xml:space="preserve"> </w:t>
      </w:r>
      <w:r w:rsidRPr="00C2628C">
        <w:t>įgyvendinimo padaliniams, kurie įpareigojami laikantis teisės aktais nustatytos tvarkos ir taisyklių</w:t>
      </w:r>
    </w:p>
    <w:p w:rsidR="0054632A" w:rsidRPr="00C2628C" w:rsidRDefault="0054632A" w:rsidP="00C2628C">
      <w:pPr>
        <w:autoSpaceDE w:val="0"/>
        <w:autoSpaceDN w:val="0"/>
        <w:adjustRightInd w:val="0"/>
        <w:spacing w:line="360" w:lineRule="auto"/>
        <w:jc w:val="both"/>
      </w:pPr>
      <w:r w:rsidRPr="00C2628C">
        <w:t>vykdyti perduotas funkcijas.</w:t>
      </w:r>
    </w:p>
    <w:p w:rsidR="0054632A" w:rsidRPr="00C2628C" w:rsidRDefault="0054632A" w:rsidP="00C2628C">
      <w:pPr>
        <w:autoSpaceDE w:val="0"/>
        <w:autoSpaceDN w:val="0"/>
        <w:adjustRightInd w:val="0"/>
        <w:spacing w:line="360" w:lineRule="auto"/>
        <w:ind w:firstLine="720"/>
        <w:jc w:val="both"/>
      </w:pPr>
      <w:r w:rsidRPr="00C2628C">
        <w:rPr>
          <w:i/>
          <w:iCs/>
        </w:rPr>
        <w:t xml:space="preserve">Devoliucija </w:t>
      </w:r>
      <w:r w:rsidR="00C2628C" w:rsidRPr="00C2628C">
        <w:t>– įstatymais pagrįstas</w:t>
      </w:r>
      <w:r w:rsidR="00C2628C" w:rsidRPr="00C2628C">
        <w:rPr>
          <w:color w:val="FFFFFF"/>
        </w:rPr>
        <w:t>-</w:t>
      </w:r>
      <w:r w:rsidRPr="00C2628C">
        <w:t>finansinių išteklių perdavimas iš valstybės valdymo subjektų</w:t>
      </w:r>
      <w:r w:rsidR="00C2628C">
        <w:t xml:space="preserve"> </w:t>
      </w:r>
      <w:r w:rsidRPr="00C2628C">
        <w:t>savaveiksmiškumo pagrindais veikiančioms vietos ir (ar) regioninėms savivaldybėms. Pastaroji</w:t>
      </w:r>
      <w:r w:rsidR="00C2628C" w:rsidRPr="00C2628C">
        <w:rPr>
          <w:color w:val="FFFFFF"/>
        </w:rPr>
        <w:t>_</w:t>
      </w:r>
      <w:r w:rsidRPr="00C2628C">
        <w:t>definicija netiesiogiai leidžia suvokti, kad žemesniųjų valdymo lygių valdžios organai, turėdami tam</w:t>
      </w:r>
      <w:r w:rsidR="00C2628C">
        <w:t xml:space="preserve"> </w:t>
      </w:r>
      <w:r w:rsidRPr="00C2628C">
        <w:t>tikrą autonomijos (veikimo laisvės) laipsnį, visų pirma atskaitingi ne valstybės valdymo subjektams,</w:t>
      </w:r>
      <w:r w:rsidR="00C2628C">
        <w:t xml:space="preserve"> </w:t>
      </w:r>
      <w:r w:rsidRPr="00C2628C">
        <w:t>bet vietos ar regiono rinkėjams. Toks devoliucijos apibūdinimas grindžiama „iš apačios į viršų“</w:t>
      </w:r>
      <w:r w:rsidR="00C2628C">
        <w:t xml:space="preserve"> </w:t>
      </w:r>
      <w:r w:rsidRPr="00C2628C">
        <w:t>modeliu</w:t>
      </w:r>
      <w:r w:rsidR="00D02952" w:rsidRPr="00C2628C">
        <w:t>.</w:t>
      </w:r>
    </w:p>
    <w:p w:rsidR="00D02952" w:rsidRDefault="00D02952" w:rsidP="00C2628C">
      <w:pPr>
        <w:autoSpaceDE w:val="0"/>
        <w:autoSpaceDN w:val="0"/>
        <w:adjustRightInd w:val="0"/>
        <w:spacing w:line="360" w:lineRule="auto"/>
        <w:ind w:firstLine="720"/>
        <w:jc w:val="both"/>
        <w:rPr>
          <w:lang w:val="lt-LT" w:eastAsia="lt-LT"/>
        </w:rPr>
      </w:pPr>
      <w:r w:rsidRPr="00C2628C">
        <w:rPr>
          <w:lang w:val="lt-LT" w:eastAsia="lt-LT"/>
        </w:rPr>
        <w:t>Nagrinėjant fiskalinę decentralizaciją, jos lygį konkreč</w:t>
      </w:r>
      <w:r w:rsidR="00C2628C" w:rsidRPr="00C2628C">
        <w:rPr>
          <w:lang w:val="lt-LT" w:eastAsia="lt-LT"/>
        </w:rPr>
        <w:t>ioje</w:t>
      </w:r>
      <w:r w:rsidR="00C2628C" w:rsidRPr="00C2628C">
        <w:rPr>
          <w:color w:val="FFFFFF"/>
          <w:lang w:val="lt-LT" w:eastAsia="lt-LT"/>
        </w:rPr>
        <w:t>,</w:t>
      </w:r>
      <w:r w:rsidR="00C2628C" w:rsidRPr="00C2628C">
        <w:rPr>
          <w:lang w:val="lt-LT" w:eastAsia="lt-LT"/>
        </w:rPr>
        <w:t xml:space="preserve"> </w:t>
      </w:r>
      <w:r w:rsidRPr="00C2628C">
        <w:rPr>
          <w:lang w:val="lt-LT" w:eastAsia="lt-LT"/>
        </w:rPr>
        <w:t>šalyje, būtina atsižvelgti į tam tikrus</w:t>
      </w:r>
      <w:r w:rsidR="00C2628C">
        <w:rPr>
          <w:lang w:val="lt-LT" w:eastAsia="lt-LT"/>
        </w:rPr>
        <w:t xml:space="preserve"> </w:t>
      </w:r>
      <w:r w:rsidRPr="00C2628C">
        <w:rPr>
          <w:lang w:val="lt-LT" w:eastAsia="lt-LT"/>
        </w:rPr>
        <w:t xml:space="preserve">kriterijus. </w:t>
      </w:r>
      <w:r w:rsidR="00240C9F">
        <w:rPr>
          <w:lang w:val="lt-LT" w:eastAsia="lt-LT"/>
        </w:rPr>
        <w:t>F</w:t>
      </w:r>
      <w:r w:rsidR="00C2628C" w:rsidRPr="00C2628C">
        <w:rPr>
          <w:lang w:val="lt-LT" w:eastAsia="lt-LT"/>
        </w:rPr>
        <w:t>iskalinė decentralizacija yra multidimensinis reiškinys, aprėpiantis atskirų valdymo lygių išlaidų ir pajamų, finansinių pervedimų paskirstymo ir skolinimosi</w:t>
      </w:r>
      <w:r w:rsidR="00C2628C" w:rsidRPr="00C2628C">
        <w:rPr>
          <w:color w:val="FFFFFF"/>
          <w:lang w:val="lt-LT" w:eastAsia="lt-LT"/>
        </w:rPr>
        <w:t>-</w:t>
      </w:r>
      <w:r w:rsidR="00C2628C" w:rsidRPr="00C2628C">
        <w:rPr>
          <w:lang w:val="lt-LT" w:eastAsia="lt-LT"/>
        </w:rPr>
        <w:t>mechanizmus, jų tarpusavio sąveiką plėtojant regioninės ir vietos valdžios subjektų fiskalinę autonomiją (Baltuškinienė, 2004) (žr. 2 pav.).</w:t>
      </w:r>
    </w:p>
    <w:p w:rsidR="007F5077" w:rsidRDefault="00880BC7" w:rsidP="00EF40D0">
      <w:pPr>
        <w:autoSpaceDE w:val="0"/>
        <w:autoSpaceDN w:val="0"/>
        <w:adjustRightInd w:val="0"/>
        <w:spacing w:line="360" w:lineRule="auto"/>
        <w:ind w:firstLine="720"/>
        <w:jc w:val="center"/>
        <w:rPr>
          <w:b/>
          <w:lang w:val="lt-LT"/>
        </w:rPr>
      </w:pPr>
      <w:r>
        <w:rPr>
          <w:noProof/>
        </w:rPr>
        <mc:AlternateContent>
          <mc:Choice Requires="wpc">
            <w:drawing>
              <wp:inline distT="0" distB="0" distL="0" distR="0" wp14:anchorId="59880891" wp14:editId="52BD8B93">
                <wp:extent cx="6057900" cy="1943100"/>
                <wp:effectExtent l="0" t="0" r="0" b="0"/>
                <wp:docPr id="265" name="Canvas 4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30" name="AutoShape 42"/>
                        <wps:cNvSpPr>
                          <a:spLocks noChangeArrowheads="1"/>
                        </wps:cNvSpPr>
                        <wps:spPr bwMode="auto">
                          <a:xfrm>
                            <a:off x="1942735" y="228841"/>
                            <a:ext cx="1716405" cy="570873"/>
                          </a:xfrm>
                          <a:prstGeom prst="roundRect">
                            <a:avLst>
                              <a:gd name="adj" fmla="val 16667"/>
                            </a:avLst>
                          </a:prstGeom>
                          <a:solidFill>
                            <a:srgbClr val="FFFFFF"/>
                          </a:solidFill>
                          <a:ln w="9525">
                            <a:solidFill>
                              <a:srgbClr val="000000"/>
                            </a:solidFill>
                            <a:round/>
                            <a:headEnd/>
                            <a:tailEnd/>
                          </a:ln>
                        </wps:spPr>
                        <wps:txbx>
                          <w:txbxContent>
                            <w:p w:rsidR="00F57DE9" w:rsidRPr="00EF40D0" w:rsidRDefault="00F57DE9" w:rsidP="00EF40D0">
                              <w:pPr>
                                <w:jc w:val="center"/>
                                <w:rPr>
                                  <w:b/>
                                  <w:sz w:val="20"/>
                                  <w:szCs w:val="20"/>
                                  <w:lang w:val="lt-LT"/>
                                </w:rPr>
                              </w:pPr>
                              <w:r w:rsidRPr="00EF40D0">
                                <w:rPr>
                                  <w:b/>
                                  <w:sz w:val="20"/>
                                  <w:szCs w:val="20"/>
                                </w:rPr>
                                <w:t>Fiskalinės decentralizacijos dedamosios</w:t>
                              </w:r>
                            </w:p>
                          </w:txbxContent>
                        </wps:txbx>
                        <wps:bodyPr rot="0" vert="horz" wrap="square" lIns="91440" tIns="45720" rIns="91440" bIns="45720" anchor="t" anchorCtr="0" upright="1">
                          <a:noAutofit/>
                        </wps:bodyPr>
                      </wps:wsp>
                      <wps:wsp>
                        <wps:cNvPr id="31" name="AutoShape 44"/>
                        <wps:cNvSpPr>
                          <a:spLocks noChangeArrowheads="1"/>
                        </wps:cNvSpPr>
                        <wps:spPr bwMode="auto">
                          <a:xfrm>
                            <a:off x="1371441" y="1143386"/>
                            <a:ext cx="1257014" cy="453581"/>
                          </a:xfrm>
                          <a:prstGeom prst="roundRect">
                            <a:avLst>
                              <a:gd name="adj" fmla="val 16667"/>
                            </a:avLst>
                          </a:prstGeom>
                          <a:solidFill>
                            <a:srgbClr val="FFFFFF"/>
                          </a:solidFill>
                          <a:ln w="9525">
                            <a:solidFill>
                              <a:srgbClr val="000000"/>
                            </a:solidFill>
                            <a:round/>
                            <a:headEnd/>
                            <a:tailEnd/>
                          </a:ln>
                        </wps:spPr>
                        <wps:txbx>
                          <w:txbxContent>
                            <w:p w:rsidR="00F57DE9" w:rsidRPr="00EF40D0" w:rsidRDefault="00F57DE9" w:rsidP="00EF40D0">
                              <w:pPr>
                                <w:rPr>
                                  <w:sz w:val="20"/>
                                  <w:szCs w:val="20"/>
                                  <w:lang w:val="lt-LT"/>
                                </w:rPr>
                              </w:pPr>
                              <w:bookmarkStart w:id="12" w:name="_Toc385240115"/>
                              <w:r w:rsidRPr="00EF40D0">
                                <w:rPr>
                                  <w:sz w:val="20"/>
                                  <w:szCs w:val="20"/>
                                  <w:lang w:val="lt-LT"/>
                                </w:rPr>
                                <w:t>Mokesčių paskirstymas</w:t>
                              </w:r>
                              <w:bookmarkEnd w:id="12"/>
                            </w:p>
                          </w:txbxContent>
                        </wps:txbx>
                        <wps:bodyPr rot="0" vert="horz" wrap="square" lIns="91440" tIns="45720" rIns="91440" bIns="45720" anchor="t" anchorCtr="0" upright="1">
                          <a:noAutofit/>
                        </wps:bodyPr>
                      </wps:wsp>
                      <wps:wsp>
                        <wps:cNvPr id="256" name="AutoShape 45"/>
                        <wps:cNvSpPr>
                          <a:spLocks noChangeArrowheads="1"/>
                        </wps:cNvSpPr>
                        <wps:spPr bwMode="auto">
                          <a:xfrm>
                            <a:off x="2971737" y="1143386"/>
                            <a:ext cx="1257856" cy="452761"/>
                          </a:xfrm>
                          <a:prstGeom prst="roundRect">
                            <a:avLst>
                              <a:gd name="adj" fmla="val 16667"/>
                            </a:avLst>
                          </a:prstGeom>
                          <a:solidFill>
                            <a:srgbClr val="FFFFFF"/>
                          </a:solidFill>
                          <a:ln w="9525">
                            <a:solidFill>
                              <a:srgbClr val="000000"/>
                            </a:solidFill>
                            <a:round/>
                            <a:headEnd/>
                            <a:tailEnd/>
                          </a:ln>
                        </wps:spPr>
                        <wps:txbx>
                          <w:txbxContent>
                            <w:p w:rsidR="00F57DE9" w:rsidRPr="00EF40D0" w:rsidRDefault="00F57DE9" w:rsidP="00EF40D0">
                              <w:pPr>
                                <w:rPr>
                                  <w:sz w:val="20"/>
                                  <w:szCs w:val="20"/>
                                  <w:lang w:val="lt-LT"/>
                                </w:rPr>
                              </w:pPr>
                              <w:r w:rsidRPr="00EF40D0">
                                <w:rPr>
                                  <w:sz w:val="20"/>
                                  <w:szCs w:val="20"/>
                                  <w:lang w:val="lt-LT"/>
                                </w:rPr>
                                <w:t>Finansiniai pervedimai</w:t>
                              </w:r>
                            </w:p>
                          </w:txbxContent>
                        </wps:txbx>
                        <wps:bodyPr rot="0" vert="horz" wrap="square" lIns="91440" tIns="45720" rIns="91440" bIns="45720" anchor="t" anchorCtr="0" upright="1">
                          <a:noAutofit/>
                        </wps:bodyPr>
                      </wps:wsp>
                      <wps:wsp>
                        <wps:cNvPr id="257" name="AutoShape 43"/>
                        <wps:cNvSpPr>
                          <a:spLocks noChangeArrowheads="1"/>
                        </wps:cNvSpPr>
                        <wps:spPr bwMode="auto">
                          <a:xfrm>
                            <a:off x="0" y="1143386"/>
                            <a:ext cx="1142587" cy="456862"/>
                          </a:xfrm>
                          <a:prstGeom prst="roundRect">
                            <a:avLst>
                              <a:gd name="adj" fmla="val 16667"/>
                            </a:avLst>
                          </a:prstGeom>
                          <a:solidFill>
                            <a:srgbClr val="FFFFFF"/>
                          </a:solidFill>
                          <a:ln w="9525">
                            <a:solidFill>
                              <a:srgbClr val="000000"/>
                            </a:solidFill>
                            <a:round/>
                            <a:headEnd/>
                            <a:tailEnd/>
                          </a:ln>
                        </wps:spPr>
                        <wps:txbx>
                          <w:txbxContent>
                            <w:p w:rsidR="00F57DE9" w:rsidRPr="00EF40D0" w:rsidRDefault="00F57DE9" w:rsidP="00EF40D0">
                              <w:pPr>
                                <w:rPr>
                                  <w:sz w:val="20"/>
                                  <w:szCs w:val="20"/>
                                  <w:lang w:val="lt-LT"/>
                                </w:rPr>
                              </w:pPr>
                              <w:r w:rsidRPr="00EF40D0">
                                <w:rPr>
                                  <w:sz w:val="20"/>
                                  <w:szCs w:val="20"/>
                                  <w:lang w:val="lt-LT"/>
                                </w:rPr>
                                <w:t>Išlaidų paskirstymas</w:t>
                              </w:r>
                            </w:p>
                          </w:txbxContent>
                        </wps:txbx>
                        <wps:bodyPr rot="0" vert="horz" wrap="square" lIns="91440" tIns="45720" rIns="91440" bIns="45720" anchor="t" anchorCtr="0" upright="1">
                          <a:noAutofit/>
                        </wps:bodyPr>
                      </wps:wsp>
                      <wps:wsp>
                        <wps:cNvPr id="258" name="AutoShape 46"/>
                        <wps:cNvSpPr>
                          <a:spLocks noChangeArrowheads="1"/>
                        </wps:cNvSpPr>
                        <wps:spPr bwMode="auto">
                          <a:xfrm>
                            <a:off x="4572032" y="1143386"/>
                            <a:ext cx="1255332" cy="452761"/>
                          </a:xfrm>
                          <a:prstGeom prst="roundRect">
                            <a:avLst>
                              <a:gd name="adj" fmla="val 16667"/>
                            </a:avLst>
                          </a:prstGeom>
                          <a:solidFill>
                            <a:srgbClr val="FFFFFF"/>
                          </a:solidFill>
                          <a:ln w="9525">
                            <a:solidFill>
                              <a:srgbClr val="000000"/>
                            </a:solidFill>
                            <a:round/>
                            <a:headEnd/>
                            <a:tailEnd/>
                          </a:ln>
                        </wps:spPr>
                        <wps:txbx>
                          <w:txbxContent>
                            <w:p w:rsidR="00F57DE9" w:rsidRPr="00EF40D0" w:rsidRDefault="00F57DE9" w:rsidP="00EF40D0">
                              <w:pPr>
                                <w:rPr>
                                  <w:sz w:val="20"/>
                                  <w:szCs w:val="20"/>
                                  <w:lang w:val="lt-LT"/>
                                </w:rPr>
                              </w:pPr>
                              <w:r w:rsidRPr="00EF40D0">
                                <w:rPr>
                                  <w:sz w:val="20"/>
                                  <w:szCs w:val="20"/>
                                  <w:lang w:val="lt-LT"/>
                                </w:rPr>
                                <w:t>Skolinimosi mechanizmai</w:t>
                              </w:r>
                            </w:p>
                          </w:txbxContent>
                        </wps:txbx>
                        <wps:bodyPr rot="0" vert="horz" wrap="square" lIns="91440" tIns="45720" rIns="91440" bIns="45720" anchor="t" anchorCtr="0" upright="1">
                          <a:noAutofit/>
                        </wps:bodyPr>
                      </wps:wsp>
                      <wps:wsp>
                        <wps:cNvPr id="259" name="Line 49"/>
                        <wps:cNvCnPr/>
                        <wps:spPr bwMode="auto">
                          <a:xfrm>
                            <a:off x="2857310" y="799714"/>
                            <a:ext cx="0" cy="22884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0" name="Line 50"/>
                        <wps:cNvCnPr/>
                        <wps:spPr bwMode="auto">
                          <a:xfrm>
                            <a:off x="456867" y="1028555"/>
                            <a:ext cx="4800886" cy="8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1" name="Line 51"/>
                        <wps:cNvCnPr/>
                        <wps:spPr bwMode="auto">
                          <a:xfrm>
                            <a:off x="456867" y="1028555"/>
                            <a:ext cx="0" cy="11483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2" name="Line 52"/>
                        <wps:cNvCnPr/>
                        <wps:spPr bwMode="auto">
                          <a:xfrm>
                            <a:off x="2057162" y="1028555"/>
                            <a:ext cx="0" cy="11483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3" name="Line 53"/>
                        <wps:cNvCnPr/>
                        <wps:spPr bwMode="auto">
                          <a:xfrm>
                            <a:off x="3657457" y="1028555"/>
                            <a:ext cx="0" cy="11483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4" name="Line 54"/>
                        <wps:cNvCnPr/>
                        <wps:spPr bwMode="auto">
                          <a:xfrm>
                            <a:off x="5257752" y="1028555"/>
                            <a:ext cx="0" cy="11483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id="Canvas 41" o:spid="_x0000_s1026" editas="canvas" style="width:477pt;height:153pt;mso-position-horizontal-relative:char;mso-position-vertical-relative:line" coordsize="60579,19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0579;height:19431;visibility:visible;mso-wrap-style:square">
                  <v:fill o:detectmouseclick="t"/>
                  <v:path o:connecttype="none"/>
                </v:shape>
                <v:roundrect id="AutoShape 42" o:spid="_x0000_s1028" style="position:absolute;left:19427;top:2288;width:17164;height:5709;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UqCsAA&#10;AADbAAAADwAAAGRycy9kb3ducmV2LnhtbERPz2vCMBS+D/Y/hDfwNpNNHFs1yhgo3sS6w47P5tkW&#10;m5eapLX615uDsOPH93u+HGwjevKhdqzhbaxAEBfO1Fxq+N2vXj9BhIhssHFMGq4UYLl4fppjZtyF&#10;d9TnsRQphEOGGqoY20zKUFRkMYxdS5y4o/MWY4K+lMbjJYXbRr4r9SEt1pwaKmzpp6LilHdWQ2FU&#10;p/xfv/06TGN+67szy/VZ69HL8D0DEWmI/+KHe2M0TNL69CX9ALm4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UqCsAAAADbAAAADwAAAAAAAAAAAAAAAACYAgAAZHJzL2Rvd25y&#10;ZXYueG1sUEsFBgAAAAAEAAQA9QAAAIUDAAAAAA==&#10;">
                  <v:textbox>
                    <w:txbxContent>
                      <w:p w:rsidR="00C2249C" w:rsidRPr="00EF40D0" w:rsidRDefault="00C2249C" w:rsidP="00EF40D0">
                        <w:pPr>
                          <w:jc w:val="center"/>
                          <w:rPr>
                            <w:b/>
                            <w:sz w:val="20"/>
                            <w:szCs w:val="20"/>
                            <w:lang w:val="lt-LT"/>
                          </w:rPr>
                        </w:pPr>
                        <w:r w:rsidRPr="00EF40D0">
                          <w:rPr>
                            <w:b/>
                            <w:sz w:val="20"/>
                            <w:szCs w:val="20"/>
                          </w:rPr>
                          <w:t>Fiskalinės decentralizacijos dedamosios</w:t>
                        </w:r>
                      </w:p>
                    </w:txbxContent>
                  </v:textbox>
                </v:roundrect>
                <v:roundrect id="AutoShape 44" o:spid="_x0000_s1029" style="position:absolute;left:13714;top:11433;width:12570;height:4536;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PkcMA&#10;AADbAAAADwAAAGRycy9kb3ducmV2LnhtbESPQWsCMRSE7wX/Q3hCbzWx0qKrUUSo9Fa6evD43Dx3&#10;Fzcva5Jdt/31TaHQ4zAz3zCrzWAb0ZMPtWMN04kCQVw4U3Op4Xh4e5qDCBHZYOOYNHxRgM169LDC&#10;zLg7f1Kfx1IkCIcMNVQxtpmUoajIYpi4ljh5F+ctxiR9KY3He4LbRj4r9Sot1pwWKmxpV1FxzTur&#10;oTCqU/7UfyzOLzH/7rsby/1N68fxsF2CiDTE//Bf+91omE3h90v6AXL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mPkcMAAADbAAAADwAAAAAAAAAAAAAAAACYAgAAZHJzL2Rv&#10;d25yZXYueG1sUEsFBgAAAAAEAAQA9QAAAIgDAAAAAA==&#10;">
                  <v:textbox>
                    <w:txbxContent>
                      <w:p w:rsidR="00C2249C" w:rsidRPr="00EF40D0" w:rsidRDefault="00C2249C" w:rsidP="00EF40D0">
                        <w:pPr>
                          <w:rPr>
                            <w:sz w:val="20"/>
                            <w:szCs w:val="20"/>
                            <w:lang w:val="lt-LT"/>
                          </w:rPr>
                        </w:pPr>
                        <w:bookmarkStart w:id="14" w:name="_Toc385240115"/>
                        <w:r w:rsidRPr="00EF40D0">
                          <w:rPr>
                            <w:sz w:val="20"/>
                            <w:szCs w:val="20"/>
                            <w:lang w:val="lt-LT"/>
                          </w:rPr>
                          <w:t>Mokesčių paskirstymas</w:t>
                        </w:r>
                        <w:bookmarkEnd w:id="14"/>
                      </w:p>
                    </w:txbxContent>
                  </v:textbox>
                </v:roundrect>
                <v:roundrect id="AutoShape 45" o:spid="_x0000_s1030" style="position:absolute;left:29717;top:11433;width:12578;height:4528;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NHg8QA&#10;AADcAAAADwAAAGRycy9kb3ducmV2LnhtbESPQWsCMRSE7wX/Q3iCt5ooKHU1iggt3qTbHnp8bp67&#10;i5uXNcmua399Uyj0OMzMN8xmN9hG9ORD7VjDbKpAEBfO1Fxq+Px4fX4BESKywcYxaXhQgN129LTB&#10;zLg7v1Ofx1IkCIcMNVQxtpmUoajIYpi6ljh5F+ctxiR9KY3He4LbRs6VWkqLNaeFCls6VFRc885q&#10;KIzqlP/qT6vzIubffXdj+XbTejIe9msQkYb4H/5rH42G+WIJv2fSEZDb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RDR4PEAAAA3AAAAA8AAAAAAAAAAAAAAAAAmAIAAGRycy9k&#10;b3ducmV2LnhtbFBLBQYAAAAABAAEAPUAAACJAwAAAAA=&#10;">
                  <v:textbox>
                    <w:txbxContent>
                      <w:p w:rsidR="00C2249C" w:rsidRPr="00EF40D0" w:rsidRDefault="00C2249C" w:rsidP="00EF40D0">
                        <w:pPr>
                          <w:rPr>
                            <w:sz w:val="20"/>
                            <w:szCs w:val="20"/>
                            <w:lang w:val="lt-LT"/>
                          </w:rPr>
                        </w:pPr>
                        <w:r w:rsidRPr="00EF40D0">
                          <w:rPr>
                            <w:sz w:val="20"/>
                            <w:szCs w:val="20"/>
                            <w:lang w:val="lt-LT"/>
                          </w:rPr>
                          <w:t>Finansiniai pervedimai</w:t>
                        </w:r>
                      </w:p>
                    </w:txbxContent>
                  </v:textbox>
                </v:roundrect>
                <v:roundrect id="AutoShape 43" o:spid="_x0000_s1031" style="position:absolute;top:11433;width:11425;height:4569;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iGMQA&#10;AADcAAAADwAAAGRycy9kb3ducmV2LnhtbESPQWsCMRSE74X+h/AK3mpSQduuRhFB8SZue+jxdfPc&#10;Xbp5WZPsuu2vN4LQ4zAz3zCL1WAb0ZMPtWMNL2MFgrhwpuZSw+fH9vkNRIjIBhvHpOGXAqyWjw8L&#10;zIy78JH6PJYiQThkqKGKsc2kDEVFFsPYtcTJOzlvMSbpS2k8XhLcNnKi1ExarDktVNjSpqLiJ++s&#10;hsKoTvmv/vD+PY35X9+dWe7OWo+ehvUcRKQh/ofv7b3RMJm+wu1MOgJye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sP4hjEAAAA3AAAAA8AAAAAAAAAAAAAAAAAmAIAAGRycy9k&#10;b3ducmV2LnhtbFBLBQYAAAAABAAEAPUAAACJAwAAAAA=&#10;">
                  <v:textbox>
                    <w:txbxContent>
                      <w:p w:rsidR="00C2249C" w:rsidRPr="00EF40D0" w:rsidRDefault="00C2249C" w:rsidP="00EF40D0">
                        <w:pPr>
                          <w:rPr>
                            <w:sz w:val="20"/>
                            <w:szCs w:val="20"/>
                            <w:lang w:val="lt-LT"/>
                          </w:rPr>
                        </w:pPr>
                        <w:r w:rsidRPr="00EF40D0">
                          <w:rPr>
                            <w:sz w:val="20"/>
                            <w:szCs w:val="20"/>
                            <w:lang w:val="lt-LT"/>
                          </w:rPr>
                          <w:t>Išlaidų paskirstymas</w:t>
                        </w:r>
                      </w:p>
                    </w:txbxContent>
                  </v:textbox>
                </v:roundrect>
                <v:roundrect id="AutoShape 46" o:spid="_x0000_s1032" style="position:absolute;left:45720;top:11433;width:12553;height:4528;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B2asEA&#10;AADcAAAADwAAAGRycy9kb3ducmV2LnhtbERPz2vCMBS+C/sfwhvspskEx1ZNiwyU3WTdDju+Nc+2&#10;2LzUJK3Vv94cBjt+fL83xWQ7MZIPrWMNzwsFgrhypuVaw/fXbv4KIkRkg51j0nClAEX+MNtgZtyF&#10;P2ksYy1SCIcMNTQx9pmUoWrIYli4njhxR+ctxgR9LY3HSwq3nVwq9SIttpwaGuzpvaHqVA5WQ2XU&#10;oPzPeHj7XcXyNg5nlvuz1k+P03YNItIU/8V/7g+jYblKa9OZdARkf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qQdmrBAAAA3AAAAA8AAAAAAAAAAAAAAAAAmAIAAGRycy9kb3du&#10;cmV2LnhtbFBLBQYAAAAABAAEAPUAAACGAwAAAAA=&#10;">
                  <v:textbox>
                    <w:txbxContent>
                      <w:p w:rsidR="00C2249C" w:rsidRPr="00EF40D0" w:rsidRDefault="00C2249C" w:rsidP="00EF40D0">
                        <w:pPr>
                          <w:rPr>
                            <w:sz w:val="20"/>
                            <w:szCs w:val="20"/>
                            <w:lang w:val="lt-LT"/>
                          </w:rPr>
                        </w:pPr>
                        <w:r w:rsidRPr="00EF40D0">
                          <w:rPr>
                            <w:sz w:val="20"/>
                            <w:szCs w:val="20"/>
                            <w:lang w:val="lt-LT"/>
                          </w:rPr>
                          <w:t>Skolinimosi mechanizmai</w:t>
                        </w:r>
                      </w:p>
                    </w:txbxContent>
                  </v:textbox>
                </v:roundrect>
                <v:line id="Line 49" o:spid="_x0000_s1033" style="position:absolute;visibility:visible;mso-wrap-style:square" from="28573,7997" to="28573,102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1XnIscAAADcAAAADwAAAGRycy9kb3ducmV2LnhtbESPQWvCQBSE7wX/w/IKvdVNLQ01uoq0&#10;FLSHolbQ4zP7TGKzb8PuNkn/vSsUPA4z8w0znfemFi05X1lW8DRMQBDnVldcKNh9fzy+gvABWWNt&#10;mRT8kYf5bHA3xUzbjjfUbkMhIoR9hgrKEJpMSp+XZNAPbUMcvZN1BkOUrpDaYRfhppajJEmlwYrj&#10;QokNvZWU/2x/jYKv53XaLlafy36/So/5++Z4OHdOqYf7fjEBEagPt/B/e6kVjF7GcD0Tj4CcX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PVecixwAAANwAAAAPAAAAAAAA&#10;AAAAAAAAAKECAABkcnMvZG93bnJldi54bWxQSwUGAAAAAAQABAD5AAAAlQMAAAAA&#10;"/>
                <v:line id="Line 50" o:spid="_x0000_s1034" style="position:absolute;visibility:visible;mso-wrap-style:square" from="4568,10285" to="52577,102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AOEAsQAAADcAAAADwAAAGRycy9kb3ducmV2LnhtbERPy2rCQBTdF/oPwy10VydaCJI6EbEU&#10;tAupD6jLm8w1SZu5E2amSfz7zkJweTjvxXI0rejJ+caygukkAUFcWt1wpeB0/HiZg/ABWWNrmRRc&#10;ycMyf3xYYKbtwHvqD6ESMYR9hgrqELpMSl/WZNBPbEccuYt1BkOErpLa4RDDTStnSZJKgw3Hhho7&#10;WtdU/h7+jILd61far7afm/F7mxbl+744/wxOqeencfUGItAY7uKbe6MVzNI4P56JR0Dm/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QA4QCxAAAANwAAAAPAAAAAAAAAAAA&#10;AAAAAKECAABkcnMvZG93bnJldi54bWxQSwUGAAAAAAQABAD5AAAAkgMAAAAA&#10;"/>
                <v:line id="Line 51" o:spid="_x0000_s1035" style="position:absolute;visibility:visible;mso-wrap-style:square" from="4568,10285" to="4568,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8hmcYAAADcAAAADwAAAGRycy9kb3ducmV2LnhtbESPT2vCQBTE7wW/w/IKvdWNFoKkriKV&#10;gvZQ6h+ox2f2mUSzb8PuNonf3i0IHoeZ+Q0znfemFi05X1lWMBomIIhzqysuFOx3n68TED4ga6wt&#10;k4IreZjPBk9TzLTteEPtNhQiQthnqKAMocmk9HlJBv3QNsTRO1lnMETpCqkddhFuajlOklQarDgu&#10;lNjQR0n5ZftnFHy//aTtYv216n/X6TFfbo6Hc+eUennuF+8gAvXhEb63V1rBOB3B/5l4BOTsB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9PIZnGAAAA3AAAAA8AAAAAAAAA&#10;AAAAAAAAoQIAAGRycy9kb3ducmV2LnhtbFBLBQYAAAAABAAEAPkAAACUAwAAAAA=&#10;"/>
                <v:line id="Line 52" o:spid="_x0000_s1036" style="position:absolute;visibility:visible;mso-wrap-style:square" from="20571,10285" to="20571,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52/7sYAAADcAAAADwAAAGRycy9kb3ducmV2LnhtbESPQWvCQBSE7wX/w/IKvdVNUwgSXUWU&#10;gvZQqi3U4zP7TKLZt2F3m8R/7xaEHoeZ+YaZLQbTiI6cry0reBknIIgLq2suFXx/vT1PQPiArLGx&#10;TAqu5GExHz3MMNe25x11+1CKCGGfo4IqhDaX0hcVGfRj2xJH72SdwRClK6V22Ee4aWSaJJk0WHNc&#10;qLClVUXFZf9rFHy8fmbdcvu+GX622bFY746Hc++UenocllMQgYbwH763N1pBmqXwdyYeATm/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dv+7GAAAA3AAAAA8AAAAAAAAA&#10;AAAAAAAAoQIAAGRycy9kb3ducmV2LnhtbFBLBQYAAAAABAAEAPkAAACUAwAAAAA=&#10;"/>
                <v:line id="Line 53" o:spid="_x0000_s1037" style="position:absolute;visibility:visible;mso-wrap-style:square" from="36574,10285" to="36574,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NEadcYAAADcAAAADwAAAGRycy9kb3ducmV2LnhtbESPQWvCQBSE70L/w/IK3nSjQiipq4gi&#10;aA9FbaE9PrOvSdrs27C7JvHfu0LB4zAz3zDzZW9q0ZLzlWUFk3ECgji3uuJCwefHdvQCwgdkjbVl&#10;UnAlD8vF02COmbYdH6k9hUJECPsMFZQhNJmUPi/JoB/bhjh6P9YZDFG6QmqHXYSbWk6TJJUGK44L&#10;JTa0Lin/O12MgvfZIW1X+7dd/7VPz/nmeP7+7ZxSw+d+9QoiUB8e4f/2TiuYpjO4n4lHQC5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DRGnXGAAAA3AAAAA8AAAAAAAAA&#10;AAAAAAAAoQIAAGRycy9kb3ducmV2LnhtbFBLBQYAAAAABAAEAPkAAACUAwAAAAA=&#10;"/>
                <v:line id="Line 54" o:spid="_x0000_s1038" style="position:absolute;visibility:visible;mso-wrap-style:square" from="52577,10285" to="52577,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ziCAcYAAADcAAAADwAAAGRycy9kb3ducmV2LnhtbESPQWvCQBSE7wX/w/IEb3VTLaFEVxFL&#10;QT2Uagt6fGafSWr2bdhdk/TfdwtCj8PMfMPMl72pRUvOV5YVPI0TEMS51RUXCr4+3x5fQPiArLG2&#10;TAp+yMNyMXiYY6Ztx3tqD6EQEcI+QwVlCE0mpc9LMujHtiGO3sU6gyFKV0jtsItwU8tJkqTSYMVx&#10;ocSG1iXl18PNKHiffqTtarvb9Mdtes5f9+fTd+eUGg371QxEoD78h+/tjVYwSZ/h70w8AnLx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84ggHGAAAA3AAAAA8AAAAAAAAA&#10;AAAAAAAAoQIAAGRycy9kb3ducmV2LnhtbFBLBQYAAAAABAAEAPkAAACUAwAAAAA=&#10;"/>
                <w10:anchorlock/>
              </v:group>
            </w:pict>
          </mc:Fallback>
        </mc:AlternateContent>
      </w:r>
    </w:p>
    <w:p w:rsidR="007F5077" w:rsidRDefault="007F5077" w:rsidP="007F5077">
      <w:pPr>
        <w:autoSpaceDE w:val="0"/>
        <w:autoSpaceDN w:val="0"/>
        <w:adjustRightInd w:val="0"/>
        <w:spacing w:line="360" w:lineRule="auto"/>
        <w:ind w:firstLine="720"/>
        <w:rPr>
          <w:b/>
          <w:lang w:val="lt-LT"/>
        </w:rPr>
      </w:pPr>
      <w:r>
        <w:rPr>
          <w:b/>
          <w:lang w:val="lt-LT"/>
        </w:rPr>
        <w:t xml:space="preserve">Šaltinis: </w:t>
      </w:r>
      <w:r w:rsidRPr="007F5077">
        <w:rPr>
          <w:lang w:val="lt-LT"/>
        </w:rPr>
        <w:t>Baltušnikienė, 2006, 15 psl.</w:t>
      </w:r>
      <w:r>
        <w:rPr>
          <w:b/>
          <w:lang w:val="lt-LT"/>
        </w:rPr>
        <w:t xml:space="preserve"> </w:t>
      </w:r>
    </w:p>
    <w:p w:rsidR="005D78C6" w:rsidRPr="00EF40D0" w:rsidRDefault="005D78C6" w:rsidP="00A204BB">
      <w:pPr>
        <w:pStyle w:val="Caption"/>
        <w:rPr>
          <w:lang w:eastAsia="lt-LT"/>
        </w:rPr>
      </w:pPr>
      <w:bookmarkStart w:id="13" w:name="_Toc385239355"/>
      <w:r w:rsidRPr="005D78C6">
        <w:t xml:space="preserve">2 pav. </w:t>
      </w:r>
      <w:r>
        <w:t>Fiskalinės decentralizacijos dedamosios</w:t>
      </w:r>
      <w:bookmarkEnd w:id="13"/>
    </w:p>
    <w:p w:rsidR="005D78C6" w:rsidRDefault="005D78C6" w:rsidP="005D78C6">
      <w:pPr>
        <w:autoSpaceDE w:val="0"/>
        <w:autoSpaceDN w:val="0"/>
        <w:adjustRightInd w:val="0"/>
        <w:spacing w:line="360" w:lineRule="auto"/>
        <w:jc w:val="center"/>
        <w:rPr>
          <w:b/>
          <w:lang w:val="lt-LT"/>
        </w:rPr>
      </w:pPr>
    </w:p>
    <w:p w:rsidR="005D78C6" w:rsidRPr="00037187" w:rsidRDefault="005D78C6" w:rsidP="00037187">
      <w:pPr>
        <w:autoSpaceDE w:val="0"/>
        <w:autoSpaceDN w:val="0"/>
        <w:adjustRightInd w:val="0"/>
        <w:spacing w:line="360" w:lineRule="auto"/>
        <w:ind w:firstLine="720"/>
        <w:jc w:val="both"/>
        <w:rPr>
          <w:lang w:val="lt-LT" w:eastAsia="lt-LT"/>
        </w:rPr>
      </w:pPr>
      <w:r w:rsidRPr="00037187">
        <w:rPr>
          <w:lang w:val="lt-LT"/>
        </w:rPr>
        <w:t xml:space="preserve">Pasak Baltuškinienės (2004) </w:t>
      </w:r>
      <w:r w:rsidRPr="00037187">
        <w:rPr>
          <w:lang w:val="lt-LT" w:eastAsia="lt-LT"/>
        </w:rPr>
        <w:t>šalių,</w:t>
      </w:r>
      <w:r w:rsidRPr="00037187">
        <w:rPr>
          <w:color w:val="FFFFFF"/>
          <w:lang w:val="lt-LT" w:eastAsia="lt-LT"/>
        </w:rPr>
        <w:t>,</w:t>
      </w:r>
      <w:r w:rsidRPr="00037187">
        <w:rPr>
          <w:lang w:val="lt-LT" w:eastAsia="lt-LT"/>
        </w:rPr>
        <w:t>tobulinančių viešojo valdymo sistemą pasitelkus fiskalinę decentralizaciją, tikslas – racionalizuoti pajamų ir išlaidų paskirstymą, tobulinti finansinių pervedimų konkretiems valdymo lygiams bei regioninės ir vietos valdžios</w:t>
      </w:r>
      <w:r w:rsidRPr="00037187">
        <w:rPr>
          <w:color w:val="FFFFFF"/>
          <w:lang w:val="lt-LT" w:eastAsia="lt-LT"/>
        </w:rPr>
        <w:t>_</w:t>
      </w:r>
      <w:r w:rsidRPr="00037187">
        <w:rPr>
          <w:lang w:val="lt-LT" w:eastAsia="lt-LT"/>
        </w:rPr>
        <w:t>skolinimosi sistemą, gerinti vietinių finansų valdymą, pajamų mobilizavimą,</w:t>
      </w:r>
      <w:r w:rsidR="007F5077">
        <w:rPr>
          <w:lang w:val="lt-LT" w:eastAsia="lt-LT"/>
        </w:rPr>
        <w:t xml:space="preserve"> paslaugų teikimą ir kt. Norint</w:t>
      </w:r>
      <w:r w:rsidR="007F5077" w:rsidRPr="007F5077">
        <w:rPr>
          <w:color w:val="FFFFFF" w:themeColor="background1"/>
          <w:lang w:val="lt-LT" w:eastAsia="lt-LT"/>
        </w:rPr>
        <w:t>_</w:t>
      </w:r>
      <w:r w:rsidRPr="00037187">
        <w:rPr>
          <w:lang w:val="lt-LT" w:eastAsia="lt-LT"/>
        </w:rPr>
        <w:t>išsamiai atskleisti fiskalinės</w:t>
      </w:r>
      <w:r w:rsidRPr="00037187">
        <w:rPr>
          <w:color w:val="FFFFFF"/>
          <w:lang w:val="lt-LT" w:eastAsia="lt-LT"/>
        </w:rPr>
        <w:t>-</w:t>
      </w:r>
      <w:r w:rsidRPr="00037187">
        <w:rPr>
          <w:lang w:val="lt-LT" w:eastAsia="lt-LT"/>
        </w:rPr>
        <w:t>decentralizacijos fenomeną, vertėtų kiekvieną fiskalinės decentralizacijos dedamąją aptarti detaliau.</w:t>
      </w:r>
    </w:p>
    <w:p w:rsidR="005D78C6" w:rsidRPr="00037187" w:rsidRDefault="008C40D3" w:rsidP="00037187">
      <w:pPr>
        <w:autoSpaceDE w:val="0"/>
        <w:autoSpaceDN w:val="0"/>
        <w:adjustRightInd w:val="0"/>
        <w:spacing w:line="360" w:lineRule="auto"/>
        <w:ind w:firstLine="720"/>
        <w:jc w:val="both"/>
        <w:rPr>
          <w:lang w:val="lt-LT" w:eastAsia="lt-LT"/>
        </w:rPr>
      </w:pPr>
      <w:r w:rsidRPr="00037187">
        <w:rPr>
          <w:lang w:val="lt-LT" w:eastAsia="lt-LT"/>
        </w:rPr>
        <w:t>V</w:t>
      </w:r>
      <w:r w:rsidR="005D78C6" w:rsidRPr="00037187">
        <w:rPr>
          <w:lang w:val="lt-LT" w:eastAsia="lt-LT"/>
        </w:rPr>
        <w:t xml:space="preserve">iena iš fiskalinės decentralizacijos dedamųjų – </w:t>
      </w:r>
      <w:r w:rsidR="005D78C6" w:rsidRPr="00037187">
        <w:rPr>
          <w:i/>
          <w:lang w:val="lt-LT" w:eastAsia="lt-LT"/>
        </w:rPr>
        <w:t>išlaidų paskirstymas</w:t>
      </w:r>
      <w:r w:rsidR="005D78C6" w:rsidRPr="00037187">
        <w:rPr>
          <w:lang w:val="lt-LT" w:eastAsia="lt-LT"/>
        </w:rPr>
        <w:t xml:space="preserve"> – sėkmingai gali funkcionuoti tik aiškiai atskyrus ir detalizavus valdymo lygių kompetenciją ir funkcijas. Be to, svarbu suvokt</w:t>
      </w:r>
      <w:r w:rsidR="007F5077">
        <w:rPr>
          <w:lang w:val="lt-LT" w:eastAsia="lt-LT"/>
        </w:rPr>
        <w:t>i, kad išlaidų paskirstymas yra</w:t>
      </w:r>
      <w:r w:rsidR="007F5077" w:rsidRPr="007F5077">
        <w:rPr>
          <w:color w:val="FFFFFF" w:themeColor="background1"/>
          <w:lang w:val="lt-LT" w:eastAsia="lt-LT"/>
        </w:rPr>
        <w:t>_</w:t>
      </w:r>
      <w:r w:rsidR="005D78C6" w:rsidRPr="00037187">
        <w:rPr>
          <w:lang w:val="lt-LT" w:eastAsia="lt-LT"/>
        </w:rPr>
        <w:t>sudėtingas reiškinys, apimantis tam tikros valdymo funkcijos įgyvendinimą, finansavimą ir reguliavimą</w:t>
      </w:r>
    </w:p>
    <w:p w:rsidR="008C40D3" w:rsidRPr="00037187" w:rsidRDefault="008C40D3" w:rsidP="00037187">
      <w:pPr>
        <w:autoSpaceDE w:val="0"/>
        <w:autoSpaceDN w:val="0"/>
        <w:adjustRightInd w:val="0"/>
        <w:spacing w:line="360" w:lineRule="auto"/>
        <w:ind w:firstLine="720"/>
        <w:jc w:val="both"/>
        <w:rPr>
          <w:i/>
          <w:lang w:val="lt-LT" w:eastAsia="lt-LT"/>
        </w:rPr>
      </w:pPr>
      <w:r w:rsidRPr="00037187">
        <w:rPr>
          <w:lang w:val="lt-LT" w:eastAsia="lt-LT"/>
        </w:rPr>
        <w:lastRenderedPageBreak/>
        <w:t>Akivaizdu, kad apmokestinimo galių priskyrimą regioninės ir vietos valdžios dariniams lemia išlaidų paskirstymo galių suteikimas skirtingiems valdymo lygiams, t. y. vadovaujamasi principu: lėšos turi būti skiriamos konkrečiai viešojo valdymo sistemos funkcijai. Taigi netgi</w:t>
      </w:r>
      <w:r w:rsidRPr="00037187">
        <w:rPr>
          <w:color w:val="FFFFFF"/>
          <w:lang w:val="lt-LT" w:eastAsia="lt-LT"/>
        </w:rPr>
        <w:t>-</w:t>
      </w:r>
      <w:r w:rsidRPr="00037187">
        <w:rPr>
          <w:lang w:val="lt-LT" w:eastAsia="lt-LT"/>
        </w:rPr>
        <w:t xml:space="preserve">ir labai kruopščiai sukurta išlaidų paskirstymo tarp atskirų valdymo lygių sistema nefunkcionuos sklandžiai, jei nebus atitinkamos </w:t>
      </w:r>
      <w:r w:rsidRPr="00037187">
        <w:rPr>
          <w:i/>
          <w:lang w:val="lt-LT" w:eastAsia="lt-LT"/>
        </w:rPr>
        <w:t>mokesčių</w:t>
      </w:r>
      <w:r w:rsidR="00037187">
        <w:rPr>
          <w:i/>
          <w:lang w:val="lt-LT" w:eastAsia="lt-LT"/>
        </w:rPr>
        <w:t xml:space="preserve"> </w:t>
      </w:r>
      <w:r w:rsidRPr="00037187">
        <w:rPr>
          <w:i/>
          <w:lang w:val="lt-LT" w:eastAsia="lt-LT"/>
        </w:rPr>
        <w:t>paskirstymo sistemos.</w:t>
      </w:r>
      <w:r w:rsidRPr="00037187">
        <w:rPr>
          <w:lang w:val="lt-LT" w:eastAsia="lt-LT"/>
        </w:rPr>
        <w:t xml:space="preserve"> Kiekvienos valstybės mokesčių sistemoje dalis mokesčių paprastai priskiriama žemesniems valdymo lygiams, kita dalis – valstybės.</w:t>
      </w:r>
    </w:p>
    <w:p w:rsidR="00037187" w:rsidRPr="00037187" w:rsidRDefault="001E2050" w:rsidP="00037187">
      <w:pPr>
        <w:autoSpaceDE w:val="0"/>
        <w:autoSpaceDN w:val="0"/>
        <w:adjustRightInd w:val="0"/>
        <w:spacing w:line="360" w:lineRule="auto"/>
        <w:ind w:firstLine="720"/>
        <w:jc w:val="both"/>
        <w:rPr>
          <w:lang w:val="lt-LT" w:eastAsia="lt-LT"/>
        </w:rPr>
      </w:pPr>
      <w:r>
        <w:rPr>
          <w:lang w:val="lt-LT" w:eastAsia="lt-LT"/>
        </w:rPr>
        <w:t xml:space="preserve">Vietos savivaldai tenka svarbiausias vaidmuo, su kuriais </w:t>
      </w:r>
      <w:r w:rsidR="008C40D3" w:rsidRPr="00037187">
        <w:rPr>
          <w:lang w:val="lt-LT" w:eastAsia="lt-LT"/>
        </w:rPr>
        <w:t>susiduriama</w:t>
      </w:r>
      <w:r>
        <w:rPr>
          <w:lang w:val="lt-LT" w:eastAsia="lt-LT"/>
        </w:rPr>
        <w:t xml:space="preserve"> kasdien</w:t>
      </w:r>
      <w:r w:rsidR="008C40D3" w:rsidRPr="00037187">
        <w:rPr>
          <w:lang w:val="lt-LT" w:eastAsia="lt-LT"/>
        </w:rPr>
        <w:t>: tai mokyklos ir darželiai, medicininės paslaugos, vandens ir šilumos tiekimas, gatvių tvarkymas ir pan. Pasaulio praktika rodo, kad savivaldos institucijoms neretai geriau sekasi negu valstybės valdžiai sutelkti išteklius, reikalingus gyventojų poreikiams tenkinti, kadangi žmonės yra labiau linkę mokėti vietinius mokesčius, matydami sąsajas tarp</w:t>
      </w:r>
      <w:r w:rsidR="008C40D3" w:rsidRPr="00037187">
        <w:rPr>
          <w:color w:val="FFFFFF"/>
          <w:lang w:val="lt-LT" w:eastAsia="lt-LT"/>
        </w:rPr>
        <w:t>_</w:t>
      </w:r>
      <w:r w:rsidR="007F5077">
        <w:rPr>
          <w:lang w:val="lt-LT" w:eastAsia="lt-LT"/>
        </w:rPr>
        <w:t>savo mokamų</w:t>
      </w:r>
      <w:r w:rsidR="007F5077">
        <w:rPr>
          <w:color w:val="FFFFFF" w:themeColor="background1"/>
          <w:lang w:val="lt-LT" w:eastAsia="lt-LT"/>
        </w:rPr>
        <w:t>_</w:t>
      </w:r>
      <w:r w:rsidR="008C40D3" w:rsidRPr="00037187">
        <w:rPr>
          <w:lang w:val="lt-LT" w:eastAsia="lt-LT"/>
        </w:rPr>
        <w:t>pinigų ir savivaldos institucijų organizuojamų ir teikiamų paslaugų (Boex</w:t>
      </w:r>
      <w:r w:rsidR="00037187">
        <w:rPr>
          <w:lang w:val="lt-LT" w:eastAsia="lt-LT"/>
        </w:rPr>
        <w:t xml:space="preserve">, </w:t>
      </w:r>
      <w:r w:rsidR="008C40D3" w:rsidRPr="00037187">
        <w:rPr>
          <w:lang w:val="lt-LT" w:eastAsia="lt-LT"/>
        </w:rPr>
        <w:t xml:space="preserve">2001). Vis dėlto daugelyje šalių valstybės valdžia, </w:t>
      </w:r>
      <w:r w:rsidR="00037187">
        <w:rPr>
          <w:lang w:val="lt-LT" w:eastAsia="lt-LT"/>
        </w:rPr>
        <w:t>skirstydama</w:t>
      </w:r>
      <w:r w:rsidR="008C40D3" w:rsidRPr="00037187">
        <w:rPr>
          <w:color w:val="FFFFFF"/>
          <w:lang w:val="lt-LT" w:eastAsia="lt-LT"/>
        </w:rPr>
        <w:t>.</w:t>
      </w:r>
      <w:r w:rsidR="008C40D3" w:rsidRPr="00037187">
        <w:rPr>
          <w:lang w:val="lt-LT" w:eastAsia="lt-LT"/>
        </w:rPr>
        <w:t xml:space="preserve">dalį savo funkcijų žemesniems valdymo lygiams, nenoriai sutinka jiems suteikti savarankiškumo sudarant savo biudžetus. Todėl finansiniai pervedimai yra </w:t>
      </w:r>
      <w:r w:rsidR="00037187" w:rsidRPr="00037187">
        <w:rPr>
          <w:lang w:val="lt-LT" w:eastAsia="lt-LT"/>
        </w:rPr>
        <w:t>būtini siekiant</w:t>
      </w:r>
      <w:r w:rsidR="00037187" w:rsidRPr="00037187">
        <w:rPr>
          <w:color w:val="FFFFFF"/>
          <w:lang w:val="lt-LT" w:eastAsia="lt-LT"/>
        </w:rPr>
        <w:t>-</w:t>
      </w:r>
      <w:r w:rsidR="008C40D3" w:rsidRPr="00037187">
        <w:rPr>
          <w:lang w:val="lt-LT" w:eastAsia="lt-LT"/>
        </w:rPr>
        <w:t>užtikrinti vietos (regioninių) valdymo lygių pajamų ir išlaidų atitikimą.</w:t>
      </w:r>
      <w:r w:rsidR="00037187" w:rsidRPr="00037187">
        <w:rPr>
          <w:lang w:val="lt-LT" w:eastAsia="lt-LT"/>
        </w:rPr>
        <w:t xml:space="preserve"> </w:t>
      </w:r>
    </w:p>
    <w:p w:rsidR="00037187" w:rsidRPr="00037187" w:rsidRDefault="00037187" w:rsidP="00037187">
      <w:pPr>
        <w:autoSpaceDE w:val="0"/>
        <w:autoSpaceDN w:val="0"/>
        <w:adjustRightInd w:val="0"/>
        <w:spacing w:line="360" w:lineRule="auto"/>
        <w:ind w:firstLine="720"/>
        <w:jc w:val="both"/>
        <w:rPr>
          <w:lang w:val="lt-LT" w:eastAsia="lt-LT"/>
        </w:rPr>
      </w:pPr>
      <w:r w:rsidRPr="00037187">
        <w:rPr>
          <w:lang w:val="lt-LT" w:eastAsia="lt-LT"/>
        </w:rPr>
        <w:t xml:space="preserve">Paskutinė fiskalinės decentralizacijos sudedamoji dalis – žemesnių valdymo lygių </w:t>
      </w:r>
      <w:r w:rsidRPr="00037187">
        <w:rPr>
          <w:i/>
          <w:lang w:val="lt-LT" w:eastAsia="lt-LT"/>
        </w:rPr>
        <w:t>skolinimosi mechanizmas</w:t>
      </w:r>
      <w:r w:rsidRPr="00037187">
        <w:rPr>
          <w:lang w:val="lt-LT" w:eastAsia="lt-LT"/>
        </w:rPr>
        <w:t>. Vietos</w:t>
      </w:r>
      <w:r>
        <w:rPr>
          <w:lang w:val="lt-LT" w:eastAsia="lt-LT"/>
        </w:rPr>
        <w:t xml:space="preserve"> (regioninės) valdžios dariniai</w:t>
      </w:r>
      <w:r w:rsidRPr="00037187">
        <w:rPr>
          <w:color w:val="FFFFFF"/>
          <w:lang w:val="lt-LT" w:eastAsia="lt-LT"/>
        </w:rPr>
        <w:t>-</w:t>
      </w:r>
      <w:r w:rsidRPr="00037187">
        <w:rPr>
          <w:lang w:val="lt-LT" w:eastAsia="lt-LT"/>
        </w:rPr>
        <w:t>įvairiose šalyse paskolas gali gauti iš įvairių šaltinių: aukštesnių valdymo lygių, įvairių finansų institucijų, skolintis vietos ar tarptautinėse finansų rinkose ar tiesiog</w:t>
      </w:r>
      <w:r w:rsidRPr="00037187">
        <w:rPr>
          <w:color w:val="FFFFFF"/>
          <w:lang w:val="lt-LT" w:eastAsia="lt-LT"/>
        </w:rPr>
        <w:t>-</w:t>
      </w:r>
      <w:r w:rsidRPr="00037187">
        <w:rPr>
          <w:lang w:val="lt-LT" w:eastAsia="lt-LT"/>
        </w:rPr>
        <w:t>gauti paskolas obligacijų emisijos pagrindu. Valstybės valdžia, siekdama sumažinti žemesnių valdymo darinių fiskalinę riziką</w:t>
      </w:r>
      <w:r w:rsidRPr="00037187">
        <w:rPr>
          <w:color w:val="FFFFFF"/>
          <w:lang w:val="lt-LT" w:eastAsia="lt-LT"/>
        </w:rPr>
        <w:t>_</w:t>
      </w:r>
      <w:r w:rsidRPr="00037187">
        <w:rPr>
          <w:lang w:val="lt-LT" w:eastAsia="lt-LT"/>
        </w:rPr>
        <w:t>(paskolų panaudojimas didina vietos (regioninių) valdymo darinių įsiskolinimą ir papildomas sąnaudas palūkanoms mokėti), įvairiais būdais daro įtaką jų skolinimosi mechanizmams.</w:t>
      </w:r>
    </w:p>
    <w:p w:rsidR="00037187" w:rsidRPr="00037187" w:rsidRDefault="00037187" w:rsidP="00C957C3">
      <w:pPr>
        <w:autoSpaceDE w:val="0"/>
        <w:autoSpaceDN w:val="0"/>
        <w:adjustRightInd w:val="0"/>
        <w:spacing w:line="360" w:lineRule="auto"/>
        <w:ind w:firstLine="720"/>
        <w:jc w:val="both"/>
        <w:rPr>
          <w:lang w:val="lt-LT" w:eastAsia="lt-LT"/>
        </w:rPr>
      </w:pPr>
      <w:r w:rsidRPr="00037187">
        <w:rPr>
          <w:lang w:val="lt-LT" w:eastAsia="lt-LT"/>
        </w:rPr>
        <w:t xml:space="preserve">Civinskas, Tolvaišis (2006) išskiria </w:t>
      </w:r>
      <w:r w:rsidRPr="00037187">
        <w:rPr>
          <w:i/>
          <w:lang w:val="lt-LT" w:eastAsia="lt-LT"/>
        </w:rPr>
        <w:t>institucionalizmo</w:t>
      </w:r>
      <w:r w:rsidRPr="00037187">
        <w:rPr>
          <w:lang w:val="lt-LT" w:eastAsia="lt-LT"/>
        </w:rPr>
        <w:t xml:space="preserve"> modelį. Pasak jų, vieni žymiausių vietos savivaldos tyrinėtojų H. Wollmann ir J. Pierre savo studijose, kad atskleistų fiskalinės decentralizacijos procesą bei įvertintų jos </w:t>
      </w:r>
      <w:r w:rsidR="007F5077">
        <w:rPr>
          <w:lang w:val="lt-LT" w:eastAsia="lt-LT"/>
        </w:rPr>
        <w:t>lygį, naudoja institucionalizmo</w:t>
      </w:r>
      <w:r w:rsidR="007F5077" w:rsidRPr="007F5077">
        <w:rPr>
          <w:color w:val="FFFFFF" w:themeColor="background1"/>
          <w:lang w:val="lt-LT" w:eastAsia="lt-LT"/>
        </w:rPr>
        <w:t>_</w:t>
      </w:r>
      <w:r w:rsidRPr="00037187">
        <w:rPr>
          <w:lang w:val="lt-LT" w:eastAsia="lt-LT"/>
        </w:rPr>
        <w:t>teorinį modelį, pagal kurį vietos savivaldos raidai svarbus institucijų vaidmuo, o vietos savivaldos institucijų ir centrinės valdžios santykiai suprantami kaip interesų raiškos ir sankirtos. Pagal institucionalizmo modelį kiekvienas institucinio lauko veikėjas (valstybė ir atitinkamai savivaldybės) siekia maksimizuoti savo naudą t.y.</w:t>
      </w:r>
      <w:r w:rsidRPr="00037187">
        <w:rPr>
          <w:color w:val="FFFFFF"/>
          <w:lang w:val="lt-LT" w:eastAsia="lt-LT"/>
        </w:rPr>
        <w:t>_</w:t>
      </w:r>
      <w:r w:rsidRPr="00037187">
        <w:rPr>
          <w:lang w:val="lt-LT" w:eastAsia="lt-LT"/>
        </w:rPr>
        <w:t>laimėti kuo daugiau išteklių.</w:t>
      </w:r>
    </w:p>
    <w:p w:rsidR="005D78C6" w:rsidRDefault="00037187" w:rsidP="004007A5">
      <w:pPr>
        <w:autoSpaceDE w:val="0"/>
        <w:autoSpaceDN w:val="0"/>
        <w:adjustRightInd w:val="0"/>
        <w:spacing w:line="360" w:lineRule="auto"/>
        <w:contextualSpacing/>
        <w:jc w:val="both"/>
        <w:rPr>
          <w:lang w:val="lt-LT" w:eastAsia="lt-LT"/>
        </w:rPr>
      </w:pPr>
      <w:r w:rsidRPr="00037187">
        <w:rPr>
          <w:b/>
          <w:bCs/>
          <w:lang w:val="lt-LT" w:eastAsia="lt-LT"/>
        </w:rPr>
        <w:tab/>
      </w:r>
      <w:r w:rsidRPr="00037187">
        <w:rPr>
          <w:lang w:val="lt-LT" w:eastAsia="lt-LT"/>
        </w:rPr>
        <w:t>Išnagrinėjus mokslininkų</w:t>
      </w:r>
      <w:r w:rsidR="00C957C3">
        <w:rPr>
          <w:lang w:val="lt-LT" w:eastAsia="lt-LT"/>
        </w:rPr>
        <w:t>,</w:t>
      </w:r>
      <w:r w:rsidR="00C957C3" w:rsidRPr="00C957C3">
        <w:rPr>
          <w:color w:val="FFFFFF"/>
          <w:lang w:val="lt-LT" w:eastAsia="lt-LT"/>
        </w:rPr>
        <w:t>.</w:t>
      </w:r>
      <w:r w:rsidRPr="00037187">
        <w:rPr>
          <w:lang w:val="lt-LT" w:eastAsia="lt-LT"/>
        </w:rPr>
        <w:t>nagrinėjusių fiskal</w:t>
      </w:r>
      <w:r w:rsidR="00827930">
        <w:rPr>
          <w:lang w:val="lt-LT" w:eastAsia="lt-LT"/>
        </w:rPr>
        <w:t>inės decentralizacijos apibrėžtį</w:t>
      </w:r>
      <w:r w:rsidRPr="00037187">
        <w:rPr>
          <w:lang w:val="lt-LT" w:eastAsia="lt-LT"/>
        </w:rPr>
        <w:t>, nuomonę</w:t>
      </w:r>
      <w:r>
        <w:rPr>
          <w:lang w:val="lt-LT" w:eastAsia="lt-LT"/>
        </w:rPr>
        <w:t xml:space="preserve">, </w:t>
      </w:r>
      <w:r w:rsidRPr="00037187">
        <w:rPr>
          <w:lang w:val="lt-LT" w:eastAsia="lt-LT"/>
        </w:rPr>
        <w:t>galima</w:t>
      </w:r>
      <w:r>
        <w:rPr>
          <w:lang w:val="lt-LT" w:eastAsia="lt-LT"/>
        </w:rPr>
        <w:t xml:space="preserve"> </w:t>
      </w:r>
      <w:r w:rsidRPr="00037187">
        <w:rPr>
          <w:lang w:val="lt-LT" w:eastAsia="lt-LT"/>
        </w:rPr>
        <w:t>teigti, kad fiskalinė decentralizacija susijusi su išlaidų ir pajamų perskirstymu, finansiniais</w:t>
      </w:r>
      <w:r w:rsidR="004007A5">
        <w:rPr>
          <w:lang w:val="lt-LT" w:eastAsia="lt-LT"/>
        </w:rPr>
        <w:t xml:space="preserve"> </w:t>
      </w:r>
      <w:r w:rsidRPr="00037187">
        <w:rPr>
          <w:lang w:val="lt-LT" w:eastAsia="lt-LT"/>
        </w:rPr>
        <w:t>pervedimais, skolinimosi galimybėmis, pajamų ir išlaidų bei finansinių poreikių ir pajėgumų</w:t>
      </w:r>
      <w:r>
        <w:rPr>
          <w:lang w:val="lt-LT" w:eastAsia="lt-LT"/>
        </w:rPr>
        <w:t xml:space="preserve"> </w:t>
      </w:r>
      <w:r w:rsidRPr="00037187">
        <w:rPr>
          <w:lang w:val="lt-LT" w:eastAsia="lt-LT"/>
        </w:rPr>
        <w:t>disbalansu tarp centrinės valdžios (aukš</w:t>
      </w:r>
      <w:r w:rsidR="00C957C3">
        <w:rPr>
          <w:lang w:val="lt-LT" w:eastAsia="lt-LT"/>
        </w:rPr>
        <w:t>tesnio</w:t>
      </w:r>
      <w:r w:rsidR="00C957C3">
        <w:rPr>
          <w:color w:val="FFFFFF"/>
          <w:lang w:val="lt-LT" w:eastAsia="lt-LT"/>
        </w:rPr>
        <w:t xml:space="preserve"> </w:t>
      </w:r>
      <w:r w:rsidRPr="00037187">
        <w:rPr>
          <w:lang w:val="lt-LT" w:eastAsia="lt-LT"/>
        </w:rPr>
        <w:t>valdymo lygio subjektų) ir savivaldos (žemesnio lygio</w:t>
      </w:r>
      <w:r w:rsidR="00C957C3" w:rsidRPr="00C957C3">
        <w:rPr>
          <w:color w:val="FFFFFF"/>
          <w:lang w:val="lt-LT" w:eastAsia="lt-LT"/>
        </w:rPr>
        <w:t>ž</w:t>
      </w:r>
      <w:r w:rsidRPr="00037187">
        <w:rPr>
          <w:lang w:val="lt-LT" w:eastAsia="lt-LT"/>
        </w:rPr>
        <w:t>valdymo subjektų). Formuojama išvada, kad fiskalinė decentralizacija remiasi tuo, kad vietinė valdžia</w:t>
      </w:r>
      <w:r>
        <w:rPr>
          <w:lang w:val="lt-LT" w:eastAsia="lt-LT"/>
        </w:rPr>
        <w:t xml:space="preserve"> </w:t>
      </w:r>
      <w:r w:rsidRPr="00037187">
        <w:rPr>
          <w:lang w:val="lt-LT" w:eastAsia="lt-LT"/>
        </w:rPr>
        <w:t xml:space="preserve">turi teisę įgyvendinti jai </w:t>
      </w:r>
      <w:r w:rsidRPr="00037187">
        <w:rPr>
          <w:lang w:val="lt-LT" w:eastAsia="lt-LT"/>
        </w:rPr>
        <w:lastRenderedPageBreak/>
        <w:t>pavestus, suteiktus finansinių išteklių įgaliojimus savo nuožiūra ir</w:t>
      </w:r>
      <w:r>
        <w:rPr>
          <w:lang w:val="lt-LT" w:eastAsia="lt-LT"/>
        </w:rPr>
        <w:t xml:space="preserve"> </w:t>
      </w:r>
      <w:r w:rsidRPr="00037187">
        <w:rPr>
          <w:lang w:val="lt-LT" w:eastAsia="lt-LT"/>
        </w:rPr>
        <w:t>atsižvelgdama į vietos sąlygas t.y. centrinė valdžia sprendžia tik tuos uždavinius kurių negali</w:t>
      </w:r>
      <w:r>
        <w:rPr>
          <w:lang w:val="lt-LT" w:eastAsia="lt-LT"/>
        </w:rPr>
        <w:t xml:space="preserve"> </w:t>
      </w:r>
      <w:r w:rsidR="00C957C3">
        <w:rPr>
          <w:lang w:val="lt-LT" w:eastAsia="lt-LT"/>
        </w:rPr>
        <w:t>efektyviai</w:t>
      </w:r>
      <w:r w:rsidR="00C957C3" w:rsidRPr="00C957C3">
        <w:rPr>
          <w:color w:val="FFFFFF"/>
          <w:lang w:val="lt-LT" w:eastAsia="lt-LT"/>
        </w:rPr>
        <w:t>-</w:t>
      </w:r>
      <w:r w:rsidRPr="00037187">
        <w:rPr>
          <w:lang w:val="lt-LT" w:eastAsia="lt-LT"/>
        </w:rPr>
        <w:t>vykdyti vietinė valdžia, o tai padeda užtikrinti demokratijos pagrindą –</w:t>
      </w:r>
      <w:r w:rsidR="00C957C3">
        <w:rPr>
          <w:lang w:val="lt-LT" w:eastAsia="lt-LT"/>
        </w:rPr>
        <w:t xml:space="preserve"> priartinti</w:t>
      </w:r>
      <w:r w:rsidR="00C957C3" w:rsidRPr="00C957C3">
        <w:rPr>
          <w:color w:val="FFFFFF"/>
          <w:lang w:val="lt-LT" w:eastAsia="lt-LT"/>
        </w:rPr>
        <w:t>-</w:t>
      </w:r>
      <w:r w:rsidRPr="00037187">
        <w:rPr>
          <w:lang w:val="lt-LT" w:eastAsia="lt-LT"/>
        </w:rPr>
        <w:t>valdžią</w:t>
      </w:r>
      <w:r>
        <w:rPr>
          <w:lang w:val="lt-LT" w:eastAsia="lt-LT"/>
        </w:rPr>
        <w:t xml:space="preserve"> </w:t>
      </w:r>
      <w:r w:rsidRPr="00037187">
        <w:rPr>
          <w:lang w:val="lt-LT" w:eastAsia="lt-LT"/>
        </w:rPr>
        <w:t>arčiau žmonių.</w:t>
      </w:r>
    </w:p>
    <w:p w:rsidR="004007A5" w:rsidRPr="00037187" w:rsidRDefault="004007A5" w:rsidP="004007A5">
      <w:pPr>
        <w:autoSpaceDE w:val="0"/>
        <w:autoSpaceDN w:val="0"/>
        <w:adjustRightInd w:val="0"/>
        <w:spacing w:line="360" w:lineRule="auto"/>
        <w:contextualSpacing/>
        <w:jc w:val="both"/>
        <w:rPr>
          <w:lang w:val="lt-LT" w:eastAsia="lt-LT"/>
        </w:rPr>
      </w:pPr>
    </w:p>
    <w:p w:rsidR="005D78C6" w:rsidRPr="00037187" w:rsidRDefault="00C957C3" w:rsidP="004007A5">
      <w:pPr>
        <w:pStyle w:val="Heading2"/>
        <w:spacing w:before="0" w:after="0" w:line="360" w:lineRule="auto"/>
        <w:contextualSpacing/>
        <w:jc w:val="center"/>
        <w:rPr>
          <w:rFonts w:cs="Times New Roman"/>
          <w:szCs w:val="24"/>
          <w:lang w:val="lt-LT"/>
        </w:rPr>
      </w:pPr>
      <w:bookmarkStart w:id="14" w:name="_Toc345766254"/>
      <w:bookmarkStart w:id="15" w:name="_Toc385249525"/>
      <w:r>
        <w:rPr>
          <w:lang w:val="lt-LT"/>
        </w:rPr>
        <w:t>1.3. Fiskalinės decentralizacijos ypatumai viešajame sektoriuje</w:t>
      </w:r>
      <w:bookmarkEnd w:id="14"/>
      <w:bookmarkEnd w:id="15"/>
    </w:p>
    <w:p w:rsidR="005D78C6" w:rsidRDefault="005D78C6" w:rsidP="004007A5">
      <w:pPr>
        <w:spacing w:line="360" w:lineRule="auto"/>
        <w:contextualSpacing/>
        <w:rPr>
          <w:sz w:val="20"/>
          <w:lang w:val="lt-LT"/>
        </w:rPr>
      </w:pPr>
    </w:p>
    <w:p w:rsidR="001503EE" w:rsidRPr="00013151" w:rsidRDefault="00C957C3" w:rsidP="004007A5">
      <w:pPr>
        <w:spacing w:line="360" w:lineRule="auto"/>
        <w:ind w:firstLine="720"/>
        <w:contextualSpacing/>
        <w:jc w:val="both"/>
        <w:rPr>
          <w:lang w:val="lt-LT"/>
        </w:rPr>
      </w:pPr>
      <w:r w:rsidRPr="00013151">
        <w:rPr>
          <w:lang w:val="lt-LT"/>
        </w:rPr>
        <w:t>XX a.</w:t>
      </w:r>
      <w:r w:rsidR="005367A0" w:rsidRPr="00013151">
        <w:rPr>
          <w:color w:val="FFFFFF"/>
          <w:lang w:val="lt-LT"/>
        </w:rPr>
        <w:t>.</w:t>
      </w:r>
      <w:r w:rsidRPr="00013151">
        <w:rPr>
          <w:lang w:val="lt-LT"/>
        </w:rPr>
        <w:t xml:space="preserve"> daugelio šalių valstybės valdžia atliko didžiulį vaidmenį visose viešojo valdymo srityse, bet jau amžiaus antrojoje pusėje</w:t>
      </w:r>
      <w:r w:rsidRPr="00013151">
        <w:rPr>
          <w:color w:val="FFFFFF"/>
          <w:lang w:val="lt-LT"/>
        </w:rPr>
        <w:t xml:space="preserve"> </w:t>
      </w:r>
      <w:r w:rsidR="005367A0" w:rsidRPr="00013151">
        <w:rPr>
          <w:lang w:val="lt-LT"/>
        </w:rPr>
        <w:t>tikėjimas didelės</w:t>
      </w:r>
      <w:r w:rsidR="005367A0" w:rsidRPr="00013151">
        <w:rPr>
          <w:color w:val="FFFFFF"/>
          <w:lang w:val="lt-LT"/>
        </w:rPr>
        <w:t>.</w:t>
      </w:r>
      <w:r w:rsidR="005367A0" w:rsidRPr="00013151">
        <w:rPr>
          <w:lang w:val="lt-LT"/>
        </w:rPr>
        <w:t xml:space="preserve"> </w:t>
      </w:r>
      <w:r w:rsidRPr="00013151">
        <w:rPr>
          <w:lang w:val="lt-LT"/>
        </w:rPr>
        <w:t xml:space="preserve">valstybės </w:t>
      </w:r>
      <w:r w:rsidR="005367A0" w:rsidRPr="00013151">
        <w:rPr>
          <w:lang w:val="lt-LT"/>
        </w:rPr>
        <w:t xml:space="preserve">valdžios pranašumais pradeda </w:t>
      </w:r>
      <w:r w:rsidRPr="00013151">
        <w:rPr>
          <w:lang w:val="lt-LT"/>
        </w:rPr>
        <w:t>blėsti.</w:t>
      </w:r>
      <w:r w:rsidRPr="00013151">
        <w:rPr>
          <w:lang w:val="lt-LT" w:eastAsia="lt-LT"/>
        </w:rPr>
        <w:t xml:space="preserve"> Viešojo sektoriaus</w:t>
      </w:r>
      <w:r w:rsidRPr="00013151">
        <w:rPr>
          <w:color w:val="FFFFFF"/>
          <w:lang w:val="lt-LT" w:eastAsia="lt-LT"/>
        </w:rPr>
        <w:t xml:space="preserve"> </w:t>
      </w:r>
      <w:r w:rsidRPr="00013151">
        <w:rPr>
          <w:lang w:val="lt-LT" w:eastAsia="lt-LT"/>
        </w:rPr>
        <w:t>ekonomikoje vykdoma</w:t>
      </w:r>
      <w:r w:rsidRPr="00013151">
        <w:rPr>
          <w:color w:val="FFFFFF"/>
          <w:lang w:val="lt-LT" w:eastAsia="lt-LT"/>
        </w:rPr>
        <w:t xml:space="preserve"> </w:t>
      </w:r>
      <w:r w:rsidRPr="00013151">
        <w:rPr>
          <w:lang w:val="lt-LT" w:eastAsia="lt-LT"/>
        </w:rPr>
        <w:t>decentralizacija įgavo fiskalinės decentralizacijos, išreiškiančios finansinį savarankiškumą, formą.</w:t>
      </w:r>
    </w:p>
    <w:p w:rsidR="00013151" w:rsidRPr="00013151" w:rsidRDefault="00C957C3" w:rsidP="00013151">
      <w:pPr>
        <w:spacing w:line="360" w:lineRule="auto"/>
        <w:ind w:firstLine="720"/>
        <w:jc w:val="both"/>
        <w:rPr>
          <w:lang w:val="lt-LT"/>
        </w:rPr>
      </w:pPr>
      <w:r w:rsidRPr="00013151">
        <w:rPr>
          <w:lang w:val="lt-LT"/>
        </w:rPr>
        <w:t>Pasak</w:t>
      </w:r>
      <w:r w:rsidR="005367A0" w:rsidRPr="00013151">
        <w:rPr>
          <w:color w:val="FFFFFF"/>
          <w:lang w:val="lt-LT"/>
        </w:rPr>
        <w:t>.</w:t>
      </w:r>
      <w:r w:rsidRPr="00013151">
        <w:rPr>
          <w:lang w:val="lt-LT"/>
        </w:rPr>
        <w:t xml:space="preserve"> Davulio</w:t>
      </w:r>
      <w:r w:rsidR="005367A0" w:rsidRPr="00013151">
        <w:rPr>
          <w:lang w:val="lt-LT"/>
        </w:rPr>
        <w:t xml:space="preserve"> </w:t>
      </w:r>
      <w:r w:rsidRPr="00013151">
        <w:rPr>
          <w:lang w:val="lt-LT"/>
        </w:rPr>
        <w:t>(2004) f</w:t>
      </w:r>
      <w:r w:rsidR="000B01C3" w:rsidRPr="00013151">
        <w:rPr>
          <w:lang w:val="lt-LT"/>
        </w:rPr>
        <w:t>iskalinė decentralizacija su</w:t>
      </w:r>
      <w:r w:rsidR="000B01C3" w:rsidRPr="00013151">
        <w:rPr>
          <w:lang w:val="lt-LT"/>
        </w:rPr>
        <w:softHyphen/>
        <w:t>vokiama kaip vietinės valdžios finansinio savaran</w:t>
      </w:r>
      <w:r w:rsidR="000B01C3" w:rsidRPr="00013151">
        <w:rPr>
          <w:lang w:val="lt-LT"/>
        </w:rPr>
        <w:softHyphen/>
        <w:t>kiš</w:t>
      </w:r>
      <w:r w:rsidR="000B01C3" w:rsidRPr="00013151">
        <w:rPr>
          <w:lang w:val="lt-LT"/>
        </w:rPr>
        <w:softHyphen/>
        <w:t>ku</w:t>
      </w:r>
      <w:r w:rsidR="000B01C3" w:rsidRPr="00013151">
        <w:rPr>
          <w:lang w:val="lt-LT"/>
        </w:rPr>
        <w:softHyphen/>
        <w:t>mo didinimas,</w:t>
      </w:r>
      <w:r w:rsidR="005367A0" w:rsidRPr="00013151">
        <w:rPr>
          <w:lang w:val="lt-LT"/>
        </w:rPr>
        <w:t xml:space="preserve"> atribojant vietinės </w:t>
      </w:r>
      <w:r w:rsidR="000B01C3" w:rsidRPr="00013151">
        <w:rPr>
          <w:lang w:val="lt-LT"/>
        </w:rPr>
        <w:t>ir centrin</w:t>
      </w:r>
      <w:r w:rsidR="005367A0" w:rsidRPr="00013151">
        <w:rPr>
          <w:lang w:val="lt-LT"/>
        </w:rPr>
        <w:t xml:space="preserve">ės valdžios funkcijas viešajame    </w:t>
      </w:r>
      <w:r w:rsidR="000B01C3" w:rsidRPr="00013151">
        <w:rPr>
          <w:lang w:val="lt-LT"/>
        </w:rPr>
        <w:t>ekonomikos sektoriuje, atitinkamai paskirstant ir finansinius ištek</w:t>
      </w:r>
      <w:r w:rsidR="005367A0" w:rsidRPr="00013151">
        <w:rPr>
          <w:lang w:val="lt-LT"/>
        </w:rPr>
        <w:t>lius šioms funkcijoms vykdyti.</w:t>
      </w:r>
    </w:p>
    <w:p w:rsidR="00EE3408" w:rsidRPr="004007A5" w:rsidRDefault="005367A0" w:rsidP="004007A5">
      <w:pPr>
        <w:spacing w:line="360" w:lineRule="auto"/>
        <w:ind w:firstLine="720"/>
        <w:jc w:val="both"/>
        <w:rPr>
          <w:lang w:val="lt-LT"/>
        </w:rPr>
      </w:pPr>
      <w:r w:rsidRPr="00013151">
        <w:rPr>
          <w:lang w:val="lt-LT" w:eastAsia="lt-LT"/>
        </w:rPr>
        <w:t>Dažniausiai kiekvienos valstybės viešojo valdymo sistemą sudaro daugiau nei</w:t>
      </w:r>
      <w:r w:rsidRPr="00013151">
        <w:rPr>
          <w:lang w:val="lt-LT"/>
        </w:rPr>
        <w:t xml:space="preserve"> </w:t>
      </w:r>
      <w:r w:rsidRPr="00013151">
        <w:rPr>
          <w:lang w:val="lt-LT" w:eastAsia="lt-LT"/>
        </w:rPr>
        <w:t>vienas valdymo lygmuo: federacinėse valstybėse jų būna dažniausia keturi, o unitarinėse – du arba trys</w:t>
      </w:r>
      <w:r w:rsidRPr="00013151">
        <w:rPr>
          <w:color w:val="FFFFFF"/>
          <w:lang w:val="lt-LT" w:eastAsia="lt-LT"/>
        </w:rPr>
        <w:t>.</w:t>
      </w:r>
      <w:r w:rsidRPr="00013151">
        <w:rPr>
          <w:lang w:val="lt-LT"/>
        </w:rPr>
        <w:t xml:space="preserve"> </w:t>
      </w:r>
      <w:r w:rsidRPr="00013151">
        <w:rPr>
          <w:lang w:val="lt-LT" w:eastAsia="lt-LT"/>
        </w:rPr>
        <w:t>(Astrauskas, Baltušnikienė, 2006). Remiantis daugelio mokslininkų nuomone, galima teigti, kad</w:t>
      </w:r>
      <w:r w:rsidRPr="00013151">
        <w:rPr>
          <w:lang w:val="lt-LT"/>
        </w:rPr>
        <w:t xml:space="preserve"> </w:t>
      </w:r>
      <w:r w:rsidRPr="00013151">
        <w:rPr>
          <w:lang w:val="lt-LT" w:eastAsia="lt-LT"/>
        </w:rPr>
        <w:t>decentralizuojant finansinius išteklius bus pasiektas didesnis efektyvumas, tačiau taip pat galima</w:t>
      </w:r>
      <w:r w:rsidRPr="00013151">
        <w:rPr>
          <w:lang w:val="lt-LT"/>
        </w:rPr>
        <w:t xml:space="preserve"> </w:t>
      </w:r>
      <w:r w:rsidRPr="00013151">
        <w:rPr>
          <w:lang w:val="lt-LT" w:eastAsia="lt-LT"/>
        </w:rPr>
        <w:t>sutinka, kad turi būti tam tikra pusiausvyra, be to, kai kurie mokslininkai decentralizaciją vertina netgi</w:t>
      </w:r>
      <w:r w:rsidRPr="00013151">
        <w:rPr>
          <w:lang w:val="lt-LT"/>
        </w:rPr>
        <w:t xml:space="preserve"> </w:t>
      </w:r>
      <w:r w:rsidRPr="00013151">
        <w:rPr>
          <w:lang w:val="lt-LT" w:eastAsia="lt-LT"/>
        </w:rPr>
        <w:t>neigiamai (Breaton, 2000).</w:t>
      </w:r>
      <w:r w:rsidR="00013151" w:rsidRPr="00013151">
        <w:rPr>
          <w:lang w:val="lt-LT" w:eastAsia="lt-LT"/>
        </w:rPr>
        <w:t xml:space="preserve"> Todėl </w:t>
      </w:r>
      <w:r w:rsidRPr="00013151">
        <w:rPr>
          <w:lang w:val="lt-LT" w:eastAsia="lt-LT"/>
        </w:rPr>
        <w:t>3 lentelėje pateiksime fiskalinės decentrali</w:t>
      </w:r>
      <w:r w:rsidR="00013151" w:rsidRPr="00013151">
        <w:rPr>
          <w:lang w:val="lt-LT" w:eastAsia="lt-LT"/>
        </w:rPr>
        <w:t>zacijos privalumus ir trūkumus. Platesniam</w:t>
      </w:r>
      <w:r w:rsidR="00013151" w:rsidRPr="00013151">
        <w:rPr>
          <w:color w:val="FFFFFF"/>
          <w:lang w:val="lt-LT" w:eastAsia="lt-LT"/>
        </w:rPr>
        <w:t>_</w:t>
      </w:r>
      <w:r w:rsidR="00013151" w:rsidRPr="00013151">
        <w:rPr>
          <w:lang w:val="lt-LT" w:eastAsia="lt-LT"/>
        </w:rPr>
        <w:t>decentralizacijos vertinimui naudosime viešojo valdymo kompetencijų (funkcijų)</w:t>
      </w:r>
      <w:r w:rsidR="00013151" w:rsidRPr="00013151">
        <w:rPr>
          <w:lang w:val="lt-LT"/>
        </w:rPr>
        <w:t xml:space="preserve"> </w:t>
      </w:r>
      <w:r w:rsidR="00013151" w:rsidRPr="00013151">
        <w:rPr>
          <w:lang w:val="lt-LT" w:eastAsia="lt-LT"/>
        </w:rPr>
        <w:t>suskirstymo į tris grupes – viešųjų gėrybių teikimo, pajamų perskirstymo ir makroekonominės</w:t>
      </w:r>
      <w:r w:rsidR="00013151" w:rsidRPr="00013151">
        <w:rPr>
          <w:lang w:val="lt-LT"/>
        </w:rPr>
        <w:t xml:space="preserve"> </w:t>
      </w:r>
      <w:r w:rsidR="00013151" w:rsidRPr="00013151">
        <w:rPr>
          <w:lang w:val="lt-LT" w:eastAsia="lt-LT"/>
        </w:rPr>
        <w:t>stabilizacijos schemą (Musgrave, 1984). Šias kompetencijų</w:t>
      </w:r>
      <w:r w:rsidR="00013151" w:rsidRPr="00013151">
        <w:rPr>
          <w:color w:val="FFFFFF"/>
          <w:lang w:val="lt-LT" w:eastAsia="lt-LT"/>
        </w:rPr>
        <w:t>-</w:t>
      </w:r>
      <w:r w:rsidR="00013151" w:rsidRPr="00013151">
        <w:rPr>
          <w:lang w:val="lt-LT" w:eastAsia="lt-LT"/>
        </w:rPr>
        <w:t>grupes tiesiogiai įtakoja decentralizacija ir</w:t>
      </w:r>
      <w:r w:rsidR="00013151" w:rsidRPr="00013151">
        <w:rPr>
          <w:lang w:val="lt-LT"/>
        </w:rPr>
        <w:t xml:space="preserve"> </w:t>
      </w:r>
      <w:r w:rsidR="00013151" w:rsidRPr="00013151">
        <w:rPr>
          <w:lang w:val="lt-LT" w:eastAsia="lt-LT"/>
        </w:rPr>
        <w:t>ypač fiskalinė, kadangi decentralizacijos įvairios formos yra glaudžiai susijusios su finansiniais</w:t>
      </w:r>
      <w:r w:rsidR="00013151" w:rsidRPr="00013151">
        <w:rPr>
          <w:lang w:val="lt-LT"/>
        </w:rPr>
        <w:t xml:space="preserve"> </w:t>
      </w:r>
      <w:r w:rsidR="00013151" w:rsidRPr="00013151">
        <w:rPr>
          <w:lang w:val="lt-LT" w:eastAsia="lt-LT"/>
        </w:rPr>
        <w:t>ištekliais.</w:t>
      </w:r>
    </w:p>
    <w:p w:rsidR="008864B1" w:rsidRDefault="00987DAC" w:rsidP="00307606">
      <w:pPr>
        <w:pStyle w:val="Heading5"/>
        <w:rPr>
          <w:lang w:val="lt-LT" w:eastAsia="lt-LT"/>
        </w:rPr>
      </w:pPr>
      <w:bookmarkStart w:id="16" w:name="_Toc385242648"/>
      <w:bookmarkStart w:id="17" w:name="_Toc385432936"/>
      <w:r>
        <w:rPr>
          <w:lang w:val="lt-LT" w:eastAsia="lt-LT"/>
        </w:rPr>
        <w:t>3 lentelė. Decentralizacijos privalumai ir trūkuma</w:t>
      </w:r>
      <w:r w:rsidR="008864B1">
        <w:rPr>
          <w:lang w:val="lt-LT" w:eastAsia="lt-LT"/>
        </w:rPr>
        <w:t>i</w:t>
      </w:r>
      <w:bookmarkEnd w:id="16"/>
      <w:bookmarkEnd w:id="17"/>
    </w:p>
    <w:p w:rsidR="008864B1" w:rsidRPr="005367A0" w:rsidRDefault="008864B1" w:rsidP="008864B1">
      <w:pPr>
        <w:spacing w:line="360" w:lineRule="auto"/>
        <w:ind w:firstLine="720"/>
        <w:jc w:val="both"/>
        <w:rPr>
          <w:lang w:val="lt-LT"/>
        </w:rPr>
      </w:pPr>
    </w:p>
    <w:tbl>
      <w:tblPr>
        <w:tblStyle w:val="Table3Deffects2"/>
        <w:tblW w:w="0" w:type="auto"/>
        <w:tblLook w:val="04A0" w:firstRow="1" w:lastRow="0" w:firstColumn="1" w:lastColumn="0" w:noHBand="0" w:noVBand="1"/>
      </w:tblPr>
      <w:tblGrid>
        <w:gridCol w:w="4878"/>
        <w:gridCol w:w="5295"/>
      </w:tblGrid>
      <w:tr w:rsidR="00987DAC" w:rsidRPr="00C87E80" w:rsidTr="0030760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8" w:type="dxa"/>
          </w:tcPr>
          <w:p w:rsidR="00987DAC" w:rsidRPr="00C87E80" w:rsidRDefault="00233ED5" w:rsidP="00C87E80">
            <w:pPr>
              <w:autoSpaceDE w:val="0"/>
              <w:autoSpaceDN w:val="0"/>
              <w:adjustRightInd w:val="0"/>
              <w:spacing w:line="360" w:lineRule="auto"/>
              <w:jc w:val="center"/>
              <w:rPr>
                <w:b w:val="0"/>
                <w:sz w:val="20"/>
                <w:szCs w:val="20"/>
                <w:lang w:val="lt-LT"/>
              </w:rPr>
            </w:pPr>
            <w:r w:rsidRPr="00C87E80">
              <w:rPr>
                <w:b w:val="0"/>
                <w:sz w:val="20"/>
                <w:szCs w:val="20"/>
                <w:lang w:val="lt-LT"/>
              </w:rPr>
              <w:t>Privalumai</w:t>
            </w:r>
          </w:p>
        </w:tc>
        <w:tc>
          <w:tcPr>
            <w:tcW w:w="5295" w:type="dxa"/>
          </w:tcPr>
          <w:p w:rsidR="00987DAC" w:rsidRPr="00C87E80" w:rsidRDefault="00233ED5" w:rsidP="00C87E80">
            <w:pPr>
              <w:autoSpaceDE w:val="0"/>
              <w:autoSpaceDN w:val="0"/>
              <w:adjustRightInd w:val="0"/>
              <w:spacing w:line="360" w:lineRule="auto"/>
              <w:jc w:val="center"/>
              <w:cnfStyle w:val="100000000000" w:firstRow="1" w:lastRow="0" w:firstColumn="0" w:lastColumn="0" w:oddVBand="0" w:evenVBand="0" w:oddHBand="0" w:evenHBand="0" w:firstRowFirstColumn="0" w:firstRowLastColumn="0" w:lastRowFirstColumn="0" w:lastRowLastColumn="0"/>
              <w:rPr>
                <w:b w:val="0"/>
                <w:sz w:val="20"/>
                <w:szCs w:val="20"/>
                <w:lang w:val="lt-LT"/>
              </w:rPr>
            </w:pPr>
            <w:r w:rsidRPr="00C87E80">
              <w:rPr>
                <w:b w:val="0"/>
                <w:sz w:val="20"/>
                <w:szCs w:val="20"/>
                <w:lang w:val="lt-LT"/>
              </w:rPr>
              <w:t>Trūkumai</w:t>
            </w:r>
          </w:p>
        </w:tc>
      </w:tr>
      <w:tr w:rsidR="00987DAC" w:rsidRPr="00C87E80" w:rsidTr="003076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73" w:type="dxa"/>
            <w:gridSpan w:val="2"/>
          </w:tcPr>
          <w:p w:rsidR="00987DAC" w:rsidRPr="00C87E80" w:rsidRDefault="00987DAC" w:rsidP="00C87E80">
            <w:pPr>
              <w:autoSpaceDE w:val="0"/>
              <w:autoSpaceDN w:val="0"/>
              <w:adjustRightInd w:val="0"/>
              <w:spacing w:line="360" w:lineRule="auto"/>
              <w:jc w:val="center"/>
              <w:rPr>
                <w:i/>
                <w:sz w:val="20"/>
                <w:szCs w:val="20"/>
                <w:lang w:val="lt-LT"/>
              </w:rPr>
            </w:pPr>
            <w:r w:rsidRPr="00C87E80">
              <w:rPr>
                <w:b/>
                <w:bCs/>
                <w:i/>
                <w:sz w:val="20"/>
                <w:szCs w:val="20"/>
                <w:lang w:val="lt-LT" w:eastAsia="lt-LT"/>
              </w:rPr>
              <w:t>Decentralizacija ir viešųjų gėrybių teikimas</w:t>
            </w:r>
          </w:p>
        </w:tc>
      </w:tr>
      <w:tr w:rsidR="00987DAC" w:rsidRPr="00C87E80" w:rsidTr="00307606">
        <w:trPr>
          <w:trHeight w:val="1223"/>
        </w:trPr>
        <w:tc>
          <w:tcPr>
            <w:cnfStyle w:val="001000000000" w:firstRow="0" w:lastRow="0" w:firstColumn="1" w:lastColumn="0" w:oddVBand="0" w:evenVBand="0" w:oddHBand="0" w:evenHBand="0" w:firstRowFirstColumn="0" w:firstRowLastColumn="0" w:lastRowFirstColumn="0" w:lastRowLastColumn="0"/>
            <w:tcW w:w="4878" w:type="dxa"/>
          </w:tcPr>
          <w:p w:rsidR="00987DAC" w:rsidRPr="00C87E80" w:rsidRDefault="00987DAC" w:rsidP="00C87E80">
            <w:pPr>
              <w:autoSpaceDE w:val="0"/>
              <w:autoSpaceDN w:val="0"/>
              <w:adjustRightInd w:val="0"/>
              <w:rPr>
                <w:sz w:val="20"/>
                <w:szCs w:val="20"/>
              </w:rPr>
            </w:pPr>
            <w:r w:rsidRPr="00C87E80">
              <w:rPr>
                <w:sz w:val="20"/>
                <w:szCs w:val="20"/>
                <w:lang w:val="lt-LT" w:eastAsia="lt-LT"/>
              </w:rPr>
              <w:t xml:space="preserve">Ribojama viešojo sektoriaus plėtra. </w:t>
            </w:r>
          </w:p>
        </w:tc>
        <w:tc>
          <w:tcPr>
            <w:tcW w:w="5295" w:type="dxa"/>
          </w:tcPr>
          <w:p w:rsidR="00987DAC" w:rsidRPr="006A2D3C" w:rsidRDefault="00350253" w:rsidP="00C87E80">
            <w:pPr>
              <w:autoSpaceDE w:val="0"/>
              <w:autoSpaceDN w:val="0"/>
              <w:adjustRightInd w:val="0"/>
              <w:cnfStyle w:val="000000000000" w:firstRow="0" w:lastRow="0" w:firstColumn="0" w:lastColumn="0" w:oddVBand="0" w:evenVBand="0" w:oddHBand="0" w:evenHBand="0" w:firstRowFirstColumn="0" w:firstRowLastColumn="0" w:lastRowFirstColumn="0" w:lastRowLastColumn="0"/>
              <w:rPr>
                <w:sz w:val="20"/>
                <w:szCs w:val="20"/>
                <w:lang w:val="lt-LT" w:eastAsia="lt-LT"/>
              </w:rPr>
            </w:pPr>
            <w:r w:rsidRPr="00C87E80">
              <w:rPr>
                <w:sz w:val="20"/>
                <w:szCs w:val="20"/>
                <w:lang w:val="lt-LT" w:eastAsia="lt-LT"/>
              </w:rPr>
              <w:t>Be efektyvios kontrolės ir stebėsenos sistemos gali nukentėti</w:t>
            </w:r>
            <w:r w:rsidR="006A2D3C">
              <w:rPr>
                <w:sz w:val="20"/>
                <w:szCs w:val="20"/>
                <w:lang w:val="lt-LT" w:eastAsia="lt-LT"/>
              </w:rPr>
              <w:t xml:space="preserve"> </w:t>
            </w:r>
            <w:r w:rsidRPr="00C87E80">
              <w:rPr>
                <w:sz w:val="20"/>
                <w:szCs w:val="20"/>
                <w:lang w:val="lt-LT" w:eastAsia="lt-LT"/>
              </w:rPr>
              <w:t>viešųjų gėrybių teikimo kokybė, kadangi valstybės tarnautojai</w:t>
            </w:r>
            <w:r w:rsidR="006A2D3C">
              <w:rPr>
                <w:sz w:val="20"/>
                <w:szCs w:val="20"/>
                <w:lang w:val="lt-LT" w:eastAsia="lt-LT"/>
              </w:rPr>
              <w:t xml:space="preserve"> </w:t>
            </w:r>
            <w:r w:rsidRPr="00C87E80">
              <w:rPr>
                <w:sz w:val="20"/>
                <w:szCs w:val="20"/>
                <w:lang w:val="lt-LT" w:eastAsia="lt-LT"/>
              </w:rPr>
              <w:t>priskiria sau politikos formavimo funkciją, gana laisvai</w:t>
            </w:r>
            <w:r w:rsidR="006A2D3C">
              <w:rPr>
                <w:sz w:val="20"/>
                <w:szCs w:val="20"/>
                <w:lang w:val="lt-LT" w:eastAsia="lt-LT"/>
              </w:rPr>
              <w:t xml:space="preserve"> </w:t>
            </w:r>
            <w:r w:rsidRPr="00C87E80">
              <w:rPr>
                <w:sz w:val="20"/>
                <w:szCs w:val="20"/>
                <w:lang w:val="lt-LT" w:eastAsia="lt-LT"/>
              </w:rPr>
              <w:t>interpretuodami politikos, projektų ir programų įgyvendinimą.</w:t>
            </w:r>
          </w:p>
        </w:tc>
      </w:tr>
      <w:tr w:rsidR="00987DAC" w:rsidRPr="00C87E80" w:rsidTr="003076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8" w:type="dxa"/>
          </w:tcPr>
          <w:p w:rsidR="00350253" w:rsidRPr="00C87E80" w:rsidRDefault="00350253" w:rsidP="00C87E80">
            <w:pPr>
              <w:autoSpaceDE w:val="0"/>
              <w:autoSpaceDN w:val="0"/>
              <w:adjustRightInd w:val="0"/>
              <w:rPr>
                <w:sz w:val="20"/>
                <w:szCs w:val="20"/>
                <w:lang w:val="lt-LT" w:eastAsia="lt-LT"/>
              </w:rPr>
            </w:pPr>
            <w:r w:rsidRPr="00C87E80">
              <w:rPr>
                <w:sz w:val="20"/>
                <w:szCs w:val="20"/>
                <w:lang w:val="lt-LT" w:eastAsia="lt-LT"/>
              </w:rPr>
              <w:t>Piliečiams suteikiama daugiau galimybių daryti įtaką</w:t>
            </w:r>
          </w:p>
          <w:p w:rsidR="00987DAC" w:rsidRPr="00C87E80" w:rsidRDefault="00350253" w:rsidP="00C87E80">
            <w:pPr>
              <w:autoSpaceDE w:val="0"/>
              <w:autoSpaceDN w:val="0"/>
              <w:adjustRightInd w:val="0"/>
              <w:spacing w:line="360" w:lineRule="auto"/>
              <w:jc w:val="both"/>
              <w:rPr>
                <w:sz w:val="20"/>
                <w:szCs w:val="20"/>
                <w:lang w:val="lt-LT"/>
              </w:rPr>
            </w:pPr>
            <w:r w:rsidRPr="00C87E80">
              <w:rPr>
                <w:sz w:val="20"/>
                <w:szCs w:val="20"/>
                <w:lang w:val="lt-LT" w:eastAsia="lt-LT"/>
              </w:rPr>
              <w:t>viešųjų sprendimų priėmimui.</w:t>
            </w:r>
          </w:p>
        </w:tc>
        <w:tc>
          <w:tcPr>
            <w:tcW w:w="5295" w:type="dxa"/>
          </w:tcPr>
          <w:p w:rsidR="00350253" w:rsidRPr="00C87E80" w:rsidRDefault="00350253" w:rsidP="00C87E80">
            <w:pPr>
              <w:autoSpaceDE w:val="0"/>
              <w:autoSpaceDN w:val="0"/>
              <w:adjustRightInd w:val="0"/>
              <w:cnfStyle w:val="000000100000" w:firstRow="0" w:lastRow="0" w:firstColumn="0" w:lastColumn="0" w:oddVBand="0" w:evenVBand="0" w:oddHBand="1" w:evenHBand="0" w:firstRowFirstColumn="0" w:firstRowLastColumn="0" w:lastRowFirstColumn="0" w:lastRowLastColumn="0"/>
              <w:rPr>
                <w:sz w:val="20"/>
                <w:szCs w:val="20"/>
                <w:lang w:val="lt-LT" w:eastAsia="lt-LT"/>
              </w:rPr>
            </w:pPr>
            <w:r w:rsidRPr="00C87E80">
              <w:rPr>
                <w:sz w:val="20"/>
                <w:szCs w:val="20"/>
                <w:lang w:val="lt-LT" w:eastAsia="lt-LT"/>
              </w:rPr>
              <w:t>Paslaugų kokybė gali nukentėti dėl nepakankamų</w:t>
            </w:r>
          </w:p>
          <w:p w:rsidR="00350253" w:rsidRPr="00C87E80" w:rsidRDefault="00350253" w:rsidP="00C87E80">
            <w:pPr>
              <w:autoSpaceDE w:val="0"/>
              <w:autoSpaceDN w:val="0"/>
              <w:adjustRightInd w:val="0"/>
              <w:cnfStyle w:val="000000100000" w:firstRow="0" w:lastRow="0" w:firstColumn="0" w:lastColumn="0" w:oddVBand="0" w:evenVBand="0" w:oddHBand="1" w:evenHBand="0" w:firstRowFirstColumn="0" w:firstRowLastColumn="0" w:lastRowFirstColumn="0" w:lastRowLastColumn="0"/>
              <w:rPr>
                <w:sz w:val="20"/>
                <w:szCs w:val="20"/>
                <w:lang w:val="lt-LT" w:eastAsia="lt-LT"/>
              </w:rPr>
            </w:pPr>
            <w:r w:rsidRPr="00C87E80">
              <w:rPr>
                <w:sz w:val="20"/>
                <w:szCs w:val="20"/>
                <w:lang w:val="lt-LT" w:eastAsia="lt-LT"/>
              </w:rPr>
              <w:t>administracinių gebėjimų ir resursų stokos. Skiriamų</w:t>
            </w:r>
          </w:p>
          <w:p w:rsidR="00987DAC" w:rsidRPr="00C87E80" w:rsidRDefault="00350253" w:rsidP="006A2D3C">
            <w:pPr>
              <w:autoSpaceDE w:val="0"/>
              <w:autoSpaceDN w:val="0"/>
              <w:adjustRightInd w:val="0"/>
              <w:cnfStyle w:val="000000100000" w:firstRow="0" w:lastRow="0" w:firstColumn="0" w:lastColumn="0" w:oddVBand="0" w:evenVBand="0" w:oddHBand="1" w:evenHBand="0" w:firstRowFirstColumn="0" w:firstRowLastColumn="0" w:lastRowFirstColumn="0" w:lastRowLastColumn="0"/>
              <w:rPr>
                <w:sz w:val="20"/>
                <w:szCs w:val="20"/>
                <w:lang w:val="lt-LT" w:eastAsia="lt-LT"/>
              </w:rPr>
            </w:pPr>
            <w:r w:rsidRPr="00C87E80">
              <w:rPr>
                <w:sz w:val="20"/>
                <w:szCs w:val="20"/>
                <w:lang w:val="lt-LT" w:eastAsia="lt-LT"/>
              </w:rPr>
              <w:t>valstybės tarnautojų dalyvavimas formuojant viešąją politiką</w:t>
            </w:r>
            <w:r w:rsidR="006A2D3C">
              <w:rPr>
                <w:sz w:val="20"/>
                <w:szCs w:val="20"/>
                <w:lang w:val="lt-LT" w:eastAsia="lt-LT"/>
              </w:rPr>
              <w:t xml:space="preserve"> </w:t>
            </w:r>
            <w:r w:rsidRPr="00C87E80">
              <w:rPr>
                <w:sz w:val="20"/>
                <w:szCs w:val="20"/>
                <w:lang w:val="lt-LT" w:eastAsia="lt-LT"/>
              </w:rPr>
              <w:t>komplikuoja atskaitomybės rinkėjams principo taikymą.</w:t>
            </w:r>
          </w:p>
        </w:tc>
      </w:tr>
      <w:tr w:rsidR="00987DAC" w:rsidRPr="00C87E80" w:rsidTr="00307606">
        <w:tc>
          <w:tcPr>
            <w:cnfStyle w:val="001000000000" w:firstRow="0" w:lastRow="0" w:firstColumn="1" w:lastColumn="0" w:oddVBand="0" w:evenVBand="0" w:oddHBand="0" w:evenHBand="0" w:firstRowFirstColumn="0" w:firstRowLastColumn="0" w:lastRowFirstColumn="0" w:lastRowLastColumn="0"/>
            <w:tcW w:w="4878" w:type="dxa"/>
          </w:tcPr>
          <w:p w:rsidR="00C96EB3" w:rsidRDefault="00C96EB3" w:rsidP="00C87E80">
            <w:pPr>
              <w:autoSpaceDE w:val="0"/>
              <w:autoSpaceDN w:val="0"/>
              <w:adjustRightInd w:val="0"/>
              <w:rPr>
                <w:sz w:val="20"/>
                <w:szCs w:val="20"/>
                <w:lang w:val="lt-LT" w:eastAsia="lt-LT"/>
              </w:rPr>
            </w:pPr>
          </w:p>
          <w:p w:rsidR="00350253" w:rsidRPr="00C87E80" w:rsidRDefault="00350253" w:rsidP="00C87E80">
            <w:pPr>
              <w:autoSpaceDE w:val="0"/>
              <w:autoSpaceDN w:val="0"/>
              <w:adjustRightInd w:val="0"/>
              <w:rPr>
                <w:sz w:val="20"/>
                <w:szCs w:val="20"/>
                <w:lang w:val="lt-LT" w:eastAsia="lt-LT"/>
              </w:rPr>
            </w:pPr>
            <w:r w:rsidRPr="00C87E80">
              <w:rPr>
                <w:sz w:val="20"/>
                <w:szCs w:val="20"/>
                <w:lang w:val="lt-LT" w:eastAsia="lt-LT"/>
              </w:rPr>
              <w:t>Dėl geresnių galimybių reaguoti į vietinius poreikius ir</w:t>
            </w:r>
          </w:p>
          <w:p w:rsidR="00987DAC" w:rsidRPr="00C87E80" w:rsidRDefault="00350253" w:rsidP="006A2D3C">
            <w:pPr>
              <w:autoSpaceDE w:val="0"/>
              <w:autoSpaceDN w:val="0"/>
              <w:adjustRightInd w:val="0"/>
              <w:rPr>
                <w:sz w:val="20"/>
                <w:szCs w:val="20"/>
                <w:lang w:val="lt-LT" w:eastAsia="lt-LT"/>
              </w:rPr>
            </w:pPr>
            <w:r w:rsidRPr="00C87E80">
              <w:rPr>
                <w:sz w:val="20"/>
                <w:szCs w:val="20"/>
                <w:lang w:val="lt-LT" w:eastAsia="lt-LT"/>
              </w:rPr>
              <w:t>atskaitomybės vietiniams gyventojams principo taikymo</w:t>
            </w:r>
            <w:r w:rsidR="006A2D3C">
              <w:rPr>
                <w:sz w:val="20"/>
                <w:szCs w:val="20"/>
                <w:lang w:val="lt-LT" w:eastAsia="lt-LT"/>
              </w:rPr>
              <w:t xml:space="preserve"> </w:t>
            </w:r>
            <w:r w:rsidRPr="00C87E80">
              <w:rPr>
                <w:sz w:val="20"/>
                <w:szCs w:val="20"/>
                <w:lang w:val="lt-LT" w:eastAsia="lt-LT"/>
              </w:rPr>
              <w:t>išauga viešųjų gėrybių kokybė</w:t>
            </w:r>
          </w:p>
        </w:tc>
        <w:tc>
          <w:tcPr>
            <w:tcW w:w="5295" w:type="dxa"/>
          </w:tcPr>
          <w:p w:rsidR="00C96EB3" w:rsidRDefault="00C96EB3" w:rsidP="00C87E80">
            <w:pPr>
              <w:autoSpaceDE w:val="0"/>
              <w:autoSpaceDN w:val="0"/>
              <w:adjustRightInd w:val="0"/>
              <w:spacing w:line="360" w:lineRule="auto"/>
              <w:jc w:val="both"/>
              <w:cnfStyle w:val="000000000000" w:firstRow="0" w:lastRow="0" w:firstColumn="0" w:lastColumn="0" w:oddVBand="0" w:evenVBand="0" w:oddHBand="0" w:evenHBand="0" w:firstRowFirstColumn="0" w:firstRowLastColumn="0" w:lastRowFirstColumn="0" w:lastRowLastColumn="0"/>
              <w:rPr>
                <w:sz w:val="20"/>
                <w:szCs w:val="20"/>
                <w:lang w:val="lt-LT" w:eastAsia="lt-LT"/>
              </w:rPr>
            </w:pPr>
          </w:p>
          <w:p w:rsidR="00987DAC" w:rsidRPr="00C87E80" w:rsidRDefault="00233ED5" w:rsidP="00C87E80">
            <w:pPr>
              <w:autoSpaceDE w:val="0"/>
              <w:autoSpaceDN w:val="0"/>
              <w:adjustRightInd w:val="0"/>
              <w:spacing w:line="360" w:lineRule="auto"/>
              <w:jc w:val="both"/>
              <w:cnfStyle w:val="000000000000" w:firstRow="0" w:lastRow="0" w:firstColumn="0" w:lastColumn="0" w:oddVBand="0" w:evenVBand="0" w:oddHBand="0" w:evenHBand="0" w:firstRowFirstColumn="0" w:firstRowLastColumn="0" w:lastRowFirstColumn="0" w:lastRowLastColumn="0"/>
              <w:rPr>
                <w:sz w:val="20"/>
                <w:szCs w:val="20"/>
                <w:lang w:val="lt-LT"/>
              </w:rPr>
            </w:pPr>
            <w:r w:rsidRPr="00C87E80">
              <w:rPr>
                <w:sz w:val="20"/>
                <w:szCs w:val="20"/>
                <w:lang w:val="lt-LT" w:eastAsia="lt-LT"/>
              </w:rPr>
              <w:t>Gali būti prarasti masto ekonomijos pranašumai.</w:t>
            </w:r>
          </w:p>
        </w:tc>
      </w:tr>
      <w:tr w:rsidR="00987DAC" w:rsidRPr="00C87E80" w:rsidTr="003076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8" w:type="dxa"/>
          </w:tcPr>
          <w:p w:rsidR="00233ED5" w:rsidRPr="00C87E80" w:rsidRDefault="00233ED5" w:rsidP="00C87E80">
            <w:pPr>
              <w:autoSpaceDE w:val="0"/>
              <w:autoSpaceDN w:val="0"/>
              <w:adjustRightInd w:val="0"/>
              <w:rPr>
                <w:sz w:val="20"/>
                <w:szCs w:val="20"/>
                <w:lang w:val="lt-LT" w:eastAsia="lt-LT"/>
              </w:rPr>
            </w:pPr>
            <w:r w:rsidRPr="00C87E80">
              <w:rPr>
                <w:sz w:val="20"/>
                <w:szCs w:val="20"/>
                <w:lang w:val="lt-LT" w:eastAsia="lt-LT"/>
              </w:rPr>
              <w:t>Susiformuoja palankios sąlygos inovacijoms ir</w:t>
            </w:r>
          </w:p>
          <w:p w:rsidR="00987DAC" w:rsidRPr="00C87E80" w:rsidRDefault="00233ED5" w:rsidP="00C87E80">
            <w:pPr>
              <w:autoSpaceDE w:val="0"/>
              <w:autoSpaceDN w:val="0"/>
              <w:adjustRightInd w:val="0"/>
              <w:spacing w:line="360" w:lineRule="auto"/>
              <w:jc w:val="both"/>
              <w:rPr>
                <w:sz w:val="20"/>
                <w:szCs w:val="20"/>
                <w:lang w:val="lt-LT"/>
              </w:rPr>
            </w:pPr>
            <w:r w:rsidRPr="00C87E80">
              <w:rPr>
                <w:sz w:val="20"/>
                <w:szCs w:val="20"/>
                <w:lang w:val="lt-LT" w:eastAsia="lt-LT"/>
              </w:rPr>
              <w:t>eksperimentams.</w:t>
            </w:r>
          </w:p>
        </w:tc>
        <w:tc>
          <w:tcPr>
            <w:tcW w:w="5295" w:type="dxa"/>
          </w:tcPr>
          <w:p w:rsidR="00233ED5" w:rsidRPr="00C87E80" w:rsidRDefault="00233ED5" w:rsidP="00C87E80">
            <w:pPr>
              <w:autoSpaceDE w:val="0"/>
              <w:autoSpaceDN w:val="0"/>
              <w:adjustRightInd w:val="0"/>
              <w:cnfStyle w:val="000000100000" w:firstRow="0" w:lastRow="0" w:firstColumn="0" w:lastColumn="0" w:oddVBand="0" w:evenVBand="0" w:oddHBand="1" w:evenHBand="0" w:firstRowFirstColumn="0" w:firstRowLastColumn="0" w:lastRowFirstColumn="0" w:lastRowLastColumn="0"/>
              <w:rPr>
                <w:sz w:val="20"/>
                <w:szCs w:val="20"/>
                <w:lang w:val="lt-LT" w:eastAsia="lt-LT"/>
              </w:rPr>
            </w:pPr>
            <w:r w:rsidRPr="00C87E80">
              <w:rPr>
                <w:sz w:val="20"/>
                <w:szCs w:val="20"/>
                <w:lang w:val="lt-LT" w:eastAsia="lt-LT"/>
              </w:rPr>
              <w:t>Gali atsirasti „mokesčių karai“ ir „mokesčių eksportas“,</w:t>
            </w:r>
          </w:p>
          <w:p w:rsidR="00987DAC" w:rsidRPr="00C87E80" w:rsidRDefault="00233ED5" w:rsidP="00C87E80">
            <w:pPr>
              <w:autoSpaceDE w:val="0"/>
              <w:autoSpaceDN w:val="0"/>
              <w:adjustRightInd w:val="0"/>
              <w:spacing w:line="360" w:lineRule="auto"/>
              <w:jc w:val="both"/>
              <w:cnfStyle w:val="000000100000" w:firstRow="0" w:lastRow="0" w:firstColumn="0" w:lastColumn="0" w:oddVBand="0" w:evenVBand="0" w:oddHBand="1" w:evenHBand="0" w:firstRowFirstColumn="0" w:firstRowLastColumn="0" w:lastRowFirstColumn="0" w:lastRowLastColumn="0"/>
              <w:rPr>
                <w:sz w:val="20"/>
                <w:szCs w:val="20"/>
                <w:lang w:val="lt-LT"/>
              </w:rPr>
            </w:pPr>
            <w:r w:rsidRPr="00C87E80">
              <w:rPr>
                <w:sz w:val="20"/>
                <w:szCs w:val="20"/>
                <w:lang w:val="lt-LT" w:eastAsia="lt-LT"/>
              </w:rPr>
              <w:t>naudos „persiliejimas“, „laisvo raitelio“ efektas.</w:t>
            </w:r>
          </w:p>
        </w:tc>
      </w:tr>
      <w:tr w:rsidR="00987DAC" w:rsidRPr="00C87E80" w:rsidTr="00307606">
        <w:tc>
          <w:tcPr>
            <w:cnfStyle w:val="001000000000" w:firstRow="0" w:lastRow="0" w:firstColumn="1" w:lastColumn="0" w:oddVBand="0" w:evenVBand="0" w:oddHBand="0" w:evenHBand="0" w:firstRowFirstColumn="0" w:firstRowLastColumn="0" w:lastRowFirstColumn="0" w:lastRowLastColumn="0"/>
            <w:tcW w:w="4878" w:type="dxa"/>
          </w:tcPr>
          <w:p w:rsidR="00987DAC" w:rsidRPr="00C87E80" w:rsidRDefault="00233ED5" w:rsidP="00C87E80">
            <w:pPr>
              <w:autoSpaceDE w:val="0"/>
              <w:autoSpaceDN w:val="0"/>
              <w:adjustRightInd w:val="0"/>
              <w:spacing w:line="360" w:lineRule="auto"/>
              <w:jc w:val="both"/>
              <w:rPr>
                <w:sz w:val="20"/>
                <w:szCs w:val="20"/>
                <w:lang w:val="lt-LT"/>
              </w:rPr>
            </w:pPr>
            <w:r w:rsidRPr="00C87E80">
              <w:rPr>
                <w:sz w:val="20"/>
                <w:szCs w:val="20"/>
                <w:lang w:val="lt-LT" w:eastAsia="lt-LT"/>
              </w:rPr>
              <w:t>Mažėja korupcija</w:t>
            </w:r>
          </w:p>
        </w:tc>
        <w:tc>
          <w:tcPr>
            <w:tcW w:w="5295" w:type="dxa"/>
          </w:tcPr>
          <w:p w:rsidR="00987DAC" w:rsidRPr="00C87E80" w:rsidRDefault="00233ED5" w:rsidP="00C87E80">
            <w:pPr>
              <w:autoSpaceDE w:val="0"/>
              <w:autoSpaceDN w:val="0"/>
              <w:adjustRightInd w:val="0"/>
              <w:spacing w:line="360" w:lineRule="auto"/>
              <w:jc w:val="both"/>
              <w:cnfStyle w:val="000000000000" w:firstRow="0" w:lastRow="0" w:firstColumn="0" w:lastColumn="0" w:oddVBand="0" w:evenVBand="0" w:oddHBand="0" w:evenHBand="0" w:firstRowFirstColumn="0" w:firstRowLastColumn="0" w:lastRowFirstColumn="0" w:lastRowLastColumn="0"/>
              <w:rPr>
                <w:sz w:val="20"/>
                <w:szCs w:val="20"/>
                <w:lang w:val="lt-LT"/>
              </w:rPr>
            </w:pPr>
            <w:r w:rsidRPr="00C87E80">
              <w:rPr>
                <w:sz w:val="20"/>
                <w:szCs w:val="20"/>
                <w:lang w:val="lt-LT" w:eastAsia="lt-LT"/>
              </w:rPr>
              <w:t>Didėja korupcija.</w:t>
            </w:r>
          </w:p>
        </w:tc>
      </w:tr>
      <w:tr w:rsidR="00987DAC" w:rsidRPr="00C87E80" w:rsidTr="003076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8" w:type="dxa"/>
          </w:tcPr>
          <w:p w:rsidR="00233ED5" w:rsidRPr="00C87E80" w:rsidRDefault="00233ED5" w:rsidP="00C87E80">
            <w:pPr>
              <w:autoSpaceDE w:val="0"/>
              <w:autoSpaceDN w:val="0"/>
              <w:adjustRightInd w:val="0"/>
              <w:rPr>
                <w:sz w:val="20"/>
                <w:szCs w:val="20"/>
                <w:lang w:val="lt-LT" w:eastAsia="lt-LT"/>
              </w:rPr>
            </w:pPr>
            <w:r w:rsidRPr="00C87E80">
              <w:rPr>
                <w:sz w:val="20"/>
                <w:szCs w:val="20"/>
                <w:lang w:val="lt-LT" w:eastAsia="lt-LT"/>
              </w:rPr>
              <w:t>Išauga viešųjų gėrybių įvairovė. Konkurencija tarp</w:t>
            </w:r>
          </w:p>
          <w:p w:rsidR="00233ED5" w:rsidRPr="00C87E80" w:rsidRDefault="00233ED5" w:rsidP="00C87E80">
            <w:pPr>
              <w:autoSpaceDE w:val="0"/>
              <w:autoSpaceDN w:val="0"/>
              <w:adjustRightInd w:val="0"/>
              <w:rPr>
                <w:sz w:val="20"/>
                <w:szCs w:val="20"/>
                <w:lang w:val="lt-LT" w:eastAsia="lt-LT"/>
              </w:rPr>
            </w:pPr>
            <w:r w:rsidRPr="00C87E80">
              <w:rPr>
                <w:sz w:val="20"/>
                <w:szCs w:val="20"/>
                <w:lang w:val="lt-LT" w:eastAsia="lt-LT"/>
              </w:rPr>
              <w:t>viešųjų gėrybių teikėjų skatina adaptuoti tik pačias</w:t>
            </w:r>
          </w:p>
          <w:p w:rsidR="00987DAC" w:rsidRPr="00C87E80" w:rsidRDefault="00233ED5" w:rsidP="006A2D3C">
            <w:pPr>
              <w:autoSpaceDE w:val="0"/>
              <w:autoSpaceDN w:val="0"/>
              <w:adjustRightInd w:val="0"/>
              <w:jc w:val="both"/>
              <w:rPr>
                <w:sz w:val="20"/>
                <w:szCs w:val="20"/>
                <w:lang w:val="lt-LT"/>
              </w:rPr>
            </w:pPr>
            <w:r w:rsidRPr="00C87E80">
              <w:rPr>
                <w:sz w:val="20"/>
                <w:szCs w:val="20"/>
                <w:lang w:val="lt-LT" w:eastAsia="lt-LT"/>
              </w:rPr>
              <w:t>geriausias vie</w:t>
            </w:r>
            <w:r w:rsidR="006A2D3C">
              <w:rPr>
                <w:sz w:val="20"/>
                <w:szCs w:val="20"/>
                <w:lang w:val="lt-LT" w:eastAsia="lt-LT"/>
              </w:rPr>
              <w:t xml:space="preserve">šųjų prekių ir paslaugų teikimo </w:t>
            </w:r>
            <w:r w:rsidRPr="00C87E80">
              <w:rPr>
                <w:sz w:val="20"/>
                <w:szCs w:val="20"/>
                <w:lang w:val="lt-LT" w:eastAsia="lt-LT"/>
              </w:rPr>
              <w:t>technikas.</w:t>
            </w:r>
          </w:p>
        </w:tc>
        <w:tc>
          <w:tcPr>
            <w:tcW w:w="5295" w:type="dxa"/>
          </w:tcPr>
          <w:p w:rsidR="00987DAC" w:rsidRPr="00C87E80" w:rsidRDefault="00233ED5" w:rsidP="006A2D3C">
            <w:pPr>
              <w:autoSpaceDE w:val="0"/>
              <w:autoSpaceDN w:val="0"/>
              <w:adjustRightInd w:val="0"/>
              <w:cnfStyle w:val="000000100000" w:firstRow="0" w:lastRow="0" w:firstColumn="0" w:lastColumn="0" w:oddVBand="0" w:evenVBand="0" w:oddHBand="1" w:evenHBand="0" w:firstRowFirstColumn="0" w:firstRowLastColumn="0" w:lastRowFirstColumn="0" w:lastRowLastColumn="0"/>
              <w:rPr>
                <w:sz w:val="20"/>
                <w:szCs w:val="20"/>
                <w:lang w:val="lt-LT" w:eastAsia="lt-LT"/>
              </w:rPr>
            </w:pPr>
            <w:r w:rsidRPr="00C87E80">
              <w:rPr>
                <w:sz w:val="20"/>
                <w:szCs w:val="20"/>
                <w:lang w:val="lt-LT" w:eastAsia="lt-LT"/>
              </w:rPr>
              <w:t>Subnacionalinio valdymo institucijos yra mažiau patrauklios</w:t>
            </w:r>
            <w:r w:rsidR="006A2D3C">
              <w:rPr>
                <w:sz w:val="20"/>
                <w:szCs w:val="20"/>
                <w:lang w:val="lt-LT" w:eastAsia="lt-LT"/>
              </w:rPr>
              <w:t xml:space="preserve"> </w:t>
            </w:r>
            <w:r w:rsidRPr="00C87E80">
              <w:rPr>
                <w:sz w:val="20"/>
                <w:szCs w:val="20"/>
                <w:lang w:val="lt-LT" w:eastAsia="lt-LT"/>
              </w:rPr>
              <w:t>aukštos kvalifikacijos valstybės tarnautojams.</w:t>
            </w:r>
          </w:p>
        </w:tc>
      </w:tr>
      <w:tr w:rsidR="00987DAC" w:rsidRPr="00C87E80" w:rsidTr="00307606">
        <w:tc>
          <w:tcPr>
            <w:cnfStyle w:val="001000000000" w:firstRow="0" w:lastRow="0" w:firstColumn="1" w:lastColumn="0" w:oddVBand="0" w:evenVBand="0" w:oddHBand="0" w:evenHBand="0" w:firstRowFirstColumn="0" w:firstRowLastColumn="0" w:lastRowFirstColumn="0" w:lastRowLastColumn="0"/>
            <w:tcW w:w="10173" w:type="dxa"/>
            <w:gridSpan w:val="2"/>
          </w:tcPr>
          <w:p w:rsidR="00987DAC" w:rsidRPr="00C87E80" w:rsidRDefault="00987DAC" w:rsidP="00C87E80">
            <w:pPr>
              <w:autoSpaceDE w:val="0"/>
              <w:autoSpaceDN w:val="0"/>
              <w:adjustRightInd w:val="0"/>
              <w:spacing w:line="360" w:lineRule="auto"/>
              <w:jc w:val="center"/>
              <w:rPr>
                <w:b/>
                <w:i/>
                <w:sz w:val="20"/>
                <w:szCs w:val="20"/>
                <w:lang w:val="lt-LT"/>
              </w:rPr>
            </w:pPr>
            <w:r w:rsidRPr="00C87E80">
              <w:rPr>
                <w:b/>
                <w:bCs/>
                <w:i/>
                <w:sz w:val="20"/>
                <w:szCs w:val="20"/>
                <w:lang w:val="lt-LT" w:eastAsia="lt-LT"/>
              </w:rPr>
              <w:t>Decentralizacija ir pajamų perskirstymas</w:t>
            </w:r>
          </w:p>
        </w:tc>
      </w:tr>
      <w:tr w:rsidR="00987DAC" w:rsidRPr="00C87E80" w:rsidTr="003076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8" w:type="dxa"/>
          </w:tcPr>
          <w:p w:rsidR="00233ED5" w:rsidRPr="00C87E80" w:rsidRDefault="00233ED5" w:rsidP="00C87E80">
            <w:pPr>
              <w:autoSpaceDE w:val="0"/>
              <w:autoSpaceDN w:val="0"/>
              <w:adjustRightInd w:val="0"/>
              <w:rPr>
                <w:sz w:val="20"/>
                <w:szCs w:val="20"/>
                <w:lang w:val="lt-LT" w:eastAsia="lt-LT"/>
              </w:rPr>
            </w:pPr>
            <w:r w:rsidRPr="00C87E80">
              <w:rPr>
                <w:sz w:val="20"/>
                <w:szCs w:val="20"/>
                <w:lang w:val="lt-LT" w:eastAsia="lt-LT"/>
              </w:rPr>
              <w:t>Decentralizuotas pajamų perskirstymas ir plėtojama</w:t>
            </w:r>
          </w:p>
          <w:p w:rsidR="00233ED5" w:rsidRPr="00C87E80" w:rsidRDefault="00233ED5" w:rsidP="00C87E80">
            <w:pPr>
              <w:autoSpaceDE w:val="0"/>
              <w:autoSpaceDN w:val="0"/>
              <w:adjustRightInd w:val="0"/>
              <w:rPr>
                <w:sz w:val="20"/>
                <w:szCs w:val="20"/>
                <w:lang w:val="lt-LT" w:eastAsia="lt-LT"/>
              </w:rPr>
            </w:pPr>
            <w:r w:rsidRPr="00C87E80">
              <w:rPr>
                <w:sz w:val="20"/>
                <w:szCs w:val="20"/>
                <w:lang w:val="lt-LT" w:eastAsia="lt-LT"/>
              </w:rPr>
              <w:t>fiskalinė decentralizacija sudaro prielaidas stiprėti</w:t>
            </w:r>
          </w:p>
          <w:p w:rsidR="00987DAC" w:rsidRPr="00C87E80" w:rsidRDefault="00233ED5" w:rsidP="00C87E80">
            <w:pPr>
              <w:autoSpaceDE w:val="0"/>
              <w:autoSpaceDN w:val="0"/>
              <w:adjustRightInd w:val="0"/>
              <w:spacing w:line="360" w:lineRule="auto"/>
              <w:jc w:val="both"/>
              <w:rPr>
                <w:sz w:val="20"/>
                <w:szCs w:val="20"/>
                <w:lang w:val="lt-LT"/>
              </w:rPr>
            </w:pPr>
            <w:r w:rsidRPr="00C87E80">
              <w:rPr>
                <w:sz w:val="20"/>
                <w:szCs w:val="20"/>
                <w:lang w:val="lt-LT" w:eastAsia="lt-LT"/>
              </w:rPr>
              <w:t>gyventojų iniciatyvoms kontroliuoti vietinę valdžią.</w:t>
            </w:r>
          </w:p>
        </w:tc>
        <w:tc>
          <w:tcPr>
            <w:tcW w:w="5295" w:type="dxa"/>
          </w:tcPr>
          <w:p w:rsidR="008864B1" w:rsidRPr="00C87E80" w:rsidRDefault="008864B1" w:rsidP="00C87E80">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NewRomanPSMT" w:hAnsi="TimesNewRomanPSMT" w:cs="TimesNewRomanPSMT"/>
                <w:sz w:val="19"/>
                <w:szCs w:val="19"/>
                <w:lang w:val="lt-LT" w:eastAsia="lt-LT"/>
              </w:rPr>
            </w:pPr>
            <w:r w:rsidRPr="00C87E80">
              <w:rPr>
                <w:rFonts w:ascii="TimesNewRomanPSMT" w:hAnsi="TimesNewRomanPSMT" w:cs="TimesNewRomanPSMT"/>
                <w:sz w:val="19"/>
                <w:szCs w:val="19"/>
                <w:lang w:val="lt-LT" w:eastAsia="lt-LT"/>
              </w:rPr>
              <w:t>Decentralizavus pajamų perskirstymą, gali atsirasti</w:t>
            </w:r>
          </w:p>
          <w:p w:rsidR="008864B1" w:rsidRPr="00C87E80" w:rsidRDefault="008864B1" w:rsidP="00C87E80">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NewRomanPSMT" w:hAnsi="TimesNewRomanPSMT" w:cs="TimesNewRomanPSMT"/>
                <w:sz w:val="19"/>
                <w:szCs w:val="19"/>
                <w:lang w:val="lt-LT" w:eastAsia="lt-LT"/>
              </w:rPr>
            </w:pPr>
            <w:r w:rsidRPr="00C87E80">
              <w:rPr>
                <w:rFonts w:ascii="TimesNewRomanPSMT" w:hAnsi="TimesNewRomanPSMT" w:cs="TimesNewRomanPSMT"/>
                <w:sz w:val="19"/>
                <w:szCs w:val="19"/>
                <w:lang w:val="lt-LT" w:eastAsia="lt-LT"/>
              </w:rPr>
              <w:t>segregacija ir netolygus pajamų perskirstymas individams ir</w:t>
            </w:r>
          </w:p>
          <w:p w:rsidR="008864B1" w:rsidRPr="00C87E80" w:rsidRDefault="008864B1" w:rsidP="00C87E80">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NewRomanPSMT" w:hAnsi="TimesNewRomanPSMT" w:cs="TimesNewRomanPSMT"/>
                <w:sz w:val="19"/>
                <w:szCs w:val="19"/>
                <w:lang w:val="lt-LT" w:eastAsia="lt-LT"/>
              </w:rPr>
            </w:pPr>
            <w:r w:rsidRPr="00C87E80">
              <w:rPr>
                <w:rFonts w:ascii="TimesNewRomanPSMT" w:hAnsi="TimesNewRomanPSMT" w:cs="TimesNewRomanPSMT"/>
                <w:sz w:val="19"/>
                <w:szCs w:val="19"/>
                <w:lang w:val="lt-LT" w:eastAsia="lt-LT"/>
              </w:rPr>
              <w:t>teritorinėms savivaldybėms. Komplikuotesnis išlyginimas</w:t>
            </w:r>
          </w:p>
          <w:p w:rsidR="008864B1" w:rsidRPr="00C87E80" w:rsidRDefault="008864B1" w:rsidP="00C87E80">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NewRomanPSMT" w:hAnsi="TimesNewRomanPSMT" w:cs="TimesNewRomanPSMT"/>
                <w:sz w:val="19"/>
                <w:szCs w:val="19"/>
                <w:lang w:val="lt-LT" w:eastAsia="lt-LT"/>
              </w:rPr>
            </w:pPr>
            <w:r w:rsidRPr="00C87E80">
              <w:rPr>
                <w:rFonts w:ascii="TimesNewRomanPSMT" w:hAnsi="TimesNewRomanPSMT" w:cs="TimesNewRomanPSMT"/>
                <w:sz w:val="19"/>
                <w:szCs w:val="19"/>
                <w:lang w:val="lt-LT" w:eastAsia="lt-LT"/>
              </w:rPr>
              <w:t>fiskalinių pajėgumų atskiriems subnacionalinio valdymo</w:t>
            </w:r>
          </w:p>
          <w:p w:rsidR="00987DAC" w:rsidRPr="00C87E80" w:rsidRDefault="008864B1" w:rsidP="00C87E80">
            <w:pPr>
              <w:autoSpaceDE w:val="0"/>
              <w:autoSpaceDN w:val="0"/>
              <w:adjustRightInd w:val="0"/>
              <w:spacing w:line="360" w:lineRule="auto"/>
              <w:jc w:val="both"/>
              <w:cnfStyle w:val="000000100000" w:firstRow="0" w:lastRow="0" w:firstColumn="0" w:lastColumn="0" w:oddVBand="0" w:evenVBand="0" w:oddHBand="1" w:evenHBand="0" w:firstRowFirstColumn="0" w:firstRowLastColumn="0" w:lastRowFirstColumn="0" w:lastRowLastColumn="0"/>
              <w:rPr>
                <w:sz w:val="20"/>
                <w:szCs w:val="20"/>
                <w:lang w:val="lt-LT"/>
              </w:rPr>
            </w:pPr>
            <w:r w:rsidRPr="00C87E80">
              <w:rPr>
                <w:rFonts w:ascii="TimesNewRomanPSMT" w:hAnsi="TimesNewRomanPSMT" w:cs="TimesNewRomanPSMT"/>
                <w:sz w:val="19"/>
                <w:szCs w:val="19"/>
                <w:lang w:val="lt-LT" w:eastAsia="lt-LT"/>
              </w:rPr>
              <w:t>subjektams.</w:t>
            </w:r>
          </w:p>
        </w:tc>
      </w:tr>
      <w:tr w:rsidR="00987DAC" w:rsidRPr="00C87E80" w:rsidTr="00307606">
        <w:tc>
          <w:tcPr>
            <w:cnfStyle w:val="001000000000" w:firstRow="0" w:lastRow="0" w:firstColumn="1" w:lastColumn="0" w:oddVBand="0" w:evenVBand="0" w:oddHBand="0" w:evenHBand="0" w:firstRowFirstColumn="0" w:firstRowLastColumn="0" w:lastRowFirstColumn="0" w:lastRowLastColumn="0"/>
            <w:tcW w:w="10173" w:type="dxa"/>
            <w:gridSpan w:val="2"/>
          </w:tcPr>
          <w:p w:rsidR="00987DAC" w:rsidRPr="00C87E80" w:rsidRDefault="00987DAC" w:rsidP="00C87E80">
            <w:pPr>
              <w:autoSpaceDE w:val="0"/>
              <w:autoSpaceDN w:val="0"/>
              <w:adjustRightInd w:val="0"/>
              <w:spacing w:line="360" w:lineRule="auto"/>
              <w:jc w:val="center"/>
              <w:rPr>
                <w:i/>
                <w:sz w:val="20"/>
                <w:szCs w:val="20"/>
                <w:lang w:val="lt-LT"/>
              </w:rPr>
            </w:pPr>
            <w:r w:rsidRPr="00C87E80">
              <w:rPr>
                <w:b/>
                <w:bCs/>
                <w:i/>
                <w:sz w:val="20"/>
                <w:szCs w:val="20"/>
                <w:lang w:val="lt-LT" w:eastAsia="lt-LT"/>
              </w:rPr>
              <w:t>Decentralizacija ir makroekonominis stabilumas</w:t>
            </w:r>
          </w:p>
        </w:tc>
      </w:tr>
      <w:tr w:rsidR="00987DAC" w:rsidRPr="00C87E80" w:rsidTr="003076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8" w:type="dxa"/>
          </w:tcPr>
          <w:p w:rsidR="00987DAC" w:rsidRPr="00C87E80" w:rsidRDefault="00233ED5" w:rsidP="00C87E80">
            <w:pPr>
              <w:autoSpaceDE w:val="0"/>
              <w:autoSpaceDN w:val="0"/>
              <w:adjustRightInd w:val="0"/>
              <w:spacing w:line="360" w:lineRule="auto"/>
              <w:jc w:val="both"/>
              <w:rPr>
                <w:sz w:val="20"/>
                <w:szCs w:val="20"/>
                <w:lang w:val="lt-LT"/>
              </w:rPr>
            </w:pPr>
            <w:r w:rsidRPr="00C87E80">
              <w:rPr>
                <w:sz w:val="20"/>
                <w:szCs w:val="20"/>
                <w:lang w:val="lt-LT" w:eastAsia="lt-LT"/>
              </w:rPr>
              <w:t>Spartėja ekonomikos augimas.</w:t>
            </w:r>
          </w:p>
        </w:tc>
        <w:tc>
          <w:tcPr>
            <w:tcW w:w="5295" w:type="dxa"/>
          </w:tcPr>
          <w:p w:rsidR="00987DAC" w:rsidRPr="00C87E80" w:rsidRDefault="00233ED5" w:rsidP="00C87E80">
            <w:pPr>
              <w:autoSpaceDE w:val="0"/>
              <w:autoSpaceDN w:val="0"/>
              <w:adjustRightInd w:val="0"/>
              <w:spacing w:line="360" w:lineRule="auto"/>
              <w:jc w:val="both"/>
              <w:cnfStyle w:val="000000100000" w:firstRow="0" w:lastRow="0" w:firstColumn="0" w:lastColumn="0" w:oddVBand="0" w:evenVBand="0" w:oddHBand="1" w:evenHBand="0" w:firstRowFirstColumn="0" w:firstRowLastColumn="0" w:lastRowFirstColumn="0" w:lastRowLastColumn="0"/>
              <w:rPr>
                <w:sz w:val="20"/>
                <w:szCs w:val="20"/>
                <w:lang w:val="lt-LT"/>
              </w:rPr>
            </w:pPr>
            <w:r w:rsidRPr="00C87E80">
              <w:rPr>
                <w:sz w:val="20"/>
                <w:szCs w:val="20"/>
                <w:lang w:val="lt-LT" w:eastAsia="lt-LT"/>
              </w:rPr>
              <w:t>Lėtėja ekonomikos augimas.</w:t>
            </w:r>
          </w:p>
        </w:tc>
      </w:tr>
      <w:tr w:rsidR="00987DAC" w:rsidRPr="00C87E80" w:rsidTr="00307606">
        <w:tc>
          <w:tcPr>
            <w:cnfStyle w:val="001000000000" w:firstRow="0" w:lastRow="0" w:firstColumn="1" w:lastColumn="0" w:oddVBand="0" w:evenVBand="0" w:oddHBand="0" w:evenHBand="0" w:firstRowFirstColumn="0" w:firstRowLastColumn="0" w:lastRowFirstColumn="0" w:lastRowLastColumn="0"/>
            <w:tcW w:w="4878" w:type="dxa"/>
          </w:tcPr>
          <w:p w:rsidR="00233ED5" w:rsidRPr="00C87E80" w:rsidRDefault="00233ED5" w:rsidP="00C87E80">
            <w:pPr>
              <w:autoSpaceDE w:val="0"/>
              <w:autoSpaceDN w:val="0"/>
              <w:adjustRightInd w:val="0"/>
              <w:rPr>
                <w:sz w:val="20"/>
                <w:szCs w:val="20"/>
                <w:lang w:val="lt-LT" w:eastAsia="lt-LT"/>
              </w:rPr>
            </w:pPr>
            <w:r w:rsidRPr="00C87E80">
              <w:rPr>
                <w:sz w:val="20"/>
                <w:szCs w:val="20"/>
                <w:lang w:val="lt-LT" w:eastAsia="lt-LT"/>
              </w:rPr>
              <w:t>Fiskalinė decentralizacija šalies finansų sistemą daro</w:t>
            </w:r>
          </w:p>
          <w:p w:rsidR="00987DAC" w:rsidRPr="00C87E80" w:rsidRDefault="00233ED5" w:rsidP="006A2D3C">
            <w:pPr>
              <w:autoSpaceDE w:val="0"/>
              <w:autoSpaceDN w:val="0"/>
              <w:adjustRightInd w:val="0"/>
              <w:rPr>
                <w:sz w:val="20"/>
                <w:szCs w:val="20"/>
                <w:lang w:val="lt-LT" w:eastAsia="lt-LT"/>
              </w:rPr>
            </w:pPr>
            <w:r w:rsidRPr="00C87E80">
              <w:rPr>
                <w:sz w:val="20"/>
                <w:szCs w:val="20"/>
                <w:lang w:val="lt-LT" w:eastAsia="lt-LT"/>
              </w:rPr>
              <w:t>lankstesnę, sudaro sąlygas subnacionaliniams valdymosubjektams spręsti ekonomines problemas neimant lėšų</w:t>
            </w:r>
            <w:r w:rsidR="006A2D3C">
              <w:rPr>
                <w:sz w:val="20"/>
                <w:szCs w:val="20"/>
                <w:lang w:val="lt-LT" w:eastAsia="lt-LT"/>
              </w:rPr>
              <w:t xml:space="preserve"> </w:t>
            </w:r>
            <w:r w:rsidRPr="00C87E80">
              <w:rPr>
                <w:sz w:val="20"/>
                <w:szCs w:val="20"/>
                <w:lang w:val="lt-LT" w:eastAsia="lt-LT"/>
              </w:rPr>
              <w:t>iš valstybės biudžeto.</w:t>
            </w:r>
          </w:p>
        </w:tc>
        <w:tc>
          <w:tcPr>
            <w:tcW w:w="5295" w:type="dxa"/>
          </w:tcPr>
          <w:p w:rsidR="00233ED5" w:rsidRPr="00C87E80" w:rsidRDefault="00233ED5" w:rsidP="00C87E80">
            <w:pPr>
              <w:autoSpaceDE w:val="0"/>
              <w:autoSpaceDN w:val="0"/>
              <w:adjustRightInd w:val="0"/>
              <w:cnfStyle w:val="000000000000" w:firstRow="0" w:lastRow="0" w:firstColumn="0" w:lastColumn="0" w:oddVBand="0" w:evenVBand="0" w:oddHBand="0" w:evenHBand="0" w:firstRowFirstColumn="0" w:firstRowLastColumn="0" w:lastRowFirstColumn="0" w:lastRowLastColumn="0"/>
              <w:rPr>
                <w:sz w:val="20"/>
                <w:szCs w:val="20"/>
                <w:lang w:val="lt-LT" w:eastAsia="lt-LT"/>
              </w:rPr>
            </w:pPr>
            <w:r w:rsidRPr="00C87E80">
              <w:rPr>
                <w:sz w:val="20"/>
                <w:szCs w:val="20"/>
                <w:lang w:val="lt-LT" w:eastAsia="lt-LT"/>
              </w:rPr>
              <w:t>Silpnėja valstybių makroekonominio manevringumo</w:t>
            </w:r>
          </w:p>
          <w:p w:rsidR="00987DAC" w:rsidRPr="00C87E80" w:rsidRDefault="00233ED5" w:rsidP="006A2D3C">
            <w:pPr>
              <w:autoSpaceDE w:val="0"/>
              <w:autoSpaceDN w:val="0"/>
              <w:adjustRightInd w:val="0"/>
              <w:cnfStyle w:val="000000000000" w:firstRow="0" w:lastRow="0" w:firstColumn="0" w:lastColumn="0" w:oddVBand="0" w:evenVBand="0" w:oddHBand="0" w:evenHBand="0" w:firstRowFirstColumn="0" w:firstRowLastColumn="0" w:lastRowFirstColumn="0" w:lastRowLastColumn="0"/>
              <w:rPr>
                <w:sz w:val="20"/>
                <w:szCs w:val="20"/>
                <w:lang w:val="lt-LT" w:eastAsia="lt-LT"/>
              </w:rPr>
            </w:pPr>
            <w:r w:rsidRPr="00C87E80">
              <w:rPr>
                <w:sz w:val="20"/>
                <w:szCs w:val="20"/>
                <w:lang w:val="lt-LT" w:eastAsia="lt-LT"/>
              </w:rPr>
              <w:t>galimybės nacionaliniu lygiu, gali atsirasti netolygi regioninė</w:t>
            </w:r>
            <w:r w:rsidR="006A2D3C">
              <w:rPr>
                <w:sz w:val="20"/>
                <w:szCs w:val="20"/>
                <w:lang w:val="lt-LT" w:eastAsia="lt-LT"/>
              </w:rPr>
              <w:t xml:space="preserve"> </w:t>
            </w:r>
            <w:r w:rsidRPr="00C87E80">
              <w:rPr>
                <w:sz w:val="20"/>
                <w:szCs w:val="20"/>
                <w:lang w:val="lt-LT" w:eastAsia="lt-LT"/>
              </w:rPr>
              <w:t>plėtra</w:t>
            </w:r>
          </w:p>
        </w:tc>
      </w:tr>
    </w:tbl>
    <w:p w:rsidR="004E2197" w:rsidRDefault="00233ED5" w:rsidP="00452D18">
      <w:pPr>
        <w:autoSpaceDE w:val="0"/>
        <w:autoSpaceDN w:val="0"/>
        <w:adjustRightInd w:val="0"/>
        <w:spacing w:line="360" w:lineRule="auto"/>
        <w:jc w:val="both"/>
        <w:rPr>
          <w:rFonts w:ascii="TimesNewRomanPSMT" w:hAnsi="TimesNewRomanPSMT" w:cs="TimesNewRomanPSMT"/>
          <w:sz w:val="19"/>
          <w:szCs w:val="19"/>
          <w:lang w:val="lt-LT" w:eastAsia="lt-LT"/>
        </w:rPr>
      </w:pPr>
      <w:r>
        <w:rPr>
          <w:rFonts w:ascii="TimesNewRomanPS-BoldMT" w:hAnsi="TimesNewRomanPS-BoldMT" w:cs="TimesNewRomanPS-BoldMT"/>
          <w:b/>
          <w:bCs/>
          <w:sz w:val="19"/>
          <w:szCs w:val="19"/>
          <w:lang w:val="lt-LT" w:eastAsia="lt-LT"/>
        </w:rPr>
        <w:t xml:space="preserve">Šaltinis: </w:t>
      </w:r>
      <w:r>
        <w:rPr>
          <w:rFonts w:ascii="TimesNewRomanPSMT" w:hAnsi="TimesNewRomanPSMT" w:cs="TimesNewRomanPSMT"/>
          <w:sz w:val="19"/>
          <w:szCs w:val="19"/>
          <w:lang w:val="lt-LT" w:eastAsia="lt-LT"/>
        </w:rPr>
        <w:t>Baltušnikienė, 2009, p. 86</w:t>
      </w:r>
    </w:p>
    <w:p w:rsidR="008864B1" w:rsidRPr="008864B1" w:rsidRDefault="008864B1" w:rsidP="00452D18">
      <w:pPr>
        <w:autoSpaceDE w:val="0"/>
        <w:autoSpaceDN w:val="0"/>
        <w:adjustRightInd w:val="0"/>
        <w:spacing w:line="360" w:lineRule="auto"/>
        <w:jc w:val="both"/>
        <w:rPr>
          <w:lang w:val="lt-LT" w:eastAsia="lt-LT"/>
        </w:rPr>
      </w:pPr>
    </w:p>
    <w:p w:rsidR="008864B1" w:rsidRPr="008864B1" w:rsidRDefault="008864B1" w:rsidP="00AE7BDC">
      <w:pPr>
        <w:autoSpaceDE w:val="0"/>
        <w:autoSpaceDN w:val="0"/>
        <w:adjustRightInd w:val="0"/>
        <w:spacing w:line="360" w:lineRule="auto"/>
        <w:ind w:firstLine="720"/>
        <w:jc w:val="both"/>
        <w:rPr>
          <w:lang w:val="lt-LT" w:eastAsia="lt-LT"/>
        </w:rPr>
      </w:pPr>
      <w:r w:rsidRPr="008864B1">
        <w:rPr>
          <w:lang w:val="lt-LT" w:eastAsia="lt-LT"/>
        </w:rPr>
        <w:t>Nagrinėjant decentralizaciją ir viešųjų gėrybių teikimą Baltušnikienė</w:t>
      </w:r>
      <w:r w:rsidR="00AE7BDC" w:rsidRPr="00AE7BDC">
        <w:rPr>
          <w:color w:val="FFFFFF"/>
          <w:lang w:val="lt-LT" w:eastAsia="lt-LT"/>
        </w:rPr>
        <w:t>-</w:t>
      </w:r>
      <w:r w:rsidRPr="008864B1">
        <w:rPr>
          <w:lang w:val="lt-LT" w:eastAsia="lt-LT"/>
        </w:rPr>
        <w:t>(2009) pabrėž</w:t>
      </w:r>
      <w:r w:rsidR="00AE7BDC">
        <w:rPr>
          <w:lang w:val="lt-LT" w:eastAsia="lt-LT"/>
        </w:rPr>
        <w:t xml:space="preserve">ia, kad </w:t>
      </w:r>
      <w:r w:rsidRPr="008864B1">
        <w:rPr>
          <w:lang w:val="lt-LT" w:eastAsia="lt-LT"/>
        </w:rPr>
        <w:t>yra ribojama viešojo sektoriaus plėtra, o piliečiai gali tiesiogiai įtakoti viešųjų sprendimų</w:t>
      </w:r>
      <w:r w:rsidR="00AE7BDC">
        <w:rPr>
          <w:lang w:val="lt-LT" w:eastAsia="lt-LT"/>
        </w:rPr>
        <w:t xml:space="preserve"> </w:t>
      </w:r>
      <w:r w:rsidRPr="008864B1">
        <w:rPr>
          <w:lang w:val="lt-LT" w:eastAsia="lt-LT"/>
        </w:rPr>
        <w:t>priėmimą,</w:t>
      </w:r>
      <w:r>
        <w:rPr>
          <w:lang w:val="lt-LT" w:eastAsia="lt-LT"/>
        </w:rPr>
        <w:t xml:space="preserve"> </w:t>
      </w:r>
      <w:r w:rsidRPr="008864B1">
        <w:rPr>
          <w:lang w:val="lt-LT" w:eastAsia="lt-LT"/>
        </w:rPr>
        <w:t>kadangi valdžia sutelkiama arčiau jų pačių. Tačiau mokslininkė taip pat paž</w:t>
      </w:r>
      <w:r w:rsidR="00AE7BDC">
        <w:rPr>
          <w:lang w:val="lt-LT" w:eastAsia="lt-LT"/>
        </w:rPr>
        <w:t xml:space="preserve">ymi, kad </w:t>
      </w:r>
      <w:r w:rsidRPr="008864B1">
        <w:rPr>
          <w:lang w:val="lt-LT" w:eastAsia="lt-LT"/>
        </w:rPr>
        <w:t>tokia sistema</w:t>
      </w:r>
      <w:r>
        <w:rPr>
          <w:lang w:val="lt-LT" w:eastAsia="lt-LT"/>
        </w:rPr>
        <w:t xml:space="preserve"> </w:t>
      </w:r>
      <w:r w:rsidRPr="008864B1">
        <w:rPr>
          <w:lang w:val="lt-LT" w:eastAsia="lt-LT"/>
        </w:rPr>
        <w:t>funkcionuotų turi būti už</w:t>
      </w:r>
      <w:r w:rsidR="00AE7BDC">
        <w:rPr>
          <w:lang w:val="lt-LT" w:eastAsia="lt-LT"/>
        </w:rPr>
        <w:t>tikrinta efektyvi</w:t>
      </w:r>
      <w:r w:rsidR="00AE7BDC" w:rsidRPr="00AE7BDC">
        <w:rPr>
          <w:color w:val="FFFFFF"/>
          <w:lang w:val="lt-LT" w:eastAsia="lt-LT"/>
        </w:rPr>
        <w:t>_</w:t>
      </w:r>
      <w:r w:rsidRPr="008864B1">
        <w:rPr>
          <w:lang w:val="lt-LT" w:eastAsia="lt-LT"/>
        </w:rPr>
        <w:t>stebėsenos ir kontrolės sistema bei didinami vietinės valdžios</w:t>
      </w:r>
      <w:r w:rsidR="00536824">
        <w:rPr>
          <w:lang w:val="lt-LT" w:eastAsia="lt-LT"/>
        </w:rPr>
        <w:t xml:space="preserve"> </w:t>
      </w:r>
      <w:r w:rsidRPr="008864B1">
        <w:rPr>
          <w:lang w:val="lt-LT" w:eastAsia="lt-LT"/>
        </w:rPr>
        <w:t>administraciniai gebėjimai.</w:t>
      </w:r>
      <w:r w:rsidR="00AE7BDC" w:rsidRPr="00AE7BDC">
        <w:rPr>
          <w:color w:val="FFFFFF"/>
          <w:lang w:val="lt-LT" w:eastAsia="lt-LT"/>
        </w:rPr>
        <w:t>.</w:t>
      </w:r>
      <w:r w:rsidRPr="008864B1">
        <w:rPr>
          <w:lang w:val="lt-LT" w:eastAsia="lt-LT"/>
        </w:rPr>
        <w:t>Taip pat paste</w:t>
      </w:r>
      <w:r w:rsidR="00AE7BDC">
        <w:rPr>
          <w:lang w:val="lt-LT" w:eastAsia="lt-LT"/>
        </w:rPr>
        <w:t xml:space="preserve">bima, kad decentralizacija gali </w:t>
      </w:r>
      <w:r w:rsidRPr="008864B1">
        <w:rPr>
          <w:lang w:val="lt-LT" w:eastAsia="lt-LT"/>
        </w:rPr>
        <w:t>įtakoti viešųjų paslaugų</w:t>
      </w:r>
      <w:r w:rsidR="00AE7BDC">
        <w:rPr>
          <w:lang w:val="lt-LT" w:eastAsia="lt-LT"/>
        </w:rPr>
        <w:t xml:space="preserve"> </w:t>
      </w:r>
      <w:r w:rsidRPr="008864B1">
        <w:rPr>
          <w:lang w:val="lt-LT" w:eastAsia="lt-LT"/>
        </w:rPr>
        <w:t>kokybės gerėjimą, jų įvairumo didėjimą bei inovacijų taikymą dėl to, kad vietinė valdžia greičiau</w:t>
      </w:r>
      <w:r w:rsidR="00AE7BDC">
        <w:rPr>
          <w:lang w:val="lt-LT" w:eastAsia="lt-LT"/>
        </w:rPr>
        <w:t xml:space="preserve"> </w:t>
      </w:r>
      <w:r w:rsidRPr="008864B1">
        <w:rPr>
          <w:lang w:val="lt-LT" w:eastAsia="lt-LT"/>
        </w:rPr>
        <w:t>reaguoja į vietinius poreikius ir gali prie jų derintis (Rosen, 1998). Kita vertus valdant ne iš centro</w:t>
      </w:r>
      <w:r w:rsidR="00AE7BDC">
        <w:rPr>
          <w:lang w:val="lt-LT" w:eastAsia="lt-LT"/>
        </w:rPr>
        <w:t xml:space="preserve"> </w:t>
      </w:r>
      <w:r w:rsidRPr="008864B1">
        <w:rPr>
          <w:lang w:val="lt-LT" w:eastAsia="lt-LT"/>
        </w:rPr>
        <w:t>prarandamas masto ekonomijos pranašumas, decentralizacija gali sukelti „mokesčių karus“, kai vietos</w:t>
      </w:r>
      <w:r w:rsidR="00536824">
        <w:rPr>
          <w:lang w:val="lt-LT" w:eastAsia="lt-LT"/>
        </w:rPr>
        <w:t xml:space="preserve"> </w:t>
      </w:r>
      <w:r w:rsidRPr="008864B1">
        <w:rPr>
          <w:lang w:val="lt-LT" w:eastAsia="lt-LT"/>
        </w:rPr>
        <w:t>savivaldybės varžosi tarpusavyje dėl mokesčių bazių, tarifų</w:t>
      </w:r>
      <w:r w:rsidR="00AE7BDC">
        <w:rPr>
          <w:lang w:val="lt-LT" w:eastAsia="lt-LT"/>
        </w:rPr>
        <w:t xml:space="preserve">, </w:t>
      </w:r>
      <w:r w:rsidRPr="008864B1">
        <w:rPr>
          <w:lang w:val="lt-LT" w:eastAsia="lt-LT"/>
        </w:rPr>
        <w:t>lengvatų ir kt., siekdamos pritraukti</w:t>
      </w:r>
      <w:r w:rsidR="00AE7BDC">
        <w:rPr>
          <w:lang w:val="lt-LT" w:eastAsia="lt-LT"/>
        </w:rPr>
        <w:t xml:space="preserve"> </w:t>
      </w:r>
      <w:r w:rsidRPr="008864B1">
        <w:rPr>
          <w:lang w:val="lt-LT" w:eastAsia="lt-LT"/>
        </w:rPr>
        <w:t>daugiau gyventojų, investicijų</w:t>
      </w:r>
      <w:r w:rsidR="00AE7BDC">
        <w:rPr>
          <w:lang w:val="lt-LT" w:eastAsia="lt-LT"/>
        </w:rPr>
        <w:t xml:space="preserve"> ir pan.</w:t>
      </w:r>
      <w:r w:rsidR="00AE7BDC" w:rsidRPr="00AE7BDC">
        <w:rPr>
          <w:color w:val="FFFFFF"/>
          <w:lang w:val="lt-LT" w:eastAsia="lt-LT"/>
        </w:rPr>
        <w:t>-</w:t>
      </w:r>
      <w:r w:rsidRPr="008864B1">
        <w:rPr>
          <w:lang w:val="lt-LT" w:eastAsia="lt-LT"/>
        </w:rPr>
        <w:t>Gal</w:t>
      </w:r>
      <w:r w:rsidR="00AE7BDC">
        <w:rPr>
          <w:lang w:val="lt-LT" w:eastAsia="lt-LT"/>
        </w:rPr>
        <w:t>ima sutikti ir su nuostata, kad</w:t>
      </w:r>
      <w:r w:rsidR="00AE7BDC" w:rsidRPr="00AE7BDC">
        <w:rPr>
          <w:color w:val="FFFFFF"/>
          <w:lang w:val="lt-LT" w:eastAsia="lt-LT"/>
        </w:rPr>
        <w:t>-</w:t>
      </w:r>
      <w:r w:rsidR="00AE7BDC">
        <w:rPr>
          <w:color w:val="FFFFFF"/>
          <w:lang w:val="lt-LT" w:eastAsia="lt-LT"/>
        </w:rPr>
        <w:t xml:space="preserve"> </w:t>
      </w:r>
      <w:r w:rsidRPr="008864B1">
        <w:rPr>
          <w:lang w:val="lt-LT" w:eastAsia="lt-LT"/>
        </w:rPr>
        <w:t>valstybės valdymo</w:t>
      </w:r>
      <w:r w:rsidR="00AE7BDC">
        <w:rPr>
          <w:lang w:val="lt-LT" w:eastAsia="lt-LT"/>
        </w:rPr>
        <w:t xml:space="preserve"> </w:t>
      </w:r>
      <w:r w:rsidRPr="008864B1">
        <w:rPr>
          <w:lang w:val="lt-LT" w:eastAsia="lt-LT"/>
        </w:rPr>
        <w:t>subjektai yra pajėgesni rinkti mokesčius žemiausiomis sąnaudomis</w:t>
      </w:r>
      <w:r w:rsidR="00AE7BDC">
        <w:rPr>
          <w:lang w:val="lt-LT" w:eastAsia="lt-LT"/>
        </w:rPr>
        <w:t xml:space="preserve">. </w:t>
      </w:r>
      <w:r w:rsidRPr="008864B1">
        <w:rPr>
          <w:lang w:val="lt-LT" w:eastAsia="lt-LT"/>
        </w:rPr>
        <w:t>Atkreipiamas dėmesys, kad dažnai susiduriama su vietinės valdžios darbuotojų kompetencijos stoka.</w:t>
      </w:r>
      <w:r w:rsidR="00AE7BDC" w:rsidRPr="00AE7BDC">
        <w:rPr>
          <w:color w:val="FFFFFF"/>
          <w:lang w:val="lt-LT" w:eastAsia="lt-LT"/>
        </w:rPr>
        <w:t>.</w:t>
      </w:r>
    </w:p>
    <w:p w:rsidR="00E4218B" w:rsidRDefault="00AE7BDC" w:rsidP="00AE7BDC">
      <w:pPr>
        <w:autoSpaceDE w:val="0"/>
        <w:autoSpaceDN w:val="0"/>
        <w:adjustRightInd w:val="0"/>
        <w:spacing w:line="360" w:lineRule="auto"/>
        <w:ind w:firstLine="720"/>
        <w:jc w:val="both"/>
        <w:rPr>
          <w:lang w:val="lt-LT" w:eastAsia="lt-LT"/>
        </w:rPr>
      </w:pPr>
      <w:r>
        <w:rPr>
          <w:lang w:val="lt-LT" w:eastAsia="lt-LT"/>
        </w:rPr>
        <w:t>Decentralizacijos procesas</w:t>
      </w:r>
      <w:r w:rsidRPr="00AE7BDC">
        <w:rPr>
          <w:color w:val="FFFFFF"/>
          <w:lang w:val="lt-LT" w:eastAsia="lt-LT"/>
        </w:rPr>
        <w:t>-</w:t>
      </w:r>
      <w:r>
        <w:rPr>
          <w:lang w:val="lt-LT" w:eastAsia="lt-LT"/>
        </w:rPr>
        <w:t xml:space="preserve"> </w:t>
      </w:r>
      <w:r w:rsidR="008864B1" w:rsidRPr="008864B1">
        <w:rPr>
          <w:lang w:val="lt-LT" w:eastAsia="lt-LT"/>
        </w:rPr>
        <w:t>mažina korupciją, tačiau jei decentralizacijos lygis per didelis t.y. suteiktas</w:t>
      </w:r>
      <w:r>
        <w:rPr>
          <w:lang w:val="lt-LT" w:eastAsia="lt-LT"/>
        </w:rPr>
        <w:t xml:space="preserve"> </w:t>
      </w:r>
      <w:r w:rsidR="008864B1" w:rsidRPr="008864B1">
        <w:rPr>
          <w:lang w:val="lt-LT" w:eastAsia="lt-LT"/>
        </w:rPr>
        <w:t>per didelis vietinė</w:t>
      </w:r>
      <w:r>
        <w:rPr>
          <w:lang w:val="lt-LT" w:eastAsia="lt-LT"/>
        </w:rPr>
        <w:t xml:space="preserve">s </w:t>
      </w:r>
      <w:r w:rsidRPr="00AE7BDC">
        <w:rPr>
          <w:color w:val="FFFFFF"/>
          <w:lang w:val="lt-LT" w:eastAsia="lt-LT"/>
        </w:rPr>
        <w:t>.</w:t>
      </w:r>
      <w:r w:rsidR="008864B1" w:rsidRPr="008864B1">
        <w:rPr>
          <w:lang w:val="lt-LT" w:eastAsia="lt-LT"/>
        </w:rPr>
        <w:t>valdžios savarankiš</w:t>
      </w:r>
      <w:r>
        <w:rPr>
          <w:lang w:val="lt-LT" w:eastAsia="lt-LT"/>
        </w:rPr>
        <w:t>kumas disponuoti</w:t>
      </w:r>
      <w:r w:rsidRPr="00AE7BDC">
        <w:rPr>
          <w:color w:val="FFFFFF"/>
          <w:lang w:val="lt-LT" w:eastAsia="lt-LT"/>
        </w:rPr>
        <w:t>_</w:t>
      </w:r>
      <w:r w:rsidR="008864B1" w:rsidRPr="008864B1">
        <w:rPr>
          <w:lang w:val="lt-LT" w:eastAsia="lt-LT"/>
        </w:rPr>
        <w:t>finansiniais ištekliais, korupcija gali ir</w:t>
      </w:r>
      <w:r>
        <w:rPr>
          <w:lang w:val="lt-LT" w:eastAsia="lt-LT"/>
        </w:rPr>
        <w:t xml:space="preserve"> </w:t>
      </w:r>
      <w:r w:rsidR="008864B1" w:rsidRPr="008864B1">
        <w:rPr>
          <w:lang w:val="lt-LT" w:eastAsia="lt-LT"/>
        </w:rPr>
        <w:t>padidėti dėl darbuotojų kompetencijos stokos ir kontrolės sistemos nebuvimo ir kt. Taip pat pabrėžtina</w:t>
      </w:r>
      <w:r>
        <w:rPr>
          <w:lang w:val="lt-LT" w:eastAsia="lt-LT"/>
        </w:rPr>
        <w:t xml:space="preserve"> </w:t>
      </w:r>
      <w:r w:rsidR="008864B1" w:rsidRPr="008864B1">
        <w:rPr>
          <w:lang w:val="lt-LT" w:eastAsia="lt-LT"/>
        </w:rPr>
        <w:t>tai, kad tarp mokslininkų nėra paplitusios vieningos nuomonės ar decentralizacijos procesas didina ar</w:t>
      </w:r>
      <w:r>
        <w:rPr>
          <w:lang w:val="lt-LT" w:eastAsia="lt-LT"/>
        </w:rPr>
        <w:t xml:space="preserve"> </w:t>
      </w:r>
      <w:r w:rsidR="008864B1" w:rsidRPr="008864B1">
        <w:rPr>
          <w:lang w:val="lt-LT" w:eastAsia="lt-LT"/>
        </w:rPr>
        <w:t>mažina korupciją šalyje (teigiama ar neigiama koreliacija tarp decentralizacijos ir korupcijos).</w:t>
      </w:r>
      <w:r>
        <w:rPr>
          <w:lang w:val="lt-LT" w:eastAsia="lt-LT"/>
        </w:rPr>
        <w:t xml:space="preserve"> </w:t>
      </w:r>
      <w:r w:rsidR="008864B1" w:rsidRPr="008864B1">
        <w:rPr>
          <w:lang w:val="lt-LT" w:eastAsia="lt-LT"/>
        </w:rPr>
        <w:t xml:space="preserve">Nagrinėjat </w:t>
      </w:r>
      <w:r w:rsidR="008864B1" w:rsidRPr="008864B1">
        <w:rPr>
          <w:lang w:val="lt-LT" w:eastAsia="lt-LT"/>
        </w:rPr>
        <w:lastRenderedPageBreak/>
        <w:t>decentralizaciją ir pajamų paskirstymą, galima teigti, kad fiskalinė decentralizacija</w:t>
      </w:r>
      <w:r>
        <w:rPr>
          <w:lang w:val="lt-LT" w:eastAsia="lt-LT"/>
        </w:rPr>
        <w:t xml:space="preserve"> </w:t>
      </w:r>
      <w:r w:rsidR="008864B1" w:rsidRPr="008864B1">
        <w:rPr>
          <w:lang w:val="lt-LT" w:eastAsia="lt-LT"/>
        </w:rPr>
        <w:t>gali padidinti savivaldybių teritorijų segregaciją ir netolygų pajamų pasiskirstymą tarp vietinių valdžių,</w:t>
      </w:r>
      <w:r>
        <w:rPr>
          <w:lang w:val="lt-LT" w:eastAsia="lt-LT"/>
        </w:rPr>
        <w:t xml:space="preserve"> </w:t>
      </w:r>
      <w:r w:rsidR="008864B1" w:rsidRPr="008864B1">
        <w:rPr>
          <w:lang w:val="lt-LT" w:eastAsia="lt-LT"/>
        </w:rPr>
        <w:t>tačiau taip pat pastebima ir privalumų pvz.: piliečiai gali imtis iniciatyvos ir labiau kontroliuoti</w:t>
      </w:r>
      <w:r>
        <w:rPr>
          <w:lang w:val="lt-LT" w:eastAsia="lt-LT"/>
        </w:rPr>
        <w:t xml:space="preserve"> </w:t>
      </w:r>
      <w:r w:rsidR="008864B1" w:rsidRPr="008864B1">
        <w:rPr>
          <w:lang w:val="lt-LT" w:eastAsia="lt-LT"/>
        </w:rPr>
        <w:t xml:space="preserve">valdžią. </w:t>
      </w:r>
    </w:p>
    <w:p w:rsidR="008864B1" w:rsidRPr="008864B1" w:rsidRDefault="00E4218B" w:rsidP="00AE7BDC">
      <w:pPr>
        <w:autoSpaceDE w:val="0"/>
        <w:autoSpaceDN w:val="0"/>
        <w:adjustRightInd w:val="0"/>
        <w:spacing w:line="360" w:lineRule="auto"/>
        <w:ind w:firstLine="720"/>
        <w:jc w:val="both"/>
        <w:rPr>
          <w:lang w:val="lt-LT" w:eastAsia="lt-LT"/>
        </w:rPr>
      </w:pPr>
      <w:r>
        <w:rPr>
          <w:lang w:val="lt-LT" w:eastAsia="lt-LT"/>
        </w:rPr>
        <w:t>F</w:t>
      </w:r>
      <w:r w:rsidR="008864B1" w:rsidRPr="008864B1">
        <w:rPr>
          <w:lang w:val="lt-LT" w:eastAsia="lt-LT"/>
        </w:rPr>
        <w:t>iskalinė</w:t>
      </w:r>
      <w:r w:rsidR="00AE7BDC">
        <w:rPr>
          <w:lang w:val="lt-LT" w:eastAsia="lt-LT"/>
        </w:rPr>
        <w:t xml:space="preserve"> </w:t>
      </w:r>
      <w:r w:rsidR="008864B1" w:rsidRPr="008864B1">
        <w:rPr>
          <w:lang w:val="lt-LT" w:eastAsia="lt-LT"/>
        </w:rPr>
        <w:t>decentralizac</w:t>
      </w:r>
      <w:r w:rsidR="00B15F51">
        <w:rPr>
          <w:lang w:val="lt-LT" w:eastAsia="lt-LT"/>
        </w:rPr>
        <w:t>ija šalies finansų sistemą daro</w:t>
      </w:r>
      <w:r w:rsidR="00B15F51" w:rsidRPr="00B15F51">
        <w:rPr>
          <w:color w:val="FFFFFF"/>
          <w:lang w:val="lt-LT" w:eastAsia="lt-LT"/>
        </w:rPr>
        <w:t>_</w:t>
      </w:r>
      <w:r w:rsidR="008864B1" w:rsidRPr="008864B1">
        <w:rPr>
          <w:lang w:val="lt-LT" w:eastAsia="lt-LT"/>
        </w:rPr>
        <w:t>lankstesnę, sudaro sąlygas subnacionaliniams valdymo</w:t>
      </w:r>
      <w:r w:rsidR="00AE7BDC">
        <w:rPr>
          <w:lang w:val="lt-LT" w:eastAsia="lt-LT"/>
        </w:rPr>
        <w:t xml:space="preserve"> </w:t>
      </w:r>
      <w:r w:rsidR="008864B1" w:rsidRPr="008864B1">
        <w:rPr>
          <w:lang w:val="lt-LT" w:eastAsia="lt-LT"/>
        </w:rPr>
        <w:t>subjektams spręsti ekonomines problemas neimant lėšų iš valstybės biudžeto. Tačiau pabrėžiamas ir</w:t>
      </w:r>
      <w:r w:rsidR="00AE7BDC">
        <w:rPr>
          <w:lang w:val="lt-LT" w:eastAsia="lt-LT"/>
        </w:rPr>
        <w:t xml:space="preserve"> </w:t>
      </w:r>
      <w:r w:rsidR="008864B1" w:rsidRPr="008864B1">
        <w:rPr>
          <w:lang w:val="lt-LT" w:eastAsia="lt-LT"/>
        </w:rPr>
        <w:t>decentralizacijos trūkumas – silpnėja valstybių makroekonominio manevringumo galimybės</w:t>
      </w:r>
      <w:r w:rsidR="00AE7BDC">
        <w:rPr>
          <w:lang w:val="lt-LT" w:eastAsia="lt-LT"/>
        </w:rPr>
        <w:t xml:space="preserve"> </w:t>
      </w:r>
      <w:r w:rsidR="008864B1" w:rsidRPr="008864B1">
        <w:rPr>
          <w:lang w:val="lt-LT" w:eastAsia="lt-LT"/>
        </w:rPr>
        <w:t>nacionaliniu lygiu, gali atsirasti netolygi regioninė plėtra.</w:t>
      </w:r>
      <w:r w:rsidR="00AE7BDC" w:rsidRPr="00AE7BDC">
        <w:rPr>
          <w:color w:val="FFFFFF"/>
          <w:lang w:val="lt-LT" w:eastAsia="lt-LT"/>
        </w:rPr>
        <w:t>_</w:t>
      </w:r>
      <w:r w:rsidR="008864B1" w:rsidRPr="008864B1">
        <w:rPr>
          <w:lang w:val="lt-LT" w:eastAsia="lt-LT"/>
        </w:rPr>
        <w:t>Analizuojant pateiktus privalumus ir trūkumas galima teigti, jog nėra vienintelio geriausio</w:t>
      </w:r>
      <w:r w:rsidR="00AE7BDC">
        <w:rPr>
          <w:lang w:val="lt-LT" w:eastAsia="lt-LT"/>
        </w:rPr>
        <w:t xml:space="preserve"> </w:t>
      </w:r>
      <w:r w:rsidR="008864B1" w:rsidRPr="008864B1">
        <w:rPr>
          <w:lang w:val="lt-LT" w:eastAsia="lt-LT"/>
        </w:rPr>
        <w:t>decentralizacijos ar centralizacijos modelio, tiesiog juos reikia proporcingai derinti. „Siekiant</w:t>
      </w:r>
      <w:r w:rsidR="00AE7BDC">
        <w:rPr>
          <w:lang w:val="lt-LT" w:eastAsia="lt-LT"/>
        </w:rPr>
        <w:t xml:space="preserve"> </w:t>
      </w:r>
      <w:r w:rsidR="008864B1" w:rsidRPr="008864B1">
        <w:rPr>
          <w:lang w:val="lt-LT" w:eastAsia="lt-LT"/>
        </w:rPr>
        <w:t>suformuoti demokratiškesnį ir didesniu visuomenės dalyvavimu pagrįstą valdymą, didinti valdžios</w:t>
      </w:r>
      <w:r w:rsidR="00AE7BDC">
        <w:rPr>
          <w:lang w:val="lt-LT" w:eastAsia="lt-LT"/>
        </w:rPr>
        <w:t xml:space="preserve"> </w:t>
      </w:r>
      <w:r w:rsidR="008864B1" w:rsidRPr="008864B1">
        <w:rPr>
          <w:lang w:val="lt-LT" w:eastAsia="lt-LT"/>
        </w:rPr>
        <w:t>atstovų atskaitomybę ir atsakomybę</w:t>
      </w:r>
      <w:r w:rsidR="00B15F51">
        <w:rPr>
          <w:lang w:val="lt-LT" w:eastAsia="lt-LT"/>
        </w:rPr>
        <w:t xml:space="preserve"> piliečiams, užtikrinti didesnį</w:t>
      </w:r>
      <w:r w:rsidR="00B15F51" w:rsidRPr="00B15F51">
        <w:rPr>
          <w:color w:val="FFFFFF"/>
          <w:lang w:val="lt-LT" w:eastAsia="lt-LT"/>
        </w:rPr>
        <w:t>-</w:t>
      </w:r>
      <w:r w:rsidR="008864B1" w:rsidRPr="008864B1">
        <w:rPr>
          <w:lang w:val="lt-LT" w:eastAsia="lt-LT"/>
        </w:rPr>
        <w:t>viešųjų gėrybių ir jų vartotojų</w:t>
      </w:r>
      <w:r w:rsidR="00AE7BDC">
        <w:rPr>
          <w:lang w:val="lt-LT" w:eastAsia="lt-LT"/>
        </w:rPr>
        <w:t xml:space="preserve"> </w:t>
      </w:r>
      <w:r w:rsidR="008864B1" w:rsidRPr="008864B1">
        <w:rPr>
          <w:lang w:val="lt-LT" w:eastAsia="lt-LT"/>
        </w:rPr>
        <w:t>poreikių adekvatumą bei išlaikyti aukštą makroekonominio stabilumo lygį šalyje, būtina atsižvelgiant į</w:t>
      </w:r>
      <w:r w:rsidR="00AE7BDC">
        <w:rPr>
          <w:lang w:val="lt-LT" w:eastAsia="lt-LT"/>
        </w:rPr>
        <w:t xml:space="preserve"> </w:t>
      </w:r>
      <w:r w:rsidR="008864B1" w:rsidRPr="008864B1">
        <w:rPr>
          <w:lang w:val="lt-LT" w:eastAsia="lt-LT"/>
        </w:rPr>
        <w:t>konkrečios šalies kontekstą ieškoti optimalaus centrali</w:t>
      </w:r>
      <w:r w:rsidR="004007A5">
        <w:rPr>
          <w:lang w:val="lt-LT" w:eastAsia="lt-LT"/>
        </w:rPr>
        <w:t>zavimo decentralizavimo derinio.</w:t>
      </w:r>
      <w:r w:rsidR="008864B1" w:rsidRPr="008864B1">
        <w:rPr>
          <w:lang w:val="lt-LT" w:eastAsia="lt-LT"/>
        </w:rPr>
        <w:t>“</w:t>
      </w:r>
      <w:r w:rsidR="00AE7BDC">
        <w:rPr>
          <w:lang w:val="lt-LT" w:eastAsia="lt-LT"/>
        </w:rPr>
        <w:t xml:space="preserve"> </w:t>
      </w:r>
      <w:r w:rsidR="008864B1" w:rsidRPr="008864B1">
        <w:rPr>
          <w:lang w:val="lt-LT" w:eastAsia="lt-LT"/>
        </w:rPr>
        <w:t>(Baltušnikienė, 2009, p. 87) Tokią nuomonę palaiko ir Raipa, Backūnaitė (2004) teigdami, kad</w:t>
      </w:r>
      <w:r w:rsidR="00AE7BDC">
        <w:rPr>
          <w:lang w:val="lt-LT" w:eastAsia="lt-LT"/>
        </w:rPr>
        <w:t xml:space="preserve"> </w:t>
      </w:r>
      <w:r w:rsidR="008864B1" w:rsidRPr="008864B1">
        <w:rPr>
          <w:lang w:val="lt-LT" w:eastAsia="lt-LT"/>
        </w:rPr>
        <w:t>„daugelyje valstybių tam tikras centralizacijos ir decentraliza</w:t>
      </w:r>
      <w:r w:rsidR="00B15F51">
        <w:rPr>
          <w:lang w:val="lt-LT" w:eastAsia="lt-LT"/>
        </w:rPr>
        <w:t>cijos balansas yra būtinas, kad</w:t>
      </w:r>
      <w:r w:rsidR="00B15F51" w:rsidRPr="00B15F51">
        <w:rPr>
          <w:color w:val="FFFFFF"/>
          <w:lang w:val="lt-LT" w:eastAsia="lt-LT"/>
        </w:rPr>
        <w:t>-</w:t>
      </w:r>
      <w:r w:rsidR="008864B1" w:rsidRPr="008864B1">
        <w:rPr>
          <w:lang w:val="lt-LT" w:eastAsia="lt-LT"/>
        </w:rPr>
        <w:t>valdžia</w:t>
      </w:r>
      <w:r w:rsidR="00AE7BDC">
        <w:rPr>
          <w:lang w:val="lt-LT" w:eastAsia="lt-LT"/>
        </w:rPr>
        <w:t xml:space="preserve"> </w:t>
      </w:r>
      <w:r w:rsidR="008864B1" w:rsidRPr="008864B1">
        <w:rPr>
          <w:lang w:val="lt-LT" w:eastAsia="lt-LT"/>
        </w:rPr>
        <w:t>funkcionuotų efektyviai.“ (p. 31)</w:t>
      </w:r>
      <w:r w:rsidR="00B15F51">
        <w:rPr>
          <w:lang w:val="lt-LT" w:eastAsia="lt-LT"/>
        </w:rPr>
        <w:t>.</w:t>
      </w:r>
    </w:p>
    <w:p w:rsidR="00240C9F" w:rsidRDefault="008864B1" w:rsidP="007F5077">
      <w:pPr>
        <w:autoSpaceDE w:val="0"/>
        <w:autoSpaceDN w:val="0"/>
        <w:adjustRightInd w:val="0"/>
        <w:spacing w:line="360" w:lineRule="auto"/>
        <w:ind w:firstLine="720"/>
        <w:jc w:val="both"/>
        <w:rPr>
          <w:lang w:val="lt-LT" w:eastAsia="lt-LT"/>
        </w:rPr>
      </w:pPr>
      <w:r w:rsidRPr="008864B1">
        <w:rPr>
          <w:lang w:val="lt-LT" w:eastAsia="lt-LT"/>
        </w:rPr>
        <w:t>Galima daryti išvadą, kad svarią vietą</w:t>
      </w:r>
      <w:r w:rsidR="00AE7BDC">
        <w:rPr>
          <w:lang w:val="lt-LT" w:eastAsia="lt-LT"/>
        </w:rPr>
        <w:t xml:space="preserve"> </w:t>
      </w:r>
      <w:r w:rsidRPr="008864B1">
        <w:rPr>
          <w:lang w:val="lt-LT" w:eastAsia="lt-LT"/>
        </w:rPr>
        <w:t>užima decentralizacija ir y</w:t>
      </w:r>
      <w:r w:rsidR="00E4218B">
        <w:rPr>
          <w:lang w:val="lt-LT" w:eastAsia="lt-LT"/>
        </w:rPr>
        <w:t>pač finansinių išteklių srityje, bet d</w:t>
      </w:r>
      <w:r w:rsidRPr="008864B1">
        <w:rPr>
          <w:lang w:val="lt-LT" w:eastAsia="lt-LT"/>
        </w:rPr>
        <w:t>augelis mokslininkų plačiai nagrinėjusių</w:t>
      </w:r>
      <w:r w:rsidR="00AE7BDC">
        <w:rPr>
          <w:lang w:val="lt-LT" w:eastAsia="lt-LT"/>
        </w:rPr>
        <w:t xml:space="preserve"> </w:t>
      </w:r>
      <w:r w:rsidRPr="008864B1">
        <w:rPr>
          <w:lang w:val="lt-LT" w:eastAsia="lt-LT"/>
        </w:rPr>
        <w:t>fiskalinės decentralizaci</w:t>
      </w:r>
      <w:r w:rsidR="00E4218B">
        <w:rPr>
          <w:lang w:val="lt-LT" w:eastAsia="lt-LT"/>
        </w:rPr>
        <w:t xml:space="preserve">jos privalumus ir trūkumus juos </w:t>
      </w:r>
      <w:r w:rsidRPr="008864B1">
        <w:rPr>
          <w:lang w:val="lt-LT" w:eastAsia="lt-LT"/>
        </w:rPr>
        <w:t>skirtingai vertina, tačiau sutaria,</w:t>
      </w:r>
      <w:r w:rsidR="00AE7BDC">
        <w:rPr>
          <w:lang w:val="lt-LT" w:eastAsia="lt-LT"/>
        </w:rPr>
        <w:t xml:space="preserve"> kad </w:t>
      </w:r>
      <w:r w:rsidRPr="008864B1">
        <w:rPr>
          <w:lang w:val="lt-LT" w:eastAsia="lt-LT"/>
        </w:rPr>
        <w:t>kuriant vykdomosios vald</w:t>
      </w:r>
      <w:r w:rsidR="00E4218B">
        <w:rPr>
          <w:lang w:val="lt-LT" w:eastAsia="lt-LT"/>
        </w:rPr>
        <w:t xml:space="preserve">žios institucijų sistemą būtina </w:t>
      </w:r>
      <w:r w:rsidRPr="008864B1">
        <w:rPr>
          <w:lang w:val="lt-LT" w:eastAsia="lt-LT"/>
        </w:rPr>
        <w:t>protingai ir apgalvotai taikyti</w:t>
      </w:r>
      <w:r w:rsidR="00AE7BDC">
        <w:rPr>
          <w:lang w:val="lt-LT" w:eastAsia="lt-LT"/>
        </w:rPr>
        <w:t xml:space="preserve"> </w:t>
      </w:r>
      <w:r w:rsidRPr="008864B1">
        <w:rPr>
          <w:lang w:val="lt-LT" w:eastAsia="lt-LT"/>
        </w:rPr>
        <w:t>decentralizaciją. Jei tai atliekama racionaliai,</w:t>
      </w:r>
      <w:r w:rsidR="00E4218B">
        <w:rPr>
          <w:lang w:val="lt-LT" w:eastAsia="lt-LT"/>
        </w:rPr>
        <w:t xml:space="preserve"> </w:t>
      </w:r>
      <w:r w:rsidRPr="008864B1">
        <w:rPr>
          <w:lang w:val="lt-LT" w:eastAsia="lt-LT"/>
        </w:rPr>
        <w:t>decentralizacija gali smarkiai padidinti valstybės finansų našumą ir efektyvumą, tačiau jei fiskalinė</w:t>
      </w:r>
      <w:r w:rsidR="00E4218B">
        <w:rPr>
          <w:lang w:val="lt-LT" w:eastAsia="lt-LT"/>
        </w:rPr>
        <w:t xml:space="preserve"> </w:t>
      </w:r>
      <w:r w:rsidRPr="008864B1">
        <w:rPr>
          <w:lang w:val="lt-LT" w:eastAsia="lt-LT"/>
        </w:rPr>
        <w:t>decentralizacija suprojektuojama ir įgyvendinama netinkamai, ji gali duoti priešingus rezultatus.</w:t>
      </w:r>
    </w:p>
    <w:p w:rsidR="00C100B5" w:rsidRDefault="00C100B5" w:rsidP="00133835">
      <w:pPr>
        <w:autoSpaceDE w:val="0"/>
        <w:autoSpaceDN w:val="0"/>
        <w:adjustRightInd w:val="0"/>
        <w:spacing w:line="360" w:lineRule="auto"/>
        <w:ind w:firstLine="720"/>
        <w:jc w:val="both"/>
        <w:rPr>
          <w:lang w:val="lt-LT"/>
        </w:rPr>
      </w:pPr>
      <w:r>
        <w:t xml:space="preserve">Decentralizacijos tendencija yra būdinga demokratijai, o demokratinės institucijos pripažįsta laisvės ir savivaldos siekius kaip labai svarbius. </w:t>
      </w:r>
      <w:r w:rsidR="00574EA3">
        <w:t xml:space="preserve">Tai ypač akcentuoja Vakarų demokratijos šalys. Demokratinių principų plėtra Europos šalyse lemia vis didesnę viešųjų reikalų dalį priskiriant vietos savivaldos </w:t>
      </w:r>
      <w:r w:rsidR="00855841">
        <w:t>institucijoms kartu didinant jų</w:t>
      </w:r>
      <w:r w:rsidR="00855841" w:rsidRPr="00855841">
        <w:rPr>
          <w:color w:val="FFFFFF" w:themeColor="background1"/>
        </w:rPr>
        <w:t>_</w:t>
      </w:r>
      <w:r w:rsidR="00574EA3">
        <w:t xml:space="preserve">svarbą valstybės valdyme (Davulis, 2006). </w:t>
      </w:r>
      <w:r>
        <w:t>Vietos savivaldybių institucijos, kontroliuodamos ir valdydamos dalį visuomeninių reikalų, riboja valstybinės valdžios galią ir yra vienas pagrindinių bet kurios demokratijos elementų, todėl savivaldybių institucijų įteisinimas ir stiprinimas šalyse padeda kurti visuomenę, pagrįsta demokratijos ir valdžios decentralizacijos principais. Po 1990 metų kovo 11</w:t>
      </w:r>
      <w:r w:rsidR="00EC18F9">
        <w:t xml:space="preserve"> </w:t>
      </w:r>
      <w:r>
        <w:t>d. akto, atkūrusio Lietuvos valstybės suverenių galių vykdymą, politiniai pertvarkimai palietė ir vietos savivaldą. Imta kurti nepriklausomą demokratinę respubliką, todėl Lietuvos Respublikos Konstitucijos nuostatomis, priimti svarb</w:t>
      </w:r>
      <w:r w:rsidR="007F5077">
        <w:t>iausi įstatymai, reguliuojantys</w:t>
      </w:r>
      <w:r w:rsidR="007F5077" w:rsidRPr="007F5077">
        <w:rPr>
          <w:color w:val="FFFFFF" w:themeColor="background1"/>
        </w:rPr>
        <w:t>_</w:t>
      </w:r>
      <w:r>
        <w:t>vietos savivaldybių institucijų organizavimą ir jų funkcionavimą.</w:t>
      </w:r>
      <w:r w:rsidR="007F5077">
        <w:t xml:space="preserve"> </w:t>
      </w:r>
      <w:r>
        <w:t>Šitame rašto darbe</w:t>
      </w:r>
      <w:r w:rsidR="00EE3408">
        <w:t xml:space="preserve"> apie vietos savivaldą </w:t>
      </w:r>
      <w:r>
        <w:t xml:space="preserve"> pradėsiu</w:t>
      </w:r>
      <w:r w:rsidR="00EE3408">
        <w:t xml:space="preserve"> </w:t>
      </w:r>
      <w:r>
        <w:t xml:space="preserve"> nuo </w:t>
      </w:r>
      <w:r>
        <w:lastRenderedPageBreak/>
        <w:t>vietos savivaldos sampratos api</w:t>
      </w:r>
      <w:r w:rsidR="00EE3408">
        <w:t xml:space="preserve">brėžimo, </w:t>
      </w:r>
      <w:r>
        <w:t>Lietuvos Respublikos įstatymais pagrįstų</w:t>
      </w:r>
      <w:r w:rsidR="00EE3408">
        <w:t xml:space="preserve"> principų apie vietos savivaldą ir jos vietą ES kontekste.</w:t>
      </w:r>
    </w:p>
    <w:p w:rsidR="00E34B7C" w:rsidRDefault="00E34B7C" w:rsidP="00855841">
      <w:pPr>
        <w:autoSpaceDE w:val="0"/>
        <w:autoSpaceDN w:val="0"/>
        <w:adjustRightInd w:val="0"/>
        <w:spacing w:line="360" w:lineRule="auto"/>
        <w:ind w:firstLine="720"/>
        <w:jc w:val="both"/>
        <w:rPr>
          <w:lang w:val="lt-LT"/>
        </w:rPr>
      </w:pPr>
      <w:r>
        <w:rPr>
          <w:lang w:val="lt-LT"/>
        </w:rPr>
        <w:t>Decentralizacijos plėtojimas ir savivaldybių finansinio savarankiškumo didinimas yra glaudžiai susiję</w:t>
      </w:r>
      <w:r w:rsidR="00BB7CCE">
        <w:rPr>
          <w:lang w:val="lt-LT"/>
        </w:rPr>
        <w:t>s su regioninės plėtros politikos</w:t>
      </w:r>
      <w:r>
        <w:rPr>
          <w:lang w:val="lt-LT"/>
        </w:rPr>
        <w:t xml:space="preserve"> savivaldos lygmeniu. Jei savivaldybės turi daugiau teisių, o kartu ir savarankiškumo formuojant vietinius biudžetus, jos gali tinkamai įgyvendinti regiono ir savivaldos socialinės ir ekonominės plėtros planus. Kuo didesnis vietinės valdžios finansinis priklausomumas nuo centrinės valdžios, tuo mažesnė vietinės valdžios įtaka formuojant regioninę politiką. </w:t>
      </w:r>
    </w:p>
    <w:p w:rsidR="00E34B7C" w:rsidRPr="005F41B8" w:rsidRDefault="00E34B7C" w:rsidP="00452D18">
      <w:pPr>
        <w:autoSpaceDE w:val="0"/>
        <w:autoSpaceDN w:val="0"/>
        <w:adjustRightInd w:val="0"/>
        <w:spacing w:line="360" w:lineRule="auto"/>
        <w:jc w:val="both"/>
        <w:rPr>
          <w:lang w:val="lt-LT"/>
        </w:rPr>
      </w:pPr>
      <w:r>
        <w:rPr>
          <w:lang w:val="lt-LT"/>
        </w:rPr>
        <w:tab/>
      </w:r>
      <w:r w:rsidR="003C50A0">
        <w:rPr>
          <w:lang w:val="lt-LT"/>
        </w:rPr>
        <w:t>Norint įvertinti Lietuvos fiskalinės decentralizacijos</w:t>
      </w:r>
      <w:r w:rsidR="00BB7CCE">
        <w:rPr>
          <w:lang w:val="lt-LT"/>
        </w:rPr>
        <w:t xml:space="preserve"> esamą padėtį Europos Sąjungos kontekste</w:t>
      </w:r>
      <w:r w:rsidR="003C50A0">
        <w:rPr>
          <w:lang w:val="lt-LT"/>
        </w:rPr>
        <w:t xml:space="preserve"> </w:t>
      </w:r>
      <w:r w:rsidR="00BB7CCE">
        <w:rPr>
          <w:lang w:val="lt-LT"/>
        </w:rPr>
        <w:t>būtina apžvelgti</w:t>
      </w:r>
      <w:r w:rsidR="00291BCB">
        <w:rPr>
          <w:lang w:val="lt-LT"/>
        </w:rPr>
        <w:t xml:space="preserve"> Lietuvos vietos </w:t>
      </w:r>
      <w:r w:rsidR="00BB7CCE">
        <w:rPr>
          <w:lang w:val="lt-LT"/>
        </w:rPr>
        <w:t>savivaldos raidą</w:t>
      </w:r>
      <w:r w:rsidR="003C50A0">
        <w:rPr>
          <w:lang w:val="lt-LT"/>
        </w:rPr>
        <w:t>, teisin</w:t>
      </w:r>
      <w:r w:rsidR="00BB7CCE">
        <w:rPr>
          <w:lang w:val="lt-LT"/>
        </w:rPr>
        <w:t>ę bazę</w:t>
      </w:r>
      <w:r w:rsidR="003C50A0">
        <w:rPr>
          <w:lang w:val="lt-LT"/>
        </w:rPr>
        <w:t xml:space="preserve"> </w:t>
      </w:r>
      <w:r w:rsidR="00BB7CCE">
        <w:rPr>
          <w:lang w:val="lt-LT"/>
        </w:rPr>
        <w:t>ir finansavimo normatyvus</w:t>
      </w:r>
      <w:r w:rsidR="003C50A0">
        <w:rPr>
          <w:lang w:val="lt-LT"/>
        </w:rPr>
        <w:t xml:space="preserve"> fiskalinės decentralizacijos atžvilgiu. </w:t>
      </w:r>
    </w:p>
    <w:p w:rsidR="00890528" w:rsidRDefault="00890528" w:rsidP="00780066">
      <w:pPr>
        <w:autoSpaceDE w:val="0"/>
        <w:autoSpaceDN w:val="0"/>
        <w:adjustRightInd w:val="0"/>
        <w:spacing w:line="360" w:lineRule="auto"/>
        <w:jc w:val="center"/>
        <w:rPr>
          <w:b/>
          <w:lang w:val="lt-LT"/>
        </w:rPr>
      </w:pPr>
    </w:p>
    <w:p w:rsidR="00890528" w:rsidRDefault="00890528" w:rsidP="00780066">
      <w:pPr>
        <w:autoSpaceDE w:val="0"/>
        <w:autoSpaceDN w:val="0"/>
        <w:adjustRightInd w:val="0"/>
        <w:spacing w:line="360" w:lineRule="auto"/>
        <w:jc w:val="center"/>
        <w:rPr>
          <w:b/>
          <w:lang w:val="lt-LT"/>
        </w:rPr>
      </w:pPr>
    </w:p>
    <w:p w:rsidR="00890528" w:rsidRDefault="00890528" w:rsidP="00780066">
      <w:pPr>
        <w:autoSpaceDE w:val="0"/>
        <w:autoSpaceDN w:val="0"/>
        <w:adjustRightInd w:val="0"/>
        <w:spacing w:line="360" w:lineRule="auto"/>
        <w:jc w:val="center"/>
        <w:rPr>
          <w:b/>
          <w:lang w:val="lt-LT"/>
        </w:rPr>
      </w:pPr>
    </w:p>
    <w:p w:rsidR="00890528" w:rsidRDefault="00890528" w:rsidP="00780066">
      <w:pPr>
        <w:autoSpaceDE w:val="0"/>
        <w:autoSpaceDN w:val="0"/>
        <w:adjustRightInd w:val="0"/>
        <w:spacing w:line="360" w:lineRule="auto"/>
        <w:jc w:val="center"/>
        <w:rPr>
          <w:b/>
          <w:lang w:val="lt-LT"/>
        </w:rPr>
      </w:pPr>
    </w:p>
    <w:p w:rsidR="00890528" w:rsidRDefault="00890528" w:rsidP="00780066">
      <w:pPr>
        <w:autoSpaceDE w:val="0"/>
        <w:autoSpaceDN w:val="0"/>
        <w:adjustRightInd w:val="0"/>
        <w:spacing w:line="360" w:lineRule="auto"/>
        <w:jc w:val="center"/>
        <w:rPr>
          <w:b/>
          <w:lang w:val="lt-LT"/>
        </w:rPr>
      </w:pPr>
    </w:p>
    <w:p w:rsidR="00890528" w:rsidRDefault="00890528" w:rsidP="00780066">
      <w:pPr>
        <w:autoSpaceDE w:val="0"/>
        <w:autoSpaceDN w:val="0"/>
        <w:adjustRightInd w:val="0"/>
        <w:spacing w:line="360" w:lineRule="auto"/>
        <w:jc w:val="center"/>
        <w:rPr>
          <w:b/>
          <w:lang w:val="lt-LT"/>
        </w:rPr>
      </w:pPr>
    </w:p>
    <w:p w:rsidR="00890528" w:rsidRDefault="00890528" w:rsidP="00780066">
      <w:pPr>
        <w:autoSpaceDE w:val="0"/>
        <w:autoSpaceDN w:val="0"/>
        <w:adjustRightInd w:val="0"/>
        <w:spacing w:line="360" w:lineRule="auto"/>
        <w:jc w:val="center"/>
        <w:rPr>
          <w:b/>
          <w:lang w:val="lt-LT"/>
        </w:rPr>
      </w:pPr>
    </w:p>
    <w:p w:rsidR="00890528" w:rsidRDefault="00890528" w:rsidP="00780066">
      <w:pPr>
        <w:autoSpaceDE w:val="0"/>
        <w:autoSpaceDN w:val="0"/>
        <w:adjustRightInd w:val="0"/>
        <w:spacing w:line="360" w:lineRule="auto"/>
        <w:jc w:val="center"/>
        <w:rPr>
          <w:b/>
          <w:lang w:val="lt-LT"/>
        </w:rPr>
      </w:pPr>
    </w:p>
    <w:p w:rsidR="00890528" w:rsidRDefault="00890528" w:rsidP="00780066">
      <w:pPr>
        <w:autoSpaceDE w:val="0"/>
        <w:autoSpaceDN w:val="0"/>
        <w:adjustRightInd w:val="0"/>
        <w:spacing w:line="360" w:lineRule="auto"/>
        <w:jc w:val="center"/>
        <w:rPr>
          <w:b/>
          <w:lang w:val="lt-LT"/>
        </w:rPr>
      </w:pPr>
    </w:p>
    <w:p w:rsidR="00890528" w:rsidRDefault="00890528" w:rsidP="00780066">
      <w:pPr>
        <w:autoSpaceDE w:val="0"/>
        <w:autoSpaceDN w:val="0"/>
        <w:adjustRightInd w:val="0"/>
        <w:spacing w:line="360" w:lineRule="auto"/>
        <w:jc w:val="center"/>
        <w:rPr>
          <w:b/>
          <w:lang w:val="lt-LT"/>
        </w:rPr>
      </w:pPr>
    </w:p>
    <w:p w:rsidR="00890528" w:rsidRDefault="00890528" w:rsidP="00780066">
      <w:pPr>
        <w:autoSpaceDE w:val="0"/>
        <w:autoSpaceDN w:val="0"/>
        <w:adjustRightInd w:val="0"/>
        <w:spacing w:line="360" w:lineRule="auto"/>
        <w:jc w:val="center"/>
        <w:rPr>
          <w:b/>
          <w:lang w:val="lt-LT"/>
        </w:rPr>
      </w:pPr>
    </w:p>
    <w:p w:rsidR="00890528" w:rsidRDefault="00890528" w:rsidP="00780066">
      <w:pPr>
        <w:autoSpaceDE w:val="0"/>
        <w:autoSpaceDN w:val="0"/>
        <w:adjustRightInd w:val="0"/>
        <w:spacing w:line="360" w:lineRule="auto"/>
        <w:jc w:val="center"/>
        <w:rPr>
          <w:b/>
          <w:lang w:val="lt-LT"/>
        </w:rPr>
      </w:pPr>
    </w:p>
    <w:p w:rsidR="00890528" w:rsidRDefault="00890528" w:rsidP="00780066">
      <w:pPr>
        <w:autoSpaceDE w:val="0"/>
        <w:autoSpaceDN w:val="0"/>
        <w:adjustRightInd w:val="0"/>
        <w:spacing w:line="360" w:lineRule="auto"/>
        <w:jc w:val="center"/>
        <w:rPr>
          <w:b/>
          <w:lang w:val="lt-LT"/>
        </w:rPr>
      </w:pPr>
    </w:p>
    <w:p w:rsidR="00890528" w:rsidRDefault="00890528" w:rsidP="00780066">
      <w:pPr>
        <w:autoSpaceDE w:val="0"/>
        <w:autoSpaceDN w:val="0"/>
        <w:adjustRightInd w:val="0"/>
        <w:spacing w:line="360" w:lineRule="auto"/>
        <w:jc w:val="center"/>
        <w:rPr>
          <w:b/>
          <w:lang w:val="lt-LT"/>
        </w:rPr>
      </w:pPr>
    </w:p>
    <w:p w:rsidR="00890528" w:rsidRDefault="00890528" w:rsidP="00780066">
      <w:pPr>
        <w:autoSpaceDE w:val="0"/>
        <w:autoSpaceDN w:val="0"/>
        <w:adjustRightInd w:val="0"/>
        <w:spacing w:line="360" w:lineRule="auto"/>
        <w:jc w:val="center"/>
        <w:rPr>
          <w:b/>
          <w:lang w:val="lt-LT"/>
        </w:rPr>
      </w:pPr>
    </w:p>
    <w:p w:rsidR="00890528" w:rsidRDefault="00890528" w:rsidP="00780066">
      <w:pPr>
        <w:autoSpaceDE w:val="0"/>
        <w:autoSpaceDN w:val="0"/>
        <w:adjustRightInd w:val="0"/>
        <w:spacing w:line="360" w:lineRule="auto"/>
        <w:jc w:val="center"/>
        <w:rPr>
          <w:b/>
          <w:lang w:val="lt-LT"/>
        </w:rPr>
      </w:pPr>
    </w:p>
    <w:p w:rsidR="00890528" w:rsidRDefault="00890528" w:rsidP="00780066">
      <w:pPr>
        <w:autoSpaceDE w:val="0"/>
        <w:autoSpaceDN w:val="0"/>
        <w:adjustRightInd w:val="0"/>
        <w:spacing w:line="360" w:lineRule="auto"/>
        <w:jc w:val="center"/>
        <w:rPr>
          <w:b/>
          <w:lang w:val="lt-LT"/>
        </w:rPr>
      </w:pPr>
    </w:p>
    <w:p w:rsidR="00890528" w:rsidRDefault="00890528" w:rsidP="00780066">
      <w:pPr>
        <w:autoSpaceDE w:val="0"/>
        <w:autoSpaceDN w:val="0"/>
        <w:adjustRightInd w:val="0"/>
        <w:spacing w:line="360" w:lineRule="auto"/>
        <w:jc w:val="center"/>
        <w:rPr>
          <w:b/>
          <w:lang w:val="lt-LT"/>
        </w:rPr>
      </w:pPr>
    </w:p>
    <w:p w:rsidR="00890528" w:rsidRDefault="00890528" w:rsidP="00780066">
      <w:pPr>
        <w:autoSpaceDE w:val="0"/>
        <w:autoSpaceDN w:val="0"/>
        <w:adjustRightInd w:val="0"/>
        <w:spacing w:line="360" w:lineRule="auto"/>
        <w:jc w:val="center"/>
        <w:rPr>
          <w:b/>
          <w:lang w:val="lt-LT"/>
        </w:rPr>
      </w:pPr>
    </w:p>
    <w:p w:rsidR="00890528" w:rsidRDefault="00890528" w:rsidP="00780066">
      <w:pPr>
        <w:autoSpaceDE w:val="0"/>
        <w:autoSpaceDN w:val="0"/>
        <w:adjustRightInd w:val="0"/>
        <w:spacing w:line="360" w:lineRule="auto"/>
        <w:jc w:val="center"/>
        <w:rPr>
          <w:b/>
          <w:lang w:val="lt-LT"/>
        </w:rPr>
      </w:pPr>
    </w:p>
    <w:p w:rsidR="00890528" w:rsidRDefault="00890528" w:rsidP="00780066">
      <w:pPr>
        <w:autoSpaceDE w:val="0"/>
        <w:autoSpaceDN w:val="0"/>
        <w:adjustRightInd w:val="0"/>
        <w:spacing w:line="360" w:lineRule="auto"/>
        <w:jc w:val="center"/>
        <w:rPr>
          <w:b/>
          <w:lang w:val="lt-LT"/>
        </w:rPr>
      </w:pPr>
    </w:p>
    <w:p w:rsidR="00890528" w:rsidRDefault="00890528" w:rsidP="00A204BB">
      <w:pPr>
        <w:autoSpaceDE w:val="0"/>
        <w:autoSpaceDN w:val="0"/>
        <w:adjustRightInd w:val="0"/>
        <w:spacing w:line="360" w:lineRule="auto"/>
        <w:rPr>
          <w:b/>
          <w:lang w:val="lt-LT"/>
        </w:rPr>
      </w:pPr>
    </w:p>
    <w:p w:rsidR="00780066" w:rsidRDefault="00890528" w:rsidP="00894044">
      <w:pPr>
        <w:pStyle w:val="Heading1"/>
        <w:jc w:val="center"/>
      </w:pPr>
      <w:bookmarkStart w:id="18" w:name="_Toc385249526"/>
      <w:r>
        <w:lastRenderedPageBreak/>
        <w:t>2. V</w:t>
      </w:r>
      <w:r w:rsidR="00894044">
        <w:t>IETOS SAVIVALDA FISKALINIO DECENTRALIZAVIMO ASPEKTU</w:t>
      </w:r>
      <w:bookmarkEnd w:id="18"/>
    </w:p>
    <w:p w:rsidR="00894044" w:rsidRDefault="00894044" w:rsidP="00894044"/>
    <w:p w:rsidR="00894044" w:rsidRPr="00894044" w:rsidRDefault="00894044" w:rsidP="00894044">
      <w:pPr>
        <w:pStyle w:val="Heading2"/>
        <w:jc w:val="center"/>
      </w:pPr>
      <w:bookmarkStart w:id="19" w:name="_Toc385249527"/>
      <w:r>
        <w:t>2.1. Vietos savivalda Lietuvoje</w:t>
      </w:r>
      <w:bookmarkEnd w:id="19"/>
    </w:p>
    <w:p w:rsidR="00DC2E8B" w:rsidRDefault="00DC2E8B" w:rsidP="00D13152">
      <w:pPr>
        <w:ind w:firstLine="562"/>
        <w:rPr>
          <w:rStyle w:val="fontstyle148"/>
          <w:sz w:val="22"/>
          <w:szCs w:val="22"/>
        </w:rPr>
      </w:pPr>
    </w:p>
    <w:p w:rsidR="00890528" w:rsidRDefault="00890528" w:rsidP="00D13152">
      <w:pPr>
        <w:ind w:firstLine="562"/>
        <w:rPr>
          <w:rStyle w:val="fontstyle148"/>
          <w:sz w:val="22"/>
          <w:szCs w:val="22"/>
        </w:rPr>
      </w:pPr>
    </w:p>
    <w:p w:rsidR="007B7E46" w:rsidRDefault="00DC2E8B" w:rsidP="004A1A97">
      <w:pPr>
        <w:spacing w:line="360" w:lineRule="auto"/>
        <w:ind w:firstLine="562"/>
        <w:jc w:val="both"/>
      </w:pPr>
      <w:r>
        <w:t>Tiek Lietuvoje, tiek kitose Vakarų Europos valstybėse ankstyvaisiais viduramžiais egzistavo centrinė valdžia ir bendruomenė. XVII a. atsirado teorijos, kurios skelbė, kad vietos bendruomenė yra senesnė už valstybę ir kad tokia bendruomenė turi teisę spręsti savo reikalus nepriklausomai nuo centrinės valdžios. Tad aišku, jog tai, ką mes dabar vadiname vietos valdžia (savivalda), anksčiau buvo tiesiog bendruomenė.</w:t>
      </w:r>
      <w:r w:rsidR="003C50A0">
        <w:t xml:space="preserve"> </w:t>
      </w:r>
      <w:r w:rsidR="007B7E46" w:rsidRPr="004A1A97">
        <w:t xml:space="preserve">Pradedant nagrinėti fiskalinę decentralizaciją Lietuvoje, būtina aptarti savivaldybių </w:t>
      </w:r>
      <w:r w:rsidR="003C50A0">
        <w:t>sampratą.</w:t>
      </w:r>
      <w:r w:rsidR="004A1A97">
        <w:t>.</w:t>
      </w:r>
    </w:p>
    <w:p w:rsidR="00585445" w:rsidRDefault="004A1A97" w:rsidP="004A1A97">
      <w:pPr>
        <w:spacing w:line="360" w:lineRule="auto"/>
        <w:ind w:firstLine="562"/>
        <w:jc w:val="both"/>
      </w:pPr>
      <w:r>
        <w:t>Astrausko</w:t>
      </w:r>
      <w:r w:rsidR="00207418">
        <w:t xml:space="preserve"> (2011)</w:t>
      </w:r>
      <w:r>
        <w:t xml:space="preserve"> </w:t>
      </w:r>
      <w:r w:rsidR="007B7E46" w:rsidRPr="007B7E46">
        <w:t>pastebėjimu, visuose šiuo metu galiojančiuose teisės aktuose savivaldybės apibrėžimas yra pateikiamas skirtingai (žr.</w:t>
      </w:r>
      <w:r w:rsidR="00207418">
        <w:t xml:space="preserve"> 4</w:t>
      </w:r>
      <w:r w:rsidR="007B7E46" w:rsidRPr="007B7E46">
        <w:t xml:space="preserve"> lent.) ir tai „rodo, kad nėra vieno požiūrio į šį sudėtingą politinį socialinį fenomeną</w:t>
      </w:r>
      <w:r w:rsidR="00207418">
        <w:t>.”</w:t>
      </w:r>
    </w:p>
    <w:p w:rsidR="004A1A97" w:rsidRDefault="004A1A97" w:rsidP="00307606">
      <w:pPr>
        <w:pStyle w:val="Heading5"/>
      </w:pPr>
    </w:p>
    <w:p w:rsidR="00585445" w:rsidRPr="00585445" w:rsidRDefault="00890528" w:rsidP="00307606">
      <w:pPr>
        <w:pStyle w:val="Heading5"/>
      </w:pPr>
      <w:bookmarkStart w:id="20" w:name="_Toc385242649"/>
      <w:bookmarkStart w:id="21" w:name="_Toc385432937"/>
      <w:r>
        <w:t xml:space="preserve">4 </w:t>
      </w:r>
      <w:r w:rsidR="006A2D3C">
        <w:t xml:space="preserve">lentelė. </w:t>
      </w:r>
      <w:r w:rsidR="00585445" w:rsidRPr="00585445">
        <w:t>Savivaldybės apibrėžimai Lietuvos Respublikos teisės aktuose</w:t>
      </w:r>
      <w:bookmarkEnd w:id="20"/>
      <w:bookmarkEnd w:id="21"/>
    </w:p>
    <w:p w:rsidR="00585445" w:rsidRDefault="00585445" w:rsidP="006673BC">
      <w:pPr>
        <w:pStyle w:val="ListParagraph"/>
        <w:spacing w:line="360" w:lineRule="auto"/>
        <w:ind w:left="1417"/>
      </w:pPr>
    </w:p>
    <w:tbl>
      <w:tblPr>
        <w:tblStyle w:val="Table3Deffects2"/>
        <w:tblW w:w="0" w:type="auto"/>
        <w:tblLook w:val="04A0" w:firstRow="1" w:lastRow="0" w:firstColumn="1" w:lastColumn="0" w:noHBand="0" w:noVBand="1"/>
      </w:tblPr>
      <w:tblGrid>
        <w:gridCol w:w="4878"/>
        <w:gridCol w:w="4878"/>
      </w:tblGrid>
      <w:tr w:rsidR="00EA79F1" w:rsidRPr="00585445" w:rsidTr="0030760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8" w:type="dxa"/>
          </w:tcPr>
          <w:p w:rsidR="00EA79F1" w:rsidRPr="00585445" w:rsidRDefault="00EA79F1" w:rsidP="00EA79F1">
            <w:pPr>
              <w:jc w:val="center"/>
              <w:rPr>
                <w:sz w:val="20"/>
                <w:szCs w:val="20"/>
              </w:rPr>
            </w:pPr>
            <w:r w:rsidRPr="00585445">
              <w:rPr>
                <w:sz w:val="20"/>
                <w:szCs w:val="20"/>
              </w:rPr>
              <w:t>Teisės aktas</w:t>
            </w:r>
          </w:p>
        </w:tc>
        <w:tc>
          <w:tcPr>
            <w:tcW w:w="4878" w:type="dxa"/>
          </w:tcPr>
          <w:p w:rsidR="00EA79F1" w:rsidRPr="00585445" w:rsidRDefault="00EA79F1" w:rsidP="00D13152">
            <w:pPr>
              <w:cnfStyle w:val="100000000000" w:firstRow="1" w:lastRow="0" w:firstColumn="0" w:lastColumn="0" w:oddVBand="0" w:evenVBand="0" w:oddHBand="0" w:evenHBand="0" w:firstRowFirstColumn="0" w:firstRowLastColumn="0" w:lastRowFirstColumn="0" w:lastRowLastColumn="0"/>
              <w:rPr>
                <w:sz w:val="20"/>
                <w:szCs w:val="20"/>
              </w:rPr>
            </w:pPr>
            <w:r w:rsidRPr="00585445">
              <w:rPr>
                <w:sz w:val="20"/>
                <w:szCs w:val="20"/>
              </w:rPr>
              <w:t>Savivaldyb</w:t>
            </w:r>
            <w:r w:rsidRPr="00585445">
              <w:rPr>
                <w:sz w:val="20"/>
                <w:szCs w:val="20"/>
                <w:lang w:val="lt-LT"/>
              </w:rPr>
              <w:t>ės a</w:t>
            </w:r>
            <w:r w:rsidRPr="00585445">
              <w:rPr>
                <w:sz w:val="20"/>
                <w:szCs w:val="20"/>
              </w:rPr>
              <w:t>pibrėžimas</w:t>
            </w:r>
          </w:p>
        </w:tc>
      </w:tr>
      <w:tr w:rsidR="00EA79F1" w:rsidRPr="00585445" w:rsidTr="003076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8" w:type="dxa"/>
          </w:tcPr>
          <w:p w:rsidR="00EA79F1" w:rsidRPr="00585445" w:rsidRDefault="00EA79F1" w:rsidP="00D13152">
            <w:pPr>
              <w:rPr>
                <w:sz w:val="20"/>
                <w:szCs w:val="20"/>
              </w:rPr>
            </w:pPr>
            <w:r w:rsidRPr="00585445">
              <w:rPr>
                <w:sz w:val="20"/>
                <w:szCs w:val="20"/>
              </w:rPr>
              <w:t>LR konstitucinio teismo 2002 m. gruo</w:t>
            </w:r>
            <w:r w:rsidRPr="00585445">
              <w:rPr>
                <w:sz w:val="20"/>
                <w:szCs w:val="20"/>
                <w:lang w:val="lt-LT"/>
              </w:rPr>
              <w:t xml:space="preserve">džio </w:t>
            </w:r>
            <w:r w:rsidRPr="00585445">
              <w:rPr>
                <w:sz w:val="20"/>
                <w:szCs w:val="20"/>
              </w:rPr>
              <w:t>24 d. nutarimas</w:t>
            </w:r>
          </w:p>
        </w:tc>
        <w:tc>
          <w:tcPr>
            <w:tcW w:w="4878" w:type="dxa"/>
          </w:tcPr>
          <w:p w:rsidR="00EA79F1" w:rsidRPr="00585445" w:rsidRDefault="00EA79F1" w:rsidP="004007A5">
            <w:pPr>
              <w:jc w:val="both"/>
              <w:cnfStyle w:val="000000100000" w:firstRow="0" w:lastRow="0" w:firstColumn="0" w:lastColumn="0" w:oddVBand="0" w:evenVBand="0" w:oddHBand="1" w:evenHBand="0" w:firstRowFirstColumn="0" w:firstRowLastColumn="0" w:lastRowFirstColumn="0" w:lastRowLastColumn="0"/>
              <w:rPr>
                <w:sz w:val="20"/>
                <w:szCs w:val="20"/>
              </w:rPr>
            </w:pPr>
            <w:r w:rsidRPr="00585445">
              <w:rPr>
                <w:sz w:val="20"/>
                <w:szCs w:val="20"/>
              </w:rPr>
              <w:t>Tai įstatymu numatyto valstybės teritorijos administracinio vieneto bendruomenė</w:t>
            </w:r>
            <w:r w:rsidR="00585445" w:rsidRPr="00585445">
              <w:rPr>
                <w:sz w:val="20"/>
                <w:szCs w:val="20"/>
              </w:rPr>
              <w:t>, turinti Konstitucijos laiduotą savivaldos teisę.</w:t>
            </w:r>
          </w:p>
        </w:tc>
      </w:tr>
      <w:tr w:rsidR="00EA79F1" w:rsidRPr="00585445" w:rsidTr="00307606">
        <w:tc>
          <w:tcPr>
            <w:cnfStyle w:val="001000000000" w:firstRow="0" w:lastRow="0" w:firstColumn="1" w:lastColumn="0" w:oddVBand="0" w:evenVBand="0" w:oddHBand="0" w:evenHBand="0" w:firstRowFirstColumn="0" w:firstRowLastColumn="0" w:lastRowFirstColumn="0" w:lastRowLastColumn="0"/>
            <w:tcW w:w="4878" w:type="dxa"/>
          </w:tcPr>
          <w:p w:rsidR="00EA79F1" w:rsidRPr="00585445" w:rsidRDefault="00585445" w:rsidP="00D13152">
            <w:pPr>
              <w:rPr>
                <w:sz w:val="20"/>
                <w:szCs w:val="20"/>
              </w:rPr>
            </w:pPr>
            <w:r w:rsidRPr="00585445">
              <w:rPr>
                <w:sz w:val="20"/>
                <w:szCs w:val="20"/>
              </w:rPr>
              <w:t>Lietuvos teritorijos administracinių vienetų ir jų ribų įstatymas (1994-07-12)</w:t>
            </w:r>
          </w:p>
        </w:tc>
        <w:tc>
          <w:tcPr>
            <w:tcW w:w="4878" w:type="dxa"/>
          </w:tcPr>
          <w:p w:rsidR="00EA79F1" w:rsidRPr="00585445" w:rsidRDefault="00585445" w:rsidP="004007A5">
            <w:pPr>
              <w:jc w:val="both"/>
              <w:cnfStyle w:val="000000000000" w:firstRow="0" w:lastRow="0" w:firstColumn="0" w:lastColumn="0" w:oddVBand="0" w:evenVBand="0" w:oddHBand="0" w:evenHBand="0" w:firstRowFirstColumn="0" w:firstRowLastColumn="0" w:lastRowFirstColumn="0" w:lastRowLastColumn="0"/>
              <w:rPr>
                <w:sz w:val="20"/>
                <w:szCs w:val="20"/>
                <w:lang w:val="lt-LT"/>
              </w:rPr>
            </w:pPr>
            <w:r w:rsidRPr="00585445">
              <w:rPr>
                <w:sz w:val="20"/>
                <w:szCs w:val="20"/>
              </w:rPr>
              <w:t>Tai LR teritorijos administracinis vienetas, kur</w:t>
            </w:r>
            <w:r w:rsidRPr="00585445">
              <w:rPr>
                <w:sz w:val="20"/>
                <w:szCs w:val="20"/>
                <w:lang w:val="lt-LT"/>
              </w:rPr>
              <w:t>į valdo jo gyventojų bendruomenės išrinktos savivaldos institucijos pagal LR Vietos savivaldos ir kt. įstatymus</w:t>
            </w:r>
          </w:p>
        </w:tc>
      </w:tr>
      <w:tr w:rsidR="00EA79F1" w:rsidRPr="00585445" w:rsidTr="003076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8" w:type="dxa"/>
          </w:tcPr>
          <w:p w:rsidR="00EA79F1" w:rsidRPr="00585445" w:rsidRDefault="00585445" w:rsidP="00D13152">
            <w:pPr>
              <w:rPr>
                <w:sz w:val="20"/>
                <w:szCs w:val="20"/>
              </w:rPr>
            </w:pPr>
            <w:r w:rsidRPr="00585445">
              <w:rPr>
                <w:sz w:val="20"/>
                <w:szCs w:val="20"/>
              </w:rPr>
              <w:t>Vietos savivaldos įstatymas (red. 2008-09-15)</w:t>
            </w:r>
          </w:p>
        </w:tc>
        <w:tc>
          <w:tcPr>
            <w:tcW w:w="4878" w:type="dxa"/>
          </w:tcPr>
          <w:p w:rsidR="00EA79F1" w:rsidRPr="00585445" w:rsidRDefault="00585445" w:rsidP="004007A5">
            <w:pPr>
              <w:jc w:val="both"/>
              <w:cnfStyle w:val="000000100000" w:firstRow="0" w:lastRow="0" w:firstColumn="0" w:lastColumn="0" w:oddVBand="0" w:evenVBand="0" w:oddHBand="1" w:evenHBand="0" w:firstRowFirstColumn="0" w:firstRowLastColumn="0" w:lastRowFirstColumn="0" w:lastRowLastColumn="0"/>
              <w:rPr>
                <w:sz w:val="20"/>
                <w:szCs w:val="20"/>
              </w:rPr>
            </w:pPr>
            <w:r w:rsidRPr="00585445">
              <w:rPr>
                <w:sz w:val="20"/>
                <w:szCs w:val="20"/>
              </w:rPr>
              <w:t>Tai įstatymo numatytas valstybės teritorijos administracinis vienetas, kurio bendruomenė turi Konstitucijos laiduotą savivaldos teisę, įgyvendinamą per to valstybės teritorijos administracinio vieneto nuolatinių gyventojų išrinktą savivaldybės tarybą ir jos sudarytas, jai atskaitingas vykdomąją bei kitas savivaldybės institucijas ir įstaigas. Savivaldybė yra viešasis juridinis asmuo.</w:t>
            </w:r>
          </w:p>
        </w:tc>
      </w:tr>
    </w:tbl>
    <w:p w:rsidR="006673BC" w:rsidRPr="00A61292" w:rsidRDefault="00A61292" w:rsidP="00A61292">
      <w:pPr>
        <w:rPr>
          <w:sz w:val="20"/>
        </w:rPr>
      </w:pPr>
      <w:r w:rsidRPr="00A61292">
        <w:rPr>
          <w:b/>
          <w:sz w:val="20"/>
        </w:rPr>
        <w:t>Šaltinis:</w:t>
      </w:r>
      <w:r w:rsidRPr="00A61292">
        <w:rPr>
          <w:sz w:val="20"/>
        </w:rPr>
        <w:t xml:space="preserve"> sudaryta pagal Astrauską, 2011, 294 psl.</w:t>
      </w:r>
    </w:p>
    <w:p w:rsidR="00A61292" w:rsidRDefault="00A61292" w:rsidP="006673BC">
      <w:pPr>
        <w:spacing w:line="360" w:lineRule="auto"/>
        <w:ind w:firstLine="562"/>
      </w:pPr>
    </w:p>
    <w:p w:rsidR="007B7E46" w:rsidRPr="006673BC" w:rsidRDefault="003A30EE" w:rsidP="00A61292">
      <w:pPr>
        <w:spacing w:line="360" w:lineRule="auto"/>
        <w:ind w:firstLine="562"/>
        <w:jc w:val="both"/>
      </w:pPr>
      <w:r w:rsidRPr="006673BC">
        <w:t>Visuose teisės aktuose apibrėžimo pagrindą sudaro frazė „valstybės teritorijos administ</w:t>
      </w:r>
      <w:r w:rsidR="00A61292">
        <w:t>racinis vienetas", kurią galima</w:t>
      </w:r>
      <w:r w:rsidR="00A61292" w:rsidRPr="00A61292">
        <w:rPr>
          <w:color w:val="FFFFFF" w:themeColor="background1"/>
        </w:rPr>
        <w:t>_</w:t>
      </w:r>
      <w:r w:rsidRPr="006673BC">
        <w:t>laikyti p</w:t>
      </w:r>
      <w:r w:rsidR="00A61292">
        <w:t xml:space="preserve">agrindiniu savivaldybės požymiu </w:t>
      </w:r>
      <w:r w:rsidRPr="006673BC">
        <w:t>(apibrėžta teritorija).</w:t>
      </w:r>
    </w:p>
    <w:p w:rsidR="003A30EE" w:rsidRPr="006673BC" w:rsidRDefault="003A30EE" w:rsidP="004007A5">
      <w:pPr>
        <w:spacing w:line="360" w:lineRule="auto"/>
        <w:ind w:firstLine="562"/>
        <w:jc w:val="both"/>
      </w:pPr>
      <w:r w:rsidRPr="006673BC">
        <w:t>Analizuodamas vietos savivaldos ir savivaldybės apibrėžimų tur</w:t>
      </w:r>
      <w:r w:rsidR="00A61292">
        <w:t xml:space="preserve">inį A. Astrauskas </w:t>
      </w:r>
      <w:r w:rsidR="00890528">
        <w:t xml:space="preserve">(2011) </w:t>
      </w:r>
      <w:r w:rsidRPr="006673BC">
        <w:t xml:space="preserve"> pabrėžė, kad „vi</w:t>
      </w:r>
      <w:r w:rsidR="00A61292">
        <w:t>e</w:t>
      </w:r>
      <w:r w:rsidR="00890528">
        <w:t>tos savivalda turi daug „veidų”:</w:t>
      </w:r>
    </w:p>
    <w:p w:rsidR="003A30EE" w:rsidRPr="006673BC" w:rsidRDefault="003A30EE" w:rsidP="004007A5">
      <w:pPr>
        <w:pStyle w:val="ListParagraph"/>
        <w:numPr>
          <w:ilvl w:val="0"/>
          <w:numId w:val="5"/>
        </w:numPr>
        <w:spacing w:line="360" w:lineRule="auto"/>
        <w:jc w:val="both"/>
      </w:pPr>
      <w:r w:rsidRPr="006673BC">
        <w:t>tai ir valstybės teritorijos administracinio vieneto nuolatinių gyventojų bendruomenei laiduota savivaldos teisė;</w:t>
      </w:r>
    </w:p>
    <w:p w:rsidR="003A30EE" w:rsidRPr="006673BC" w:rsidRDefault="003A30EE" w:rsidP="00CC565B">
      <w:pPr>
        <w:pStyle w:val="ListParagraph"/>
        <w:numPr>
          <w:ilvl w:val="0"/>
          <w:numId w:val="5"/>
        </w:numPr>
        <w:spacing w:line="360" w:lineRule="auto"/>
        <w:jc w:val="both"/>
      </w:pPr>
      <w:r w:rsidRPr="006673BC">
        <w:lastRenderedPageBreak/>
        <w:t>tai ir valstybės teritorijos administracinio vieneto nuolatinių gyventojų bendruomenės, kuri turi Konstitucijos laiduotą savivaldos teisę, savitvarka ir savaveiksmiškumas;</w:t>
      </w:r>
    </w:p>
    <w:p w:rsidR="003A30EE" w:rsidRPr="006673BC" w:rsidRDefault="003A30EE" w:rsidP="00CC565B">
      <w:pPr>
        <w:pStyle w:val="ListParagraph"/>
        <w:numPr>
          <w:ilvl w:val="0"/>
          <w:numId w:val="5"/>
        </w:numPr>
        <w:spacing w:line="360" w:lineRule="auto"/>
        <w:jc w:val="both"/>
      </w:pPr>
      <w:r w:rsidRPr="006673BC">
        <w:t>tai ir teritorinių bendruomenių valdžia, kuri nėra tiesiogiai pavaldi valstybės valdžiai;</w:t>
      </w:r>
    </w:p>
    <w:p w:rsidR="003A30EE" w:rsidRPr="006673BC" w:rsidRDefault="003A30EE" w:rsidP="00CC565B">
      <w:pPr>
        <w:pStyle w:val="ListParagraph"/>
        <w:numPr>
          <w:ilvl w:val="0"/>
          <w:numId w:val="5"/>
        </w:numPr>
        <w:spacing w:line="360" w:lineRule="auto"/>
        <w:jc w:val="both"/>
      </w:pPr>
      <w:r w:rsidRPr="006673BC">
        <w:t>tai ir vietinė viešojo administravimo sistema, funkcionuojanti kitais nei valstybės valdžia teisiniais pagrindais;</w:t>
      </w:r>
    </w:p>
    <w:p w:rsidR="003A30EE" w:rsidRDefault="003A30EE" w:rsidP="00CC565B">
      <w:pPr>
        <w:pStyle w:val="ListParagraph"/>
        <w:numPr>
          <w:ilvl w:val="0"/>
          <w:numId w:val="5"/>
        </w:numPr>
        <w:spacing w:line="360" w:lineRule="auto"/>
      </w:pPr>
      <w:r w:rsidRPr="006673BC">
        <w:t>tai ir specifinė Valstybės Tautai priklausančio suvereniteto pasireiškimo forma ir t.t.</w:t>
      </w:r>
    </w:p>
    <w:p w:rsidR="00D352C7" w:rsidRPr="006673BC" w:rsidRDefault="00A61292" w:rsidP="00A61292">
      <w:pPr>
        <w:spacing w:line="360" w:lineRule="auto"/>
        <w:ind w:firstLine="562"/>
        <w:jc w:val="both"/>
      </w:pPr>
      <w:r>
        <w:t>Tirdami Lietuvos</w:t>
      </w:r>
      <w:r w:rsidRPr="00A61292">
        <w:rPr>
          <w:color w:val="FFFFFF" w:themeColor="background1"/>
        </w:rPr>
        <w:t>_</w:t>
      </w:r>
      <w:r w:rsidR="00D352C7" w:rsidRPr="00D352C7">
        <w:t>politinę sistemą, A. Krupavičius ir A. Lukošaitis</w:t>
      </w:r>
      <w:r w:rsidR="00807CBF">
        <w:t xml:space="preserve"> (2004)</w:t>
      </w:r>
      <w:r w:rsidR="00D352C7" w:rsidRPr="00D352C7">
        <w:t xml:space="preserve"> aiškiai išskyrė vietos savivaldos ir savivaldybės sąvokų esmę ir skirtumus: vietos savivalda - tai teisė laisvai ir savarankiškai tvarkytis, o savivaldybė - tai valstybės teritorijos administracinis vienetas, turintis šią teisę.</w:t>
      </w:r>
    </w:p>
    <w:p w:rsidR="00D352C7" w:rsidRPr="006673BC" w:rsidRDefault="003A30EE" w:rsidP="0018099A">
      <w:pPr>
        <w:spacing w:line="360" w:lineRule="auto"/>
        <w:ind w:firstLine="562"/>
        <w:jc w:val="both"/>
      </w:pPr>
      <w:r w:rsidRPr="006673BC">
        <w:t>Apibendrinant visus apibrėžimus, galima teigti kad “vietos savivalda - tai savivaldybės bendruomenės ir jos išrinktų atstovų bei jų suformuotų ir kontroliuojamų viešojo administravimo institucijų teisė ir galia savarankiškai tvarkyti ir valdyti bendruomenės viešuosius r</w:t>
      </w:r>
      <w:r w:rsidR="00A61292">
        <w:t>eikalus" (Lazdynas, 2005</w:t>
      </w:r>
      <w:r w:rsidRPr="006673BC">
        <w:t>).</w:t>
      </w:r>
    </w:p>
    <w:p w:rsidR="0018099A" w:rsidRDefault="00890528" w:rsidP="00890528">
      <w:pPr>
        <w:pStyle w:val="Heading3"/>
        <w:rPr>
          <w:lang w:val="lt-LT"/>
        </w:rPr>
      </w:pPr>
      <w:bookmarkStart w:id="22" w:name="_Toc385249528"/>
      <w:r>
        <w:t>2.1.1. Lietuvos savivaldyb</w:t>
      </w:r>
      <w:r>
        <w:rPr>
          <w:lang w:val="lt-LT"/>
        </w:rPr>
        <w:t>ės raida</w:t>
      </w:r>
      <w:r w:rsidR="00894044">
        <w:rPr>
          <w:lang w:val="lt-LT"/>
        </w:rPr>
        <w:t xml:space="preserve"> ir teisinis reglamentavimas</w:t>
      </w:r>
      <w:bookmarkEnd w:id="22"/>
    </w:p>
    <w:p w:rsidR="00890528" w:rsidRPr="00890528" w:rsidRDefault="00890528" w:rsidP="00890528">
      <w:pPr>
        <w:rPr>
          <w:lang w:val="lt-LT"/>
        </w:rPr>
      </w:pPr>
    </w:p>
    <w:p w:rsidR="00DB76F6" w:rsidRDefault="00DB76F6" w:rsidP="0018099A">
      <w:pPr>
        <w:spacing w:line="360" w:lineRule="auto"/>
        <w:ind w:firstLine="562"/>
        <w:jc w:val="both"/>
      </w:pPr>
      <w:r>
        <w:rPr>
          <w:b/>
        </w:rPr>
        <w:t xml:space="preserve"> </w:t>
      </w:r>
      <w:r>
        <w:rPr>
          <w:lang w:val="lt-LT"/>
        </w:rPr>
        <w:t>Norint suprasti esamą Lietuvos savivaldybių fiskalinį vaidme</w:t>
      </w:r>
      <w:r w:rsidR="0018099A">
        <w:rPr>
          <w:lang w:val="lt-LT"/>
        </w:rPr>
        <w:t xml:space="preserve">nį valstybėje, būtina apžvelgti </w:t>
      </w:r>
      <w:r w:rsidR="008960D6">
        <w:rPr>
          <w:lang w:val="lt-LT"/>
        </w:rPr>
        <w:t>savivaldybių raidą ne</w:t>
      </w:r>
      <w:r w:rsidR="0018099A">
        <w:rPr>
          <w:lang w:val="lt-LT"/>
        </w:rPr>
        <w:t>priklausomoje</w:t>
      </w:r>
      <w:r w:rsidR="0018099A" w:rsidRPr="0018099A">
        <w:rPr>
          <w:color w:val="FFFFFF" w:themeColor="background1"/>
          <w:lang w:val="lt-LT"/>
        </w:rPr>
        <w:t>_</w:t>
      </w:r>
      <w:r w:rsidR="008960D6">
        <w:rPr>
          <w:lang w:val="lt-LT"/>
        </w:rPr>
        <w:t>Lietuvoje</w:t>
      </w:r>
      <w:r>
        <w:rPr>
          <w:lang w:val="lt-LT"/>
        </w:rPr>
        <w:t>.</w:t>
      </w:r>
    </w:p>
    <w:p w:rsidR="00F428A8" w:rsidRDefault="00F428A8" w:rsidP="0018099A">
      <w:pPr>
        <w:spacing w:line="360" w:lineRule="auto"/>
        <w:ind w:firstLine="562"/>
        <w:jc w:val="both"/>
      </w:pPr>
      <w:r>
        <w:t>Po nepriklausomybės atgavimo iškilo būtinybė reformuoti teritorinį administracinį susiskirstymą, įtvirtinti naujas vietinės savivaldos institucija ir paskirstyti centrines bei vietines funkcijas, nes sovietinė sistema vietos saviva</w:t>
      </w:r>
      <w:r w:rsidR="0018099A">
        <w:t>ldos instituto nepripažino,</w:t>
      </w:r>
      <w:r w:rsidR="0018099A" w:rsidRPr="0018099A">
        <w:rPr>
          <w:color w:val="FFFFFF" w:themeColor="background1"/>
        </w:rPr>
        <w:t>_</w:t>
      </w:r>
      <w:r>
        <w:t>kadangi rėmėsi</w:t>
      </w:r>
      <w:r w:rsidR="0018099A">
        <w:t xml:space="preserve"> valdžios centralizmo principu.</w:t>
      </w:r>
    </w:p>
    <w:p w:rsidR="00F428A8" w:rsidRDefault="00F428A8" w:rsidP="0018099A">
      <w:pPr>
        <w:spacing w:line="360" w:lineRule="auto"/>
        <w:ind w:firstLine="562"/>
        <w:jc w:val="both"/>
      </w:pPr>
      <w:r>
        <w:t>Nuo 1990 m. Lietuvoje įsigali demokratinė politinė santvarka, kuri iš esmės pakeičia visą politinę sistemą. Jau 1990 m. vasario 12 d. Vietos savivaldos pagrindų įstatymas nustatė naują vietinės valdžios sistemą Lietuvoje: tai iš esmės nauja žemesniųjų valdymo lygių raida, decentralizacija ir žemesniųjų administravimo struktūrų savarankiškumas. Tai reiškė valstybės valdžios ir vietos savivaldos atskyrimą, nors kurį laiką išliko sovietinis administracinis teritorinis suskirstymas: 44 rajonai, 12 respublikos miestų, 80 rajonų miestų, 19 miesto tipo gyvenviečių ir 427 apylinkės. 1990 m. nustatytos dvi savivaldybių pakopos.</w:t>
      </w:r>
    </w:p>
    <w:p w:rsidR="00F428A8" w:rsidRDefault="00F428A8" w:rsidP="0018099A">
      <w:pPr>
        <w:spacing w:line="360" w:lineRule="auto"/>
        <w:ind w:firstLine="562"/>
        <w:jc w:val="both"/>
      </w:pPr>
      <w:r>
        <w:t>Esminiam lūžiui vietos savivaldos sistemoje davė LR Konst</w:t>
      </w:r>
      <w:r w:rsidR="008960D6">
        <w:t xml:space="preserve">itucijos priėmimas 1992 metais spalio 25 d. </w:t>
      </w:r>
      <w:r>
        <w:t xml:space="preserve">Konstitucijoje vietos savivaldai buvo skirti 6 straipsniai. Konstitucinės normos dėl vietos savivaldos buvo rengiamos atsižvelgiant ir į Europos Vietos savivaldos chartijos nuostatas bei reikalavimus. Konstitucijos priėmimas davė pagrindą iš esmės keisti teisinę sistemą, reglamentavusią vietos savivaldą Lietuvoje. Remiantis Vakarų demokratinių valstybių patirtimi buvo parengti ir priimti naujo tipo įstatymai: "Vyriausybės atstovo įstatymas", skirtas reglamentuoti savivaldos institucijų veiklos teisinės </w:t>
      </w:r>
      <w:r>
        <w:lastRenderedPageBreak/>
        <w:t>priežiūros tvarką; Vietos savivaldos įstatymas, Savivaldybių tarybų rinkimų įstatymas ir Lietuvos Respublikos teritorijos administracinių vienetų ir jų ribų įstatymas, Apskrities valdymo. Šios reformos rezultatas: buvo įkurta 10 apskričių, buvę LR pavaldumo miestai bei rajonai tapo savivaldybėmis, panaikintos apylinkės kaip administraciniai vienetai, pirmą kartą Lietuvoje buvo nustatyta tik vieno lygio vietos savivaldybių sistema. Nauji įstatymai nustatė bendrą miestų ir rajonų savivaldos institucijų organizavimo ir veiklos tvarką. Taip buvo sudaromos tokios pat savivaldos institucijos, joms nustatoma vienoda kompetencija visose šalies savivaldybėse ir sostinėje, ir d</w:t>
      </w:r>
      <w:r w:rsidR="008960D6">
        <w:t>idžiuosiuose Lietuvos miestuose.</w:t>
      </w:r>
    </w:p>
    <w:p w:rsidR="00807CBF" w:rsidRDefault="00F428A8" w:rsidP="00807CBF">
      <w:pPr>
        <w:spacing w:line="360" w:lineRule="auto"/>
        <w:ind w:firstLine="562"/>
        <w:jc w:val="both"/>
      </w:pPr>
      <w:r>
        <w:t>Vietos savivaldos įstatymas nustatė naują savivaldos institucijų organizavimo tvarką; savivaldos institucijų kompetenciją padalino į savarankiškąją ir valstybės deleguotąją, nustatydama ir skirtingą savivaldos institucijų savarankiškumo ir atsakomybės laipsnį, ją įgyvendinant; įstatymu numatytas vietos savivaldos ekonominis pagrindas - savivaldybių nuosavybė.</w:t>
      </w:r>
      <w:r w:rsidR="00807CBF">
        <w:t xml:space="preserve"> </w:t>
      </w:r>
    </w:p>
    <w:p w:rsidR="00737BB7" w:rsidRDefault="00737BB7" w:rsidP="00807CBF">
      <w:pPr>
        <w:spacing w:line="360" w:lineRule="auto"/>
        <w:ind w:firstLine="562"/>
        <w:jc w:val="both"/>
      </w:pPr>
      <w:proofErr w:type="gramStart"/>
      <w:r>
        <w:t>Vietos savivaldą Lietuvoje reglamentuoja Lietuvos Respublikos Konstitu</w:t>
      </w:r>
      <w:r w:rsidR="0018099A">
        <w:t xml:space="preserve">cija, Vietos savivaldos ir kiti </w:t>
      </w:r>
      <w:r>
        <w:t>įstatymai, paren</w:t>
      </w:r>
      <w:r w:rsidR="00ED4EDE">
        <w:t>gti įgyvendinant Konstitucijos dešimto</w:t>
      </w:r>
      <w:r w:rsidR="000852CC">
        <w:t xml:space="preserve"> skirsnio nuostatas.</w:t>
      </w:r>
      <w:proofErr w:type="gramEnd"/>
      <w:r w:rsidR="000852CC">
        <w:t xml:space="preserve"> </w:t>
      </w:r>
      <w:r>
        <w:t>Pagrindinės normos, reglamentuojančios savivaldybių ve</w:t>
      </w:r>
      <w:r w:rsidR="00ED4EDE">
        <w:t>iklą, nustatytos Konstitucijos de</w:t>
      </w:r>
      <w:r w:rsidR="00ED4EDE">
        <w:rPr>
          <w:lang w:val="lt-LT"/>
        </w:rPr>
        <w:t>šimtame</w:t>
      </w:r>
      <w:r>
        <w:t xml:space="preserve"> skirsnyje "Vietos savivalda ir valdymas":</w:t>
      </w:r>
    </w:p>
    <w:p w:rsidR="00737BB7" w:rsidRDefault="00737BB7" w:rsidP="00CC565B">
      <w:pPr>
        <w:numPr>
          <w:ilvl w:val="0"/>
          <w:numId w:val="6"/>
        </w:numPr>
        <w:spacing w:line="360" w:lineRule="auto"/>
        <w:jc w:val="both"/>
      </w:pPr>
      <w:r>
        <w:t>savivaldos teisė laiduojama įstatymo numatytiems valstybės teritorijos administraciniams vienetams ir įgyvendinama per savivaldybių tarybas;</w:t>
      </w:r>
    </w:p>
    <w:p w:rsidR="00737BB7" w:rsidRDefault="00737BB7" w:rsidP="00CC565B">
      <w:pPr>
        <w:numPr>
          <w:ilvl w:val="0"/>
          <w:numId w:val="6"/>
        </w:numPr>
        <w:spacing w:line="360" w:lineRule="auto"/>
        <w:jc w:val="both"/>
      </w:pPr>
      <w:r>
        <w:t>savivaldybės pagal Konstitucijos ir įstatymų apibrėžtą kompetenciją veikia laisvai ir savarankiškai;</w:t>
      </w:r>
    </w:p>
    <w:p w:rsidR="00737BB7" w:rsidRDefault="00737BB7" w:rsidP="00CC565B">
      <w:pPr>
        <w:numPr>
          <w:ilvl w:val="0"/>
          <w:numId w:val="6"/>
        </w:numPr>
        <w:spacing w:line="360" w:lineRule="auto"/>
        <w:jc w:val="both"/>
      </w:pPr>
      <w:r>
        <w:t>savivaldybės sudaro ir tvirtina savo biudžetą;</w:t>
      </w:r>
    </w:p>
    <w:p w:rsidR="00737BB7" w:rsidRDefault="00737BB7" w:rsidP="00CC565B">
      <w:pPr>
        <w:numPr>
          <w:ilvl w:val="0"/>
          <w:numId w:val="6"/>
        </w:numPr>
        <w:spacing w:line="360" w:lineRule="auto"/>
        <w:jc w:val="both"/>
      </w:pPr>
      <w:r>
        <w:t>savivaldybių tarybos turi teisę įstatymo numatytose ribose ir tvarka nustatyti vietines rinkliavas, savo biudžeto sąskaita numatyti mokesčių bei rinkliavų lengvatas;</w:t>
      </w:r>
    </w:p>
    <w:p w:rsidR="00737BB7" w:rsidRDefault="00737BB7" w:rsidP="00CC565B">
      <w:pPr>
        <w:numPr>
          <w:ilvl w:val="0"/>
          <w:numId w:val="6"/>
        </w:numPr>
        <w:spacing w:line="360" w:lineRule="auto"/>
        <w:jc w:val="both"/>
      </w:pPr>
      <w:r>
        <w:t>savivaldybių tarybos dėl jų teisių pažeidimo turi teisę kreiptis į teismą;</w:t>
      </w:r>
    </w:p>
    <w:p w:rsidR="00ED4EDE" w:rsidRDefault="00737BB7" w:rsidP="00CC565B">
      <w:pPr>
        <w:numPr>
          <w:ilvl w:val="0"/>
          <w:numId w:val="6"/>
        </w:numPr>
        <w:spacing w:line="360" w:lineRule="auto"/>
        <w:jc w:val="both"/>
      </w:pPr>
      <w:r>
        <w:t>savivaldybės gali įsigyti nuosavybėn ne žemės ūkio paskirties žemės sklypų, reikalingų jų tiesioginei veiklai skirtiems pastatams statyti bei eksploatuoti (47 str.).</w:t>
      </w:r>
    </w:p>
    <w:p w:rsidR="00737BB7" w:rsidRDefault="009C0D7B" w:rsidP="00ED4EDE">
      <w:pPr>
        <w:spacing w:line="360" w:lineRule="auto"/>
        <w:ind w:firstLine="567"/>
        <w:jc w:val="both"/>
      </w:pPr>
      <w:r>
        <w:t>Lietuvos savivaldos teisę garantuoja ne tik LR Konstitucija, bet ir kiti įstatymai: Savivaldybių tarybų rinkimų įstatymas, Lietuvos Respublikos teritorijos administracinių vienetų ir jų ribų įstatymas ir kt. Savivaldybių ekonominius klausimus reglamentuoja: Biudžetinės sandaros įstatymas,Savivaldybių biudžetų pajamų nustatymo metodikos įstatymas,</w:t>
      </w:r>
      <w:r w:rsidR="00865D54">
        <w:t xml:space="preserve"> </w:t>
      </w:r>
      <w:r>
        <w:t>Savivaldybių biudžetų pajamų dydį ir išlyginimą lemiančių rodikli</w:t>
      </w:r>
      <w:r w:rsidR="00865D54">
        <w:t>ų tvirtinimo metams įstatymas,</w:t>
      </w:r>
      <w:r>
        <w:t>Valstybės ir savivaldybių t</w:t>
      </w:r>
      <w:r w:rsidR="00865D54">
        <w:t xml:space="preserve">urto privatizavimo įstatymas, </w:t>
      </w:r>
      <w:r>
        <w:t>Valstybės turto perdavimo savivaldybių nuosavybėn įstatymas ir kt.</w:t>
      </w:r>
    </w:p>
    <w:p w:rsidR="00737BB7" w:rsidRDefault="00737BB7" w:rsidP="0018099A">
      <w:pPr>
        <w:pStyle w:val="NormalWeb"/>
        <w:spacing w:before="0" w:beforeAutospacing="0" w:after="0" w:afterAutospacing="0" w:line="360" w:lineRule="auto"/>
        <w:ind w:firstLine="360"/>
        <w:jc w:val="both"/>
      </w:pPr>
      <w:r>
        <w:t>Pagrindinis vietos savivaldą reglamentuojantis įstatymas - Vietos savivaldos į</w:t>
      </w:r>
      <w:r w:rsidR="000852CC">
        <w:t xml:space="preserve">statymas. Šis įstatymas nustato </w:t>
      </w:r>
      <w:r>
        <w:t>savivaldybių institucijų sudarymo ir veiklos tvarką įgyvendinant Lietuvos Respublikos Konstitucijos ir Europos vietos savivaldos</w:t>
      </w:r>
      <w:r w:rsidR="00ED4EDE">
        <w:t xml:space="preserve"> chartijos nuostatas, apibrėžia</w:t>
      </w:r>
      <w:r w:rsidR="00ED4EDE" w:rsidRPr="00ED4EDE">
        <w:rPr>
          <w:color w:val="FFFFFF" w:themeColor="background1"/>
        </w:rPr>
        <w:t>_</w:t>
      </w:r>
      <w:r>
        <w:t xml:space="preserve">vietos savivaldos principus, </w:t>
      </w:r>
      <w:r>
        <w:lastRenderedPageBreak/>
        <w:t xml:space="preserve">savivaldybių institucijas, jų įgaliojimus ir funkcijas, savivaldybės tarybos nario statusą, savivaldybių ūkinės ir finansinės veiklos pagrindus. </w:t>
      </w:r>
    </w:p>
    <w:p w:rsidR="00737BB7" w:rsidRDefault="002D3F6B" w:rsidP="0018099A">
      <w:pPr>
        <w:pStyle w:val="NormalWeb"/>
        <w:spacing w:before="0" w:beforeAutospacing="0" w:after="0" w:afterAutospacing="0" w:line="360" w:lineRule="auto"/>
        <w:ind w:firstLine="360"/>
        <w:jc w:val="both"/>
      </w:pPr>
      <w:r>
        <w:t xml:space="preserve">Norint suprasti savivaldybių savarankiškumo lygį svarbu išskirti </w:t>
      </w:r>
      <w:r w:rsidR="002F64EF">
        <w:t xml:space="preserve">vietos savivaldos principus. </w:t>
      </w:r>
      <w:r w:rsidR="00207418">
        <w:t>Penktoje l</w:t>
      </w:r>
      <w:r w:rsidR="002F64EF">
        <w:t>entelėje matyti kuo grindžiama vietos savivalda.</w:t>
      </w:r>
    </w:p>
    <w:p w:rsidR="00953B18" w:rsidRPr="00953B18" w:rsidRDefault="00207418" w:rsidP="00307606">
      <w:pPr>
        <w:pStyle w:val="Heading5"/>
      </w:pPr>
      <w:bookmarkStart w:id="23" w:name="_Toc385242650"/>
      <w:bookmarkStart w:id="24" w:name="_Toc385432938"/>
      <w:r>
        <w:t xml:space="preserve">5 </w:t>
      </w:r>
      <w:r w:rsidR="00ED4EDE" w:rsidRPr="00ED4EDE">
        <w:t xml:space="preserve">lentelė. </w:t>
      </w:r>
      <w:r w:rsidR="00953B18" w:rsidRPr="00ED4EDE">
        <w:t>Vietos</w:t>
      </w:r>
      <w:r w:rsidR="00953B18" w:rsidRPr="00953B18">
        <w:t xml:space="preserve"> savivaldos principai</w:t>
      </w:r>
      <w:bookmarkEnd w:id="23"/>
      <w:bookmarkEnd w:id="24"/>
    </w:p>
    <w:tbl>
      <w:tblPr>
        <w:tblStyle w:val="Table3Deffects2"/>
        <w:tblW w:w="0" w:type="auto"/>
        <w:tblLook w:val="04A0" w:firstRow="1" w:lastRow="0" w:firstColumn="1" w:lastColumn="0" w:noHBand="0" w:noVBand="1"/>
      </w:tblPr>
      <w:tblGrid>
        <w:gridCol w:w="9756"/>
      </w:tblGrid>
      <w:tr w:rsidR="002F64EF" w:rsidTr="0030760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56" w:type="dxa"/>
          </w:tcPr>
          <w:p w:rsidR="002F64EF" w:rsidRPr="00807CBF" w:rsidRDefault="002F64EF" w:rsidP="00CC565B">
            <w:pPr>
              <w:pStyle w:val="NormalWeb"/>
              <w:numPr>
                <w:ilvl w:val="0"/>
                <w:numId w:val="10"/>
              </w:numPr>
              <w:spacing w:before="0" w:beforeAutospacing="0" w:after="0" w:afterAutospacing="0"/>
              <w:jc w:val="both"/>
              <w:rPr>
                <w:b w:val="0"/>
              </w:rPr>
            </w:pPr>
            <w:r w:rsidRPr="00807CBF">
              <w:rPr>
                <w:b w:val="0"/>
              </w:rPr>
              <w:t>atstovaujamosios demokratijos;</w:t>
            </w:r>
          </w:p>
        </w:tc>
      </w:tr>
      <w:tr w:rsidR="002F64EF" w:rsidTr="003076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56" w:type="dxa"/>
          </w:tcPr>
          <w:p w:rsidR="002F64EF" w:rsidRPr="00807CBF" w:rsidRDefault="00953B18" w:rsidP="00CC565B">
            <w:pPr>
              <w:pStyle w:val="NormalWeb"/>
              <w:numPr>
                <w:ilvl w:val="0"/>
                <w:numId w:val="10"/>
              </w:numPr>
              <w:spacing w:before="0" w:beforeAutospacing="0" w:after="0" w:afterAutospacing="0"/>
              <w:jc w:val="both"/>
            </w:pPr>
            <w:r w:rsidRPr="00807CBF">
              <w:t>savivaldybių savarankiškumo ir veiklos laisvės pagal Konstitucijoje ir įstatymuose apibrėžtą kompetenciją;</w:t>
            </w:r>
          </w:p>
        </w:tc>
      </w:tr>
      <w:tr w:rsidR="002F64EF" w:rsidTr="00307606">
        <w:tc>
          <w:tcPr>
            <w:cnfStyle w:val="001000000000" w:firstRow="0" w:lastRow="0" w:firstColumn="1" w:lastColumn="0" w:oddVBand="0" w:evenVBand="0" w:oddHBand="0" w:evenHBand="0" w:firstRowFirstColumn="0" w:firstRowLastColumn="0" w:lastRowFirstColumn="0" w:lastRowLastColumn="0"/>
            <w:tcW w:w="9756" w:type="dxa"/>
          </w:tcPr>
          <w:p w:rsidR="002F64EF" w:rsidRPr="00807CBF" w:rsidRDefault="00ED4EDE" w:rsidP="00CC565B">
            <w:pPr>
              <w:pStyle w:val="NormalWeb"/>
              <w:numPr>
                <w:ilvl w:val="0"/>
                <w:numId w:val="10"/>
              </w:numPr>
              <w:spacing w:before="0" w:beforeAutospacing="0" w:after="0" w:afterAutospacing="0"/>
              <w:jc w:val="both"/>
            </w:pPr>
            <w:r w:rsidRPr="00807CBF">
              <w:t xml:space="preserve"> </w:t>
            </w:r>
            <w:r w:rsidR="00953B18" w:rsidRPr="00807CBF">
              <w:t>savivaldybės tarybos viršenybės prieš jai atskaitingas savivaldybės vykdomąsias institucijas</w:t>
            </w:r>
            <w:r w:rsidR="00807CBF">
              <w:t>;</w:t>
            </w:r>
          </w:p>
        </w:tc>
      </w:tr>
      <w:tr w:rsidR="002F64EF" w:rsidTr="003076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56" w:type="dxa"/>
          </w:tcPr>
          <w:p w:rsidR="002F64EF" w:rsidRPr="00807CBF" w:rsidRDefault="00953B18" w:rsidP="00CC565B">
            <w:pPr>
              <w:pStyle w:val="NormalWeb"/>
              <w:numPr>
                <w:ilvl w:val="0"/>
                <w:numId w:val="10"/>
              </w:numPr>
              <w:spacing w:before="0" w:beforeAutospacing="0" w:after="0" w:afterAutospacing="0"/>
              <w:jc w:val="both"/>
            </w:pPr>
            <w:r w:rsidRPr="00807CBF">
              <w:t>savivaldybės vykdomųjų institucijų atskaitingumo savivaldybės tarybai</w:t>
            </w:r>
            <w:r w:rsidR="00807CBF">
              <w:t>;</w:t>
            </w:r>
          </w:p>
        </w:tc>
      </w:tr>
      <w:tr w:rsidR="002F64EF" w:rsidTr="00307606">
        <w:tc>
          <w:tcPr>
            <w:cnfStyle w:val="001000000000" w:firstRow="0" w:lastRow="0" w:firstColumn="1" w:lastColumn="0" w:oddVBand="0" w:evenVBand="0" w:oddHBand="0" w:evenHBand="0" w:firstRowFirstColumn="0" w:firstRowLastColumn="0" w:lastRowFirstColumn="0" w:lastRowLastColumn="0"/>
            <w:tcW w:w="9756" w:type="dxa"/>
          </w:tcPr>
          <w:p w:rsidR="002F64EF" w:rsidRPr="00807CBF" w:rsidRDefault="00953B18" w:rsidP="00CC565B">
            <w:pPr>
              <w:pStyle w:val="NormalWeb"/>
              <w:numPr>
                <w:ilvl w:val="0"/>
                <w:numId w:val="10"/>
              </w:numPr>
              <w:tabs>
                <w:tab w:val="left" w:pos="5355"/>
              </w:tabs>
              <w:spacing w:before="0" w:beforeAutospacing="0" w:after="0" w:afterAutospacing="0"/>
              <w:jc w:val="both"/>
            </w:pPr>
            <w:r w:rsidRPr="00807CBF">
              <w:t>atsakingumo savivaldybės bendruomenei</w:t>
            </w:r>
            <w:r w:rsidR="00807CBF">
              <w:t>;</w:t>
            </w:r>
          </w:p>
        </w:tc>
      </w:tr>
      <w:tr w:rsidR="002F64EF" w:rsidTr="003076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56" w:type="dxa"/>
          </w:tcPr>
          <w:p w:rsidR="002F64EF" w:rsidRPr="00807CBF" w:rsidRDefault="00953B18" w:rsidP="00CC565B">
            <w:pPr>
              <w:pStyle w:val="NormalWeb"/>
              <w:numPr>
                <w:ilvl w:val="0"/>
                <w:numId w:val="10"/>
              </w:numPr>
              <w:spacing w:before="0" w:beforeAutospacing="0" w:after="0" w:afterAutospacing="0"/>
              <w:jc w:val="both"/>
            </w:pPr>
            <w:r w:rsidRPr="00807CBF">
              <w:t>savivaldybės veiklos ir savivaldybės institucijų priimamų sprendimų teisėtumo</w:t>
            </w:r>
            <w:r w:rsidR="00807CBF">
              <w:t>;</w:t>
            </w:r>
          </w:p>
        </w:tc>
      </w:tr>
      <w:tr w:rsidR="002F64EF" w:rsidTr="00307606">
        <w:tc>
          <w:tcPr>
            <w:cnfStyle w:val="001000000000" w:firstRow="0" w:lastRow="0" w:firstColumn="1" w:lastColumn="0" w:oddVBand="0" w:evenVBand="0" w:oddHBand="0" w:evenHBand="0" w:firstRowFirstColumn="0" w:firstRowLastColumn="0" w:lastRowFirstColumn="0" w:lastRowLastColumn="0"/>
            <w:tcW w:w="9756" w:type="dxa"/>
          </w:tcPr>
          <w:p w:rsidR="002F64EF" w:rsidRPr="00807CBF" w:rsidRDefault="00953B18" w:rsidP="00CC565B">
            <w:pPr>
              <w:pStyle w:val="NormalWeb"/>
              <w:numPr>
                <w:ilvl w:val="0"/>
                <w:numId w:val="10"/>
              </w:numPr>
              <w:spacing w:before="0" w:beforeAutospacing="0" w:after="0" w:afterAutospacing="0"/>
              <w:jc w:val="both"/>
            </w:pPr>
            <w:r w:rsidRPr="00807CBF">
              <w:t>savivaldybių ir valstybės interesų derinimo tvarkant viešuosius savivaldybių reikalus;</w:t>
            </w:r>
          </w:p>
        </w:tc>
      </w:tr>
      <w:tr w:rsidR="002F64EF" w:rsidTr="003076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56" w:type="dxa"/>
          </w:tcPr>
          <w:p w:rsidR="002F64EF" w:rsidRPr="00807CBF" w:rsidRDefault="00953B18" w:rsidP="00CC565B">
            <w:pPr>
              <w:pStyle w:val="NormalWeb"/>
              <w:numPr>
                <w:ilvl w:val="0"/>
                <w:numId w:val="10"/>
              </w:numPr>
              <w:tabs>
                <w:tab w:val="left" w:pos="6090"/>
              </w:tabs>
              <w:spacing w:before="0" w:beforeAutospacing="0" w:after="0" w:afterAutospacing="0"/>
              <w:jc w:val="both"/>
            </w:pPr>
            <w:r w:rsidRPr="00807CBF">
              <w:t>bendruomenės ir atskirų savivaldybės gyventojų interesų derinimo</w:t>
            </w:r>
            <w:r w:rsidR="00807CBF">
              <w:t>;</w:t>
            </w:r>
          </w:p>
        </w:tc>
      </w:tr>
      <w:tr w:rsidR="002F64EF" w:rsidTr="00307606">
        <w:tc>
          <w:tcPr>
            <w:cnfStyle w:val="001000000000" w:firstRow="0" w:lastRow="0" w:firstColumn="1" w:lastColumn="0" w:oddVBand="0" w:evenVBand="0" w:oddHBand="0" w:evenHBand="0" w:firstRowFirstColumn="0" w:firstRowLastColumn="0" w:lastRowFirstColumn="0" w:lastRowLastColumn="0"/>
            <w:tcW w:w="9756" w:type="dxa"/>
          </w:tcPr>
          <w:p w:rsidR="002F64EF" w:rsidRPr="00807CBF" w:rsidRDefault="00953B18" w:rsidP="00CC565B">
            <w:pPr>
              <w:pStyle w:val="NormalWeb"/>
              <w:numPr>
                <w:ilvl w:val="0"/>
                <w:numId w:val="10"/>
              </w:numPr>
              <w:spacing w:before="0" w:beforeAutospacing="0" w:after="0" w:afterAutospacing="0"/>
              <w:jc w:val="both"/>
            </w:pPr>
            <w:r w:rsidRPr="00807CBF">
              <w:t>savivaldybės gyventojų dalyvavimo tvarkant viešuosius savivaldybės reikalus</w:t>
            </w:r>
            <w:r w:rsidR="00807CBF">
              <w:t>;</w:t>
            </w:r>
          </w:p>
        </w:tc>
      </w:tr>
      <w:tr w:rsidR="002F64EF" w:rsidTr="00307606">
        <w:trPr>
          <w:cnfStyle w:val="000000100000" w:firstRow="0" w:lastRow="0" w:firstColumn="0" w:lastColumn="0" w:oddVBand="0" w:evenVBand="0" w:oddHBand="1" w:evenHBand="0" w:firstRowFirstColumn="0" w:firstRowLastColumn="0" w:lastRowFirstColumn="0" w:lastRowLastColumn="0"/>
          <w:trHeight w:val="343"/>
        </w:trPr>
        <w:tc>
          <w:tcPr>
            <w:cnfStyle w:val="001000000000" w:firstRow="0" w:lastRow="0" w:firstColumn="1" w:lastColumn="0" w:oddVBand="0" w:evenVBand="0" w:oddHBand="0" w:evenHBand="0" w:firstRowFirstColumn="0" w:firstRowLastColumn="0" w:lastRowFirstColumn="0" w:lastRowLastColumn="0"/>
            <w:tcW w:w="9756" w:type="dxa"/>
          </w:tcPr>
          <w:p w:rsidR="002F64EF" w:rsidRPr="00807CBF" w:rsidRDefault="00953B18" w:rsidP="00CC565B">
            <w:pPr>
              <w:pStyle w:val="NormalWeb"/>
              <w:numPr>
                <w:ilvl w:val="0"/>
                <w:numId w:val="10"/>
              </w:numPr>
              <w:spacing w:before="0" w:beforeAutospacing="0" w:after="0" w:afterAutospacing="0"/>
              <w:jc w:val="both"/>
            </w:pPr>
            <w:r w:rsidRPr="00807CBF">
              <w:t>veiklos skaidrumo</w:t>
            </w:r>
            <w:r w:rsidR="00807CBF">
              <w:t>;</w:t>
            </w:r>
          </w:p>
        </w:tc>
      </w:tr>
      <w:tr w:rsidR="002F64EF" w:rsidTr="00307606">
        <w:tc>
          <w:tcPr>
            <w:cnfStyle w:val="001000000000" w:firstRow="0" w:lastRow="0" w:firstColumn="1" w:lastColumn="0" w:oddVBand="0" w:evenVBand="0" w:oddHBand="0" w:evenHBand="0" w:firstRowFirstColumn="0" w:firstRowLastColumn="0" w:lastRowFirstColumn="0" w:lastRowLastColumn="0"/>
            <w:tcW w:w="9756" w:type="dxa"/>
          </w:tcPr>
          <w:p w:rsidR="002F64EF" w:rsidRPr="00807CBF" w:rsidRDefault="00953B18" w:rsidP="00CC565B">
            <w:pPr>
              <w:pStyle w:val="NormalWeb"/>
              <w:numPr>
                <w:ilvl w:val="0"/>
                <w:numId w:val="10"/>
              </w:numPr>
              <w:spacing w:before="0" w:beforeAutospacing="0" w:after="0" w:afterAutospacing="0"/>
              <w:jc w:val="both"/>
            </w:pPr>
            <w:r w:rsidRPr="00807CBF">
              <w:t>viešumo ir reagavimo į savivaldybės gyventojų nuomonę</w:t>
            </w:r>
            <w:r w:rsidR="00807CBF">
              <w:t>;</w:t>
            </w:r>
          </w:p>
        </w:tc>
      </w:tr>
      <w:tr w:rsidR="002F64EF" w:rsidTr="003076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56" w:type="dxa"/>
          </w:tcPr>
          <w:p w:rsidR="002F64EF" w:rsidRPr="00807CBF" w:rsidRDefault="00953B18" w:rsidP="00CC565B">
            <w:pPr>
              <w:pStyle w:val="NormalWeb"/>
              <w:numPr>
                <w:ilvl w:val="0"/>
                <w:numId w:val="10"/>
              </w:numPr>
              <w:spacing w:before="0" w:beforeAutospacing="0" w:after="0" w:afterAutospacing="0"/>
              <w:jc w:val="both"/>
            </w:pPr>
            <w:r w:rsidRPr="00807CBF">
              <w:t>žmogaus teisių ir laisvių užtikrinimo ir gerbimo</w:t>
            </w:r>
            <w:r w:rsidR="00807CBF">
              <w:t>;</w:t>
            </w:r>
          </w:p>
        </w:tc>
      </w:tr>
      <w:tr w:rsidR="002F64EF" w:rsidTr="00307606">
        <w:tc>
          <w:tcPr>
            <w:cnfStyle w:val="001000000000" w:firstRow="0" w:lastRow="0" w:firstColumn="1" w:lastColumn="0" w:oddVBand="0" w:evenVBand="0" w:oddHBand="0" w:evenHBand="0" w:firstRowFirstColumn="0" w:firstRowLastColumn="0" w:lastRowFirstColumn="0" w:lastRowLastColumn="0"/>
            <w:tcW w:w="9756" w:type="dxa"/>
          </w:tcPr>
          <w:p w:rsidR="002F64EF" w:rsidRPr="00807CBF" w:rsidRDefault="00953B18" w:rsidP="00CC565B">
            <w:pPr>
              <w:pStyle w:val="NormalWeb"/>
              <w:numPr>
                <w:ilvl w:val="0"/>
                <w:numId w:val="10"/>
              </w:numPr>
              <w:spacing w:before="0" w:beforeAutospacing="0" w:after="0" w:afterAutospacing="0"/>
              <w:jc w:val="both"/>
            </w:pPr>
            <w:r w:rsidRPr="00807CBF">
              <w:t>plėtros ir veiklos planingumo (nuo 2014-10-01).</w:t>
            </w:r>
          </w:p>
        </w:tc>
      </w:tr>
    </w:tbl>
    <w:p w:rsidR="002F64EF" w:rsidRDefault="00953B18" w:rsidP="00807CBF">
      <w:pPr>
        <w:pStyle w:val="NormalWeb"/>
        <w:spacing w:before="0" w:beforeAutospacing="0" w:after="0" w:afterAutospacing="0"/>
        <w:jc w:val="both"/>
        <w:rPr>
          <w:sz w:val="20"/>
        </w:rPr>
      </w:pPr>
      <w:r w:rsidRPr="006F5881">
        <w:rPr>
          <w:b/>
          <w:sz w:val="20"/>
        </w:rPr>
        <w:t>Šaltinis:</w:t>
      </w:r>
      <w:r w:rsidRPr="006F5881">
        <w:rPr>
          <w:sz w:val="20"/>
        </w:rPr>
        <w:t xml:space="preserve"> sudaryta pagal LR Vietos savivaldos įstatymą</w:t>
      </w:r>
      <w:r w:rsidR="000852CC">
        <w:rPr>
          <w:sz w:val="20"/>
        </w:rPr>
        <w:t xml:space="preserve"> </w:t>
      </w:r>
      <w:r w:rsidR="006F5881" w:rsidRPr="006F5881">
        <w:rPr>
          <w:sz w:val="20"/>
        </w:rPr>
        <w:t>4 straipsnį</w:t>
      </w:r>
      <w:r w:rsidR="005445F7">
        <w:rPr>
          <w:sz w:val="20"/>
        </w:rPr>
        <w:t xml:space="preserve"> </w:t>
      </w:r>
    </w:p>
    <w:p w:rsidR="00807CBF" w:rsidRDefault="00807CBF" w:rsidP="00807CBF">
      <w:pPr>
        <w:pStyle w:val="NormalWeb"/>
        <w:spacing w:before="0" w:beforeAutospacing="0" w:after="0" w:afterAutospacing="0"/>
        <w:jc w:val="both"/>
        <w:rPr>
          <w:sz w:val="20"/>
        </w:rPr>
      </w:pPr>
    </w:p>
    <w:p w:rsidR="00B013C3" w:rsidRPr="006F5881" w:rsidRDefault="006F5881" w:rsidP="00807CBF">
      <w:pPr>
        <w:pStyle w:val="NormalWeb"/>
        <w:spacing w:before="0" w:beforeAutospacing="0" w:after="0" w:afterAutospacing="0" w:line="360" w:lineRule="auto"/>
        <w:ind w:firstLine="561"/>
        <w:jc w:val="both"/>
        <w:rPr>
          <w:lang w:val="lt-LT"/>
        </w:rPr>
      </w:pPr>
      <w:r>
        <w:t xml:space="preserve">Vietos savivaldos principai neapibrėžia ekonominio savarankiškumo, tačiau 2 daly (žr. </w:t>
      </w:r>
      <w:r w:rsidR="00207418">
        <w:t xml:space="preserve">5 </w:t>
      </w:r>
      <w:r>
        <w:t>lent.) apibrėžtas savivaldybių savarankiškumas ir veiklos laisvė pagal Konstitucijoje ir įstatymuose apibrėžtą kompetenciją, o tai suteikia finansinio savarankiškumo.</w:t>
      </w:r>
    </w:p>
    <w:p w:rsidR="00735175" w:rsidRDefault="00AD784F" w:rsidP="00207418">
      <w:pPr>
        <w:spacing w:line="360" w:lineRule="auto"/>
        <w:ind w:firstLine="561"/>
        <w:jc w:val="both"/>
        <w:rPr>
          <w:rStyle w:val="fontstyle148"/>
        </w:rPr>
      </w:pPr>
      <w:r w:rsidRPr="006673BC">
        <w:t>Pasak Naraškevičiūtės (2008</w:t>
      </w:r>
      <w:r w:rsidR="00207418">
        <w:t>)</w:t>
      </w:r>
      <w:r w:rsidRPr="006673BC">
        <w:t xml:space="preserve"> </w:t>
      </w:r>
      <w:r w:rsidR="00A0151E" w:rsidRPr="006673BC">
        <w:t>s</w:t>
      </w:r>
      <w:r w:rsidRPr="006673BC">
        <w:t>avivaldybės funkcijos - tai savivaldybių konkrečios veiklos poreikis nuolat jų valdomose teritorijose vykstantiems socialiniams - ekonominiams procesams. Būtent funkcijų sistema turi didžiulį poveikį savivaldos sistemos struktūrai.</w:t>
      </w:r>
      <w:r w:rsidR="00A0151E" w:rsidRPr="006673BC">
        <w:t xml:space="preserve"> </w:t>
      </w:r>
      <w:r w:rsidR="008F1E95">
        <w:t xml:space="preserve">Todėl plačiau apžvelgsime savivaldybių funkcijas (žr. </w:t>
      </w:r>
      <w:r w:rsidR="00207418">
        <w:t xml:space="preserve">3 </w:t>
      </w:r>
      <w:r w:rsidR="008F1E95">
        <w:t>pav.).</w:t>
      </w:r>
    </w:p>
    <w:p w:rsidR="00FE649B" w:rsidRDefault="00FE649B" w:rsidP="006673BC">
      <w:pPr>
        <w:spacing w:line="360" w:lineRule="auto"/>
        <w:ind w:firstLine="562"/>
        <w:rPr>
          <w:rStyle w:val="fontstyle148"/>
        </w:rPr>
      </w:pPr>
      <w:r>
        <w:rPr>
          <w:noProof/>
        </w:rPr>
        <w:lastRenderedPageBreak/>
        <w:drawing>
          <wp:inline distT="0" distB="0" distL="0" distR="0" wp14:anchorId="4CA06BA1" wp14:editId="414DE88A">
            <wp:extent cx="6057900" cy="2543175"/>
            <wp:effectExtent l="0" t="0" r="0" b="9525"/>
            <wp:docPr id="6" name="Diagram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rsidR="00735175" w:rsidRDefault="00735175" w:rsidP="006673BC">
      <w:pPr>
        <w:spacing w:line="360" w:lineRule="auto"/>
        <w:ind w:firstLine="562"/>
        <w:rPr>
          <w:rStyle w:val="fontstyle148"/>
          <w:sz w:val="20"/>
          <w:lang w:val="lt-LT"/>
        </w:rPr>
      </w:pPr>
      <w:r w:rsidRPr="00735175">
        <w:rPr>
          <w:rStyle w:val="fontstyle148"/>
          <w:b/>
          <w:sz w:val="20"/>
        </w:rPr>
        <w:t>Šaltinis:</w:t>
      </w:r>
      <w:r w:rsidRPr="00735175">
        <w:rPr>
          <w:rStyle w:val="fontstyle148"/>
          <w:sz w:val="20"/>
        </w:rPr>
        <w:t xml:space="preserve"> sudaryta pag</w:t>
      </w:r>
      <w:r>
        <w:rPr>
          <w:rStyle w:val="fontstyle148"/>
          <w:sz w:val="20"/>
        </w:rPr>
        <w:t>al LR vietos savivaldos įstatym</w:t>
      </w:r>
      <w:r>
        <w:rPr>
          <w:rStyle w:val="fontstyle148"/>
          <w:sz w:val="20"/>
          <w:lang w:val="lt-LT"/>
        </w:rPr>
        <w:t xml:space="preserve">ą, </w:t>
      </w:r>
      <w:proofErr w:type="gramStart"/>
      <w:r>
        <w:rPr>
          <w:rStyle w:val="fontstyle148"/>
          <w:sz w:val="20"/>
        </w:rPr>
        <w:t>1994</w:t>
      </w:r>
      <w:r w:rsidR="005445F7">
        <w:rPr>
          <w:rStyle w:val="fontstyle148"/>
          <w:sz w:val="20"/>
        </w:rPr>
        <w:t xml:space="preserve"> </w:t>
      </w:r>
      <w:r>
        <w:rPr>
          <w:rStyle w:val="fontstyle148"/>
          <w:sz w:val="20"/>
        </w:rPr>
        <w:t>,</w:t>
      </w:r>
      <w:proofErr w:type="gramEnd"/>
      <w:r>
        <w:rPr>
          <w:rStyle w:val="fontstyle148"/>
          <w:sz w:val="20"/>
        </w:rPr>
        <w:t xml:space="preserve"> 5 straipsn</w:t>
      </w:r>
      <w:r>
        <w:rPr>
          <w:rStyle w:val="fontstyle148"/>
          <w:sz w:val="20"/>
          <w:lang w:val="lt-LT"/>
        </w:rPr>
        <w:t>į</w:t>
      </w:r>
      <w:r w:rsidR="005445F7">
        <w:rPr>
          <w:rStyle w:val="fontstyle148"/>
          <w:sz w:val="20"/>
          <w:lang w:val="lt-LT"/>
        </w:rPr>
        <w:t xml:space="preserve"> (aktuali redakcija)</w:t>
      </w:r>
    </w:p>
    <w:p w:rsidR="00735175" w:rsidRDefault="00580E29" w:rsidP="005445F7">
      <w:pPr>
        <w:pStyle w:val="Caption"/>
        <w:ind w:hanging="851"/>
        <w:rPr>
          <w:rStyle w:val="fontstyle148"/>
          <w:b w:val="0"/>
          <w:lang w:val="lt-LT"/>
        </w:rPr>
      </w:pPr>
      <w:bookmarkStart w:id="25" w:name="_Toc385239356"/>
      <w:r>
        <w:rPr>
          <w:rStyle w:val="fontstyle148"/>
          <w:lang w:val="lt-LT"/>
        </w:rPr>
        <w:t xml:space="preserve">3 </w:t>
      </w:r>
      <w:r w:rsidR="00735175" w:rsidRPr="00735175">
        <w:rPr>
          <w:rStyle w:val="fontstyle148"/>
          <w:lang w:val="lt-LT"/>
        </w:rPr>
        <w:t>pav. Lietuvos savivaldybių funkcijos</w:t>
      </w:r>
      <w:bookmarkEnd w:id="25"/>
    </w:p>
    <w:p w:rsidR="003B1048" w:rsidRPr="00735175" w:rsidRDefault="003B1048" w:rsidP="003B1048">
      <w:pPr>
        <w:spacing w:line="360" w:lineRule="auto"/>
        <w:ind w:firstLine="562"/>
        <w:jc w:val="both"/>
        <w:rPr>
          <w:rStyle w:val="fontstyle148"/>
          <w:b/>
          <w:lang w:val="lt-LT"/>
        </w:rPr>
      </w:pPr>
    </w:p>
    <w:p w:rsidR="00AD0A77" w:rsidRDefault="00AD0A77" w:rsidP="003B1048">
      <w:pPr>
        <w:spacing w:line="360" w:lineRule="auto"/>
        <w:ind w:firstLine="562"/>
        <w:jc w:val="both"/>
      </w:pPr>
      <w:r w:rsidRPr="003B1048">
        <w:rPr>
          <w:i/>
        </w:rPr>
        <w:t>Savarankiškos funkcijos</w:t>
      </w:r>
      <w:r>
        <w:t xml:space="preserve"> kitaip dar vadinamos autonominėmis, prigim</w:t>
      </w:r>
      <w:r w:rsidR="00580E29">
        <w:t>tinėmis. R. Lazdyno (2005</w:t>
      </w:r>
      <w:r>
        <w:t>) teigimu, šias funkcijas savivaldos institutas paveldėjo iš bendru</w:t>
      </w:r>
      <w:r w:rsidR="00D214A2">
        <w:t>omenės santvarkos. „Savarankišk</w:t>
      </w:r>
      <w:r w:rsidR="00D214A2">
        <w:rPr>
          <w:lang w:val="lt-LT"/>
        </w:rPr>
        <w:t>ą</w:t>
      </w:r>
      <w:r>
        <w:t>sias funkcijas savivaldybės atlieka pagal įstatymų suteiktą kompetenciją, įsipareigojimus savo bendruomenei ir jos interesa</w:t>
      </w:r>
      <w:r w:rsidR="00580E29">
        <w:t>ms" (Astrauskas, 2003</w:t>
      </w:r>
      <w:r w:rsidR="003B1048">
        <w:t>). J</w:t>
      </w:r>
      <w:r>
        <w:t>oms priskiriama ikimokyklinių vaikų ugdymas, vaikų ir jaunimo papildomas ugdymas bei užimtumas, profesinis mokymas, maitinimo paslaugų teikimas ikimokyklinio ugdymo bei bendrojo lavinimo įstaigose, suaugusiųjų neformalusis švietimas, turizmo ir poilsio organizavimas ir kitos funkcijos. Šių funkcijų vykdymo nekontroliuoja valstybė. Savivaldybės gali pačios savarankiškai spręsti jų vykdymo (ar nevykdymo) klausimus.</w:t>
      </w:r>
    </w:p>
    <w:p w:rsidR="00AD0A77" w:rsidRDefault="00AD0A77" w:rsidP="00E94614">
      <w:pPr>
        <w:tabs>
          <w:tab w:val="left" w:pos="3544"/>
        </w:tabs>
        <w:spacing w:line="360" w:lineRule="auto"/>
        <w:ind w:firstLine="562"/>
        <w:jc w:val="both"/>
      </w:pPr>
      <w:r w:rsidRPr="003B1048">
        <w:rPr>
          <w:i/>
        </w:rPr>
        <w:t>Valstybinės funkcijos</w:t>
      </w:r>
      <w:r>
        <w:t xml:space="preserve"> - </w:t>
      </w:r>
      <w:proofErr w:type="gramStart"/>
      <w:r>
        <w:t>tai</w:t>
      </w:r>
      <w:proofErr w:type="gramEnd"/>
      <w:r>
        <w:t xml:space="preserve"> perduotos savivaldybėms valstybės funkcijos. Vykdant šias funkcijas, savivaldybės yra dar labiau suvaržytos. jų vykdymui skiriamos lėšos iš valstybės biudžeto specialiųjų dotacijų forma. Nepanaudota specialiųjų dotacijų dalis, pasibaigu</w:t>
      </w:r>
      <w:r w:rsidR="003B1048">
        <w:t>s biudžetiniams metams, gr</w:t>
      </w:r>
      <w:r w:rsidR="003B1048">
        <w:rPr>
          <w:lang w:val="lt-LT"/>
        </w:rPr>
        <w:t>ą</w:t>
      </w:r>
      <w:r>
        <w:t>žinama į valstybės biudžetą. Šioms funkcijoms priskiriama: civil</w:t>
      </w:r>
      <w:r w:rsidR="00422EDE">
        <w:t>inės būklės aktų registravimas,</w:t>
      </w:r>
      <w:r w:rsidR="00422EDE" w:rsidRPr="00422EDE">
        <w:rPr>
          <w:color w:val="FFFFFF" w:themeColor="background1"/>
        </w:rPr>
        <w:t>_</w:t>
      </w:r>
      <w:r>
        <w:t>savivaldybės priešgaisrinių tarnybų organizavimas, socialinių išmokų apskaičiavimas ir mokėjimas, valstybinės žemės ir kito valstybės turto valdymas, naudojimas ir disponavimas juo pasitikėjimo teise, statistikos duomenų teikimas ir kitos įstatymų perduotos funkcijos.</w:t>
      </w:r>
    </w:p>
    <w:p w:rsidR="00AD0A77" w:rsidRDefault="00AD0A77" w:rsidP="00422EDE">
      <w:pPr>
        <w:spacing w:line="360" w:lineRule="auto"/>
        <w:ind w:firstLine="562"/>
        <w:jc w:val="both"/>
      </w:pPr>
      <w:proofErr w:type="gramStart"/>
      <w:r>
        <w:t>Viešojo administravimo funkcijas atlieka savivaldybės taryba, savivaldybės kontrolierius, valdyba, meras, savivaldybės administracija ir tarnybos bei tarnautojai.</w:t>
      </w:r>
      <w:proofErr w:type="gramEnd"/>
    </w:p>
    <w:p w:rsidR="00AD0A77" w:rsidRDefault="00AD0A77" w:rsidP="00422EDE">
      <w:pPr>
        <w:spacing w:line="360" w:lineRule="auto"/>
        <w:ind w:firstLine="562"/>
        <w:jc w:val="both"/>
      </w:pPr>
      <w:r>
        <w:t xml:space="preserve">Viešąsias paslaugas teikia savivaldybių įsteigti paslaugų teikėjai arba fiziniai ir juridiniai asmenys pagal sutartis, sudarytas su savivaldybėmis. Viešosios paslaugos teikiamos nemokamai arba už tokį </w:t>
      </w:r>
      <w:r>
        <w:lastRenderedPageBreak/>
        <w:t>mokestį, kuris padengtų tik su paslaugų teikimu susijusias išlaidas. Viešųjų paslaugų teikimas negali būti susijęs su pelno siekimu.</w:t>
      </w:r>
    </w:p>
    <w:p w:rsidR="009C0D7B" w:rsidRDefault="00D352C7" w:rsidP="00422EDE">
      <w:pPr>
        <w:spacing w:line="360" w:lineRule="auto"/>
        <w:ind w:firstLine="562"/>
        <w:jc w:val="both"/>
      </w:pPr>
      <w:r>
        <w:t>Apžvelgus s</w:t>
      </w:r>
      <w:r w:rsidR="008F1E95">
        <w:t xml:space="preserve">avivaldybių funkcijas galime teigti, kad </w:t>
      </w:r>
      <w:r w:rsidR="008F1E95" w:rsidRPr="008F1E95">
        <w:t>vietinė v</w:t>
      </w:r>
      <w:r w:rsidR="00422EDE">
        <w:t xml:space="preserve">aldžia vykdo tam tikras valdymo </w:t>
      </w:r>
      <w:r w:rsidR="008F1E95" w:rsidRPr="008F1E95">
        <w:t>funkcijas (švietimas, viešosios tvarkos saugojimas ir pan.), o centrinė valdžia sprendžia politinius uždavinius (gynyba, nacionaliniai finansai ir pan.).</w:t>
      </w:r>
    </w:p>
    <w:p w:rsidR="00D352C7" w:rsidRDefault="00AD0A77" w:rsidP="00422EDE">
      <w:pPr>
        <w:spacing w:line="360" w:lineRule="auto"/>
        <w:ind w:firstLine="562"/>
        <w:jc w:val="both"/>
      </w:pPr>
      <w:r>
        <w:t>Tačiau tai nereiškia, kad savivaldybė, turėdama savivaldos teisę, gali visiškai laisvai valdyti valstybės apibrėžtą teritoriją. Ši teisė yra reglamentuojama Lietuvos Respublikos Vietos savivaldos įstatymo (1994</w:t>
      </w:r>
      <w:r w:rsidR="00D352C7">
        <w:t>).</w:t>
      </w:r>
    </w:p>
    <w:p w:rsidR="00AD0A77" w:rsidRDefault="00580E29" w:rsidP="000852CC">
      <w:pPr>
        <w:spacing w:line="360" w:lineRule="auto"/>
        <w:ind w:firstLine="562"/>
        <w:jc w:val="both"/>
        <w:rPr>
          <w:rFonts w:ascii="Kunstler Script" w:hAnsi="Kunstler Script"/>
        </w:rPr>
      </w:pPr>
      <w:r>
        <w:t>Apibendrinant galima</w:t>
      </w:r>
      <w:r w:rsidRPr="00580E29">
        <w:rPr>
          <w:color w:val="FFFFFF" w:themeColor="background1"/>
        </w:rPr>
        <w:t>_</w:t>
      </w:r>
      <w:r w:rsidR="00AD0A77">
        <w:t>pasakyti, kad savivaldybė yra apibrėžiama kaip laisvas ir savarankiškas viešasis juridinis asmuo, kuriam LR Konstitucija suteikia savivaldos teisę. Tačiau</w:t>
      </w:r>
      <w:r w:rsidR="00F71676" w:rsidRPr="00F71676">
        <w:softHyphen/>
        <w:t>_</w:t>
      </w:r>
      <w:r w:rsidR="00AD0A77">
        <w:t>savivaldybės negali savarankiškai nustatyti savo kompetencijos. Jų kompetenciją nurodo valstybės valdžios institucijos" (Krupa</w:t>
      </w:r>
      <w:r>
        <w:t>vičius, Lukošaitis, 2004</w:t>
      </w:r>
      <w:r w:rsidR="00AD0A77">
        <w:t>). Savivaldos galią minimizuoja LR Vietos savivaldos įstatyme 5 straipsnyje numatytos savivaldybių funkcijos, aiškiai apibrėži</w:t>
      </w:r>
      <w:r w:rsidR="00561AF0">
        <w:t>a</w:t>
      </w:r>
      <w:r w:rsidR="00482AF1">
        <w:t xml:space="preserve">nčios ribotą savivaldos laisvę </w:t>
      </w:r>
      <w:r w:rsidR="00561AF0">
        <w:t xml:space="preserve">tuo pačiu </w:t>
      </w:r>
      <w:r w:rsidR="00482AF1">
        <w:t>ribodama</w:t>
      </w:r>
      <w:r w:rsidR="00A824E0">
        <w:t xml:space="preserve"> </w:t>
      </w:r>
      <w:r w:rsidR="00561AF0">
        <w:t>fiskalinę decentralizaciją.</w:t>
      </w:r>
    </w:p>
    <w:p w:rsidR="003A30EE" w:rsidRDefault="003A30EE" w:rsidP="000852CC">
      <w:pPr>
        <w:spacing w:line="360" w:lineRule="auto"/>
      </w:pPr>
    </w:p>
    <w:p w:rsidR="003A30EE" w:rsidRPr="00BC763D" w:rsidRDefault="00580E29" w:rsidP="000852CC">
      <w:pPr>
        <w:pStyle w:val="Heading3"/>
        <w:spacing w:before="0" w:line="360" w:lineRule="auto"/>
      </w:pPr>
      <w:bookmarkStart w:id="26" w:name="_Toc385249529"/>
      <w:r>
        <w:t xml:space="preserve">2.1.2. </w:t>
      </w:r>
      <w:r w:rsidR="00BC763D" w:rsidRPr="00BC763D">
        <w:t>Lietuvos vietinės valdžios finansavimo normatyviniai aspektai</w:t>
      </w:r>
      <w:bookmarkEnd w:id="26"/>
    </w:p>
    <w:p w:rsidR="00BC763D" w:rsidRDefault="00BC763D" w:rsidP="000852CC">
      <w:pPr>
        <w:spacing w:line="360" w:lineRule="auto"/>
        <w:ind w:firstLine="562"/>
        <w:jc w:val="center"/>
      </w:pPr>
    </w:p>
    <w:p w:rsidR="0083240E" w:rsidRDefault="00BC763D" w:rsidP="000852CC">
      <w:pPr>
        <w:spacing w:line="360" w:lineRule="auto"/>
        <w:ind w:firstLine="561"/>
        <w:jc w:val="both"/>
      </w:pPr>
      <w:r>
        <w:t>F</w:t>
      </w:r>
      <w:r w:rsidR="0083240E">
        <w:t xml:space="preserve">iskalinė decentralizacija </w:t>
      </w:r>
      <w:r w:rsidR="004735B5">
        <w:t>yra kiekvienos dem</w:t>
      </w:r>
      <w:r w:rsidR="00B042C2">
        <w:t>okratinės santvarkos pagrindas.</w:t>
      </w:r>
      <w:r w:rsidR="0083240E">
        <w:t xml:space="preserve"> </w:t>
      </w:r>
      <w:r w:rsidR="00F71676">
        <w:t>Pasak Urmono ir</w:t>
      </w:r>
      <w:r w:rsidR="004735B5">
        <w:t xml:space="preserve"> Novikovo (2011) </w:t>
      </w:r>
      <w:r w:rsidR="0083240E">
        <w:t>vietos vald</w:t>
      </w:r>
      <w:r w:rsidR="0083240E">
        <w:rPr>
          <w:lang w:val="lt-LT"/>
        </w:rPr>
        <w:t>ži</w:t>
      </w:r>
      <w:r w:rsidR="004735B5">
        <w:rPr>
          <w:lang w:val="lt-LT"/>
        </w:rPr>
        <w:t>a jai priskirtoms funkcijoms vykdyti privalo turėti savus finansus – savo biudžetą. Tokią teisę užtikrina</w:t>
      </w:r>
      <w:r w:rsidR="00F71676">
        <w:rPr>
          <w:lang w:val="lt-LT"/>
        </w:rPr>
        <w:t xml:space="preserve"> ir Vietos savivaldos įstatymo dešimtasis</w:t>
      </w:r>
      <w:r w:rsidR="004735B5">
        <w:rPr>
          <w:lang w:val="lt-LT"/>
        </w:rPr>
        <w:t xml:space="preserve"> skirsnis</w:t>
      </w:r>
      <w:r w:rsidR="00CA45A5">
        <w:t>.</w:t>
      </w:r>
      <w:r w:rsidR="00A17E95">
        <w:t xml:space="preserve"> Nagrinėjant fiskalinę decentralizaciją Lietuvoje būtina aptarti</w:t>
      </w:r>
      <w:r w:rsidR="0071650E">
        <w:t xml:space="preserve"> </w:t>
      </w:r>
      <w:r w:rsidR="00A17E95">
        <w:t>savivaldybių finansinę sistemą, savivaldybių biudžetus bei jų veikimo sferas</w:t>
      </w:r>
      <w:r w:rsidR="0071650E">
        <w:t>.</w:t>
      </w:r>
    </w:p>
    <w:p w:rsidR="00A17E95" w:rsidRDefault="0071650E" w:rsidP="00F71676">
      <w:pPr>
        <w:spacing w:line="360" w:lineRule="auto"/>
        <w:ind w:firstLine="561"/>
        <w:jc w:val="both"/>
      </w:pPr>
      <w:r>
        <w:t>Lietuvos finansų sistema yra dvipakopė: valstybės biudžetas ir savivaldybių biudžetai. Lietuvos nacio</w:t>
      </w:r>
      <w:r w:rsidR="004F7281">
        <w:t>nalinio biudžeto pajamas sudaro</w:t>
      </w:r>
      <w:r w:rsidR="004F7281" w:rsidRPr="004F7281">
        <w:rPr>
          <w:color w:val="FFFFFF" w:themeColor="background1"/>
        </w:rPr>
        <w:t>_</w:t>
      </w:r>
      <w:r>
        <w:t>visos valstybės biudžeto ir savivaldybių biudžetų sukaupiamos lėšos.</w:t>
      </w:r>
    </w:p>
    <w:p w:rsidR="00583073" w:rsidRDefault="00583073" w:rsidP="00F71676">
      <w:pPr>
        <w:spacing w:line="360" w:lineRule="auto"/>
        <w:ind w:firstLine="561"/>
        <w:jc w:val="both"/>
      </w:pPr>
      <w:r>
        <w:t>Savivaldybei kaip ir bet kuriam kitam ūkiniui subjektui, yra reikalingas veiklos finansavimas. Kitaip tariant, savivaldybės vykdomoms socialinėms, ekonominėms bei kitoms vietinės reikšmės programoms finansuoti, taip pat savivaldybių įst</w:t>
      </w:r>
      <w:r w:rsidR="00F71676">
        <w:t>aigų išlaikymui yra reikalingos</w:t>
      </w:r>
      <w:r w:rsidR="00F71676" w:rsidRPr="00F71676">
        <w:rPr>
          <w:color w:val="FFFFFF" w:themeColor="background1"/>
        </w:rPr>
        <w:t>_</w:t>
      </w:r>
      <w:r>
        <w:t xml:space="preserve">pajamos. Visos savivaldybės veiklai </w:t>
      </w:r>
      <w:r w:rsidR="00506EA1">
        <w:t>užtikrinti reikalingos pajamos,</w:t>
      </w:r>
      <w:r w:rsidR="00506EA1">
        <w:softHyphen/>
      </w:r>
      <w:r w:rsidR="00506EA1">
        <w:softHyphen/>
      </w:r>
      <w:r w:rsidR="00506EA1">
        <w:softHyphen/>
      </w:r>
      <w:r w:rsidR="00506EA1">
        <w:softHyphen/>
      </w:r>
      <w:r w:rsidR="00506EA1" w:rsidRPr="00506EA1">
        <w:rPr>
          <w:color w:val="FFFFFF" w:themeColor="background1"/>
        </w:rPr>
        <w:t>_</w:t>
      </w:r>
      <w:r>
        <w:t>taip pat planuojamos išlaidos yra fiksuojamos savivaldybės biudžete</w:t>
      </w:r>
      <w:r w:rsidR="00A17E95">
        <w:t>.</w:t>
      </w:r>
      <w:r>
        <w:t xml:space="preserve"> Kiekviena savivaldybė turi savo atskirą bei savarankišką biudžetą, kur</w:t>
      </w:r>
      <w:r w:rsidR="004F7281">
        <w:t>į tvirtina savivaldybės taryba.</w:t>
      </w:r>
    </w:p>
    <w:p w:rsidR="00583073" w:rsidRPr="006312D0" w:rsidRDefault="00583073" w:rsidP="00F71676">
      <w:pPr>
        <w:spacing w:line="360" w:lineRule="auto"/>
        <w:ind w:firstLine="561"/>
        <w:jc w:val="both"/>
        <w:rPr>
          <w:lang w:val="lt-LT"/>
        </w:rPr>
      </w:pPr>
      <w:r>
        <w:t>Savivaldybių biudžetai ir rengiami laikantis nustatytų reikalavimų. Šie reikalavimai yra išdėstyti biudžetinės sandaros įstatyme. Įstatymo paskirtis - nustatyti Lietuvos Respublikos valstybės biudžeto ir savivaldybių biudžetų turinį, šių biudžetų pajamų sudarymo ir asig</w:t>
      </w:r>
      <w:r w:rsidR="00E55270">
        <w:t>navimų (i</w:t>
      </w:r>
      <w:r w:rsidR="00E55270">
        <w:rPr>
          <w:lang w:val="lt-LT"/>
        </w:rPr>
        <w:t xml:space="preserve">šlaidų) </w:t>
      </w:r>
      <w:r>
        <w:t xml:space="preserve">naudojimo teisinius </w:t>
      </w:r>
      <w:r>
        <w:lastRenderedPageBreak/>
        <w:t>pagrindus, taip pat biudžetų</w:t>
      </w:r>
      <w:r w:rsidR="00506EA1" w:rsidRPr="00506EA1">
        <w:rPr>
          <w:color w:val="FFFFFF" w:themeColor="background1"/>
        </w:rPr>
        <w:t>_</w:t>
      </w:r>
      <w:r>
        <w:t>rengimo, tvirtinimo, vykdymo, vertinimo ir kontrolės pagrindines nuostatas, procedūras, asignavimų valdytojų pareig</w:t>
      </w:r>
      <w:r w:rsidR="00F71676">
        <w:t>as, teises ir atsakomybę. Pagal</w:t>
      </w:r>
      <w:r w:rsidR="00F71676" w:rsidRPr="00F71676">
        <w:rPr>
          <w:color w:val="FFFFFF" w:themeColor="background1"/>
        </w:rPr>
        <w:t>_</w:t>
      </w:r>
      <w:r>
        <w:t>Lietuvos Respublikos įstatymus savivaldybių biudžetai yra santykinai nepriklausomi nuo valstybės biudžeto, tačiau šis dalinai dalyvauja savivaldybių biudžetų sudaryme (iš jo skiriamos dotacijos savivaldybių biudžetams). Pats biudžetinis reguliavimas pasireiškia tuo, kad skiriant dalį bendrųjų pajamų (</w:t>
      </w:r>
      <w:r w:rsidR="00A17E95">
        <w:t xml:space="preserve">gyventojų </w:t>
      </w:r>
      <w:r>
        <w:t>pajamų mokestis ir pelno mokestis) savivaldybėms, norima subalansuoti jų pajamas su išlaidomis, sumažinti šių biudžetų deficitą, padidinti suinteresuotu</w:t>
      </w:r>
      <w:r w:rsidR="00506EA1">
        <w:t>mą vykdyti</w:t>
      </w:r>
      <w:r w:rsidR="00506EA1" w:rsidRPr="00506EA1">
        <w:rPr>
          <w:color w:val="FFFFFF" w:themeColor="background1"/>
        </w:rPr>
        <w:t>_</w:t>
      </w:r>
      <w:r>
        <w:t>nacionalinį biudžetą.</w:t>
      </w:r>
      <w:r w:rsidR="006312D0">
        <w:t xml:space="preserve"> Atsižvelgiant į fiskalinės decentralizacijos Baltuškinienės (2006) i</w:t>
      </w:r>
      <w:r w:rsidR="006312D0">
        <w:rPr>
          <w:lang w:val="lt-LT"/>
        </w:rPr>
        <w:t>šskirtas dedamąsias, aptarsime jas savivaldybių kontekste.</w:t>
      </w:r>
    </w:p>
    <w:p w:rsidR="00F71676" w:rsidRDefault="007A17A0" w:rsidP="00F71676">
      <w:pPr>
        <w:spacing w:line="360" w:lineRule="auto"/>
        <w:ind w:firstLine="561"/>
        <w:jc w:val="both"/>
        <w:rPr>
          <w:lang w:val="lt-LT"/>
        </w:rPr>
      </w:pPr>
      <w:r w:rsidRPr="007A17A0">
        <w:t>Savival</w:t>
      </w:r>
      <w:r>
        <w:t>dybių asignavimai (išlaidos) gali būti naudo</w:t>
      </w:r>
      <w:r w:rsidRPr="007A17A0">
        <w:t xml:space="preserve">jami </w:t>
      </w:r>
      <w:r>
        <w:t>tik savivaldybėms įstatymų dele</w:t>
      </w:r>
      <w:r w:rsidRPr="007A17A0">
        <w:t>guotoms valstybės funkcijoms bei saviva</w:t>
      </w:r>
      <w:r>
        <w:t>ldybių tarybų patvirtintoms pro</w:t>
      </w:r>
      <w:r w:rsidRPr="007A17A0">
        <w:t>gramoms vykdyti</w:t>
      </w:r>
      <w:r w:rsidR="006312D0">
        <w:t xml:space="preserve"> (žr. </w:t>
      </w:r>
      <w:r w:rsidR="00580E29">
        <w:t xml:space="preserve">4 </w:t>
      </w:r>
      <w:r w:rsidR="006312D0">
        <w:t>pav.)</w:t>
      </w:r>
      <w:r w:rsidRPr="007A17A0">
        <w:t>.</w:t>
      </w:r>
      <w:r>
        <w:t xml:space="preserve"> Tai numato Biudžeto sandaros įstatymo 23 straipsnis.</w:t>
      </w:r>
      <w:r w:rsidR="00D73597">
        <w:t xml:space="preserve"> Savivaldybių b</w:t>
      </w:r>
      <w:r>
        <w:t>iud</w:t>
      </w:r>
      <w:r>
        <w:rPr>
          <w:lang w:val="lt-LT"/>
        </w:rPr>
        <w:t>žeto funkcinė klasifikacija parengta remiantis</w:t>
      </w:r>
      <w:r w:rsidR="00F71676">
        <w:rPr>
          <w:lang w:val="lt-LT"/>
        </w:rPr>
        <w:t xml:space="preserve"> </w:t>
      </w:r>
      <w:r>
        <w:rPr>
          <w:lang w:val="lt-LT"/>
        </w:rPr>
        <w:t>Valstybės funkcijų klasifikatoriumi (COFOG).</w:t>
      </w:r>
      <w:r w:rsidR="00D73597">
        <w:rPr>
          <w:lang w:val="lt-LT"/>
        </w:rPr>
        <w:t xml:space="preserve"> </w:t>
      </w:r>
    </w:p>
    <w:p w:rsidR="0004101C" w:rsidRDefault="00D73597" w:rsidP="0004101C">
      <w:pPr>
        <w:spacing w:line="360" w:lineRule="auto"/>
        <w:ind w:firstLine="561"/>
        <w:jc w:val="both"/>
        <w:rPr>
          <w:b/>
          <w:sz w:val="20"/>
          <w:szCs w:val="20"/>
        </w:rPr>
      </w:pPr>
      <w:r>
        <w:rPr>
          <w:noProof/>
        </w:rPr>
        <w:drawing>
          <wp:inline distT="0" distB="0" distL="0" distR="0" wp14:anchorId="64DEC2EF" wp14:editId="50E92BA2">
            <wp:extent cx="5746283" cy="2329313"/>
            <wp:effectExtent l="0" t="0" r="0" b="13970"/>
            <wp:docPr id="7" name="Diagram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rsidR="0004101C" w:rsidRDefault="008D0149" w:rsidP="0004101C">
      <w:pPr>
        <w:spacing w:line="360" w:lineRule="auto"/>
        <w:ind w:firstLine="561"/>
        <w:jc w:val="both"/>
        <w:rPr>
          <w:lang w:val="lt-LT"/>
        </w:rPr>
      </w:pPr>
      <w:r w:rsidRPr="008D0149">
        <w:rPr>
          <w:b/>
          <w:sz w:val="20"/>
          <w:szCs w:val="20"/>
        </w:rPr>
        <w:t>Šaltinis:</w:t>
      </w:r>
      <w:r w:rsidRPr="008D0149">
        <w:rPr>
          <w:sz w:val="20"/>
          <w:szCs w:val="20"/>
        </w:rPr>
        <w:t xml:space="preserve"> sudaryta pagal Lietuvos statistikos departamentą</w:t>
      </w:r>
      <w:r w:rsidR="0004101C">
        <w:rPr>
          <w:lang w:val="lt-LT"/>
        </w:rPr>
        <w:t xml:space="preserve"> </w:t>
      </w:r>
    </w:p>
    <w:p w:rsidR="008A7908" w:rsidRDefault="00580E29" w:rsidP="00A204BB">
      <w:pPr>
        <w:pStyle w:val="Caption"/>
      </w:pPr>
      <w:bookmarkStart w:id="27" w:name="_Toc385239357"/>
      <w:r>
        <w:t xml:space="preserve">4 </w:t>
      </w:r>
      <w:r w:rsidR="008D0149">
        <w:t>p</w:t>
      </w:r>
      <w:r w:rsidR="008D0149" w:rsidRPr="008D0149">
        <w:t xml:space="preserve">av. </w:t>
      </w:r>
      <w:r w:rsidR="008D0149">
        <w:t>Savivaldybių biudžeto išlaidų klasifikacija</w:t>
      </w:r>
      <w:r w:rsidR="008D0149" w:rsidRPr="008D0149">
        <w:t xml:space="preserve"> pagal COFOG</w:t>
      </w:r>
      <w:bookmarkEnd w:id="27"/>
    </w:p>
    <w:p w:rsidR="00EC5900" w:rsidRPr="00EC5900" w:rsidRDefault="00EC5900" w:rsidP="00EC5900">
      <w:pPr>
        <w:rPr>
          <w:lang w:val="en-AU"/>
        </w:rPr>
      </w:pPr>
    </w:p>
    <w:p w:rsidR="006312D0" w:rsidRDefault="008A7908" w:rsidP="00F71676">
      <w:pPr>
        <w:spacing w:line="360" w:lineRule="auto"/>
        <w:ind w:firstLine="561"/>
        <w:jc w:val="both"/>
      </w:pPr>
      <w:r>
        <w:t>COFOG</w:t>
      </w:r>
      <w:r w:rsidR="00EC5900">
        <w:t xml:space="preserve"> (</w:t>
      </w:r>
      <w:proofErr w:type="gramStart"/>
      <w:r w:rsidR="00EC5900">
        <w:t>angl</w:t>
      </w:r>
      <w:proofErr w:type="gramEnd"/>
      <w:r w:rsidR="00EC5900">
        <w:t xml:space="preserve">. </w:t>
      </w:r>
      <w:r w:rsidR="00EC5900" w:rsidRPr="00EC5900">
        <w:rPr>
          <w:i/>
        </w:rPr>
        <w:t>Classification of the Functions of Government</w:t>
      </w:r>
      <w:r w:rsidR="00EC5900">
        <w:t>)</w:t>
      </w:r>
      <w:r>
        <w:t xml:space="preserve"> -</w:t>
      </w:r>
      <w:r w:rsidRPr="008A7908">
        <w:t xml:space="preserve"> </w:t>
      </w:r>
      <w:proofErr w:type="gramStart"/>
      <w:r>
        <w:t>t</w:t>
      </w:r>
      <w:r w:rsidRPr="008A7908">
        <w:t>ai</w:t>
      </w:r>
      <w:proofErr w:type="gramEnd"/>
      <w:r w:rsidRPr="008A7908">
        <w:t xml:space="preserve"> tarptautinis klasifikatorius, vienas iš nacionalinių sąskaitų sistemoje naudojamų funkcinių klasifikatorių. Klasifikatorius taikomas valdžios sektoriaus sandoriams (operacijoms) klasifikuoti, įskaitanti valdžios galutinio vartojimo išlaidų, tarpinio vartojimo, bendrojo kapitalo formavimo bei kapitalo ir einamųjų pervedimų sąnaudas pagal funkcijas. Lietuvoje įsigaliojo nuo 1999 kovo 1 d.</w:t>
      </w:r>
    </w:p>
    <w:p w:rsidR="008D0A73" w:rsidRDefault="00BD07D3" w:rsidP="00F71676">
      <w:pPr>
        <w:spacing w:line="360" w:lineRule="auto"/>
        <w:ind w:firstLine="561"/>
        <w:jc w:val="both"/>
      </w:pPr>
      <w:r>
        <w:tab/>
        <w:t>Savivaldybių biudžeto paj</w:t>
      </w:r>
      <w:r w:rsidR="008D0A73">
        <w:t>amų nustatymo metodikos įstatymas, Biudžeto sandaros įstatymas ir Vietos savivaldos įstatymas nustato</w:t>
      </w:r>
      <w:r>
        <w:t xml:space="preserve"> savivaldybių biud</w:t>
      </w:r>
      <w:r w:rsidR="008D0A73">
        <w:t xml:space="preserve">žetų pajamų šaltinius (žr. </w:t>
      </w:r>
      <w:r w:rsidR="00580E29">
        <w:t xml:space="preserve">5 </w:t>
      </w:r>
      <w:r w:rsidR="008D0A73">
        <w:t>pav.)</w:t>
      </w:r>
    </w:p>
    <w:p w:rsidR="008D0A73" w:rsidRDefault="008D0A73" w:rsidP="00F71676">
      <w:pPr>
        <w:spacing w:line="360" w:lineRule="auto"/>
        <w:ind w:firstLine="561"/>
        <w:jc w:val="both"/>
      </w:pPr>
    </w:p>
    <w:p w:rsidR="006312D0" w:rsidRPr="00BD07D3" w:rsidRDefault="00BD07D3" w:rsidP="00BD07D3">
      <w:pPr>
        <w:ind w:firstLine="562"/>
      </w:pPr>
      <w:r>
        <w:lastRenderedPageBreak/>
        <w:t xml:space="preserve"> </w:t>
      </w:r>
      <w:r w:rsidR="008D0A73">
        <w:rPr>
          <w:noProof/>
        </w:rPr>
        <w:drawing>
          <wp:inline distT="0" distB="0" distL="0" distR="0" wp14:anchorId="1C3BB368" wp14:editId="395E502F">
            <wp:extent cx="5305647" cy="1977656"/>
            <wp:effectExtent l="0" t="0" r="0" b="22860"/>
            <wp:docPr id="15" name="Diagram 1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inline>
        </w:drawing>
      </w:r>
    </w:p>
    <w:p w:rsidR="008D0A73" w:rsidRDefault="008D0A73" w:rsidP="00583073">
      <w:pPr>
        <w:ind w:firstLine="562"/>
        <w:rPr>
          <w:b/>
          <w:sz w:val="20"/>
          <w:szCs w:val="20"/>
        </w:rPr>
      </w:pPr>
    </w:p>
    <w:p w:rsidR="00E24CB8" w:rsidRDefault="008D0A73" w:rsidP="00583073">
      <w:pPr>
        <w:ind w:firstLine="562"/>
        <w:rPr>
          <w:sz w:val="20"/>
          <w:szCs w:val="20"/>
        </w:rPr>
      </w:pPr>
      <w:r w:rsidRPr="008D0A73">
        <w:rPr>
          <w:b/>
          <w:sz w:val="20"/>
          <w:szCs w:val="20"/>
        </w:rPr>
        <w:t xml:space="preserve">Šaltinis: </w:t>
      </w:r>
      <w:r w:rsidRPr="008D0A73">
        <w:rPr>
          <w:sz w:val="20"/>
          <w:szCs w:val="20"/>
        </w:rPr>
        <w:t>sudaryta pagal Savivaldybių biudžeto pajamų nustatymo metodikos įstatymą</w:t>
      </w:r>
    </w:p>
    <w:p w:rsidR="008D0A73" w:rsidRDefault="008D0A73" w:rsidP="00583073">
      <w:pPr>
        <w:ind w:firstLine="562"/>
        <w:rPr>
          <w:sz w:val="20"/>
          <w:szCs w:val="20"/>
        </w:rPr>
      </w:pPr>
    </w:p>
    <w:p w:rsidR="008D0A73" w:rsidRDefault="00580E29" w:rsidP="000852CC">
      <w:pPr>
        <w:pStyle w:val="Caption"/>
        <w:ind w:left="0" w:firstLine="0"/>
      </w:pPr>
      <w:bookmarkStart w:id="28" w:name="_Toc385239358"/>
      <w:r>
        <w:t xml:space="preserve">5 </w:t>
      </w:r>
      <w:r w:rsidR="008D0A73" w:rsidRPr="008D0A73">
        <w:t>pav. Savivaldybių biudžetų pajamų šaltiniai</w:t>
      </w:r>
      <w:bookmarkEnd w:id="28"/>
    </w:p>
    <w:p w:rsidR="008D0A73" w:rsidRDefault="008D0A73" w:rsidP="008D0A73">
      <w:pPr>
        <w:ind w:firstLine="562"/>
        <w:jc w:val="center"/>
        <w:rPr>
          <w:b/>
        </w:rPr>
      </w:pPr>
    </w:p>
    <w:p w:rsidR="008D0A73" w:rsidRDefault="00FE19D5" w:rsidP="00F71676">
      <w:pPr>
        <w:spacing w:line="360" w:lineRule="auto"/>
        <w:ind w:firstLine="561"/>
        <w:jc w:val="both"/>
        <w:rPr>
          <w:lang w:val="lt-LT"/>
        </w:rPr>
      </w:pPr>
      <w:r w:rsidRPr="00FE19D5">
        <w:rPr>
          <w:i/>
        </w:rPr>
        <w:t>Mokestinės pajamos</w:t>
      </w:r>
      <w:r>
        <w:t xml:space="preserve"> skirtos savivaldybių savarankiškoms funkcijoms atlikti. Savivaldybių mokestinių pajamų šaltiniams priskiriamus visus mokesčius, išskyrus gyventojų pajamų mokestį ir mokesčius už prekes ir paslaugas, Valstybinė mokesčių inspekcija tiesiogiai perveda į jų biudžetus. Gyventojų pajamų mokestis yra dalijamasis: viena dalis tenka valstybės, kita dalis – savivaldybių biudžetams (Davulis, 2006). </w:t>
      </w:r>
      <w:r>
        <w:rPr>
          <w:lang w:val="lt-LT"/>
        </w:rPr>
        <w:t>Šis mokestis pervedamas į savivaldybių biudžetus po atskaitymų už išduotus verslo liudijimus, po atskaitymų į Privalomąjį sveikatos draudimo fondą</w:t>
      </w:r>
      <w:r w:rsidR="005A794C">
        <w:rPr>
          <w:lang w:val="lt-LT"/>
        </w:rPr>
        <w:t xml:space="preserve"> ir, jeigu numatyta – po dalies atskaitymo į va</w:t>
      </w:r>
      <w:r w:rsidR="00BD7D17">
        <w:rPr>
          <w:lang w:val="lt-LT"/>
        </w:rPr>
        <w:t xml:space="preserve">lstybės biudžetą. Gyventojų pajamų mokestis savivaldybėms pervedama </w:t>
      </w:r>
      <w:r w:rsidR="00BD7D17">
        <w:t>100 proc. i</w:t>
      </w:r>
      <w:r w:rsidR="00BD7D17">
        <w:rPr>
          <w:lang w:val="lt-LT"/>
        </w:rPr>
        <w:t xml:space="preserve">šskyrus savivaldybes-donores: Vilniaus – </w:t>
      </w:r>
      <w:r w:rsidR="00BD7D17">
        <w:t>40 proc., Kauno – 94 proc., Klaip</w:t>
      </w:r>
      <w:r w:rsidR="00BD7D17">
        <w:rPr>
          <w:lang w:val="lt-LT"/>
        </w:rPr>
        <w:t xml:space="preserve">ėdos – </w:t>
      </w:r>
      <w:r w:rsidR="00BD7D17">
        <w:t>86 proc., Ma</w:t>
      </w:r>
      <w:r w:rsidR="0027355F">
        <w:t>žeikių – 95 proc. Gyventoj</w:t>
      </w:r>
      <w:r w:rsidR="0027355F">
        <w:rPr>
          <w:lang w:val="lt-LT"/>
        </w:rPr>
        <w:t xml:space="preserve">ų pajamų mokestis mokamas tai savivaldybei, kur yra deklaravęs savo gyvenamąją vietą, o ne kurioje dirba (Šilinienė, 2003). </w:t>
      </w:r>
      <w:r w:rsidR="009924B5">
        <w:rPr>
          <w:lang w:val="lt-LT"/>
        </w:rPr>
        <w:t>Prek</w:t>
      </w:r>
      <w:r w:rsidR="00F71676">
        <w:rPr>
          <w:lang w:val="lt-LT"/>
        </w:rPr>
        <w:t>ių ir paslaugų mokesčius sudaro</w:t>
      </w:r>
      <w:r w:rsidR="00F71676" w:rsidRPr="00F71676">
        <w:rPr>
          <w:color w:val="FFFFFF" w:themeColor="background1"/>
          <w:lang w:val="lt-LT"/>
        </w:rPr>
        <w:t>_</w:t>
      </w:r>
      <w:r w:rsidR="009924B5">
        <w:rPr>
          <w:lang w:val="lt-LT"/>
        </w:rPr>
        <w:t>pridėtinės vertės, akcizai, loterijos ir azartinių lošimų, transporto priemonių, aplinkos teršimo mokesčiai ir rinkliavos</w:t>
      </w:r>
    </w:p>
    <w:p w:rsidR="009924B5" w:rsidRPr="0027355F" w:rsidRDefault="009924B5" w:rsidP="00F71676">
      <w:pPr>
        <w:spacing w:line="360" w:lineRule="auto"/>
        <w:ind w:firstLine="561"/>
        <w:jc w:val="both"/>
        <w:rPr>
          <w:lang w:val="lt-LT"/>
        </w:rPr>
      </w:pPr>
      <w:r w:rsidRPr="006A32F8">
        <w:rPr>
          <w:i/>
          <w:lang w:val="lt-LT"/>
        </w:rPr>
        <w:t>Nemokestines pajamas</w:t>
      </w:r>
      <w:r>
        <w:rPr>
          <w:lang w:val="lt-LT"/>
        </w:rPr>
        <w:t xml:space="preserve"> sudaro turto pajamos, kurias sudaro dividendai, mokesčiai už valstybinę žemę, valstybinio vandens fondo telkinius, gamtos išteklius; </w:t>
      </w:r>
      <w:r w:rsidR="006A32F8">
        <w:rPr>
          <w:lang w:val="lt-LT"/>
        </w:rPr>
        <w:t>pajamos iš baudų ir konfiskacijos; kitos pajamos, ilgalaikio materialiojo realizavimo pajamos bei vietinės ir valstybinės rinkliavos. Nemokestinės pajamos taip pat skiriamos savarankiškoms savivaldybių funkcijoms atlikti.</w:t>
      </w:r>
    </w:p>
    <w:p w:rsidR="006547F5" w:rsidRDefault="006A32F8" w:rsidP="00F71676">
      <w:pPr>
        <w:spacing w:line="360" w:lineRule="auto"/>
        <w:ind w:firstLine="561"/>
        <w:jc w:val="both"/>
      </w:pPr>
      <w:r>
        <w:t xml:space="preserve">Mokestines ir nemokestines pajamas galima vadinti nuosavomis savivaldybių pajamomis, o </w:t>
      </w:r>
      <w:r w:rsidRPr="001749A1">
        <w:rPr>
          <w:i/>
        </w:rPr>
        <w:t>dotacijos</w:t>
      </w:r>
      <w:r>
        <w:t xml:space="preserve"> bendriausiais bruožais suprantama kaip dovana. Pasak Rimo (2000), dotacijos – tai </w:t>
      </w:r>
      <w:r w:rsidR="001749A1">
        <w:t xml:space="preserve">mokesčių mokėtojų sumokėtos lėšos valstybei, duodamos vietiniams biudžetams, kad šie padengtų išlaidas, kurios viršija pajamas. Kitaip tariant, tai yra valstybės paskirta lėšų suma, valstybės perduotoms savivaldybės funkcijoms vykdyti, kurios nepanaudotas likutis metų pabaigoje grąžinamas į valstybės biudžetą (Davulis, 2006). </w:t>
      </w:r>
      <w:r w:rsidR="0087292B">
        <w:t>Valstybės biudžeto d</w:t>
      </w:r>
      <w:r w:rsidR="006547F5">
        <w:t>otacijų klasifikacija pavaizduota</w:t>
      </w:r>
      <w:r w:rsidR="00580E29">
        <w:t xml:space="preserve"> šeštame</w:t>
      </w:r>
      <w:r w:rsidR="006547F5">
        <w:t xml:space="preserve"> paveiksle.</w:t>
      </w:r>
    </w:p>
    <w:p w:rsidR="006547F5" w:rsidRDefault="006547F5" w:rsidP="001749A1">
      <w:pPr>
        <w:ind w:firstLine="562"/>
      </w:pPr>
    </w:p>
    <w:p w:rsidR="006547F5" w:rsidRDefault="006547F5" w:rsidP="001749A1">
      <w:pPr>
        <w:ind w:firstLine="562"/>
      </w:pPr>
      <w:r>
        <w:rPr>
          <w:noProof/>
        </w:rPr>
        <w:drawing>
          <wp:inline distT="0" distB="0" distL="0" distR="0" wp14:anchorId="7236E5C6" wp14:editId="3F19E0CE">
            <wp:extent cx="5132070" cy="1954530"/>
            <wp:effectExtent l="0" t="0" r="0" b="26670"/>
            <wp:docPr id="16" name="Diagram 1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5" r:lo="rId26" r:qs="rId27" r:cs="rId28"/>
              </a:graphicData>
            </a:graphic>
          </wp:inline>
        </w:drawing>
      </w:r>
    </w:p>
    <w:p w:rsidR="006547F5" w:rsidRDefault="006547F5" w:rsidP="001749A1">
      <w:pPr>
        <w:ind w:firstLine="562"/>
      </w:pPr>
    </w:p>
    <w:p w:rsidR="006547F5" w:rsidRDefault="006547F5" w:rsidP="001749A1">
      <w:pPr>
        <w:ind w:firstLine="562"/>
        <w:rPr>
          <w:sz w:val="20"/>
          <w:szCs w:val="20"/>
        </w:rPr>
      </w:pPr>
      <w:r w:rsidRPr="0087292B">
        <w:rPr>
          <w:b/>
          <w:sz w:val="20"/>
          <w:szCs w:val="20"/>
        </w:rPr>
        <w:t>Šaltinis:</w:t>
      </w:r>
      <w:r w:rsidRPr="006547F5">
        <w:rPr>
          <w:sz w:val="20"/>
          <w:szCs w:val="20"/>
        </w:rPr>
        <w:t xml:space="preserve"> sudaryta pagal LR savivaldybių biudžetų pajamų nustatymo metodikos įstatymą</w:t>
      </w:r>
    </w:p>
    <w:p w:rsidR="0087292B" w:rsidRDefault="0087292B" w:rsidP="001749A1">
      <w:pPr>
        <w:ind w:firstLine="562"/>
        <w:rPr>
          <w:sz w:val="20"/>
          <w:szCs w:val="20"/>
        </w:rPr>
      </w:pPr>
    </w:p>
    <w:p w:rsidR="0087292B" w:rsidRPr="0087292B" w:rsidRDefault="00580E29" w:rsidP="000852CC">
      <w:pPr>
        <w:pStyle w:val="Caption"/>
        <w:ind w:left="0" w:firstLine="0"/>
      </w:pPr>
      <w:r>
        <w:t xml:space="preserve"> </w:t>
      </w:r>
      <w:bookmarkStart w:id="29" w:name="_Toc385239359"/>
      <w:r>
        <w:t xml:space="preserve">6 </w:t>
      </w:r>
      <w:r w:rsidR="0087292B" w:rsidRPr="0087292B">
        <w:t>pav. Valstybės biudžeto dotacijų klasifikacija</w:t>
      </w:r>
      <w:bookmarkEnd w:id="29"/>
    </w:p>
    <w:p w:rsidR="006547F5" w:rsidRDefault="006547F5" w:rsidP="00F71676">
      <w:pPr>
        <w:spacing w:line="360" w:lineRule="auto"/>
        <w:ind w:firstLine="562"/>
        <w:jc w:val="both"/>
      </w:pPr>
    </w:p>
    <w:p w:rsidR="0087292B" w:rsidRDefault="001749A1" w:rsidP="00F71676">
      <w:pPr>
        <w:spacing w:line="360" w:lineRule="auto"/>
        <w:ind w:firstLine="562"/>
        <w:jc w:val="both"/>
        <w:rPr>
          <w:lang w:val="lt-LT"/>
        </w:rPr>
      </w:pPr>
      <w:r>
        <w:t>Pagal Savivaldybi</w:t>
      </w:r>
      <w:r>
        <w:rPr>
          <w:lang w:val="lt-LT"/>
        </w:rPr>
        <w:t>ų biudžetų pajamų nustatymo metodikos įstatymo pakeitimo įstatymą valstybės biudžeto bendroji dotacija skiriama:</w:t>
      </w:r>
    </w:p>
    <w:p w:rsidR="0087292B" w:rsidRDefault="001749A1" w:rsidP="00CC565B">
      <w:pPr>
        <w:pStyle w:val="ListParagraph"/>
        <w:numPr>
          <w:ilvl w:val="0"/>
          <w:numId w:val="7"/>
        </w:numPr>
        <w:spacing w:line="360" w:lineRule="auto"/>
        <w:jc w:val="both"/>
        <w:rPr>
          <w:lang w:val="lt-LT"/>
        </w:rPr>
      </w:pPr>
      <w:r w:rsidRPr="0087292B">
        <w:rPr>
          <w:lang w:val="lt-LT"/>
        </w:rPr>
        <w:t>savivaldybių gyventojų pajamų mokesčiui išlyginti, kai prognozuojama, kad valstybės iždo sąskaitoje trūks šiam tikslui lėšų;</w:t>
      </w:r>
    </w:p>
    <w:p w:rsidR="00BC763D" w:rsidRPr="00580E29" w:rsidRDefault="001749A1" w:rsidP="00CC565B">
      <w:pPr>
        <w:pStyle w:val="ListParagraph"/>
        <w:numPr>
          <w:ilvl w:val="0"/>
          <w:numId w:val="7"/>
        </w:numPr>
        <w:spacing w:line="360" w:lineRule="auto"/>
        <w:jc w:val="both"/>
        <w:rPr>
          <w:lang w:val="lt-LT"/>
        </w:rPr>
      </w:pPr>
      <w:r w:rsidRPr="0087292B">
        <w:rPr>
          <w:lang w:val="lt-LT"/>
        </w:rPr>
        <w:t>savivaldybių išlaidų struktūrų skirtumamsišlyginti, kuriuos lemianuo savivaldybių veiklos nepriklausantysobjektyvūs veiksniai, kai prognozuojama, kad valstybės iždo sąskaitoje šiam tikslui trūks lėšų.</w:t>
      </w:r>
    </w:p>
    <w:p w:rsidR="0087292B" w:rsidRDefault="0087292B" w:rsidP="00F71676">
      <w:pPr>
        <w:spacing w:line="360" w:lineRule="auto"/>
        <w:ind w:firstLine="360"/>
        <w:jc w:val="both"/>
      </w:pPr>
      <w:r>
        <w:t>Valstybės biudžeto specialios tikslinės dotacijos savivaldybių biudžetams skiriamos:</w:t>
      </w:r>
    </w:p>
    <w:p w:rsidR="0087292B" w:rsidRDefault="0087292B" w:rsidP="00CC565B">
      <w:pPr>
        <w:pStyle w:val="ListParagraph"/>
        <w:numPr>
          <w:ilvl w:val="0"/>
          <w:numId w:val="8"/>
        </w:numPr>
        <w:spacing w:line="360" w:lineRule="auto"/>
        <w:jc w:val="both"/>
      </w:pPr>
      <w:r>
        <w:t>valstybinėms (valstybės perduotoms savivaldybėms) funkcijoms atlikti – pagal nustatytą šioms funkcijoms atlikti lėšų apskaičiavimo metodiką;</w:t>
      </w:r>
    </w:p>
    <w:p w:rsidR="0087292B" w:rsidRDefault="0087292B" w:rsidP="00CC565B">
      <w:pPr>
        <w:pStyle w:val="ListParagraph"/>
        <w:numPr>
          <w:ilvl w:val="0"/>
          <w:numId w:val="8"/>
        </w:numPr>
        <w:spacing w:line="360" w:lineRule="auto"/>
        <w:jc w:val="both"/>
      </w:pPr>
      <w:r>
        <w:t>mokinio krepšeliui finansuoti vykdant Vietos savivaldos įstatymo 6 straipsnio 8 punkte nustatytą savarankiškąją savivaldybių funkciją ir Vietos savivaldos įstatymo 7 straipsnio 7 punkte nustatytą valstybinę (valstybės perduotą savivaldybėms) funkciją – pagal Vyriausybės ar jos įgaliotos institucijos nustatytą tvarką;</w:t>
      </w:r>
    </w:p>
    <w:p w:rsidR="002A7538" w:rsidRPr="00A3107B" w:rsidRDefault="0087292B" w:rsidP="00CC565B">
      <w:pPr>
        <w:pStyle w:val="ListParagraph"/>
        <w:numPr>
          <w:ilvl w:val="0"/>
          <w:numId w:val="8"/>
        </w:numPr>
        <w:spacing w:line="360" w:lineRule="auto"/>
        <w:jc w:val="both"/>
      </w:pPr>
      <w:r>
        <w:t>Seimo, Vyriausybės patvirtintoms programoms ar priimtiems sprendimams vykdyti.</w:t>
      </w:r>
    </w:p>
    <w:p w:rsidR="003F2E12" w:rsidRDefault="0087292B" w:rsidP="000852CC">
      <w:pPr>
        <w:spacing w:line="360" w:lineRule="auto"/>
        <w:ind w:firstLine="709"/>
        <w:jc w:val="both"/>
      </w:pPr>
      <w:r w:rsidRPr="003F2E12">
        <w:rPr>
          <w:i/>
        </w:rPr>
        <w:t>Valstybės biudžeto bendrosios dotacijos</w:t>
      </w:r>
      <w:r>
        <w:t xml:space="preserve"> kompensacijos savivaldybių biudžetams skiriamos dėl Seimo ar Vyriausybės priimtų sprendimų atsirandantiems savivaldybių biudžetų pajamų ir išlaidų pokyčiams kompensuoti.</w:t>
      </w:r>
    </w:p>
    <w:p w:rsidR="003D051E" w:rsidRDefault="002A7538" w:rsidP="00F71676">
      <w:pPr>
        <w:spacing w:line="360" w:lineRule="auto"/>
        <w:jc w:val="both"/>
        <w:rPr>
          <w:lang w:val="lt-LT"/>
        </w:rPr>
      </w:pPr>
      <w:r>
        <w:tab/>
        <w:t>Savival</w:t>
      </w:r>
      <w:r w:rsidR="006663AA">
        <w:t>dybių biudžetų nustatymo metodik</w:t>
      </w:r>
      <w:r>
        <w:t xml:space="preserve">os įstatymo </w:t>
      </w:r>
      <w:r w:rsidR="00DF20DC">
        <w:t>12 str. numato</w:t>
      </w:r>
      <w:r w:rsidR="00DF20DC">
        <w:rPr>
          <w:lang w:val="lt-LT"/>
        </w:rPr>
        <w:t xml:space="preserve">, kad jei savivaldybių pajamos per metus padidėjo, tai iš savivaldybių biudžetų yra grąžinama atgal į valstybės biudžetą. Pasak Civinsko </w:t>
      </w:r>
      <w:r w:rsidR="00DF20DC">
        <w:rPr>
          <w:lang w:val="lt-LT"/>
        </w:rPr>
        <w:lastRenderedPageBreak/>
        <w:t>ir Tolvaišio (</w:t>
      </w:r>
      <w:r w:rsidR="00DF20DC">
        <w:t>2006), savivaldyb</w:t>
      </w:r>
      <w:r w:rsidR="00DF20DC">
        <w:rPr>
          <w:lang w:val="lt-LT"/>
        </w:rPr>
        <w:t>ės tarsi pasiskirsto į donores ir recipientes, nes nustatoma gyventojų pajamų mokesčių fiksuota dalis ir bendrosios dotacijos kompensacijos iš savivaldybių biudžetų, kurių paj</w:t>
      </w:r>
      <w:r w:rsidR="00580E29">
        <w:rPr>
          <w:lang w:val="lt-LT"/>
        </w:rPr>
        <w:t>amos per metus padidėja daugiau</w:t>
      </w:r>
      <w:r w:rsidR="00580E29" w:rsidRPr="00580E29">
        <w:rPr>
          <w:color w:val="FFFFFF" w:themeColor="background1"/>
          <w:lang w:val="lt-LT"/>
        </w:rPr>
        <w:t>_</w:t>
      </w:r>
      <w:r w:rsidR="00DF20DC">
        <w:rPr>
          <w:lang w:val="lt-LT"/>
        </w:rPr>
        <w:t>nei nustatytas lygis.</w:t>
      </w:r>
      <w:r w:rsidR="005D4319">
        <w:rPr>
          <w:lang w:val="lt-LT"/>
        </w:rPr>
        <w:t xml:space="preserve"> Gyventojų pajamų dydis ir bendrosios dotacijos atskaitymo iš savivaldybių, kurių pajamos viršijo įstatymų numatytą procentą, pervedimas į valstybės biudžetą kitoms savivaldybėms remti, gali slopinti savivaldybių donorių (Vilniaus, Kauno, Klaipėdos ir Mažeikių) norą skatinti ekonomikos plėtrą ir didinti pajamų įplaukas savo valdomoje teritorijoje. </w:t>
      </w:r>
    </w:p>
    <w:p w:rsidR="003F2E12" w:rsidRDefault="005D4319" w:rsidP="00F71676">
      <w:pPr>
        <w:spacing w:line="360" w:lineRule="auto"/>
        <w:ind w:firstLine="720"/>
        <w:jc w:val="both"/>
      </w:pPr>
      <w:r>
        <w:rPr>
          <w:lang w:val="lt-LT"/>
        </w:rPr>
        <w:t>Mokslininkas Davulis (</w:t>
      </w:r>
      <w:r>
        <w:t xml:space="preserve">2006) teigia, kad Lietuvos savivaldybių nuosavos lėšos ne visai atitinka jų sampratą, nes idealiu atveju nuosavų lėšų formavimas turėtų visiškai priklausyti nuo vietos valdžios sprendimų. </w:t>
      </w:r>
      <w:r w:rsidR="00CF7F36">
        <w:t>Nuosavų lėšų Lietuvos savivaldybių</w:t>
      </w:r>
      <w:r w:rsidR="00253DAD">
        <w:t xml:space="preserve"> </w:t>
      </w:r>
      <w:r w:rsidR="00CF7F36">
        <w:t>biudžetuose</w:t>
      </w:r>
      <w:r w:rsidR="00253DAD">
        <w:t xml:space="preserve"> praktiškai nera, o savivaldybės turi ribotas galimybes reguliuoti tokias pajamas. Praktikoje savivaldybių nepanaudotos valstybės biudžeto lėšos metų pabaigoje grąžinamos į valstybės biudžetą. Tai verčia savivaldybes išleisti visus iš valstybės biudžeto joms pervestus pinigus, kadangi nepanaudota jų </w:t>
      </w:r>
      <w:r w:rsidR="003D051E">
        <w:t>dalis pasibaigus metams vis tiek bus prarasta.</w:t>
      </w:r>
    </w:p>
    <w:p w:rsidR="003D051E" w:rsidRDefault="003D051E" w:rsidP="00F71676">
      <w:pPr>
        <w:spacing w:line="360" w:lineRule="auto"/>
        <w:ind w:firstLine="720"/>
        <w:jc w:val="both"/>
        <w:rPr>
          <w:lang w:val="lt-LT"/>
        </w:rPr>
      </w:pPr>
      <w:r>
        <w:t>Apžvelgus savivaldybių išlaidas, pajamas, skiriamas dotacijas, būtina aptarti paskutinę fiskalinės decentralizacijos dedamąją – skolinimosi mechanizmas. Baltušnikienės (2004) teigimu, Lietuvoje dominuoja administracinė savivaldybi</w:t>
      </w:r>
      <w:r>
        <w:rPr>
          <w:lang w:val="lt-LT"/>
        </w:rPr>
        <w:t>ų</w:t>
      </w:r>
      <w:r w:rsidR="009903EA">
        <w:rPr>
          <w:lang w:val="lt-LT"/>
        </w:rPr>
        <w:t xml:space="preserve"> skolinimosi mechanizmo reguliavimoir kontroliavimo sistema, kai savivaldybių skolinimosi apribojimus, peržiūrėdama ir sankcionuodama skolinimosi operacijas.</w:t>
      </w:r>
    </w:p>
    <w:p w:rsidR="00D82B52" w:rsidRDefault="00044B79" w:rsidP="00F71676">
      <w:pPr>
        <w:spacing w:line="360" w:lineRule="auto"/>
        <w:ind w:firstLine="720"/>
        <w:jc w:val="both"/>
        <w:rPr>
          <w:lang w:val="lt-LT"/>
        </w:rPr>
      </w:pPr>
      <w:r>
        <w:rPr>
          <w:lang w:val="lt-LT"/>
        </w:rPr>
        <w:t>Biudžeto sandaros įstatyme parašyta, kad jeigu savivaldy</w:t>
      </w:r>
      <w:r w:rsidR="00D82B52">
        <w:rPr>
          <w:lang w:val="lt-LT"/>
        </w:rPr>
        <w:t xml:space="preserve">bėms nepavyksta subalansuoti biudžeto, jos Vyriausybės nustatyta tvarka, laikydamosis Seimo patvirtintų limitų (žr. </w:t>
      </w:r>
      <w:r w:rsidR="00A637DA">
        <w:rPr>
          <w:lang w:val="lt-LT"/>
        </w:rPr>
        <w:t xml:space="preserve">lentelė), </w:t>
      </w:r>
      <w:r w:rsidR="00D82B52">
        <w:rPr>
          <w:lang w:val="lt-LT"/>
        </w:rPr>
        <w:t>gali:</w:t>
      </w:r>
    </w:p>
    <w:p w:rsidR="00D82B52" w:rsidRDefault="00D82B52" w:rsidP="00CC565B">
      <w:pPr>
        <w:pStyle w:val="ListParagraph"/>
        <w:numPr>
          <w:ilvl w:val="0"/>
          <w:numId w:val="9"/>
        </w:numPr>
        <w:spacing w:line="360" w:lineRule="auto"/>
        <w:jc w:val="both"/>
        <w:rPr>
          <w:lang w:val="lt-LT"/>
        </w:rPr>
      </w:pPr>
      <w:r w:rsidRPr="00D82B52">
        <w:rPr>
          <w:lang w:val="lt-LT"/>
        </w:rPr>
        <w:t>imti iš vidaus kreditorių arba užsienio kreditorių ilgalaikes (kurių trukmė ilgesnė kaip vieni metai ir grąžinimo terminas ne tais pačiais biudžetiniais metais) paskolas arba teikti garantijas dėl paskolų, naudojamų tik investicijų projektams finansuoti;</w:t>
      </w:r>
    </w:p>
    <w:p w:rsidR="00D82B52" w:rsidRDefault="00D82B52" w:rsidP="00CC565B">
      <w:pPr>
        <w:pStyle w:val="ListParagraph"/>
        <w:numPr>
          <w:ilvl w:val="0"/>
          <w:numId w:val="9"/>
        </w:numPr>
        <w:spacing w:line="360" w:lineRule="auto"/>
        <w:jc w:val="both"/>
        <w:rPr>
          <w:lang w:val="lt-LT"/>
        </w:rPr>
      </w:pPr>
      <w:r w:rsidRPr="00D82B52">
        <w:rPr>
          <w:lang w:val="lt-LT"/>
        </w:rPr>
        <w:t>imti iš vidaus kreditorių arba užsienio kreditorių trumpalaikes (kurių grąžinimo terminas tais pačiais biudžetiniais metais) paskolas biudžetiniais metais laikinam pajamų trūkumui padengti, kai nepakanka šiam tikslui savivaldybės biudžeto apyvartinių</w:t>
      </w:r>
      <w:r>
        <w:rPr>
          <w:lang w:val="lt-LT"/>
        </w:rPr>
        <w:t xml:space="preserve"> lėšų;</w:t>
      </w:r>
    </w:p>
    <w:p w:rsidR="00D82B52" w:rsidRDefault="00D82B52" w:rsidP="00CC565B">
      <w:pPr>
        <w:pStyle w:val="ListParagraph"/>
        <w:numPr>
          <w:ilvl w:val="0"/>
          <w:numId w:val="9"/>
        </w:numPr>
        <w:spacing w:line="360" w:lineRule="auto"/>
        <w:jc w:val="both"/>
        <w:rPr>
          <w:lang w:val="lt-LT"/>
        </w:rPr>
      </w:pPr>
      <w:r w:rsidRPr="00D82B52">
        <w:rPr>
          <w:lang w:val="lt-LT"/>
        </w:rPr>
        <w:t>Vyriausybės nustaty</w:t>
      </w:r>
      <w:r w:rsidR="00855841">
        <w:rPr>
          <w:lang w:val="lt-LT"/>
        </w:rPr>
        <w:t xml:space="preserve">ta tvarka iš valstybės biudžeto </w:t>
      </w:r>
      <w:r w:rsidRPr="00D82B52">
        <w:rPr>
          <w:lang w:val="lt-LT"/>
        </w:rPr>
        <w:t>apyvartinių lėšų savivaldybėms gali būti teikiamos trumpalaikės paskolos, kai susidarius laikinam pajamų trūkumui išnaudojamos savivaldybės biudžeto apyvartinės lėšos.</w:t>
      </w:r>
    </w:p>
    <w:p w:rsidR="00D82B52" w:rsidRDefault="00D82B52" w:rsidP="00CC565B">
      <w:pPr>
        <w:pStyle w:val="ListParagraph"/>
        <w:numPr>
          <w:ilvl w:val="0"/>
          <w:numId w:val="9"/>
        </w:numPr>
        <w:spacing w:line="360" w:lineRule="auto"/>
        <w:jc w:val="both"/>
        <w:rPr>
          <w:lang w:val="lt-LT"/>
        </w:rPr>
      </w:pPr>
      <w:r w:rsidRPr="00D82B52">
        <w:rPr>
          <w:lang w:val="lt-LT"/>
        </w:rPr>
        <w:t>Vyriausybės nustatyta tvarka iš valstybės biudžeto apyvartinių lėšų savivaldybėms gali būti teikiamos trumpalaikės arba ilgalaikės paskolos, kai dėl kredito įstaigų veiklos apribojimo ir (arba) jų licencijų atšaukimo savivaldybės negali disponuoti savo lėšomis ir dėl to trūksta apyvartinių lėšų.</w:t>
      </w:r>
    </w:p>
    <w:p w:rsidR="00D82B52" w:rsidRDefault="00D82B52" w:rsidP="00CC565B">
      <w:pPr>
        <w:pStyle w:val="ListParagraph"/>
        <w:numPr>
          <w:ilvl w:val="0"/>
          <w:numId w:val="9"/>
        </w:numPr>
        <w:spacing w:line="360" w:lineRule="auto"/>
        <w:jc w:val="both"/>
        <w:rPr>
          <w:lang w:val="lt-LT"/>
        </w:rPr>
      </w:pPr>
      <w:r w:rsidRPr="00D82B52">
        <w:rPr>
          <w:lang w:val="lt-LT"/>
        </w:rPr>
        <w:t>Biudžetinės įstaigos savo vardu negali skolintis</w:t>
      </w:r>
      <w:r>
        <w:rPr>
          <w:lang w:val="lt-LT"/>
        </w:rPr>
        <w:t xml:space="preserve"> lėšų, prisiimti jokių skolinių </w:t>
      </w:r>
      <w:r w:rsidRPr="00D82B52">
        <w:rPr>
          <w:lang w:val="lt-LT"/>
        </w:rPr>
        <w:t>įsipareigojimų.</w:t>
      </w:r>
    </w:p>
    <w:p w:rsidR="00A637DA" w:rsidRDefault="00A637DA" w:rsidP="00A637DA">
      <w:pPr>
        <w:pStyle w:val="ListParagraph"/>
        <w:jc w:val="center"/>
        <w:rPr>
          <w:lang w:val="lt-LT"/>
        </w:rPr>
      </w:pPr>
    </w:p>
    <w:p w:rsidR="00580E29" w:rsidRDefault="00580E29" w:rsidP="006F44C6">
      <w:pPr>
        <w:pStyle w:val="ListParagraph"/>
        <w:jc w:val="center"/>
        <w:outlineLvl w:val="0"/>
        <w:rPr>
          <w:lang w:val="lt-LT"/>
        </w:rPr>
      </w:pPr>
    </w:p>
    <w:p w:rsidR="00A637DA" w:rsidRDefault="00580E29" w:rsidP="00307606">
      <w:pPr>
        <w:pStyle w:val="Heading5"/>
        <w:rPr>
          <w:lang w:val="lt-LT"/>
        </w:rPr>
      </w:pPr>
      <w:bookmarkStart w:id="30" w:name="_Toc385242651"/>
      <w:bookmarkStart w:id="31" w:name="_Toc385432939"/>
      <w:r>
        <w:rPr>
          <w:lang w:val="lt-LT"/>
        </w:rPr>
        <w:t>6 l</w:t>
      </w:r>
      <w:r w:rsidR="00F71676">
        <w:rPr>
          <w:lang w:val="lt-LT"/>
        </w:rPr>
        <w:t xml:space="preserve">entelė. </w:t>
      </w:r>
      <w:r w:rsidR="00A637DA" w:rsidRPr="00A637DA">
        <w:rPr>
          <w:lang w:val="lt-LT"/>
        </w:rPr>
        <w:t>Savivaldybių skolinimosi limitai</w:t>
      </w:r>
      <w:bookmarkEnd w:id="30"/>
      <w:bookmarkEnd w:id="31"/>
    </w:p>
    <w:p w:rsidR="00A637DA" w:rsidRPr="00A637DA" w:rsidRDefault="00A637DA" w:rsidP="00A637DA">
      <w:pPr>
        <w:pStyle w:val="ListParagraph"/>
        <w:jc w:val="center"/>
        <w:rPr>
          <w:b/>
          <w:lang w:val="lt-LT"/>
        </w:rPr>
      </w:pPr>
    </w:p>
    <w:tbl>
      <w:tblPr>
        <w:tblStyle w:val="TableGrid1"/>
        <w:tblW w:w="9529" w:type="dxa"/>
        <w:tblLook w:val="04A0" w:firstRow="1" w:lastRow="0" w:firstColumn="1" w:lastColumn="0" w:noHBand="0" w:noVBand="1"/>
      </w:tblPr>
      <w:tblGrid>
        <w:gridCol w:w="1743"/>
        <w:gridCol w:w="1495"/>
        <w:gridCol w:w="1441"/>
        <w:gridCol w:w="1441"/>
        <w:gridCol w:w="1446"/>
        <w:gridCol w:w="1963"/>
      </w:tblGrid>
      <w:tr w:rsidR="00600DAC" w:rsidRPr="00580E29" w:rsidTr="00307606">
        <w:trPr>
          <w:trHeight w:val="986"/>
        </w:trPr>
        <w:tc>
          <w:tcPr>
            <w:tcW w:w="1743" w:type="dxa"/>
          </w:tcPr>
          <w:p w:rsidR="00600DAC" w:rsidRPr="00580E29" w:rsidRDefault="00600DAC" w:rsidP="00600DAC">
            <w:pPr>
              <w:pStyle w:val="ListParagraph"/>
              <w:ind w:left="0"/>
              <w:jc w:val="center"/>
              <w:rPr>
                <w:sz w:val="16"/>
                <w:lang w:val="lt-LT"/>
              </w:rPr>
            </w:pPr>
          </w:p>
        </w:tc>
        <w:tc>
          <w:tcPr>
            <w:tcW w:w="7786" w:type="dxa"/>
            <w:gridSpan w:val="5"/>
          </w:tcPr>
          <w:p w:rsidR="00600DAC" w:rsidRPr="00580E29" w:rsidRDefault="00600DAC" w:rsidP="00600DAC">
            <w:pPr>
              <w:pStyle w:val="ListParagraph"/>
              <w:ind w:left="0"/>
              <w:rPr>
                <w:b/>
                <w:sz w:val="16"/>
                <w:lang w:val="lt-LT"/>
              </w:rPr>
            </w:pPr>
            <w:r w:rsidRPr="00580E29">
              <w:rPr>
                <w:b/>
                <w:sz w:val="16"/>
                <w:lang w:val="lt-LT"/>
              </w:rPr>
              <w:t>Limitas proc.</w:t>
            </w:r>
          </w:p>
          <w:p w:rsidR="00600DAC" w:rsidRPr="00580E29" w:rsidRDefault="00600DAC" w:rsidP="00F71676">
            <w:pPr>
              <w:pStyle w:val="ListParagraph"/>
              <w:ind w:left="0"/>
              <w:rPr>
                <w:sz w:val="16"/>
                <w:lang w:val="lt-LT"/>
              </w:rPr>
            </w:pPr>
            <w:r w:rsidRPr="00580E29">
              <w:rPr>
                <w:sz w:val="16"/>
                <w:lang w:val="lt-LT"/>
              </w:rPr>
              <w:t>(nuo patvirtintų tų metų savivaldybės biudžeto pajamų (neįskaitant iš valstybės biudžeto savivaldybei skiriamų specialių tikslinių dotacijų ir valstybės biudžetui grąžinamų bendrosios dotacijos kompensacijų))</w:t>
            </w:r>
          </w:p>
        </w:tc>
      </w:tr>
      <w:tr w:rsidR="00600DAC" w:rsidRPr="00580E29" w:rsidTr="00307606">
        <w:tc>
          <w:tcPr>
            <w:tcW w:w="1743" w:type="dxa"/>
          </w:tcPr>
          <w:p w:rsidR="00C60427" w:rsidRPr="00580E29" w:rsidRDefault="00600DAC" w:rsidP="00600DAC">
            <w:pPr>
              <w:pStyle w:val="ListParagraph"/>
              <w:ind w:left="0"/>
              <w:jc w:val="center"/>
              <w:rPr>
                <w:b/>
                <w:sz w:val="16"/>
                <w:lang w:val="lt-LT"/>
              </w:rPr>
            </w:pPr>
            <w:r w:rsidRPr="00580E29">
              <w:rPr>
                <w:b/>
                <w:sz w:val="16"/>
                <w:lang w:val="lt-LT"/>
              </w:rPr>
              <w:t>Metai</w:t>
            </w:r>
          </w:p>
        </w:tc>
        <w:tc>
          <w:tcPr>
            <w:tcW w:w="1495" w:type="dxa"/>
          </w:tcPr>
          <w:p w:rsidR="00C60427" w:rsidRPr="00580E29" w:rsidRDefault="00C60427" w:rsidP="00600DAC">
            <w:pPr>
              <w:pStyle w:val="ListParagraph"/>
              <w:ind w:left="0"/>
              <w:jc w:val="center"/>
              <w:rPr>
                <w:sz w:val="16"/>
              </w:rPr>
            </w:pPr>
            <w:r w:rsidRPr="00580E29">
              <w:rPr>
                <w:sz w:val="16"/>
              </w:rPr>
              <w:t>2008</w:t>
            </w:r>
          </w:p>
        </w:tc>
        <w:tc>
          <w:tcPr>
            <w:tcW w:w="1441" w:type="dxa"/>
          </w:tcPr>
          <w:p w:rsidR="00C60427" w:rsidRPr="00580E29" w:rsidRDefault="00C60427" w:rsidP="00600DAC">
            <w:pPr>
              <w:pStyle w:val="ListParagraph"/>
              <w:ind w:left="0"/>
              <w:jc w:val="center"/>
              <w:rPr>
                <w:sz w:val="16"/>
                <w:lang w:val="lt-LT"/>
              </w:rPr>
            </w:pPr>
            <w:r w:rsidRPr="00580E29">
              <w:rPr>
                <w:sz w:val="16"/>
                <w:lang w:val="lt-LT"/>
              </w:rPr>
              <w:t>2009</w:t>
            </w:r>
          </w:p>
        </w:tc>
        <w:tc>
          <w:tcPr>
            <w:tcW w:w="1441" w:type="dxa"/>
          </w:tcPr>
          <w:p w:rsidR="00C60427" w:rsidRPr="00580E29" w:rsidRDefault="00C60427" w:rsidP="00600DAC">
            <w:pPr>
              <w:pStyle w:val="ListParagraph"/>
              <w:ind w:left="0"/>
              <w:jc w:val="center"/>
              <w:rPr>
                <w:sz w:val="16"/>
                <w:lang w:val="lt-LT"/>
              </w:rPr>
            </w:pPr>
            <w:r w:rsidRPr="00580E29">
              <w:rPr>
                <w:sz w:val="16"/>
                <w:lang w:val="lt-LT"/>
              </w:rPr>
              <w:t>2010</w:t>
            </w:r>
          </w:p>
        </w:tc>
        <w:tc>
          <w:tcPr>
            <w:tcW w:w="1446" w:type="dxa"/>
          </w:tcPr>
          <w:p w:rsidR="00C60427" w:rsidRPr="00580E29" w:rsidRDefault="00C60427" w:rsidP="00600DAC">
            <w:pPr>
              <w:pStyle w:val="ListParagraph"/>
              <w:ind w:left="0"/>
              <w:jc w:val="center"/>
              <w:rPr>
                <w:sz w:val="16"/>
                <w:lang w:val="lt-LT"/>
              </w:rPr>
            </w:pPr>
            <w:r w:rsidRPr="00580E29">
              <w:rPr>
                <w:sz w:val="16"/>
                <w:lang w:val="lt-LT"/>
              </w:rPr>
              <w:t>2011</w:t>
            </w:r>
          </w:p>
        </w:tc>
        <w:tc>
          <w:tcPr>
            <w:tcW w:w="1963" w:type="dxa"/>
          </w:tcPr>
          <w:p w:rsidR="00C60427" w:rsidRPr="00580E29" w:rsidRDefault="00C60427" w:rsidP="00600DAC">
            <w:pPr>
              <w:pStyle w:val="ListParagraph"/>
              <w:ind w:left="0"/>
              <w:jc w:val="center"/>
              <w:rPr>
                <w:sz w:val="16"/>
                <w:lang w:val="lt-LT"/>
              </w:rPr>
            </w:pPr>
            <w:r w:rsidRPr="00580E29">
              <w:rPr>
                <w:sz w:val="16"/>
                <w:lang w:val="lt-LT"/>
              </w:rPr>
              <w:t>201</w:t>
            </w:r>
            <w:r w:rsidR="00600DAC" w:rsidRPr="00580E29">
              <w:rPr>
                <w:sz w:val="16"/>
                <w:lang w:val="lt-LT"/>
              </w:rPr>
              <w:t>2</w:t>
            </w:r>
          </w:p>
        </w:tc>
      </w:tr>
      <w:tr w:rsidR="00600DAC" w:rsidRPr="00580E29" w:rsidTr="00307606">
        <w:tc>
          <w:tcPr>
            <w:tcW w:w="1743" w:type="dxa"/>
          </w:tcPr>
          <w:p w:rsidR="00600DAC" w:rsidRPr="00580E29" w:rsidRDefault="00600DAC" w:rsidP="00600DAC">
            <w:pPr>
              <w:pStyle w:val="ListParagraph"/>
              <w:ind w:left="0"/>
              <w:jc w:val="center"/>
              <w:rPr>
                <w:b/>
                <w:sz w:val="16"/>
                <w:lang w:val="lt-LT"/>
              </w:rPr>
            </w:pPr>
            <w:r w:rsidRPr="00580E29">
              <w:rPr>
                <w:b/>
                <w:sz w:val="16"/>
                <w:lang w:val="lt-LT"/>
              </w:rPr>
              <w:t>Savivaldybės skola</w:t>
            </w:r>
          </w:p>
        </w:tc>
        <w:tc>
          <w:tcPr>
            <w:tcW w:w="1495" w:type="dxa"/>
          </w:tcPr>
          <w:p w:rsidR="00600DAC" w:rsidRPr="00580E29" w:rsidRDefault="00600DAC" w:rsidP="00600DAC">
            <w:pPr>
              <w:pStyle w:val="ListParagraph"/>
              <w:ind w:left="0"/>
              <w:jc w:val="center"/>
              <w:rPr>
                <w:sz w:val="16"/>
              </w:rPr>
            </w:pPr>
            <w:r w:rsidRPr="00580E29">
              <w:rPr>
                <w:sz w:val="16"/>
                <w:lang w:val="lt-LT"/>
              </w:rPr>
              <w:t xml:space="preserve">35 (Vilniaus, Kauno miestų – </w:t>
            </w:r>
            <w:r w:rsidRPr="00580E29">
              <w:rPr>
                <w:sz w:val="16"/>
              </w:rPr>
              <w:t>50)</w:t>
            </w:r>
          </w:p>
        </w:tc>
        <w:tc>
          <w:tcPr>
            <w:tcW w:w="1441" w:type="dxa"/>
          </w:tcPr>
          <w:p w:rsidR="00600DAC" w:rsidRPr="00580E29" w:rsidRDefault="00600DAC" w:rsidP="00600DAC">
            <w:pPr>
              <w:jc w:val="center"/>
              <w:rPr>
                <w:sz w:val="16"/>
              </w:rPr>
            </w:pPr>
            <w:r w:rsidRPr="00580E29">
              <w:rPr>
                <w:sz w:val="16"/>
              </w:rPr>
              <w:t>30 (Vilniaus, Kauno miestų – 45)</w:t>
            </w:r>
          </w:p>
        </w:tc>
        <w:tc>
          <w:tcPr>
            <w:tcW w:w="1441" w:type="dxa"/>
          </w:tcPr>
          <w:p w:rsidR="00600DAC" w:rsidRPr="00580E29" w:rsidRDefault="00600DAC" w:rsidP="00600DAC">
            <w:pPr>
              <w:jc w:val="center"/>
              <w:rPr>
                <w:sz w:val="16"/>
              </w:rPr>
            </w:pPr>
            <w:r w:rsidRPr="00580E29">
              <w:rPr>
                <w:sz w:val="16"/>
              </w:rPr>
              <w:t>40 (Vilniaus, Kauno miestų – 55)</w:t>
            </w:r>
          </w:p>
        </w:tc>
        <w:tc>
          <w:tcPr>
            <w:tcW w:w="1446" w:type="dxa"/>
          </w:tcPr>
          <w:p w:rsidR="00600DAC" w:rsidRPr="00580E29" w:rsidRDefault="00600DAC" w:rsidP="00600DAC">
            <w:pPr>
              <w:jc w:val="center"/>
              <w:rPr>
                <w:sz w:val="16"/>
              </w:rPr>
            </w:pPr>
            <w:r w:rsidRPr="00580E29">
              <w:rPr>
                <w:sz w:val="16"/>
              </w:rPr>
              <w:t>40 (Kauno miesto – 55, Vilniaus miesto (neįskaitant iš valstybės biudžeto savivaldybei skiriamų specialių tikslinių dotacijų) – 85)</w:t>
            </w:r>
          </w:p>
        </w:tc>
        <w:tc>
          <w:tcPr>
            <w:tcW w:w="1963" w:type="dxa"/>
          </w:tcPr>
          <w:p w:rsidR="00600DAC" w:rsidRPr="00580E29" w:rsidRDefault="00600DAC" w:rsidP="00600DAC">
            <w:pPr>
              <w:jc w:val="center"/>
              <w:rPr>
                <w:sz w:val="16"/>
              </w:rPr>
            </w:pPr>
            <w:r w:rsidRPr="00580E29">
              <w:rPr>
                <w:sz w:val="16"/>
              </w:rPr>
              <w:t>70 (Vilniaus miesto (neįskaitant iš valstybės biudžeto savivaldybei skiriamų specialių tikslinių dotacijų) – 120)</w:t>
            </w:r>
          </w:p>
        </w:tc>
      </w:tr>
      <w:tr w:rsidR="00600DAC" w:rsidRPr="00580E29" w:rsidTr="00307606">
        <w:tc>
          <w:tcPr>
            <w:tcW w:w="1743" w:type="dxa"/>
          </w:tcPr>
          <w:p w:rsidR="00600DAC" w:rsidRPr="00580E29" w:rsidRDefault="00600DAC" w:rsidP="00600DAC">
            <w:pPr>
              <w:pStyle w:val="ListParagraph"/>
              <w:ind w:left="0"/>
              <w:jc w:val="center"/>
              <w:rPr>
                <w:b/>
                <w:sz w:val="16"/>
                <w:lang w:val="lt-LT"/>
              </w:rPr>
            </w:pPr>
            <w:r w:rsidRPr="00580E29">
              <w:rPr>
                <w:b/>
                <w:sz w:val="16"/>
                <w:lang w:val="lt-LT"/>
              </w:rPr>
              <w:t>Metinis savivaldybės grynojo skolinimosi suma</w:t>
            </w:r>
          </w:p>
        </w:tc>
        <w:tc>
          <w:tcPr>
            <w:tcW w:w="1495" w:type="dxa"/>
          </w:tcPr>
          <w:p w:rsidR="00600DAC" w:rsidRPr="00580E29" w:rsidRDefault="00600DAC" w:rsidP="00600DAC">
            <w:pPr>
              <w:pStyle w:val="ListParagraph"/>
              <w:ind w:left="0"/>
              <w:jc w:val="center"/>
              <w:rPr>
                <w:sz w:val="16"/>
              </w:rPr>
            </w:pPr>
            <w:r w:rsidRPr="00580E29">
              <w:rPr>
                <w:sz w:val="16"/>
                <w:lang w:val="lt-LT"/>
              </w:rPr>
              <w:t xml:space="preserve">20, iš jų metinių skolinimosi suma - </w:t>
            </w:r>
            <w:r w:rsidRPr="00580E29">
              <w:rPr>
                <w:sz w:val="16"/>
              </w:rPr>
              <w:t>10</w:t>
            </w:r>
          </w:p>
        </w:tc>
        <w:tc>
          <w:tcPr>
            <w:tcW w:w="1441" w:type="dxa"/>
          </w:tcPr>
          <w:p w:rsidR="00600DAC" w:rsidRPr="00580E29" w:rsidRDefault="00600DAC" w:rsidP="00600DAC">
            <w:pPr>
              <w:jc w:val="center"/>
              <w:rPr>
                <w:sz w:val="16"/>
              </w:rPr>
            </w:pPr>
            <w:r w:rsidRPr="00580E29">
              <w:rPr>
                <w:sz w:val="16"/>
                <w:lang w:val="lt-LT"/>
              </w:rPr>
              <w:t xml:space="preserve">15, iš jų metinių skolinimosi suma - </w:t>
            </w:r>
            <w:r w:rsidRPr="00580E29">
              <w:rPr>
                <w:sz w:val="16"/>
              </w:rPr>
              <w:t>10</w:t>
            </w:r>
          </w:p>
        </w:tc>
        <w:tc>
          <w:tcPr>
            <w:tcW w:w="1441" w:type="dxa"/>
          </w:tcPr>
          <w:p w:rsidR="00600DAC" w:rsidRPr="00580E29" w:rsidRDefault="00600DAC" w:rsidP="00600DAC">
            <w:pPr>
              <w:jc w:val="center"/>
              <w:rPr>
                <w:sz w:val="16"/>
              </w:rPr>
            </w:pPr>
            <w:r w:rsidRPr="00580E29">
              <w:rPr>
                <w:sz w:val="16"/>
                <w:lang w:val="lt-LT"/>
              </w:rPr>
              <w:t xml:space="preserve">20, iš jų metinių skolinimosi suma - </w:t>
            </w:r>
            <w:r w:rsidRPr="00580E29">
              <w:rPr>
                <w:sz w:val="16"/>
              </w:rPr>
              <w:t>10</w:t>
            </w:r>
          </w:p>
        </w:tc>
        <w:tc>
          <w:tcPr>
            <w:tcW w:w="1446" w:type="dxa"/>
          </w:tcPr>
          <w:p w:rsidR="00600DAC" w:rsidRPr="00580E29" w:rsidRDefault="00600DAC" w:rsidP="00600DAC">
            <w:pPr>
              <w:jc w:val="center"/>
              <w:rPr>
                <w:sz w:val="16"/>
              </w:rPr>
            </w:pPr>
            <w:r w:rsidRPr="00580E29">
              <w:rPr>
                <w:sz w:val="16"/>
              </w:rPr>
              <w:t>20, iš jų metinių skolinimosi suma – 10 (Vilniaus miesto (neįskaitant iš valstybės biudžeto savivaldybei skiriamų specialių tikslinių dotacijų) – 40)</w:t>
            </w:r>
          </w:p>
        </w:tc>
        <w:tc>
          <w:tcPr>
            <w:tcW w:w="1963" w:type="dxa"/>
          </w:tcPr>
          <w:p w:rsidR="00600DAC" w:rsidRPr="00580E29" w:rsidRDefault="00600DAC" w:rsidP="00600DAC">
            <w:pPr>
              <w:jc w:val="center"/>
              <w:rPr>
                <w:sz w:val="16"/>
              </w:rPr>
            </w:pPr>
            <w:r w:rsidRPr="00580E29">
              <w:rPr>
                <w:sz w:val="16"/>
              </w:rPr>
              <w:t>20 (Vilniaus miesto -35)</w:t>
            </w:r>
          </w:p>
        </w:tc>
      </w:tr>
      <w:tr w:rsidR="00600DAC" w:rsidRPr="00580E29" w:rsidTr="00307606">
        <w:tc>
          <w:tcPr>
            <w:tcW w:w="1743" w:type="dxa"/>
          </w:tcPr>
          <w:p w:rsidR="00600DAC" w:rsidRPr="00580E29" w:rsidRDefault="00600DAC" w:rsidP="00600DAC">
            <w:pPr>
              <w:pStyle w:val="ListParagraph"/>
              <w:ind w:left="0"/>
              <w:jc w:val="center"/>
              <w:rPr>
                <w:b/>
                <w:sz w:val="16"/>
                <w:lang w:val="lt-LT"/>
              </w:rPr>
            </w:pPr>
            <w:r w:rsidRPr="00580E29">
              <w:rPr>
                <w:b/>
                <w:sz w:val="16"/>
                <w:lang w:val="lt-LT"/>
              </w:rPr>
              <w:t>Grąžintina tais kalendoriniais metais savivaldybės paskolų ir palūkanų bei su paskolų ėmimu susijusių įmokų suma</w:t>
            </w:r>
          </w:p>
        </w:tc>
        <w:tc>
          <w:tcPr>
            <w:tcW w:w="1495" w:type="dxa"/>
          </w:tcPr>
          <w:p w:rsidR="00600DAC" w:rsidRPr="00580E29" w:rsidRDefault="00600DAC" w:rsidP="00600DAC">
            <w:pPr>
              <w:pStyle w:val="ListParagraph"/>
              <w:ind w:left="0"/>
              <w:jc w:val="center"/>
              <w:rPr>
                <w:sz w:val="16"/>
              </w:rPr>
            </w:pPr>
            <w:r w:rsidRPr="00580E29">
              <w:rPr>
                <w:sz w:val="16"/>
              </w:rPr>
              <w:t>20</w:t>
            </w:r>
          </w:p>
        </w:tc>
        <w:tc>
          <w:tcPr>
            <w:tcW w:w="6291" w:type="dxa"/>
            <w:gridSpan w:val="4"/>
          </w:tcPr>
          <w:p w:rsidR="00600DAC" w:rsidRPr="00580E29" w:rsidRDefault="00600DAC" w:rsidP="00600DAC">
            <w:pPr>
              <w:pStyle w:val="ListParagraph"/>
              <w:ind w:left="0"/>
              <w:jc w:val="center"/>
              <w:rPr>
                <w:sz w:val="16"/>
                <w:lang w:val="lt-LT"/>
              </w:rPr>
            </w:pPr>
            <w:r w:rsidRPr="00580E29">
              <w:rPr>
                <w:sz w:val="16"/>
              </w:rPr>
              <w:t>15</w:t>
            </w:r>
          </w:p>
        </w:tc>
      </w:tr>
      <w:tr w:rsidR="00600DAC" w:rsidRPr="00580E29" w:rsidTr="00307606">
        <w:tc>
          <w:tcPr>
            <w:tcW w:w="1743" w:type="dxa"/>
          </w:tcPr>
          <w:p w:rsidR="00600DAC" w:rsidRPr="00580E29" w:rsidRDefault="00600DAC" w:rsidP="00600DAC">
            <w:pPr>
              <w:pStyle w:val="ListParagraph"/>
              <w:ind w:left="0"/>
              <w:jc w:val="center"/>
              <w:rPr>
                <w:b/>
                <w:sz w:val="16"/>
                <w:lang w:val="lt-LT"/>
              </w:rPr>
            </w:pPr>
            <w:r w:rsidRPr="00580E29">
              <w:rPr>
                <w:b/>
                <w:sz w:val="16"/>
                <w:lang w:val="lt-LT"/>
              </w:rPr>
              <w:t>Savivaldybės garantijų limitas</w:t>
            </w:r>
          </w:p>
        </w:tc>
        <w:tc>
          <w:tcPr>
            <w:tcW w:w="2936" w:type="dxa"/>
            <w:gridSpan w:val="2"/>
          </w:tcPr>
          <w:p w:rsidR="00600DAC" w:rsidRPr="00580E29" w:rsidRDefault="00600DAC" w:rsidP="00600DAC">
            <w:pPr>
              <w:pStyle w:val="ListParagraph"/>
              <w:ind w:left="0"/>
              <w:jc w:val="center"/>
              <w:rPr>
                <w:sz w:val="16"/>
                <w:lang w:val="lt-LT"/>
              </w:rPr>
            </w:pPr>
            <w:r w:rsidRPr="00580E29">
              <w:rPr>
                <w:sz w:val="16"/>
                <w:lang w:val="lt-LT"/>
              </w:rPr>
              <w:t>5</w:t>
            </w:r>
          </w:p>
        </w:tc>
        <w:tc>
          <w:tcPr>
            <w:tcW w:w="4850" w:type="dxa"/>
            <w:gridSpan w:val="3"/>
          </w:tcPr>
          <w:p w:rsidR="00600DAC" w:rsidRPr="00580E29" w:rsidRDefault="00600DAC" w:rsidP="00600DAC">
            <w:pPr>
              <w:pStyle w:val="ListParagraph"/>
              <w:ind w:left="0"/>
              <w:jc w:val="center"/>
              <w:rPr>
                <w:sz w:val="16"/>
                <w:lang w:val="lt-LT"/>
              </w:rPr>
            </w:pPr>
            <w:r w:rsidRPr="00580E29">
              <w:rPr>
                <w:sz w:val="16"/>
                <w:lang w:val="lt-LT"/>
              </w:rPr>
              <w:t>10</w:t>
            </w:r>
          </w:p>
        </w:tc>
      </w:tr>
      <w:tr w:rsidR="00600DAC" w:rsidRPr="00580E29" w:rsidTr="00307606">
        <w:tc>
          <w:tcPr>
            <w:tcW w:w="1743" w:type="dxa"/>
          </w:tcPr>
          <w:p w:rsidR="00600DAC" w:rsidRPr="00580E29" w:rsidRDefault="00600DAC" w:rsidP="00600DAC">
            <w:pPr>
              <w:pStyle w:val="ListParagraph"/>
              <w:ind w:left="0"/>
              <w:jc w:val="center"/>
              <w:rPr>
                <w:b/>
                <w:sz w:val="16"/>
                <w:lang w:val="lt-LT"/>
              </w:rPr>
            </w:pPr>
            <w:r w:rsidRPr="00580E29">
              <w:rPr>
                <w:b/>
                <w:sz w:val="16"/>
                <w:lang w:val="lt-LT"/>
              </w:rPr>
              <w:t>Savivaldybėms, vykdančioms investicijų projektus, finansuojamus ir iš ES paramos lėšų</w:t>
            </w:r>
          </w:p>
        </w:tc>
        <w:tc>
          <w:tcPr>
            <w:tcW w:w="2936" w:type="dxa"/>
            <w:gridSpan w:val="2"/>
          </w:tcPr>
          <w:p w:rsidR="00600DAC" w:rsidRPr="00580E29" w:rsidRDefault="00600DAC" w:rsidP="00600DAC">
            <w:pPr>
              <w:pStyle w:val="ListParagraph"/>
              <w:ind w:left="0"/>
              <w:jc w:val="center"/>
              <w:rPr>
                <w:sz w:val="16"/>
                <w:lang w:val="lt-LT"/>
              </w:rPr>
            </w:pPr>
            <w:r w:rsidRPr="00580E29">
              <w:rPr>
                <w:sz w:val="16"/>
                <w:lang w:val="lt-LT"/>
              </w:rPr>
              <w:t xml:space="preserve">18, iš jų </w:t>
            </w:r>
            <w:r w:rsidRPr="00580E29">
              <w:rPr>
                <w:sz w:val="16"/>
              </w:rPr>
              <w:t xml:space="preserve">10 – avansiniam </w:t>
            </w:r>
            <w:r w:rsidRPr="00580E29">
              <w:rPr>
                <w:sz w:val="16"/>
                <w:lang w:val="lt-LT"/>
              </w:rPr>
              <w:t>šių projektų finansavimui</w:t>
            </w:r>
          </w:p>
        </w:tc>
        <w:tc>
          <w:tcPr>
            <w:tcW w:w="2887" w:type="dxa"/>
            <w:gridSpan w:val="2"/>
          </w:tcPr>
          <w:p w:rsidR="00600DAC" w:rsidRPr="00580E29" w:rsidRDefault="00600DAC" w:rsidP="00600DAC">
            <w:pPr>
              <w:pStyle w:val="ListParagraph"/>
              <w:ind w:left="0"/>
              <w:jc w:val="center"/>
              <w:rPr>
                <w:sz w:val="16"/>
                <w:lang w:val="lt-LT"/>
              </w:rPr>
            </w:pPr>
            <w:r w:rsidRPr="00580E29">
              <w:rPr>
                <w:sz w:val="16"/>
                <w:lang w:val="lt-LT"/>
              </w:rPr>
              <w:t>30</w:t>
            </w:r>
          </w:p>
        </w:tc>
        <w:tc>
          <w:tcPr>
            <w:tcW w:w="1963" w:type="dxa"/>
          </w:tcPr>
          <w:p w:rsidR="00600DAC" w:rsidRPr="00580E29" w:rsidRDefault="00600DAC" w:rsidP="00600DAC">
            <w:pPr>
              <w:pStyle w:val="ListParagraph"/>
              <w:ind w:left="0"/>
              <w:jc w:val="center"/>
              <w:rPr>
                <w:sz w:val="16"/>
                <w:lang w:val="lt-LT"/>
              </w:rPr>
            </w:pPr>
            <w:r w:rsidRPr="00580E29">
              <w:rPr>
                <w:sz w:val="16"/>
                <w:lang w:val="lt-LT"/>
              </w:rPr>
              <w:t>45 (Vilniaus miestas – tik iki 2011-12-31 įsiskolinimui dengti ir projektus įgyvendinti)</w:t>
            </w:r>
          </w:p>
        </w:tc>
      </w:tr>
    </w:tbl>
    <w:p w:rsidR="00BB40FB" w:rsidRDefault="00600DAC" w:rsidP="00600DAC">
      <w:pPr>
        <w:rPr>
          <w:sz w:val="20"/>
          <w:lang w:val="lt-LT"/>
        </w:rPr>
      </w:pPr>
      <w:r w:rsidRPr="00600DAC">
        <w:rPr>
          <w:b/>
          <w:sz w:val="20"/>
          <w:lang w:val="lt-LT"/>
        </w:rPr>
        <w:t>Šaltinis:</w:t>
      </w:r>
      <w:r w:rsidRPr="00600DAC">
        <w:rPr>
          <w:sz w:val="20"/>
          <w:lang w:val="lt-LT"/>
        </w:rPr>
        <w:t xml:space="preserve"> sudaryta pagal LR valstybės biudžeto ir savivaldybių biudžetų finansinių rodiklių patvirtinimo įstatymą</w:t>
      </w:r>
    </w:p>
    <w:p w:rsidR="00A637DA" w:rsidRPr="00600DAC" w:rsidRDefault="00A637DA" w:rsidP="00600DAC">
      <w:pPr>
        <w:rPr>
          <w:sz w:val="20"/>
          <w:lang w:val="lt-LT"/>
        </w:rPr>
      </w:pPr>
    </w:p>
    <w:p w:rsidR="009903EA" w:rsidRDefault="00BB40FB" w:rsidP="00F71676">
      <w:pPr>
        <w:spacing w:line="360" w:lineRule="auto"/>
        <w:ind w:firstLine="720"/>
        <w:jc w:val="both"/>
        <w:rPr>
          <w:lang w:val="lt-LT"/>
        </w:rPr>
      </w:pPr>
      <w:r>
        <w:rPr>
          <w:lang w:val="lt-LT"/>
        </w:rPr>
        <w:t>Toks skolinimosi mechanizmas taip pat rodo savivaldybių finansinį savarankiškumą ir galimybę pačioms spręsti finansinius klausimus, tačiau neviršijant numatytų skolinimosi apribojimų.</w:t>
      </w:r>
    </w:p>
    <w:p w:rsidR="00EF5A6F" w:rsidRDefault="00EF5A6F" w:rsidP="00F71676">
      <w:pPr>
        <w:spacing w:line="360" w:lineRule="auto"/>
        <w:ind w:firstLine="720"/>
        <w:jc w:val="both"/>
        <w:rPr>
          <w:lang w:val="lt-LT"/>
        </w:rPr>
      </w:pPr>
      <w:r>
        <w:rPr>
          <w:lang w:val="lt-LT"/>
        </w:rPr>
        <w:t>Pažymėtina, kad kiekvienais metais Seime tvirtinamas tik konkrečių metų valstybės ir savivaldy</w:t>
      </w:r>
      <w:r w:rsidR="00B7763A">
        <w:rPr>
          <w:lang w:val="lt-LT"/>
        </w:rPr>
        <w:t>bių biudžetai. Savivaldybės ruošdamos savo biudžetų projektus, privalo vadovautis konkretiems metams Seimo patvirtintais savivaldybių biudžetų finansiniais rodikliais.</w:t>
      </w:r>
    </w:p>
    <w:p w:rsidR="00B26402" w:rsidRDefault="00B7763A" w:rsidP="00EC5900">
      <w:pPr>
        <w:spacing w:line="360" w:lineRule="auto"/>
        <w:ind w:firstLine="720"/>
        <w:jc w:val="both"/>
        <w:rPr>
          <w:lang w:val="lt-LT"/>
        </w:rPr>
      </w:pPr>
      <w:r>
        <w:rPr>
          <w:lang w:val="lt-LT"/>
        </w:rPr>
        <w:t>Lietuvoje taikoma dviejų pakopų valdžios finansavimo sistema leidžia savivaldybėms disponuoti savo biudžeto lėšomis:jos gali savarankiškai naudotis pajamomis ir išlaidomis, taip pat turi teisę iš valstybės biudžeto gauti tam tikrų finansinių lėšų (dotacijų). Be to , vietinės valdžios organai turi galimybę skolintis, atsižvelgiant į Seimo nustatytus skolos limitus. Būtina pažymėti, kad savivaldybių finans</w:t>
      </w:r>
      <w:r w:rsidR="008C1DD6">
        <w:rPr>
          <w:lang w:val="lt-LT"/>
        </w:rPr>
        <w:t>ų valdymas yra gana sudėtingas,</w:t>
      </w:r>
      <w:r w:rsidR="008C1DD6" w:rsidRPr="008C1DD6">
        <w:rPr>
          <w:color w:val="FFFFFF" w:themeColor="background1"/>
          <w:lang w:val="lt-LT"/>
        </w:rPr>
        <w:t>_</w:t>
      </w:r>
      <w:r>
        <w:rPr>
          <w:lang w:val="lt-LT"/>
        </w:rPr>
        <w:t>o jį reglamentuoja nemažai ne tik Lietuvos Respublikos, bet ir Europos teisės aktai.</w:t>
      </w:r>
    </w:p>
    <w:p w:rsidR="008E5474" w:rsidRDefault="000852CC" w:rsidP="008C1DD6">
      <w:pPr>
        <w:pStyle w:val="Heading2"/>
        <w:spacing w:before="0" w:after="0" w:line="360" w:lineRule="auto"/>
        <w:jc w:val="center"/>
        <w:rPr>
          <w:lang w:val="lt-LT"/>
        </w:rPr>
      </w:pPr>
      <w:bookmarkStart w:id="32" w:name="_Toc385249530"/>
      <w:r>
        <w:rPr>
          <w:lang w:val="lt-LT"/>
        </w:rPr>
        <w:lastRenderedPageBreak/>
        <w:t>2.2</w:t>
      </w:r>
      <w:r w:rsidR="008C1DD6">
        <w:rPr>
          <w:lang w:val="lt-LT"/>
        </w:rPr>
        <w:t>. Fiskalinės decentralizacijos vieta ES</w:t>
      </w:r>
      <w:bookmarkEnd w:id="32"/>
    </w:p>
    <w:p w:rsidR="008C1DD6" w:rsidRPr="008C1DD6" w:rsidRDefault="008C1DD6" w:rsidP="008C1DD6">
      <w:pPr>
        <w:spacing w:line="360" w:lineRule="auto"/>
        <w:rPr>
          <w:lang w:val="lt-LT"/>
        </w:rPr>
      </w:pPr>
    </w:p>
    <w:p w:rsidR="008E5474" w:rsidRDefault="00B26402" w:rsidP="008C1DD6">
      <w:pPr>
        <w:tabs>
          <w:tab w:val="left" w:pos="8640"/>
        </w:tabs>
        <w:spacing w:line="360" w:lineRule="auto"/>
        <w:ind w:firstLine="720"/>
        <w:jc w:val="both"/>
        <w:rPr>
          <w:lang w:val="lt-LT"/>
        </w:rPr>
      </w:pPr>
      <w:r w:rsidRPr="00B26402">
        <w:rPr>
          <w:lang w:val="lt-LT"/>
        </w:rPr>
        <w:t>Demokratini</w:t>
      </w:r>
      <w:r>
        <w:rPr>
          <w:lang w:val="lt-LT"/>
        </w:rPr>
        <w:t>ų</w:t>
      </w:r>
      <w:r w:rsidR="00371FCA">
        <w:rPr>
          <w:lang w:val="lt-LT"/>
        </w:rPr>
        <w:t xml:space="preserve"> </w:t>
      </w:r>
      <w:r w:rsidRPr="00B26402">
        <w:rPr>
          <w:lang w:val="lt-LT"/>
        </w:rPr>
        <w:t>princip</w:t>
      </w:r>
      <w:r>
        <w:rPr>
          <w:lang w:val="lt-LT"/>
        </w:rPr>
        <w:t>ų</w:t>
      </w:r>
      <w:r w:rsidRPr="00B26402">
        <w:rPr>
          <w:lang w:val="lt-LT"/>
        </w:rPr>
        <w:t xml:space="preserve"> pl</w:t>
      </w:r>
      <w:r>
        <w:rPr>
          <w:lang w:val="lt-LT"/>
        </w:rPr>
        <w:t>ė</w:t>
      </w:r>
      <w:r w:rsidRPr="00B26402">
        <w:rPr>
          <w:lang w:val="lt-LT"/>
        </w:rPr>
        <w:t xml:space="preserve">tra Europos </w:t>
      </w:r>
      <w:r>
        <w:rPr>
          <w:lang w:val="lt-LT"/>
        </w:rPr>
        <w:t>š</w:t>
      </w:r>
      <w:r w:rsidRPr="00B26402">
        <w:rPr>
          <w:lang w:val="lt-LT"/>
        </w:rPr>
        <w:t>alyse lemia ir decentralizacijos</w:t>
      </w:r>
      <w:r w:rsidR="00371FCA">
        <w:rPr>
          <w:lang w:val="lt-LT"/>
        </w:rPr>
        <w:t xml:space="preserve"> </w:t>
      </w:r>
      <w:r w:rsidRPr="00B26402">
        <w:rPr>
          <w:lang w:val="lt-LT"/>
        </w:rPr>
        <w:t>procesus valstyb</w:t>
      </w:r>
      <w:r>
        <w:rPr>
          <w:lang w:val="lt-LT"/>
        </w:rPr>
        <w:t>ė</w:t>
      </w:r>
      <w:r w:rsidRPr="00B26402">
        <w:rPr>
          <w:lang w:val="lt-LT"/>
        </w:rPr>
        <w:t>s valdymo srityje, vis</w:t>
      </w:r>
      <w:r w:rsidR="00371FCA">
        <w:rPr>
          <w:lang w:val="lt-LT"/>
        </w:rPr>
        <w:t xml:space="preserve"> </w:t>
      </w:r>
      <w:r w:rsidRPr="00B26402">
        <w:rPr>
          <w:lang w:val="lt-LT"/>
        </w:rPr>
        <w:t>didesn</w:t>
      </w:r>
      <w:r>
        <w:rPr>
          <w:lang w:val="lt-LT"/>
        </w:rPr>
        <w:t>ė</w:t>
      </w:r>
      <w:r w:rsidRPr="00B26402">
        <w:rPr>
          <w:lang w:val="lt-LT"/>
        </w:rPr>
        <w:t xml:space="preserve"> vie</w:t>
      </w:r>
      <w:r>
        <w:rPr>
          <w:lang w:val="lt-LT"/>
        </w:rPr>
        <w:t>šų</w:t>
      </w:r>
      <w:r w:rsidRPr="00B26402">
        <w:rPr>
          <w:lang w:val="lt-LT"/>
        </w:rPr>
        <w:t>j</w:t>
      </w:r>
      <w:r>
        <w:rPr>
          <w:lang w:val="lt-LT"/>
        </w:rPr>
        <w:t>ų</w:t>
      </w:r>
      <w:r w:rsidRPr="00B26402">
        <w:rPr>
          <w:lang w:val="lt-LT"/>
        </w:rPr>
        <w:t xml:space="preserve"> reikal</w:t>
      </w:r>
      <w:r>
        <w:rPr>
          <w:lang w:val="lt-LT"/>
        </w:rPr>
        <w:t>ų</w:t>
      </w:r>
      <w:r w:rsidRPr="00B26402">
        <w:rPr>
          <w:lang w:val="lt-LT"/>
        </w:rPr>
        <w:t xml:space="preserve"> tvarkymo dal</w:t>
      </w:r>
      <w:r>
        <w:rPr>
          <w:lang w:val="lt-LT"/>
        </w:rPr>
        <w:t>į</w:t>
      </w:r>
      <w:r w:rsidRPr="00B26402">
        <w:rPr>
          <w:lang w:val="lt-LT"/>
        </w:rPr>
        <w:t xml:space="preserve"> priskiriant</w:t>
      </w:r>
      <w:r w:rsidR="00371FCA">
        <w:rPr>
          <w:lang w:val="lt-LT"/>
        </w:rPr>
        <w:t xml:space="preserve"> </w:t>
      </w:r>
      <w:r w:rsidRPr="00B26402">
        <w:rPr>
          <w:lang w:val="lt-LT"/>
        </w:rPr>
        <w:t>vietos savivaldos institucijoms kartu didinant j</w:t>
      </w:r>
      <w:r>
        <w:rPr>
          <w:lang w:val="lt-LT"/>
        </w:rPr>
        <w:t>ų</w:t>
      </w:r>
      <w:r w:rsidR="00371FCA">
        <w:rPr>
          <w:lang w:val="lt-LT"/>
        </w:rPr>
        <w:t xml:space="preserve"> </w:t>
      </w:r>
      <w:r w:rsidRPr="00B26402">
        <w:rPr>
          <w:lang w:val="lt-LT"/>
        </w:rPr>
        <w:t>svarb</w:t>
      </w:r>
      <w:r>
        <w:rPr>
          <w:lang w:val="lt-LT"/>
        </w:rPr>
        <w:t>ą</w:t>
      </w:r>
      <w:r w:rsidRPr="00B26402">
        <w:rPr>
          <w:lang w:val="lt-LT"/>
        </w:rPr>
        <w:t xml:space="preserve"> valstyb</w:t>
      </w:r>
      <w:r>
        <w:rPr>
          <w:lang w:val="lt-LT"/>
        </w:rPr>
        <w:t>ė</w:t>
      </w:r>
      <w:r w:rsidR="00371FCA">
        <w:rPr>
          <w:lang w:val="lt-LT"/>
        </w:rPr>
        <w:t>s valdyme (Davulis, 2006).</w:t>
      </w:r>
    </w:p>
    <w:p w:rsidR="00730B98" w:rsidRDefault="00730B98" w:rsidP="008C1DD6">
      <w:pPr>
        <w:tabs>
          <w:tab w:val="left" w:pos="8640"/>
        </w:tabs>
        <w:spacing w:line="360" w:lineRule="auto"/>
        <w:ind w:firstLine="720"/>
        <w:jc w:val="both"/>
        <w:rPr>
          <w:lang w:val="lt-LT"/>
        </w:rPr>
      </w:pPr>
      <w:r w:rsidRPr="00730B98">
        <w:rPr>
          <w:lang w:val="lt-LT"/>
        </w:rPr>
        <w:t>Regionų atsiradimas ir jų reikšmės stiprėjimas Europoje ir kituose regionuose yra nevienareikšmis procesas, turintis ne vieną priežastį ir sukeliantis įvairiausias pasekmes. Šiuolaikinės nacionalinės valstybės susi</w:t>
      </w:r>
      <w:r>
        <w:rPr>
          <w:lang w:val="lt-LT"/>
        </w:rPr>
        <w:t>duria su daugeliu iššūkių kurių</w:t>
      </w:r>
      <w:r w:rsidRPr="00730B98">
        <w:rPr>
          <w:color w:val="FFFFFF" w:themeColor="background1"/>
          <w:lang w:val="lt-LT"/>
        </w:rPr>
        <w:t>&gt;</w:t>
      </w:r>
      <w:r w:rsidRPr="00730B98">
        <w:rPr>
          <w:lang w:val="lt-LT"/>
        </w:rPr>
        <w:t>pasekmėje jos vis daugiau politinių ir ekonominių galių perleidžia subnacionaliniams dariniams. Ši galių decentralizacija daugiausia susijusi su gyventojų noru tiesiogiai dalyvauti šalies valdyme ir valstybių nesugebėjimu užtikrinti daugybės sau prisiimtų socialinių, politinių ir ekonominių įsipareigojimų.</w:t>
      </w:r>
    </w:p>
    <w:p w:rsidR="00BC4FD1" w:rsidRDefault="00730B98" w:rsidP="00A3107B">
      <w:pPr>
        <w:tabs>
          <w:tab w:val="left" w:pos="8640"/>
        </w:tabs>
        <w:spacing w:line="360" w:lineRule="auto"/>
        <w:ind w:firstLine="720"/>
        <w:jc w:val="both"/>
        <w:rPr>
          <w:lang w:val="lt-LT"/>
        </w:rPr>
      </w:pPr>
      <w:r>
        <w:rPr>
          <w:lang w:val="lt-LT"/>
        </w:rPr>
        <w:t>Pasak Europos Komisijos v</w:t>
      </w:r>
      <w:r w:rsidR="008E5474" w:rsidRPr="008E5474">
        <w:rPr>
          <w:lang w:val="lt-LT"/>
        </w:rPr>
        <w:t>ykdant ES biudžetą, ypač įgyvendinant sanglaudos politiką, parodė, kad regionai arba vietos valdžios institucijos, būdamos arčiausiai piliečių, geriausiai žino Europos teritorijų poreikius ir imasi tiesioginių veiksmų. Todėl Europos Sąjunga visuomet pabrėžia daugiapakopio valdymo sva</w:t>
      </w:r>
      <w:r w:rsidR="00371FCA">
        <w:rPr>
          <w:lang w:val="lt-LT"/>
        </w:rPr>
        <w:t>rbą siekiant užtikrinti geresnį</w:t>
      </w:r>
      <w:r w:rsidR="00371FCA" w:rsidRPr="00371FCA">
        <w:rPr>
          <w:color w:val="FFFFFF" w:themeColor="background1"/>
          <w:lang w:val="lt-LT"/>
        </w:rPr>
        <w:t>_</w:t>
      </w:r>
      <w:r w:rsidR="008E5474" w:rsidRPr="008E5474">
        <w:rPr>
          <w:lang w:val="lt-LT"/>
        </w:rPr>
        <w:t>Europos biudžeto lėšų panaudojimą, kadangi mano, kad toks valdymas, laikantis subsidiarumo principo, yra veiksminga, visose Europos polit</w:t>
      </w:r>
      <w:r w:rsidR="00371FCA">
        <w:rPr>
          <w:lang w:val="lt-LT"/>
        </w:rPr>
        <w:t>ikos srityse taikytina priemonė.</w:t>
      </w:r>
    </w:p>
    <w:p w:rsidR="00065284" w:rsidRPr="00065284" w:rsidRDefault="00065284" w:rsidP="00065284">
      <w:pPr>
        <w:tabs>
          <w:tab w:val="left" w:pos="8640"/>
        </w:tabs>
        <w:spacing w:line="360" w:lineRule="auto"/>
        <w:ind w:firstLine="720"/>
        <w:jc w:val="both"/>
        <w:rPr>
          <w:lang w:val="lt-LT"/>
        </w:rPr>
      </w:pPr>
      <w:r w:rsidRPr="00065284">
        <w:rPr>
          <w:lang w:val="lt-LT"/>
        </w:rPr>
        <w:t>Europos integracija padarė teigiamą poveikį regionų ir vietos devoliucijos procesui. Pirmą kartą regioninio ir vietos lygmens svarbos pripažinimas buvo įteisintas Lisabonos sutartyje. Kadangi Europos integracija paprastai aiškinama kaip nuolatinis procesas, dar yra daug neišnaudotų galimybių toliau stiprinti subnacionalinį lygmenį Europos Sąjungos valdymo sistemoje.</w:t>
      </w:r>
    </w:p>
    <w:p w:rsidR="00065284" w:rsidRDefault="00065284" w:rsidP="00065284">
      <w:pPr>
        <w:tabs>
          <w:tab w:val="left" w:pos="8640"/>
        </w:tabs>
        <w:spacing w:line="360" w:lineRule="auto"/>
        <w:ind w:firstLine="720"/>
        <w:jc w:val="both"/>
        <w:rPr>
          <w:lang w:val="lt-LT"/>
        </w:rPr>
      </w:pPr>
      <w:r w:rsidRPr="00E74327">
        <w:rPr>
          <w:lang w:val="lt-LT"/>
        </w:rPr>
        <w:t xml:space="preserve">Sprendimas vykdyti reformas, vedančias į galių ir finansinių išteklių devoliuciją ir decentralizaciją turėtų atitikti piliečių bei vietos ir regionų bendruomenių lūkesčius ir poreikius. </w:t>
      </w:r>
      <w:r>
        <w:rPr>
          <w:lang w:val="lt-LT"/>
        </w:rPr>
        <w:t>ES išskiria</w:t>
      </w:r>
      <w:r w:rsidRPr="00E74327">
        <w:rPr>
          <w:lang w:val="lt-LT"/>
        </w:rPr>
        <w:t xml:space="preserve"> šiuos decentralizuoto valdymo privalumus: </w:t>
      </w:r>
    </w:p>
    <w:p w:rsidR="00065284" w:rsidRDefault="00065284" w:rsidP="00CC565B">
      <w:pPr>
        <w:pStyle w:val="ListParagraph"/>
        <w:numPr>
          <w:ilvl w:val="0"/>
          <w:numId w:val="17"/>
        </w:numPr>
        <w:tabs>
          <w:tab w:val="left" w:pos="8640"/>
        </w:tabs>
        <w:spacing w:line="360" w:lineRule="auto"/>
        <w:jc w:val="both"/>
        <w:rPr>
          <w:lang w:val="lt-LT"/>
        </w:rPr>
      </w:pPr>
      <w:r w:rsidRPr="00702A9A">
        <w:rPr>
          <w:lang w:val="lt-LT"/>
        </w:rPr>
        <w:t>geresn</w:t>
      </w:r>
      <w:r>
        <w:rPr>
          <w:lang w:val="lt-LT"/>
        </w:rPr>
        <w:t>is piliečių poreikių suvokimas;</w:t>
      </w:r>
    </w:p>
    <w:p w:rsidR="00065284" w:rsidRDefault="00065284" w:rsidP="00CC565B">
      <w:pPr>
        <w:pStyle w:val="ListParagraph"/>
        <w:numPr>
          <w:ilvl w:val="0"/>
          <w:numId w:val="17"/>
        </w:numPr>
        <w:tabs>
          <w:tab w:val="left" w:pos="8640"/>
        </w:tabs>
        <w:spacing w:line="360" w:lineRule="auto"/>
        <w:jc w:val="both"/>
        <w:rPr>
          <w:lang w:val="lt-LT"/>
        </w:rPr>
      </w:pPr>
      <w:r w:rsidRPr="00702A9A">
        <w:rPr>
          <w:lang w:val="lt-LT"/>
        </w:rPr>
        <w:t>politikos, galinčios skatinti tvarų ir konkurencingą augimą (bendras) for</w:t>
      </w:r>
      <w:r>
        <w:rPr>
          <w:lang w:val="lt-LT"/>
        </w:rPr>
        <w:t>mavimas;</w:t>
      </w:r>
    </w:p>
    <w:p w:rsidR="00065284" w:rsidRDefault="00065284" w:rsidP="00CC565B">
      <w:pPr>
        <w:pStyle w:val="ListParagraph"/>
        <w:numPr>
          <w:ilvl w:val="0"/>
          <w:numId w:val="17"/>
        </w:numPr>
        <w:tabs>
          <w:tab w:val="left" w:pos="8640"/>
        </w:tabs>
        <w:spacing w:line="360" w:lineRule="auto"/>
        <w:jc w:val="both"/>
        <w:rPr>
          <w:lang w:val="lt-LT"/>
        </w:rPr>
      </w:pPr>
      <w:r w:rsidRPr="00702A9A">
        <w:rPr>
          <w:lang w:val="lt-LT"/>
        </w:rPr>
        <w:t>geras finansų ir investicijų va</w:t>
      </w:r>
      <w:r>
        <w:rPr>
          <w:lang w:val="lt-LT"/>
        </w:rPr>
        <w:t>ldymas vietos ir regionų lygiu;</w:t>
      </w:r>
    </w:p>
    <w:p w:rsidR="00065284" w:rsidRDefault="00065284" w:rsidP="00CC565B">
      <w:pPr>
        <w:pStyle w:val="ListParagraph"/>
        <w:numPr>
          <w:ilvl w:val="0"/>
          <w:numId w:val="17"/>
        </w:numPr>
        <w:tabs>
          <w:tab w:val="left" w:pos="8640"/>
        </w:tabs>
        <w:spacing w:line="360" w:lineRule="auto"/>
        <w:jc w:val="both"/>
        <w:rPr>
          <w:lang w:val="lt-LT"/>
        </w:rPr>
      </w:pPr>
      <w:r w:rsidRPr="00702A9A">
        <w:rPr>
          <w:lang w:val="lt-LT"/>
        </w:rPr>
        <w:t>vietos ir regiono savarankiškumo didini</w:t>
      </w:r>
      <w:r>
        <w:rPr>
          <w:lang w:val="lt-LT"/>
        </w:rPr>
        <w:t>mas ir demokratijos stiprinimas;</w:t>
      </w:r>
    </w:p>
    <w:p w:rsidR="00065284" w:rsidRDefault="00065284" w:rsidP="00CC565B">
      <w:pPr>
        <w:pStyle w:val="ListParagraph"/>
        <w:numPr>
          <w:ilvl w:val="0"/>
          <w:numId w:val="17"/>
        </w:numPr>
        <w:tabs>
          <w:tab w:val="left" w:pos="8640"/>
        </w:tabs>
        <w:spacing w:line="360" w:lineRule="auto"/>
        <w:jc w:val="both"/>
        <w:rPr>
          <w:lang w:val="lt-LT"/>
        </w:rPr>
      </w:pPr>
      <w:r w:rsidRPr="00065284">
        <w:rPr>
          <w:lang w:val="lt-LT"/>
        </w:rPr>
        <w:t>tiesioginė atskaitomybė ir skaidrumas</w:t>
      </w:r>
      <w:r>
        <w:rPr>
          <w:lang w:val="lt-LT"/>
        </w:rPr>
        <w:t>.</w:t>
      </w:r>
    </w:p>
    <w:p w:rsidR="00065284" w:rsidRPr="00065284" w:rsidRDefault="00065284" w:rsidP="00065284">
      <w:pPr>
        <w:tabs>
          <w:tab w:val="left" w:pos="709"/>
        </w:tabs>
        <w:spacing w:line="360" w:lineRule="auto"/>
        <w:jc w:val="both"/>
        <w:rPr>
          <w:lang w:val="lt-LT"/>
        </w:rPr>
      </w:pPr>
      <w:r>
        <w:rPr>
          <w:lang w:val="lt-LT"/>
        </w:rPr>
        <w:tab/>
      </w:r>
      <w:r w:rsidRPr="00065284">
        <w:rPr>
          <w:lang w:val="lt-LT"/>
        </w:rPr>
        <w:t xml:space="preserve">Veiksmingas vietos ir regionų administravimas ir efektyvus decentralizavimas ES grindžiamas subsidiarumo, daugiapakopio valdymo, socialinės ir teritorinės sanglaudos, sąžiningumo, </w:t>
      </w:r>
      <w:r w:rsidRPr="00065284">
        <w:rPr>
          <w:lang w:val="lt-LT"/>
        </w:rPr>
        <w:lastRenderedPageBreak/>
        <w:t xml:space="preserve">bendradarbiavimo, solidarumo ir papildomumo principais. Ypač akcentuojami subsidiarumo ir daugiapakopio valdymo principai. </w:t>
      </w:r>
    </w:p>
    <w:p w:rsidR="00065284" w:rsidRPr="00065284" w:rsidRDefault="00065284" w:rsidP="00065284">
      <w:pPr>
        <w:tabs>
          <w:tab w:val="left" w:pos="8640"/>
        </w:tabs>
        <w:spacing w:line="360" w:lineRule="auto"/>
        <w:ind w:firstLine="720"/>
        <w:jc w:val="both"/>
        <w:rPr>
          <w:lang w:val="lt-LT"/>
        </w:rPr>
      </w:pPr>
      <w:r w:rsidRPr="00065284">
        <w:rPr>
          <w:b/>
          <w:i/>
          <w:lang w:val="lt-LT"/>
        </w:rPr>
        <w:t>Daugiapakopio valdymo esmė</w:t>
      </w:r>
      <w:r w:rsidRPr="00065284">
        <w:rPr>
          <w:lang w:val="lt-LT"/>
        </w:rPr>
        <w:t xml:space="preserve"> – derinti Europos Sąjungos, valstybių narių ir regionų ir vietos valdžios institucijų veiklą, grindžiamą subsidiarumo ir proporcingumo principu ir partneryste, kurią įgyvendinant plėtojamas praktinis ir institucinis bendradarbiavimas siekiant parengti ir įgyvendinti Europos Sąjungos politiką.</w:t>
      </w:r>
    </w:p>
    <w:p w:rsidR="00065284" w:rsidRDefault="00065284" w:rsidP="00065284">
      <w:pPr>
        <w:tabs>
          <w:tab w:val="left" w:pos="8640"/>
        </w:tabs>
        <w:spacing w:line="360" w:lineRule="auto"/>
        <w:ind w:firstLine="720"/>
        <w:jc w:val="both"/>
        <w:rPr>
          <w:lang w:val="lt-LT"/>
        </w:rPr>
      </w:pPr>
      <w:r w:rsidRPr="00065284">
        <w:rPr>
          <w:b/>
          <w:i/>
          <w:lang w:val="lt-LT"/>
        </w:rPr>
        <w:t>Subsidiarumo principo esmė ir svarbiausias tikslas</w:t>
      </w:r>
      <w:r w:rsidRPr="00065284">
        <w:rPr>
          <w:lang w:val="lt-LT"/>
        </w:rPr>
        <w:t xml:space="preserve"> – užtikrinti žemesnio lygio valdžios institucijų nepriklausomumą nuo aukštesnės</w:t>
      </w:r>
      <w:r w:rsidRPr="00065284">
        <w:rPr>
          <w:color w:val="FFFFFF" w:themeColor="background1"/>
          <w:lang w:val="lt-LT"/>
        </w:rPr>
        <w:t>_</w:t>
      </w:r>
      <w:r w:rsidRPr="00065284">
        <w:rPr>
          <w:lang w:val="lt-LT"/>
        </w:rPr>
        <w:t>valdžios institucijų, ypač vietos valdžios institucijų nepriklausomumą nuo centrinės valdžios. Tai reiškia, kad kelių lygių valdžios institucijos dalijasi įgaliojimais. Tokiu pat principu grindžiama federalinių valstybių institucijų sistema. Europos Sąjungoje subsidiarumo principas yra taikomas kaip Sąjungos neišimtinių įgaliojimų vykdymo reguliavimo kriterijus. Pagal šį principą Sąjunga neturi teisės imtis</w:t>
      </w:r>
      <w:r w:rsidRPr="00065284">
        <w:rPr>
          <w:color w:val="FFFFFF" w:themeColor="background1"/>
          <w:lang w:val="lt-LT"/>
        </w:rPr>
        <w:t>_</w:t>
      </w:r>
      <w:r w:rsidRPr="00065284">
        <w:rPr>
          <w:lang w:val="lt-LT"/>
        </w:rPr>
        <w:t>veiksmų tam tikroje srityje, jei valstybės narės gali ją veiksmingai reglamentuoti centriniu, regioniniu arba vietos lygmenimis. Kita vertus, pagal šį principą Sąjungai suteikiama teisė vykdyti savo įgaliojimus, jei valstybės narės negali tinkamai pasiekti numatyto veiksmo tikslų. Be to, šis principas įrašytas į ES sutarties 5 straipsnio 3 dalį.</w:t>
      </w:r>
    </w:p>
    <w:p w:rsidR="003910A3" w:rsidRDefault="003910A3" w:rsidP="003910A3">
      <w:pPr>
        <w:tabs>
          <w:tab w:val="left" w:pos="8640"/>
        </w:tabs>
        <w:spacing w:line="360" w:lineRule="auto"/>
        <w:ind w:firstLine="720"/>
        <w:jc w:val="both"/>
        <w:rPr>
          <w:lang w:val="lt-LT"/>
        </w:rPr>
      </w:pPr>
      <w:r w:rsidRPr="00BC4FD1">
        <w:rPr>
          <w:lang w:val="lt-LT"/>
        </w:rPr>
        <w:t xml:space="preserve">1985 m. </w:t>
      </w:r>
      <w:r>
        <w:rPr>
          <w:lang w:val="lt-LT"/>
        </w:rPr>
        <w:t>priimtoje</w:t>
      </w:r>
      <w:r w:rsidRPr="00BC4FD1">
        <w:rPr>
          <w:lang w:val="lt-LT"/>
        </w:rPr>
        <w:t xml:space="preserve"> Europos vietos savivaldos chartijoje išdėstomi bendri europiniai standartai tam, kad būtų ginamos bei plečiamos viet</w:t>
      </w:r>
      <w:r>
        <w:rPr>
          <w:lang w:val="lt-LT"/>
        </w:rPr>
        <w:t>os savivaldų teisės bei laisvės. Chartijoje nurodoma, kad vietos savivalda privalo turėti teikti galimybę steigti nuosavas administracines struktūras, reikalingas norint įgyvendinti vietos savivaldos teises ir pareigas,</w:t>
      </w:r>
      <w:r w:rsidRPr="00234F06">
        <w:rPr>
          <w:color w:val="FFFFFF" w:themeColor="background1"/>
          <w:lang w:val="lt-LT"/>
        </w:rPr>
        <w:t>_</w:t>
      </w:r>
      <w:r>
        <w:rPr>
          <w:lang w:val="lt-LT"/>
        </w:rPr>
        <w:t>surinkti bei racionaliai panaudoti mokesčius ir įmokas vadovaujantis konstitucijos ir kitų įstatymų suteikta teise.</w:t>
      </w:r>
    </w:p>
    <w:p w:rsidR="003910A3" w:rsidRDefault="003910A3" w:rsidP="003910A3">
      <w:pPr>
        <w:tabs>
          <w:tab w:val="left" w:pos="8640"/>
        </w:tabs>
        <w:spacing w:line="360" w:lineRule="auto"/>
        <w:ind w:firstLine="720"/>
        <w:jc w:val="both"/>
        <w:rPr>
          <w:lang w:val="lt-LT"/>
        </w:rPr>
      </w:pPr>
      <w:r>
        <w:rPr>
          <w:lang w:val="lt-LT"/>
        </w:rPr>
        <w:t>Europos vietos savivaldos chartijos 9 straipsnis fiskalinės decentralizacijos atžvilgiu numato:</w:t>
      </w:r>
    </w:p>
    <w:p w:rsidR="003910A3" w:rsidRDefault="003910A3" w:rsidP="00CC565B">
      <w:pPr>
        <w:pStyle w:val="ListParagraph"/>
        <w:numPr>
          <w:ilvl w:val="0"/>
          <w:numId w:val="11"/>
        </w:numPr>
        <w:tabs>
          <w:tab w:val="left" w:pos="8640"/>
        </w:tabs>
        <w:spacing w:line="360" w:lineRule="auto"/>
        <w:jc w:val="both"/>
        <w:rPr>
          <w:lang w:val="lt-LT"/>
        </w:rPr>
      </w:pPr>
      <w:r>
        <w:rPr>
          <w:lang w:val="lt-LT"/>
        </w:rPr>
        <w:t>vietos valdžia turi teisę disponuoti jai priklausančiais finansiniais ištekliais;</w:t>
      </w:r>
    </w:p>
    <w:p w:rsidR="003910A3" w:rsidRDefault="003910A3" w:rsidP="00CC565B">
      <w:pPr>
        <w:pStyle w:val="ListParagraph"/>
        <w:numPr>
          <w:ilvl w:val="0"/>
          <w:numId w:val="11"/>
        </w:numPr>
        <w:tabs>
          <w:tab w:val="left" w:pos="8640"/>
        </w:tabs>
        <w:spacing w:line="360" w:lineRule="auto"/>
        <w:jc w:val="both"/>
        <w:rPr>
          <w:lang w:val="lt-LT"/>
        </w:rPr>
      </w:pPr>
      <w:r>
        <w:rPr>
          <w:lang w:val="lt-LT"/>
        </w:rPr>
        <w:t>vietos savivaldos finansiniai ištekliai privalo būti adekvatūs įstatymais suteiktoms funkcijoms vykdyti;</w:t>
      </w:r>
    </w:p>
    <w:p w:rsidR="003910A3" w:rsidRPr="006E20EB" w:rsidRDefault="003910A3" w:rsidP="00CC565B">
      <w:pPr>
        <w:pStyle w:val="ListParagraph"/>
        <w:numPr>
          <w:ilvl w:val="0"/>
          <w:numId w:val="11"/>
        </w:numPr>
        <w:tabs>
          <w:tab w:val="left" w:pos="8640"/>
        </w:tabs>
        <w:spacing w:line="360" w:lineRule="auto"/>
        <w:jc w:val="both"/>
        <w:rPr>
          <w:lang w:val="lt-LT"/>
        </w:rPr>
      </w:pPr>
      <w:r>
        <w:rPr>
          <w:lang w:val="lt-LT"/>
        </w:rPr>
        <w:t>dalis lėšų privalo būti surenkama mokesčių ir įmokų, kurių dydį vietos valdžia gali keisti pagal savo nuostatuose patvirtintus kriterijus,</w:t>
      </w:r>
      <w:r w:rsidRPr="00234F06">
        <w:rPr>
          <w:color w:val="FFFFFF" w:themeColor="background1"/>
          <w:lang w:val="lt-LT"/>
        </w:rPr>
        <w:t>_</w:t>
      </w:r>
      <w:r>
        <w:rPr>
          <w:lang w:val="lt-LT"/>
        </w:rPr>
        <w:t>pavidalu.</w:t>
      </w:r>
    </w:p>
    <w:p w:rsidR="003910A3" w:rsidRPr="00BC4FD1" w:rsidRDefault="003910A3" w:rsidP="003910A3">
      <w:pPr>
        <w:tabs>
          <w:tab w:val="left" w:pos="8640"/>
        </w:tabs>
        <w:spacing w:line="360" w:lineRule="auto"/>
        <w:ind w:firstLine="720"/>
        <w:jc w:val="both"/>
        <w:rPr>
          <w:lang w:val="lt-LT"/>
        </w:rPr>
      </w:pPr>
      <w:r w:rsidRPr="00BC4FD1">
        <w:rPr>
          <w:lang w:val="lt-LT"/>
        </w:rPr>
        <w:t xml:space="preserve">    1993 m. stodama į Europos tarybą Lietuva įsipareigojo pasirašyti ir ratifikuoti Euro</w:t>
      </w:r>
      <w:r>
        <w:rPr>
          <w:lang w:val="lt-LT"/>
        </w:rPr>
        <w:t xml:space="preserve">pos vietos savivaldos chartiją, kuri </w:t>
      </w:r>
      <w:r w:rsidRPr="00BC4FD1">
        <w:rPr>
          <w:lang w:val="lt-LT"/>
        </w:rPr>
        <w:t>įsigaliojo Lietuvoje 1999 m. užimdama deramą vietą Lietuvos teisinėje sistemoje.</w:t>
      </w:r>
    </w:p>
    <w:p w:rsidR="003910A3" w:rsidRPr="00BC4FD1" w:rsidRDefault="00D16FF9" w:rsidP="00D16FF9">
      <w:pPr>
        <w:tabs>
          <w:tab w:val="left" w:pos="709"/>
        </w:tabs>
        <w:spacing w:line="360" w:lineRule="auto"/>
        <w:jc w:val="both"/>
        <w:rPr>
          <w:lang w:val="lt-LT"/>
        </w:rPr>
      </w:pPr>
      <w:r>
        <w:rPr>
          <w:lang w:val="lt-LT"/>
        </w:rPr>
        <w:tab/>
      </w:r>
      <w:r w:rsidR="003910A3" w:rsidRPr="00BC4FD1">
        <w:rPr>
          <w:lang w:val="lt-LT"/>
        </w:rPr>
        <w:t xml:space="preserve">Europos vietos savivaldos chartijos ratifikavimas reiškia, kad </w:t>
      </w:r>
      <w:r w:rsidR="003910A3">
        <w:rPr>
          <w:lang w:val="lt-LT"/>
        </w:rPr>
        <w:t>Lietuva</w:t>
      </w:r>
      <w:r w:rsidR="003910A3" w:rsidRPr="00BC4FD1">
        <w:rPr>
          <w:lang w:val="lt-LT"/>
        </w:rPr>
        <w:t xml:space="preserve"> įsipareigoja suderinti vietos savivaldą reguliuojančius įstatymus su chartijos nuostatomis ir laikytis visų joje įtvirtintų principinių reikalavimų. Chartijos ratifikavimas neabejotinai buvo teigiamas žingsnis plėtojant demokratiją, įgyvendinant decentralizacijos ir subsidarumo principus Lietuvoje.</w:t>
      </w:r>
    </w:p>
    <w:p w:rsidR="00D16FF9" w:rsidRDefault="00D16FF9" w:rsidP="00D16FF9">
      <w:pPr>
        <w:tabs>
          <w:tab w:val="left" w:pos="709"/>
        </w:tabs>
        <w:spacing w:line="360" w:lineRule="auto"/>
        <w:jc w:val="both"/>
        <w:rPr>
          <w:lang w:val="lt-LT"/>
        </w:rPr>
      </w:pPr>
      <w:r>
        <w:rPr>
          <w:lang w:val="lt-LT"/>
        </w:rPr>
        <w:lastRenderedPageBreak/>
        <w:tab/>
      </w:r>
      <w:r w:rsidR="003910A3">
        <w:rPr>
          <w:lang w:val="lt-LT"/>
        </w:rPr>
        <w:t xml:space="preserve">Chartija </w:t>
      </w:r>
      <w:r w:rsidR="003910A3" w:rsidRPr="00BC4FD1">
        <w:rPr>
          <w:lang w:val="lt-LT"/>
        </w:rPr>
        <w:t>įtvirtina vietos savivaldos konstitucinio ir teisinio pagrindo principą, įpareigoja šalis laikytis pagrindinių taisyklių, garantuojančių politinę, administracinę bei finansinę vietos valdžios institucijų nepriklausomybę. Joje įtvirtinta nuostata, kad savivaldos institucijos yra bet kurios demokratinės santvarkos pagrindas.</w:t>
      </w:r>
    </w:p>
    <w:p w:rsidR="00D16FF9" w:rsidRDefault="00D16FF9" w:rsidP="008C1DD6">
      <w:pPr>
        <w:tabs>
          <w:tab w:val="left" w:pos="8640"/>
        </w:tabs>
        <w:spacing w:line="360" w:lineRule="auto"/>
        <w:ind w:firstLine="720"/>
        <w:jc w:val="both"/>
        <w:rPr>
          <w:lang w:val="lt-LT"/>
        </w:rPr>
      </w:pPr>
      <w:r w:rsidRPr="00D16FF9">
        <w:rPr>
          <w:lang w:val="lt-LT"/>
        </w:rPr>
        <w:t>Europos savivaldos chartija dažnai vadinama "mažąja savivaldos konstitucija", ji suteikia teisines garantijas tolesnei savivaldos plėtrai, padeda spręsti dažnai problematiškus centrinės ir vietos valdžios santykių klausimus.</w:t>
      </w:r>
    </w:p>
    <w:p w:rsidR="0050591C" w:rsidRDefault="000F5A25" w:rsidP="008C1DD6">
      <w:pPr>
        <w:tabs>
          <w:tab w:val="left" w:pos="8640"/>
        </w:tabs>
        <w:spacing w:line="360" w:lineRule="auto"/>
        <w:ind w:firstLine="720"/>
        <w:jc w:val="both"/>
        <w:rPr>
          <w:lang w:val="lt-LT"/>
        </w:rPr>
      </w:pPr>
      <w:r>
        <w:rPr>
          <w:lang w:val="lt-LT"/>
        </w:rPr>
        <w:t>Regionų komitetas</w:t>
      </w:r>
      <w:r w:rsidR="0050591C" w:rsidRPr="0050591C">
        <w:rPr>
          <w:lang w:val="lt-LT"/>
        </w:rPr>
        <w:t xml:space="preserve"> jau yra pareiškęs ketinimą parengti Europos Sąjungos daugiapakopio valdymo chartiją ir</w:t>
      </w:r>
      <w:r w:rsidR="0050591C">
        <w:rPr>
          <w:lang w:val="lt-LT"/>
        </w:rPr>
        <w:t xml:space="preserve"> turėtų vykti darbas šia linkme</w:t>
      </w:r>
      <w:r w:rsidR="0050591C" w:rsidRPr="0050591C">
        <w:rPr>
          <w:lang w:val="lt-LT"/>
        </w:rPr>
        <w:t>. Ši chartija galėtų sudaryti gerą progą nubrėžti vietos ir regionų demokratijos principus ir būti naudinga parama vietos ir regionų valdymui bei decentralizacijos procesui valstybėse narėse, šalyse kandidatėse ir kaimyninėse šalyse.</w:t>
      </w:r>
    </w:p>
    <w:p w:rsidR="00544BCB" w:rsidRPr="008C1DD6" w:rsidRDefault="008C1DD6" w:rsidP="00065284">
      <w:pPr>
        <w:tabs>
          <w:tab w:val="left" w:pos="8640"/>
        </w:tabs>
        <w:spacing w:line="360" w:lineRule="auto"/>
        <w:ind w:firstLine="720"/>
        <w:jc w:val="both"/>
        <w:rPr>
          <w:b/>
          <w:lang w:val="lt-LT"/>
        </w:rPr>
      </w:pPr>
      <w:r w:rsidRPr="008C1DD6">
        <w:rPr>
          <w:b/>
          <w:lang w:val="lt-LT"/>
        </w:rPr>
        <w:t>Savivalda ES šalyse</w:t>
      </w:r>
      <w:r>
        <w:rPr>
          <w:b/>
          <w:lang w:val="lt-LT"/>
        </w:rPr>
        <w:t>.</w:t>
      </w:r>
    </w:p>
    <w:p w:rsidR="00917ACD" w:rsidRDefault="00917ACD" w:rsidP="00917ACD">
      <w:pPr>
        <w:tabs>
          <w:tab w:val="left" w:pos="8640"/>
        </w:tabs>
        <w:spacing w:line="360" w:lineRule="auto"/>
        <w:ind w:firstLine="720"/>
        <w:jc w:val="both"/>
        <w:rPr>
          <w:lang w:val="lt-LT"/>
        </w:rPr>
      </w:pPr>
      <w:r w:rsidRPr="00917ACD">
        <w:rPr>
          <w:lang w:val="lt-LT"/>
        </w:rPr>
        <w:t>Pačių regionų pozicijos Europoje ir ypač ES</w:t>
      </w:r>
      <w:r w:rsidR="00544BCB">
        <w:rPr>
          <w:lang w:val="lt-LT"/>
        </w:rPr>
        <w:t xml:space="preserve"> pastaraisiais metais stiprėja.</w:t>
      </w:r>
      <w:r w:rsidR="00544BCB" w:rsidRPr="00544BCB">
        <w:rPr>
          <w:color w:val="FFFFFF" w:themeColor="background1"/>
          <w:lang w:val="lt-LT"/>
        </w:rPr>
        <w:t>_</w:t>
      </w:r>
      <w:r w:rsidRPr="00917ACD">
        <w:rPr>
          <w:lang w:val="lt-LT"/>
        </w:rPr>
        <w:t>Prie to</w:t>
      </w:r>
      <w:r>
        <w:rPr>
          <w:lang w:val="lt-LT"/>
        </w:rPr>
        <w:t xml:space="preserve"> </w:t>
      </w:r>
      <w:r w:rsidRPr="00917ACD">
        <w:rPr>
          <w:lang w:val="lt-LT"/>
        </w:rPr>
        <w:t>prisideda daugelis veiksnių (regionalizmas, ES politika ir kt.).Valdžios pasidalijimo</w:t>
      </w:r>
      <w:r>
        <w:rPr>
          <w:lang w:val="lt-LT"/>
        </w:rPr>
        <w:t xml:space="preserve"> </w:t>
      </w:r>
      <w:r w:rsidRPr="00917ACD">
        <w:rPr>
          <w:lang w:val="lt-LT"/>
        </w:rPr>
        <w:t>klausimas Europos valstybėse yra labai nevienareikšmis ir skirtumai yra esminiai. Savivaldos</w:t>
      </w:r>
      <w:r>
        <w:rPr>
          <w:lang w:val="lt-LT"/>
        </w:rPr>
        <w:t xml:space="preserve"> </w:t>
      </w:r>
      <w:r w:rsidRPr="00917ACD">
        <w:rPr>
          <w:lang w:val="lt-LT"/>
        </w:rPr>
        <w:t>pozicijos valdžios hierarchijos</w:t>
      </w:r>
      <w:r>
        <w:rPr>
          <w:lang w:val="lt-LT"/>
        </w:rPr>
        <w:t xml:space="preserve"> </w:t>
      </w:r>
      <w:r w:rsidRPr="00917ACD">
        <w:rPr>
          <w:lang w:val="lt-LT"/>
        </w:rPr>
        <w:t>piramidėje yra gana panašios ES šalyse</w:t>
      </w:r>
      <w:r>
        <w:rPr>
          <w:lang w:val="lt-LT"/>
        </w:rPr>
        <w:t xml:space="preserve">. </w:t>
      </w:r>
      <w:r w:rsidR="000E775E">
        <w:rPr>
          <w:lang w:val="lt-LT"/>
        </w:rPr>
        <w:t>Regioninio lygmens</w:t>
      </w:r>
      <w:r w:rsidR="000E775E" w:rsidRPr="000E775E">
        <w:rPr>
          <w:color w:val="FFFFFF" w:themeColor="background1"/>
          <w:lang w:val="lt-LT"/>
        </w:rPr>
        <w:t>_</w:t>
      </w:r>
      <w:r w:rsidRPr="00917ACD">
        <w:rPr>
          <w:lang w:val="lt-LT"/>
        </w:rPr>
        <w:t>administravimo vienetų,</w:t>
      </w:r>
      <w:r>
        <w:rPr>
          <w:lang w:val="lt-LT"/>
        </w:rPr>
        <w:t xml:space="preserve"> </w:t>
      </w:r>
      <w:r w:rsidRPr="00917ACD">
        <w:rPr>
          <w:lang w:val="lt-LT"/>
        </w:rPr>
        <w:t>kurie įprastai užima tarpinę poziciją tarp nacionalinės ir vietos valdžios, pozicija, galios ir</w:t>
      </w:r>
      <w:r>
        <w:rPr>
          <w:lang w:val="lt-LT"/>
        </w:rPr>
        <w:t xml:space="preserve"> </w:t>
      </w:r>
      <w:r w:rsidRPr="00917ACD">
        <w:rPr>
          <w:lang w:val="lt-LT"/>
        </w:rPr>
        <w:t>funkcijos šioje valdžių hierarchijoje skiriasi iš esmės.</w:t>
      </w:r>
      <w:r>
        <w:rPr>
          <w:lang w:val="lt-LT"/>
        </w:rPr>
        <w:t xml:space="preserve"> </w:t>
      </w:r>
      <w:r w:rsidRPr="00917ACD">
        <w:rPr>
          <w:lang w:val="lt-LT"/>
        </w:rPr>
        <w:t>P. Balchin‘as ir L. Sykora</w:t>
      </w:r>
      <w:r>
        <w:rPr>
          <w:lang w:val="lt-LT"/>
        </w:rPr>
        <w:t xml:space="preserve"> (</w:t>
      </w:r>
      <w:r w:rsidRPr="00917ACD">
        <w:rPr>
          <w:lang w:val="lt-LT"/>
        </w:rPr>
        <w:t>1999) suklasifikavo Europos valstybes į 5 kategorijas pagal subnacionalinės</w:t>
      </w:r>
      <w:r>
        <w:rPr>
          <w:lang w:val="lt-LT"/>
        </w:rPr>
        <w:t xml:space="preserve"> </w:t>
      </w:r>
      <w:r w:rsidRPr="00917ACD">
        <w:rPr>
          <w:lang w:val="lt-LT"/>
        </w:rPr>
        <w:t>valdžios</w:t>
      </w:r>
      <w:r>
        <w:rPr>
          <w:lang w:val="lt-LT"/>
        </w:rPr>
        <w:t xml:space="preserve"> </w:t>
      </w:r>
      <w:r w:rsidRPr="00917ACD">
        <w:rPr>
          <w:lang w:val="lt-LT"/>
        </w:rPr>
        <w:t>autonomijos laipsnį:</w:t>
      </w:r>
    </w:p>
    <w:p w:rsidR="00917ACD" w:rsidRDefault="00917ACD" w:rsidP="00CC565B">
      <w:pPr>
        <w:pStyle w:val="ListParagraph"/>
        <w:numPr>
          <w:ilvl w:val="0"/>
          <w:numId w:val="15"/>
        </w:numPr>
        <w:tabs>
          <w:tab w:val="left" w:pos="8640"/>
        </w:tabs>
        <w:spacing w:line="360" w:lineRule="auto"/>
        <w:jc w:val="both"/>
        <w:rPr>
          <w:lang w:val="lt-LT"/>
        </w:rPr>
      </w:pPr>
      <w:r w:rsidRPr="00917ACD">
        <w:rPr>
          <w:lang w:val="lt-LT"/>
        </w:rPr>
        <w:t>Klasikinės unitarinės valstybės (Graikija, Airija, Liuksemburgas).</w:t>
      </w:r>
    </w:p>
    <w:p w:rsidR="00917ACD" w:rsidRPr="00917ACD" w:rsidRDefault="00917ACD" w:rsidP="00CC565B">
      <w:pPr>
        <w:pStyle w:val="ListParagraph"/>
        <w:numPr>
          <w:ilvl w:val="0"/>
          <w:numId w:val="15"/>
        </w:numPr>
        <w:tabs>
          <w:tab w:val="left" w:pos="8640"/>
        </w:tabs>
        <w:spacing w:line="360" w:lineRule="auto"/>
        <w:jc w:val="both"/>
        <w:rPr>
          <w:lang w:val="lt-LT"/>
        </w:rPr>
      </w:pPr>
      <w:r w:rsidRPr="00917ACD">
        <w:rPr>
          <w:lang w:val="lt-LT"/>
        </w:rPr>
        <w:t>Unitarinės valstybės, pradėjusios regioninės decentralizacijos procesą (Suomija,</w:t>
      </w:r>
      <w:r>
        <w:rPr>
          <w:lang w:val="lt-LT"/>
        </w:rPr>
        <w:t xml:space="preserve"> </w:t>
      </w:r>
      <w:r w:rsidRPr="00917ACD">
        <w:rPr>
          <w:lang w:val="lt-LT"/>
        </w:rPr>
        <w:t>Prancūzija, Portugalija, Olandija).</w:t>
      </w:r>
    </w:p>
    <w:p w:rsidR="00917ACD" w:rsidRDefault="00917ACD" w:rsidP="00CC565B">
      <w:pPr>
        <w:pStyle w:val="ListParagraph"/>
        <w:numPr>
          <w:ilvl w:val="0"/>
          <w:numId w:val="16"/>
        </w:numPr>
        <w:tabs>
          <w:tab w:val="left" w:pos="8640"/>
        </w:tabs>
        <w:spacing w:line="360" w:lineRule="auto"/>
        <w:jc w:val="both"/>
        <w:rPr>
          <w:lang w:val="lt-LT"/>
        </w:rPr>
      </w:pPr>
      <w:r w:rsidRPr="00917ACD">
        <w:rPr>
          <w:lang w:val="lt-LT"/>
        </w:rPr>
        <w:t>Unitarinės valstybės deleguojančios daugiau valdžios savivaldybėms (Danija,</w:t>
      </w:r>
      <w:r>
        <w:rPr>
          <w:lang w:val="lt-LT"/>
        </w:rPr>
        <w:t xml:space="preserve"> Norvegija, </w:t>
      </w:r>
      <w:r w:rsidRPr="00917ACD">
        <w:rPr>
          <w:lang w:val="lt-LT"/>
        </w:rPr>
        <w:t>Švedija).</w:t>
      </w:r>
    </w:p>
    <w:p w:rsidR="00917ACD" w:rsidRDefault="00917ACD" w:rsidP="00CC565B">
      <w:pPr>
        <w:pStyle w:val="ListParagraph"/>
        <w:numPr>
          <w:ilvl w:val="0"/>
          <w:numId w:val="16"/>
        </w:numPr>
        <w:tabs>
          <w:tab w:val="left" w:pos="8640"/>
        </w:tabs>
        <w:spacing w:line="360" w:lineRule="auto"/>
        <w:jc w:val="both"/>
        <w:rPr>
          <w:lang w:val="lt-LT"/>
        </w:rPr>
      </w:pPr>
      <w:r w:rsidRPr="00917ACD">
        <w:rPr>
          <w:lang w:val="lt-LT"/>
        </w:rPr>
        <w:t>Regionalizuotos unitarinės valstybės (Italija</w:t>
      </w:r>
      <w:r>
        <w:rPr>
          <w:lang w:val="lt-LT"/>
        </w:rPr>
        <w:t>, Ispanija, Jungtinė Karalystė)</w:t>
      </w:r>
    </w:p>
    <w:p w:rsidR="00917ACD" w:rsidRDefault="00917ACD" w:rsidP="00CC565B">
      <w:pPr>
        <w:pStyle w:val="ListParagraph"/>
        <w:numPr>
          <w:ilvl w:val="0"/>
          <w:numId w:val="16"/>
        </w:numPr>
        <w:tabs>
          <w:tab w:val="left" w:pos="8640"/>
        </w:tabs>
        <w:spacing w:line="360" w:lineRule="auto"/>
        <w:jc w:val="both"/>
        <w:rPr>
          <w:lang w:val="lt-LT"/>
        </w:rPr>
      </w:pPr>
      <w:r w:rsidRPr="00917ACD">
        <w:rPr>
          <w:lang w:val="lt-LT"/>
        </w:rPr>
        <w:t>Federalinės valstybės, kuriose regionai turi pilną sprendimo priėmimo autonomiją,</w:t>
      </w:r>
      <w:r>
        <w:rPr>
          <w:lang w:val="lt-LT"/>
        </w:rPr>
        <w:t xml:space="preserve"> </w:t>
      </w:r>
      <w:r w:rsidRPr="00917ACD">
        <w:rPr>
          <w:lang w:val="lt-LT"/>
        </w:rPr>
        <w:t>išskyrus kai kurias užsienio politikos ir ekonomikos sferas (Vokietija, Belgija,</w:t>
      </w:r>
      <w:r>
        <w:rPr>
          <w:lang w:val="lt-LT"/>
        </w:rPr>
        <w:t xml:space="preserve"> </w:t>
      </w:r>
      <w:r w:rsidR="000E775E">
        <w:rPr>
          <w:lang w:val="lt-LT"/>
        </w:rPr>
        <w:t>Austrija</w:t>
      </w:r>
      <w:r w:rsidRPr="00917ACD">
        <w:rPr>
          <w:lang w:val="lt-LT"/>
        </w:rPr>
        <w:t>).</w:t>
      </w:r>
    </w:p>
    <w:p w:rsidR="000E775E" w:rsidRPr="000E775E" w:rsidRDefault="000E775E" w:rsidP="000E775E">
      <w:pPr>
        <w:tabs>
          <w:tab w:val="left" w:pos="709"/>
        </w:tabs>
        <w:spacing w:line="360" w:lineRule="auto"/>
        <w:jc w:val="both"/>
        <w:rPr>
          <w:lang w:val="lt-LT"/>
        </w:rPr>
      </w:pPr>
      <w:r>
        <w:rPr>
          <w:lang w:val="lt-LT"/>
        </w:rPr>
        <w:tab/>
        <w:t>Nors Europos Sąjungos regionų komitetas, kuris įpareigotas stebėti decentralizacijos procesus valstybėse narėse, Ispaniją priskiria prie pusiau federacinės valstybės.</w:t>
      </w:r>
    </w:p>
    <w:p w:rsidR="00500E83" w:rsidRDefault="00500E83" w:rsidP="00500E83">
      <w:pPr>
        <w:tabs>
          <w:tab w:val="left" w:pos="8640"/>
        </w:tabs>
        <w:spacing w:line="360" w:lineRule="auto"/>
        <w:ind w:firstLine="720"/>
        <w:jc w:val="both"/>
        <w:rPr>
          <w:lang w:val="lt-LT"/>
        </w:rPr>
      </w:pPr>
      <w:r w:rsidRPr="00500E83">
        <w:rPr>
          <w:lang w:val="lt-LT"/>
        </w:rPr>
        <w:t>Pačius subnacionalinius regionus galima būtų suskirstyti į kelias kategorijas pagal jų</w:t>
      </w:r>
      <w:r>
        <w:rPr>
          <w:lang w:val="lt-LT"/>
        </w:rPr>
        <w:t xml:space="preserve"> </w:t>
      </w:r>
      <w:r w:rsidRPr="00500E83">
        <w:rPr>
          <w:lang w:val="lt-LT"/>
        </w:rPr>
        <w:t>autonomijos laipsnį–nuo pačių</w:t>
      </w:r>
      <w:r>
        <w:rPr>
          <w:lang w:val="lt-LT"/>
        </w:rPr>
        <w:t xml:space="preserve"> </w:t>
      </w:r>
      <w:r w:rsidRPr="00500E83">
        <w:rPr>
          <w:lang w:val="lt-LT"/>
        </w:rPr>
        <w:t>galių</w:t>
      </w:r>
      <w:r>
        <w:rPr>
          <w:lang w:val="lt-LT"/>
        </w:rPr>
        <w:t xml:space="preserve"> </w:t>
      </w:r>
      <w:r w:rsidRPr="00500E83">
        <w:rPr>
          <w:lang w:val="lt-LT"/>
        </w:rPr>
        <w:t>regionų, turinčių renkamą parlamentą, teisę</w:t>
      </w:r>
      <w:r>
        <w:rPr>
          <w:lang w:val="lt-LT"/>
        </w:rPr>
        <w:t xml:space="preserve"> </w:t>
      </w:r>
      <w:r w:rsidRPr="00500E83">
        <w:rPr>
          <w:lang w:val="lt-LT"/>
        </w:rPr>
        <w:t>reguliuoti</w:t>
      </w:r>
      <w:r>
        <w:rPr>
          <w:lang w:val="lt-LT"/>
        </w:rPr>
        <w:t xml:space="preserve"> </w:t>
      </w:r>
      <w:r w:rsidRPr="00500E83">
        <w:rPr>
          <w:lang w:val="lt-LT"/>
        </w:rPr>
        <w:t>mokesčius, leisti įstatymus, formuoti savo biudžetą iki regionų, kurie iš esmės</w:t>
      </w:r>
      <w:r>
        <w:rPr>
          <w:lang w:val="lt-LT"/>
        </w:rPr>
        <w:t xml:space="preserve"> </w:t>
      </w:r>
      <w:r w:rsidRPr="00500E83">
        <w:rPr>
          <w:lang w:val="lt-LT"/>
        </w:rPr>
        <w:t>neturi jokių</w:t>
      </w:r>
      <w:r>
        <w:rPr>
          <w:lang w:val="lt-LT"/>
        </w:rPr>
        <w:t xml:space="preserve"> </w:t>
      </w:r>
      <w:r w:rsidRPr="00500E83">
        <w:rPr>
          <w:lang w:val="lt-LT"/>
        </w:rPr>
        <w:t>savivaldos galių</w:t>
      </w:r>
      <w:r>
        <w:rPr>
          <w:lang w:val="lt-LT"/>
        </w:rPr>
        <w:t xml:space="preserve"> </w:t>
      </w:r>
      <w:r w:rsidRPr="00500E83">
        <w:rPr>
          <w:lang w:val="lt-LT"/>
        </w:rPr>
        <w:t>ir tėra šalių nacionalinių</w:t>
      </w:r>
      <w:r>
        <w:rPr>
          <w:lang w:val="lt-LT"/>
        </w:rPr>
        <w:t xml:space="preserve"> </w:t>
      </w:r>
      <w:r>
        <w:rPr>
          <w:lang w:val="lt-LT"/>
        </w:rPr>
        <w:lastRenderedPageBreak/>
        <w:t>vyriausybių agentūros vietose. T</w:t>
      </w:r>
      <w:r w:rsidRPr="00500E83">
        <w:rPr>
          <w:lang w:val="lt-LT"/>
        </w:rPr>
        <w:t>okių regionų</w:t>
      </w:r>
      <w:r>
        <w:rPr>
          <w:lang w:val="lt-LT"/>
        </w:rPr>
        <w:t xml:space="preserve"> pavyzdys </w:t>
      </w:r>
      <w:r>
        <w:t xml:space="preserve">2010 m. panaikintos </w:t>
      </w:r>
      <w:r w:rsidRPr="00500E83">
        <w:rPr>
          <w:lang w:val="lt-LT"/>
        </w:rPr>
        <w:t>Lietuvos apskritys, tačiau</w:t>
      </w:r>
      <w:r>
        <w:rPr>
          <w:lang w:val="lt-LT"/>
        </w:rPr>
        <w:t xml:space="preserve"> </w:t>
      </w:r>
      <w:r w:rsidRPr="00500E83">
        <w:rPr>
          <w:lang w:val="lt-LT"/>
        </w:rPr>
        <w:t>panaikinus jų administracijas galima teigti, kad Lietuvoje regioninio lygmens administravimo</w:t>
      </w:r>
      <w:r>
        <w:rPr>
          <w:lang w:val="lt-LT"/>
        </w:rPr>
        <w:t xml:space="preserve"> </w:t>
      </w:r>
      <w:r w:rsidRPr="00500E83">
        <w:rPr>
          <w:lang w:val="lt-LT"/>
        </w:rPr>
        <w:t>ir administracinės valdžios</w:t>
      </w:r>
      <w:r>
        <w:rPr>
          <w:lang w:val="lt-LT"/>
        </w:rPr>
        <w:t xml:space="preserve"> </w:t>
      </w:r>
      <w:r w:rsidRPr="00500E83">
        <w:rPr>
          <w:lang w:val="lt-LT"/>
        </w:rPr>
        <w:t>praktišk</w:t>
      </w:r>
      <w:r>
        <w:rPr>
          <w:lang w:val="lt-LT"/>
        </w:rPr>
        <w:t>ai visai nebėra</w:t>
      </w:r>
      <w:r w:rsidRPr="00500E83">
        <w:rPr>
          <w:lang w:val="lt-LT"/>
        </w:rPr>
        <w:t>.</w:t>
      </w:r>
      <w:r>
        <w:rPr>
          <w:lang w:val="lt-LT"/>
        </w:rPr>
        <w:t xml:space="preserve"> </w:t>
      </w:r>
    </w:p>
    <w:p w:rsidR="00065284" w:rsidRPr="00065284" w:rsidRDefault="00065284" w:rsidP="00065284">
      <w:pPr>
        <w:tabs>
          <w:tab w:val="left" w:pos="709"/>
        </w:tabs>
        <w:spacing w:line="360" w:lineRule="auto"/>
        <w:jc w:val="both"/>
        <w:rPr>
          <w:lang w:val="lt-LT"/>
        </w:rPr>
      </w:pPr>
      <w:r>
        <w:rPr>
          <w:lang w:val="lt-LT"/>
        </w:rPr>
        <w:tab/>
      </w:r>
      <w:r w:rsidRPr="00065284">
        <w:rPr>
          <w:lang w:val="lt-LT"/>
        </w:rPr>
        <w:t>Europos Sąjungos valstybėse skiriasi vietos valdžios išlaidos, finansuojamos iš pačių savivaldybių</w:t>
      </w:r>
    </w:p>
    <w:p w:rsidR="00065284" w:rsidRPr="00065284" w:rsidRDefault="00065284" w:rsidP="00544BCB">
      <w:pPr>
        <w:tabs>
          <w:tab w:val="left" w:pos="8640"/>
        </w:tabs>
        <w:spacing w:line="360" w:lineRule="auto"/>
        <w:jc w:val="both"/>
        <w:rPr>
          <w:lang w:val="lt-LT"/>
        </w:rPr>
      </w:pPr>
      <w:r w:rsidRPr="00065284">
        <w:rPr>
          <w:lang w:val="lt-LT"/>
        </w:rPr>
        <w:t>kontroliuojamų finansinių šaltinių ir ypač mokesčių bazės, priskirtos vietos savivaldai administruoti. Tai</w:t>
      </w:r>
      <w:r w:rsidR="00EC37DC">
        <w:rPr>
          <w:lang w:val="lt-LT"/>
        </w:rPr>
        <w:t xml:space="preserve"> </w:t>
      </w:r>
      <w:r w:rsidRPr="00065284">
        <w:rPr>
          <w:lang w:val="lt-LT"/>
        </w:rPr>
        <w:t>lemia ir vietos savivaldos funkcijų skirtingumą. Pasak Pauliko ir Adomonio (2003) vienose valstybėse vietos valdžia turi veiksmų „pasirinkimo“ galimybę, kitose labiau atlieka centrinės valdžios kontroliuojamos „agentūros“ funkcijas. Pagal „pasirinkimo“ modelį vietos valdžia traktuojama kaip būdas leisti vietos bendruomenėms daryti vietos</w:t>
      </w:r>
      <w:r w:rsidRPr="00065284">
        <w:rPr>
          <w:color w:val="FFFFFF" w:themeColor="background1"/>
          <w:lang w:val="lt-LT"/>
        </w:rPr>
        <w:t>_</w:t>
      </w:r>
      <w:r w:rsidRPr="00065284">
        <w:rPr>
          <w:lang w:val="lt-LT"/>
        </w:rPr>
        <w:t>gerovės poreikių tenkinimo sprendimus geriau, negu tai gali daryti centrinė vyriausybė. Pagal „agentūros“ modelį, vietos savivalda yra tik įrankis centrinės valdžios sprendimams įgyvendinti. Šiuo atveju centrinė valdžia pageidauja tokių vietos valdžios sprendimų, kurie sutampa su „centro“ norais.</w:t>
      </w:r>
    </w:p>
    <w:p w:rsidR="00DC36B5" w:rsidRDefault="00065284" w:rsidP="00065284">
      <w:pPr>
        <w:tabs>
          <w:tab w:val="left" w:pos="8640"/>
        </w:tabs>
        <w:spacing w:line="360" w:lineRule="auto"/>
        <w:ind w:firstLine="720"/>
        <w:jc w:val="both"/>
        <w:rPr>
          <w:lang w:val="lt-LT"/>
        </w:rPr>
      </w:pPr>
      <w:r w:rsidRPr="00065284">
        <w:rPr>
          <w:lang w:val="lt-LT"/>
        </w:rPr>
        <w:t>ES valstybėse ir visame pasaulyje vietos savivalda yra vienoks ar kitoks šių dviejų modelių derinys, o derinio sudėtis priklauso nuo politinės kultūros ir administravimo tradicijų.</w:t>
      </w:r>
    </w:p>
    <w:p w:rsidR="00FB5CA1" w:rsidRDefault="00FB5CA1" w:rsidP="00065284">
      <w:pPr>
        <w:tabs>
          <w:tab w:val="left" w:pos="8640"/>
        </w:tabs>
        <w:spacing w:line="360" w:lineRule="auto"/>
        <w:ind w:firstLine="720"/>
        <w:jc w:val="both"/>
        <w:rPr>
          <w:b/>
          <w:lang w:val="lt-LT"/>
        </w:rPr>
      </w:pPr>
      <w:r>
        <w:rPr>
          <w:b/>
          <w:lang w:val="lt-LT"/>
        </w:rPr>
        <w:t>Decentralizacija ir</w:t>
      </w:r>
      <w:r w:rsidRPr="00FB5CA1">
        <w:rPr>
          <w:b/>
          <w:lang w:val="lt-LT"/>
        </w:rPr>
        <w:t xml:space="preserve"> finansų krizė</w:t>
      </w:r>
      <w:r>
        <w:rPr>
          <w:b/>
          <w:lang w:val="lt-LT"/>
        </w:rPr>
        <w:t xml:space="preserve"> Europoje.</w:t>
      </w:r>
    </w:p>
    <w:p w:rsidR="00426245" w:rsidRDefault="00FB5CA1" w:rsidP="00730B98">
      <w:pPr>
        <w:tabs>
          <w:tab w:val="left" w:pos="709"/>
        </w:tabs>
        <w:spacing w:line="360" w:lineRule="auto"/>
        <w:jc w:val="both"/>
        <w:rPr>
          <w:lang w:val="lt-LT"/>
        </w:rPr>
      </w:pPr>
      <w:r>
        <w:rPr>
          <w:lang w:val="lt-LT"/>
        </w:rPr>
        <w:tab/>
      </w:r>
      <w:r w:rsidRPr="00FB5CA1">
        <w:rPr>
          <w:lang w:val="lt-LT"/>
        </w:rPr>
        <w:t>2009 m. kilusi fin</w:t>
      </w:r>
      <w:r>
        <w:rPr>
          <w:lang w:val="lt-LT"/>
        </w:rPr>
        <w:t>ansų krizė išsiplėtė į valstybių</w:t>
      </w:r>
      <w:r w:rsidRPr="00FB5CA1">
        <w:rPr>
          <w:lang w:val="lt-LT"/>
        </w:rPr>
        <w:t xml:space="preserve"> skolos krizę, kuri kelia didelį pavojų realiajai ekon</w:t>
      </w:r>
      <w:r w:rsidR="00426245">
        <w:rPr>
          <w:lang w:val="lt-LT"/>
        </w:rPr>
        <w:t>omikai miestuose ir regionuose, taip vis daugiau keldama diskusijas ne tik nacionaliniu, bet ir Eu</w:t>
      </w:r>
      <w:r w:rsidR="00C8612C">
        <w:rPr>
          <w:lang w:val="lt-LT"/>
        </w:rPr>
        <w:t>ropos lygmeniu dėl subnacion</w:t>
      </w:r>
      <w:r w:rsidR="00426245">
        <w:rPr>
          <w:lang w:val="lt-LT"/>
        </w:rPr>
        <w:t>alinės valdžios trukdymo pasiekti centrinės valdžios lygmenio biudžeto tikslus. Kai kuriose Europos šalyse pradėtas vydyti racionalizavimo ir didesnio tvarumo užtikrinimo reformos. Daugelyje valstybių narių dabartinėmis ekonomikos ir finansų krizės sąlygomis dominuoja ekonominiai kriterijai, kurie pažeidžia demokratinius vietos ir regionų autonomijos pagrindus.</w:t>
      </w:r>
      <w:r w:rsidR="00C8612C">
        <w:rPr>
          <w:lang w:val="lt-LT"/>
        </w:rPr>
        <w:t xml:space="preserve"> Kai kuriose valstybėse narėse vykdoma decentralizacija neskiriant atitinkamų finansinių išteklių, supaprastinamos, mažinamos ar net panaikinamos subnacionalinės struktūros. Taip grindžiama prielaida, kad perleidus viešąsias paslaugas centrinės valdžios lygmeniui jų teikimas taps ekonomiškai efektyvesnis.</w:t>
      </w:r>
    </w:p>
    <w:p w:rsidR="00426245" w:rsidRDefault="001C248A" w:rsidP="00730B98">
      <w:pPr>
        <w:tabs>
          <w:tab w:val="left" w:pos="709"/>
        </w:tabs>
        <w:spacing w:line="360" w:lineRule="auto"/>
        <w:jc w:val="both"/>
        <w:rPr>
          <w:lang w:val="lt-LT"/>
        </w:rPr>
      </w:pPr>
      <w:r>
        <w:rPr>
          <w:lang w:val="lt-LT"/>
        </w:rPr>
        <w:tab/>
      </w:r>
      <w:r w:rsidR="003A615E">
        <w:rPr>
          <w:lang w:val="lt-LT"/>
        </w:rPr>
        <w:t>Pavyzd</w:t>
      </w:r>
      <w:r>
        <w:rPr>
          <w:lang w:val="lt-LT"/>
        </w:rPr>
        <w:t>žiui, f</w:t>
      </w:r>
      <w:r w:rsidR="000852CC">
        <w:rPr>
          <w:lang w:val="lt-LT"/>
        </w:rPr>
        <w:t>inansinės krizės paveiktoje Graikijoje</w:t>
      </w:r>
      <w:r w:rsidR="003A615E">
        <w:rPr>
          <w:lang w:val="lt-LT"/>
        </w:rPr>
        <w:t xml:space="preserve"> </w:t>
      </w:r>
      <w:r w:rsidR="003A615E">
        <w:t>2010</w:t>
      </w:r>
      <w:r>
        <w:t xml:space="preserve"> m. įvykdyta Kallikratis reforma sumažino savivaldybių skaičių nuo 1034 iki 325 </w:t>
      </w:r>
      <w:r w:rsidR="003A615E" w:rsidRPr="003A615E">
        <w:rPr>
          <w:lang w:val="lt-LT"/>
        </w:rPr>
        <w:t>(Akrivopoulou</w:t>
      </w:r>
      <w:r>
        <w:rPr>
          <w:lang w:val="lt-LT"/>
        </w:rPr>
        <w:t xml:space="preserve"> et. al., </w:t>
      </w:r>
      <w:r w:rsidR="003A615E" w:rsidRPr="003A615E">
        <w:rPr>
          <w:lang w:val="lt-LT"/>
        </w:rPr>
        <w:t>2012).</w:t>
      </w:r>
      <w:r>
        <w:rPr>
          <w:lang w:val="lt-LT"/>
        </w:rPr>
        <w:t xml:space="preserve"> Panašūs procesai vyko Ispanijoje, Vokietijoje, Suomijoje ir kt.</w:t>
      </w:r>
    </w:p>
    <w:p w:rsidR="00DC36B5" w:rsidRDefault="001C248A" w:rsidP="00730B98">
      <w:pPr>
        <w:tabs>
          <w:tab w:val="left" w:pos="709"/>
        </w:tabs>
        <w:spacing w:line="360" w:lineRule="auto"/>
        <w:jc w:val="both"/>
        <w:rPr>
          <w:lang w:val="lt-LT"/>
        </w:rPr>
      </w:pPr>
      <w:r>
        <w:rPr>
          <w:lang w:val="lt-LT"/>
        </w:rPr>
        <w:tab/>
      </w:r>
      <w:r w:rsidR="00EC37DC">
        <w:rPr>
          <w:lang w:val="lt-LT"/>
        </w:rPr>
        <w:t>Europos Sąjungos Regionų komitetas savo nuomonės pareiškime atkreipė dėmesį į tokius fiskalinės decentralizacijos aspektus:</w:t>
      </w:r>
    </w:p>
    <w:p w:rsidR="00EC37DC" w:rsidRPr="00EC37DC" w:rsidRDefault="00EC37DC" w:rsidP="00CC565B">
      <w:pPr>
        <w:pStyle w:val="ListParagraph"/>
        <w:numPr>
          <w:ilvl w:val="0"/>
          <w:numId w:val="20"/>
        </w:numPr>
        <w:tabs>
          <w:tab w:val="left" w:pos="8640"/>
        </w:tabs>
        <w:spacing w:line="360" w:lineRule="auto"/>
        <w:ind w:left="714" w:hanging="357"/>
        <w:jc w:val="both"/>
        <w:rPr>
          <w:lang w:val="lt-LT"/>
        </w:rPr>
      </w:pPr>
      <w:r w:rsidRPr="00EC37DC">
        <w:rPr>
          <w:lang w:val="lt-LT"/>
        </w:rPr>
        <w:t>nuoseklus decentralizacijos procesas tik tada bus sėkmingas, jei perdavus galias subnacionalinio lygmens valdžios institucijoms bus skirtos atitinkamos finansinės lėšos</w:t>
      </w:r>
    </w:p>
    <w:p w:rsidR="00EC37DC" w:rsidRPr="00EC37DC" w:rsidRDefault="00EC37DC" w:rsidP="00CC565B">
      <w:pPr>
        <w:pStyle w:val="ListParagraph"/>
        <w:numPr>
          <w:ilvl w:val="0"/>
          <w:numId w:val="19"/>
        </w:numPr>
        <w:spacing w:line="360" w:lineRule="auto"/>
        <w:ind w:left="714" w:hanging="357"/>
        <w:jc w:val="both"/>
        <w:rPr>
          <w:lang w:val="lt-LT"/>
        </w:rPr>
      </w:pPr>
      <w:r w:rsidRPr="00EC37DC">
        <w:rPr>
          <w:lang w:val="lt-LT"/>
        </w:rPr>
        <w:lastRenderedPageBreak/>
        <w:t xml:space="preserve">decentralizacija pati savaime neskatina subnacionalinių valdžios institucijų nevaržomai leisti pinigus, tai veikiau skatina netinkamai įgyvendinamos decentralizacijos priemonės, kurios nesiejamos su fiskaline decentralizacija; </w:t>
      </w:r>
    </w:p>
    <w:p w:rsidR="00EC37DC" w:rsidRDefault="00EC37DC" w:rsidP="00CC565B">
      <w:pPr>
        <w:pStyle w:val="ListParagraph"/>
        <w:numPr>
          <w:ilvl w:val="0"/>
          <w:numId w:val="18"/>
        </w:numPr>
        <w:spacing w:line="360" w:lineRule="auto"/>
        <w:ind w:left="714" w:hanging="357"/>
        <w:jc w:val="both"/>
        <w:rPr>
          <w:lang w:val="lt-LT"/>
        </w:rPr>
      </w:pPr>
      <w:r w:rsidRPr="00EC37DC">
        <w:rPr>
          <w:lang w:val="lt-LT"/>
        </w:rPr>
        <w:t>regionai, kurių didžiąją finansavimo dalį sudaro nuosavi ištekliai, atsakingiau elgiasi su turimomis finansinėmis lėšomis ir galiausiai jų viešasis biudžetas yra tvirtesnis; todėl ragina valstybes nares lėšų pervedimus kiek įmanoma pakeisti nuosavais finansiniais ištekliais;</w:t>
      </w:r>
    </w:p>
    <w:p w:rsidR="00EC37DC" w:rsidRPr="00EC37DC" w:rsidRDefault="00EC37DC" w:rsidP="00CC565B">
      <w:pPr>
        <w:pStyle w:val="ListParagraph"/>
        <w:numPr>
          <w:ilvl w:val="0"/>
          <w:numId w:val="18"/>
        </w:numPr>
        <w:spacing w:line="360" w:lineRule="auto"/>
        <w:ind w:left="714" w:hanging="357"/>
        <w:jc w:val="both"/>
        <w:rPr>
          <w:lang w:val="lt-LT"/>
        </w:rPr>
      </w:pPr>
      <w:r w:rsidRPr="00EC37DC">
        <w:rPr>
          <w:lang w:val="lt-LT"/>
        </w:rPr>
        <w:t>dėl rizikingų finansinių spekuliacijų daugelį regionų ir savivaldybių slegia dideli finansiniai sunkumai, ir ragina Europos Komisiją parengti tinkamas priemones ir strategijas, skirtas tokiems atvejams;</w:t>
      </w:r>
    </w:p>
    <w:p w:rsidR="00544BCB" w:rsidRPr="00544BCB" w:rsidRDefault="00EC37DC" w:rsidP="00CC565B">
      <w:pPr>
        <w:pStyle w:val="ListParagraph"/>
        <w:numPr>
          <w:ilvl w:val="0"/>
          <w:numId w:val="18"/>
        </w:numPr>
        <w:spacing w:line="360" w:lineRule="auto"/>
        <w:ind w:left="714" w:hanging="357"/>
        <w:jc w:val="both"/>
        <w:rPr>
          <w:lang w:val="lt-LT"/>
        </w:rPr>
      </w:pPr>
      <w:r w:rsidRPr="00EC37DC">
        <w:rPr>
          <w:lang w:val="lt-LT"/>
        </w:rPr>
        <w:t>centralizuotos valdžios valstybėse narėse, kurių visi regionai gali gauti paramą pagal pirmą tikslą, sanglaudos politika įgyvendinama neveiksmingai, nes centralizuotos administravimo institucijos dažnai nėra susipažinusios su regioninėmis atskirų projektų problemomis ir sunkumais, todėl pasisako už tai, kad ateityje atskiri fondai valstybėse narėse būtų valdomi įtrauk</w:t>
      </w:r>
      <w:r>
        <w:rPr>
          <w:lang w:val="lt-LT"/>
        </w:rPr>
        <w:t>iant subnacionalinius lygmenis.</w:t>
      </w:r>
    </w:p>
    <w:p w:rsidR="00DC36B5" w:rsidRDefault="00DC36B5" w:rsidP="00DC36B5">
      <w:pPr>
        <w:tabs>
          <w:tab w:val="left" w:pos="1134"/>
        </w:tabs>
        <w:spacing w:line="360" w:lineRule="auto"/>
        <w:jc w:val="both"/>
        <w:rPr>
          <w:lang w:val="lt-LT"/>
        </w:rPr>
      </w:pPr>
      <w:r>
        <w:rPr>
          <w:lang w:val="lt-LT"/>
        </w:rPr>
        <w:tab/>
      </w:r>
      <w:r w:rsidRPr="00DC36B5">
        <w:rPr>
          <w:lang w:val="lt-LT"/>
        </w:rPr>
        <w:t xml:space="preserve">Europos </w:t>
      </w:r>
      <w:r w:rsidR="00544BCB">
        <w:rPr>
          <w:lang w:val="lt-LT"/>
        </w:rPr>
        <w:t xml:space="preserve">Sąjunga </w:t>
      </w:r>
      <w:r w:rsidRPr="00DC36B5">
        <w:rPr>
          <w:lang w:val="lt-LT"/>
        </w:rPr>
        <w:t>neįpareigoja valstybių narių pasirinkti tam tikrą savo institucinės sąrangos modelį, perduoti galias vietos ir regionų valdžiai ar įgyvendinti valdžios decentralizaciją. Tačiau nors pripažindama ir gerbdama institucinio savarankiškumo principą, ES aiškiai deklaruoja savo palankumą regionų ar vietos savivaldai.</w:t>
      </w:r>
    </w:p>
    <w:p w:rsidR="00D16FF9" w:rsidRPr="00D16FF9" w:rsidRDefault="00D16FF9" w:rsidP="00D16FF9">
      <w:pPr>
        <w:rPr>
          <w:lang w:val="lt-LT"/>
        </w:rPr>
      </w:pPr>
    </w:p>
    <w:p w:rsidR="00D16FF9" w:rsidRPr="00DC36B5" w:rsidRDefault="00D16FF9" w:rsidP="00DC36B5">
      <w:pPr>
        <w:tabs>
          <w:tab w:val="left" w:pos="1134"/>
        </w:tabs>
        <w:spacing w:line="360" w:lineRule="auto"/>
        <w:jc w:val="both"/>
        <w:rPr>
          <w:lang w:val="lt-LT"/>
        </w:rPr>
      </w:pPr>
    </w:p>
    <w:p w:rsidR="00E74327" w:rsidRPr="00E74327" w:rsidRDefault="00E74327" w:rsidP="00E74327">
      <w:pPr>
        <w:tabs>
          <w:tab w:val="left" w:pos="8640"/>
        </w:tabs>
        <w:spacing w:line="360" w:lineRule="auto"/>
        <w:ind w:firstLine="720"/>
        <w:jc w:val="both"/>
        <w:rPr>
          <w:lang w:val="lt-LT"/>
        </w:rPr>
      </w:pPr>
    </w:p>
    <w:p w:rsidR="003F2E12" w:rsidRDefault="003F2E12" w:rsidP="003F2E12"/>
    <w:p w:rsidR="003F2E12" w:rsidRDefault="003F2E12" w:rsidP="003F2E12"/>
    <w:p w:rsidR="008C5DDA" w:rsidRDefault="008C5DDA" w:rsidP="00452D18">
      <w:pPr>
        <w:autoSpaceDE w:val="0"/>
        <w:autoSpaceDN w:val="0"/>
        <w:adjustRightInd w:val="0"/>
        <w:spacing w:line="360" w:lineRule="auto"/>
        <w:jc w:val="both"/>
        <w:rPr>
          <w:lang w:val="lt-LT"/>
        </w:rPr>
      </w:pPr>
    </w:p>
    <w:p w:rsidR="00EC5900" w:rsidRDefault="00EC5900" w:rsidP="00452D18">
      <w:pPr>
        <w:autoSpaceDE w:val="0"/>
        <w:autoSpaceDN w:val="0"/>
        <w:adjustRightInd w:val="0"/>
        <w:spacing w:line="360" w:lineRule="auto"/>
        <w:jc w:val="both"/>
        <w:rPr>
          <w:lang w:val="lt-LT"/>
        </w:rPr>
      </w:pPr>
    </w:p>
    <w:p w:rsidR="00EC5900" w:rsidRDefault="00EC5900" w:rsidP="00452D18">
      <w:pPr>
        <w:autoSpaceDE w:val="0"/>
        <w:autoSpaceDN w:val="0"/>
        <w:adjustRightInd w:val="0"/>
        <w:spacing w:line="360" w:lineRule="auto"/>
        <w:jc w:val="both"/>
        <w:rPr>
          <w:lang w:val="lt-LT"/>
        </w:rPr>
      </w:pPr>
    </w:p>
    <w:p w:rsidR="00EC5900" w:rsidRDefault="00EC5900" w:rsidP="00452D18">
      <w:pPr>
        <w:autoSpaceDE w:val="0"/>
        <w:autoSpaceDN w:val="0"/>
        <w:adjustRightInd w:val="0"/>
        <w:spacing w:line="360" w:lineRule="auto"/>
        <w:jc w:val="both"/>
        <w:rPr>
          <w:lang w:val="lt-LT"/>
        </w:rPr>
      </w:pPr>
    </w:p>
    <w:p w:rsidR="00EC5900" w:rsidRDefault="00EC5900" w:rsidP="00452D18">
      <w:pPr>
        <w:autoSpaceDE w:val="0"/>
        <w:autoSpaceDN w:val="0"/>
        <w:adjustRightInd w:val="0"/>
        <w:spacing w:line="360" w:lineRule="auto"/>
        <w:jc w:val="both"/>
        <w:rPr>
          <w:lang w:val="lt-LT"/>
        </w:rPr>
      </w:pPr>
    </w:p>
    <w:p w:rsidR="00EC5900" w:rsidRDefault="00EC5900" w:rsidP="00452D18">
      <w:pPr>
        <w:autoSpaceDE w:val="0"/>
        <w:autoSpaceDN w:val="0"/>
        <w:adjustRightInd w:val="0"/>
        <w:spacing w:line="360" w:lineRule="auto"/>
        <w:jc w:val="both"/>
        <w:rPr>
          <w:lang w:val="lt-LT"/>
        </w:rPr>
      </w:pPr>
    </w:p>
    <w:p w:rsidR="00EC5900" w:rsidRDefault="00EC5900" w:rsidP="00452D18">
      <w:pPr>
        <w:autoSpaceDE w:val="0"/>
        <w:autoSpaceDN w:val="0"/>
        <w:adjustRightInd w:val="0"/>
        <w:spacing w:line="360" w:lineRule="auto"/>
        <w:jc w:val="both"/>
        <w:rPr>
          <w:lang w:val="lt-LT"/>
        </w:rPr>
      </w:pPr>
    </w:p>
    <w:p w:rsidR="00EC5900" w:rsidRDefault="00EC5900" w:rsidP="00452D18">
      <w:pPr>
        <w:autoSpaceDE w:val="0"/>
        <w:autoSpaceDN w:val="0"/>
        <w:adjustRightInd w:val="0"/>
        <w:spacing w:line="360" w:lineRule="auto"/>
        <w:jc w:val="both"/>
        <w:rPr>
          <w:lang w:val="lt-LT"/>
        </w:rPr>
      </w:pPr>
    </w:p>
    <w:p w:rsidR="00EC5900" w:rsidRDefault="00EC5900" w:rsidP="00452D18">
      <w:pPr>
        <w:autoSpaceDE w:val="0"/>
        <w:autoSpaceDN w:val="0"/>
        <w:adjustRightInd w:val="0"/>
        <w:spacing w:line="360" w:lineRule="auto"/>
        <w:jc w:val="both"/>
        <w:rPr>
          <w:lang w:val="lt-LT"/>
        </w:rPr>
      </w:pPr>
    </w:p>
    <w:p w:rsidR="008C5DDA" w:rsidRDefault="008C5DDA" w:rsidP="000852CC">
      <w:pPr>
        <w:pStyle w:val="Heading1"/>
        <w:spacing w:before="0" w:after="0" w:line="360" w:lineRule="auto"/>
        <w:jc w:val="center"/>
        <w:rPr>
          <w:lang w:val="lt-LT"/>
        </w:rPr>
      </w:pPr>
      <w:bookmarkStart w:id="33" w:name="_Toc385249531"/>
      <w:r>
        <w:lastRenderedPageBreak/>
        <w:t>3. FISKALIN</w:t>
      </w:r>
      <w:r w:rsidR="001E3E76">
        <w:rPr>
          <w:lang w:val="lt-LT"/>
        </w:rPr>
        <w:t xml:space="preserve">ĖS DECENTRALIZACIJOS </w:t>
      </w:r>
      <w:r>
        <w:rPr>
          <w:lang w:val="lt-LT"/>
        </w:rPr>
        <w:t>PLĖTOTĖ ES KONTEKSTE</w:t>
      </w:r>
      <w:bookmarkEnd w:id="33"/>
    </w:p>
    <w:p w:rsidR="00C1743C" w:rsidRDefault="00C1743C" w:rsidP="000852CC">
      <w:pPr>
        <w:spacing w:line="360" w:lineRule="auto"/>
        <w:rPr>
          <w:lang w:val="lt-LT"/>
        </w:rPr>
      </w:pPr>
    </w:p>
    <w:p w:rsidR="008C5DDA" w:rsidRPr="0025363F" w:rsidRDefault="00C1743C" w:rsidP="000852CC">
      <w:pPr>
        <w:spacing w:line="360" w:lineRule="auto"/>
        <w:ind w:firstLine="720"/>
        <w:jc w:val="both"/>
      </w:pPr>
      <w:r>
        <w:rPr>
          <w:lang w:val="lt-LT"/>
        </w:rPr>
        <w:t xml:space="preserve">Nuo </w:t>
      </w:r>
      <w:r>
        <w:t>2004 m. Lietuva tapo Europos S</w:t>
      </w:r>
      <w:r w:rsidR="0025363F">
        <w:t>ąjungos nare, todėl vienas iš jos tikslų tapo fiskalinė decentralizacija. Taigi toliau darbe bus vertinamas Lietuvos fiskalinė decentralizacijos lygis ES kontekste.</w:t>
      </w:r>
    </w:p>
    <w:p w:rsidR="000852CC" w:rsidRDefault="000852CC" w:rsidP="000852CC">
      <w:pPr>
        <w:pStyle w:val="Heading2"/>
        <w:spacing w:before="0" w:after="0" w:line="360" w:lineRule="auto"/>
        <w:jc w:val="center"/>
      </w:pPr>
      <w:bookmarkStart w:id="34" w:name="_Toc385249532"/>
    </w:p>
    <w:p w:rsidR="008C5DDA" w:rsidRDefault="008C5DDA" w:rsidP="000852CC">
      <w:pPr>
        <w:pStyle w:val="Heading2"/>
        <w:spacing w:before="0" w:after="0" w:line="360" w:lineRule="auto"/>
        <w:jc w:val="center"/>
      </w:pPr>
      <w:r>
        <w:t>3.1. Tyrimo metodologija</w:t>
      </w:r>
      <w:bookmarkEnd w:id="34"/>
    </w:p>
    <w:p w:rsidR="008C5DDA" w:rsidRDefault="008C5DDA" w:rsidP="000852CC">
      <w:pPr>
        <w:spacing w:line="360" w:lineRule="auto"/>
      </w:pPr>
    </w:p>
    <w:p w:rsidR="001E3E76" w:rsidRDefault="008E7B1E" w:rsidP="000852CC">
      <w:pPr>
        <w:autoSpaceDE w:val="0"/>
        <w:autoSpaceDN w:val="0"/>
        <w:adjustRightInd w:val="0"/>
        <w:spacing w:line="360" w:lineRule="auto"/>
        <w:ind w:firstLine="720"/>
        <w:jc w:val="both"/>
        <w:rPr>
          <w:lang w:val="lt-LT"/>
        </w:rPr>
      </w:pPr>
      <w:r>
        <w:rPr>
          <w:lang w:val="lt-LT"/>
        </w:rPr>
        <w:t>Ankstesniuose skyriuose a</w:t>
      </w:r>
      <w:r w:rsidR="001E3E76" w:rsidRPr="001E3E76">
        <w:rPr>
          <w:lang w:val="lt-LT"/>
        </w:rPr>
        <w:t>pibrėžus fiskalinės decentralizacijos sampratą, apžvelgus</w:t>
      </w:r>
      <w:r w:rsidR="001E3E76">
        <w:rPr>
          <w:lang w:val="lt-LT"/>
        </w:rPr>
        <w:t xml:space="preserve"> </w:t>
      </w:r>
      <w:r w:rsidR="001E3E76" w:rsidRPr="001E3E76">
        <w:rPr>
          <w:lang w:val="lt-LT"/>
        </w:rPr>
        <w:t>teisinį jos reglamentavimą, sav</w:t>
      </w:r>
      <w:r w:rsidR="001E3E76">
        <w:rPr>
          <w:lang w:val="lt-LT"/>
        </w:rPr>
        <w:t xml:space="preserve">ivaldybių finansinę sistemą, jų </w:t>
      </w:r>
      <w:r w:rsidR="001E3E76" w:rsidRPr="001E3E76">
        <w:rPr>
          <w:lang w:val="lt-LT"/>
        </w:rPr>
        <w:t xml:space="preserve">raidą Lietuvoje, </w:t>
      </w:r>
      <w:r w:rsidR="001E3E76">
        <w:rPr>
          <w:lang w:val="lt-LT"/>
        </w:rPr>
        <w:t xml:space="preserve">bei fiskalinės decentralizacijos padėtį Europos Sąjungoje, </w:t>
      </w:r>
      <w:r w:rsidR="001E3E76" w:rsidRPr="001E3E76">
        <w:rPr>
          <w:lang w:val="lt-LT"/>
        </w:rPr>
        <w:t>sunku vertinti</w:t>
      </w:r>
      <w:r w:rsidR="002C7F0F">
        <w:rPr>
          <w:lang w:val="lt-LT"/>
        </w:rPr>
        <w:t xml:space="preserve"> Lietuvos fiskalinės</w:t>
      </w:r>
      <w:r w:rsidR="001E3E76">
        <w:rPr>
          <w:lang w:val="lt-LT"/>
        </w:rPr>
        <w:t xml:space="preserve"> decentralizacijos</w:t>
      </w:r>
      <w:r w:rsidR="001E3E76" w:rsidRPr="001E3E76">
        <w:rPr>
          <w:lang w:val="lt-LT"/>
        </w:rPr>
        <w:t xml:space="preserve"> </w:t>
      </w:r>
      <w:r w:rsidR="002C7F0F">
        <w:rPr>
          <w:lang w:val="lt-LT"/>
        </w:rPr>
        <w:t>plėtotės galimybes</w:t>
      </w:r>
      <w:r>
        <w:rPr>
          <w:lang w:val="lt-LT"/>
        </w:rPr>
        <w:t>, todėl</w:t>
      </w:r>
      <w:r w:rsidR="001E3E76" w:rsidRPr="001E3E76">
        <w:rPr>
          <w:lang w:val="lt-LT"/>
        </w:rPr>
        <w:t xml:space="preserve"> </w:t>
      </w:r>
      <w:r>
        <w:rPr>
          <w:lang w:val="lt-LT"/>
        </w:rPr>
        <w:t>šiame skyriuje</w:t>
      </w:r>
      <w:r w:rsidRPr="008E7B1E">
        <w:rPr>
          <w:lang w:val="lt-LT"/>
        </w:rPr>
        <w:t xml:space="preserve"> </w:t>
      </w:r>
      <w:r>
        <w:rPr>
          <w:lang w:val="lt-LT"/>
        </w:rPr>
        <w:t>naudojama palyginamoji analizė</w:t>
      </w:r>
      <w:r w:rsidRPr="008E7B1E">
        <w:rPr>
          <w:lang w:val="lt-LT"/>
        </w:rPr>
        <w:t xml:space="preserve"> padės pasiekti darbe išsikeltą tikslą - išanalizuoti fiskalinės decentralizaci</w:t>
      </w:r>
      <w:r>
        <w:rPr>
          <w:lang w:val="lt-LT"/>
        </w:rPr>
        <w:t>jos lygį Lietuvoje ES kontekste. Toliau darbe bus atliktas:</w:t>
      </w:r>
    </w:p>
    <w:p w:rsidR="008E7B1E" w:rsidRDefault="008E7B1E" w:rsidP="00CC565B">
      <w:pPr>
        <w:pStyle w:val="ListParagraph"/>
        <w:numPr>
          <w:ilvl w:val="0"/>
          <w:numId w:val="22"/>
        </w:numPr>
        <w:autoSpaceDE w:val="0"/>
        <w:autoSpaceDN w:val="0"/>
        <w:adjustRightInd w:val="0"/>
        <w:spacing w:line="360" w:lineRule="auto"/>
        <w:jc w:val="both"/>
        <w:rPr>
          <w:lang w:val="lt-LT"/>
        </w:rPr>
      </w:pPr>
      <w:r>
        <w:rPr>
          <w:lang w:val="lt-LT"/>
        </w:rPr>
        <w:t>Lietuvos savivaldybių biudžetų išlaidų, pajamų, pervedimų, skolų vertinimas;</w:t>
      </w:r>
    </w:p>
    <w:p w:rsidR="008E7B1E" w:rsidRDefault="008E7B1E" w:rsidP="00CC565B">
      <w:pPr>
        <w:pStyle w:val="ListParagraph"/>
        <w:numPr>
          <w:ilvl w:val="0"/>
          <w:numId w:val="22"/>
        </w:numPr>
        <w:autoSpaceDE w:val="0"/>
        <w:autoSpaceDN w:val="0"/>
        <w:adjustRightInd w:val="0"/>
        <w:spacing w:line="360" w:lineRule="auto"/>
        <w:jc w:val="both"/>
        <w:rPr>
          <w:lang w:val="lt-LT"/>
        </w:rPr>
      </w:pPr>
      <w:r>
        <w:rPr>
          <w:lang w:val="lt-LT"/>
        </w:rPr>
        <w:t>ES ir Lietuvos fiskalinės decentralizacijos lygių palyginimas</w:t>
      </w:r>
      <w:r w:rsidR="00412F83">
        <w:rPr>
          <w:lang w:val="lt-LT"/>
        </w:rPr>
        <w:t>;</w:t>
      </w:r>
    </w:p>
    <w:p w:rsidR="00412F83" w:rsidRPr="008E7B1E" w:rsidRDefault="00412F83" w:rsidP="00CC565B">
      <w:pPr>
        <w:pStyle w:val="ListParagraph"/>
        <w:numPr>
          <w:ilvl w:val="0"/>
          <w:numId w:val="22"/>
        </w:numPr>
        <w:autoSpaceDE w:val="0"/>
        <w:autoSpaceDN w:val="0"/>
        <w:adjustRightInd w:val="0"/>
        <w:spacing w:line="360" w:lineRule="auto"/>
        <w:jc w:val="both"/>
        <w:rPr>
          <w:lang w:val="lt-LT"/>
        </w:rPr>
      </w:pPr>
      <w:r>
        <w:rPr>
          <w:lang w:val="lt-LT"/>
        </w:rPr>
        <w:t xml:space="preserve">Socialinės paramos decentralizacijos </w:t>
      </w:r>
      <w:r w:rsidR="00656466">
        <w:rPr>
          <w:lang w:val="lt-LT"/>
        </w:rPr>
        <w:t>efektyvumo</w:t>
      </w:r>
      <w:r>
        <w:rPr>
          <w:lang w:val="lt-LT"/>
        </w:rPr>
        <w:t xml:space="preserve"> Lietuvos „eksperimentinėse savivaldybėse“ vertinimas</w:t>
      </w:r>
      <w:r w:rsidR="00656466">
        <w:rPr>
          <w:lang w:val="lt-LT"/>
        </w:rPr>
        <w:t>.</w:t>
      </w:r>
    </w:p>
    <w:p w:rsidR="007260E5" w:rsidRDefault="001E3E76" w:rsidP="007260E5">
      <w:pPr>
        <w:autoSpaceDE w:val="0"/>
        <w:autoSpaceDN w:val="0"/>
        <w:adjustRightInd w:val="0"/>
        <w:spacing w:line="360" w:lineRule="auto"/>
        <w:ind w:firstLine="720"/>
        <w:jc w:val="both"/>
        <w:rPr>
          <w:lang w:val="lt-LT"/>
        </w:rPr>
      </w:pPr>
      <w:r w:rsidRPr="001E3E76">
        <w:rPr>
          <w:lang w:val="lt-LT"/>
        </w:rPr>
        <w:t>Šiam tyrimui atlikti buvo naudojami darbo įvade išs</w:t>
      </w:r>
      <w:r w:rsidR="00412F83">
        <w:rPr>
          <w:lang w:val="lt-LT"/>
        </w:rPr>
        <w:t xml:space="preserve">kirti baigiamojo darbo metodai. </w:t>
      </w:r>
      <w:r w:rsidRPr="001E3E76">
        <w:rPr>
          <w:lang w:val="lt-LT"/>
        </w:rPr>
        <w:t>Įvertinti fiskalinę decentralizaciją šalyje nėra lengvas</w:t>
      </w:r>
      <w:r w:rsidR="00412F83">
        <w:rPr>
          <w:lang w:val="lt-LT"/>
        </w:rPr>
        <w:t xml:space="preserve"> </w:t>
      </w:r>
      <w:r w:rsidRPr="001E3E76">
        <w:rPr>
          <w:lang w:val="lt-LT"/>
        </w:rPr>
        <w:t>uždavinys, todėl siekia</w:t>
      </w:r>
      <w:r w:rsidR="00412F83">
        <w:rPr>
          <w:lang w:val="lt-LT"/>
        </w:rPr>
        <w:t xml:space="preserve">nt nustatyti jos lygį ir kitimą </w:t>
      </w:r>
      <w:r w:rsidRPr="001E3E76">
        <w:rPr>
          <w:lang w:val="lt-LT"/>
        </w:rPr>
        <w:t>naudosime šio darbo pirmoje dalyje išskirtas,</w:t>
      </w:r>
      <w:r w:rsidR="00412F83">
        <w:rPr>
          <w:lang w:val="lt-LT"/>
        </w:rPr>
        <w:t xml:space="preserve"> </w:t>
      </w:r>
      <w:r w:rsidRPr="001E3E76">
        <w:rPr>
          <w:lang w:val="lt-LT"/>
        </w:rPr>
        <w:t>fiskalinės decentralizacijos dedamąsias (Baltrušnikienė, 2006</w:t>
      </w:r>
      <w:r w:rsidR="00412F83">
        <w:rPr>
          <w:lang w:val="lt-LT"/>
        </w:rPr>
        <w:t>).</w:t>
      </w:r>
      <w:r w:rsidR="007260E5">
        <w:rPr>
          <w:lang w:val="lt-LT"/>
        </w:rPr>
        <w:t xml:space="preserve"> </w:t>
      </w:r>
    </w:p>
    <w:p w:rsidR="00656466" w:rsidRDefault="007260E5" w:rsidP="00656466">
      <w:pPr>
        <w:autoSpaceDE w:val="0"/>
        <w:autoSpaceDN w:val="0"/>
        <w:adjustRightInd w:val="0"/>
        <w:spacing w:line="360" w:lineRule="auto"/>
        <w:ind w:firstLine="720"/>
        <w:jc w:val="both"/>
        <w:rPr>
          <w:lang w:val="lt-LT"/>
        </w:rPr>
      </w:pPr>
      <w:r>
        <w:rPr>
          <w:lang w:val="lt-LT"/>
        </w:rPr>
        <w:t xml:space="preserve">Pirmame poskyryje bus vertinamas Lietuvos decentralizavimo lygis. </w:t>
      </w:r>
      <w:r w:rsidR="00656466">
        <w:rPr>
          <w:lang w:val="lt-LT"/>
        </w:rPr>
        <w:t>Čia</w:t>
      </w:r>
      <w:r>
        <w:rPr>
          <w:lang w:val="lt-LT"/>
        </w:rPr>
        <w:t xml:space="preserve"> bus </w:t>
      </w:r>
      <w:r w:rsidR="001E3E76" w:rsidRPr="001E3E76">
        <w:rPr>
          <w:lang w:val="lt-LT"/>
        </w:rPr>
        <w:t xml:space="preserve">vertintas </w:t>
      </w:r>
      <w:r w:rsidR="00656466">
        <w:rPr>
          <w:lang w:val="lt-LT"/>
        </w:rPr>
        <w:t>savivaldybių</w:t>
      </w:r>
      <w:r>
        <w:rPr>
          <w:lang w:val="lt-LT"/>
        </w:rPr>
        <w:t xml:space="preserve"> </w:t>
      </w:r>
      <w:r w:rsidR="001E3E76" w:rsidRPr="001E3E76">
        <w:rPr>
          <w:lang w:val="lt-LT"/>
        </w:rPr>
        <w:t>savarankiškų išlaidų santykis su nacionalinio biudžeto išlaidomis ir bendruoju vidaus produktu (BVP)</w:t>
      </w:r>
      <w:r>
        <w:rPr>
          <w:lang w:val="lt-LT"/>
        </w:rPr>
        <w:t xml:space="preserve"> </w:t>
      </w:r>
      <w:r w:rsidR="001E3E76" w:rsidRPr="001E3E76">
        <w:rPr>
          <w:lang w:val="lt-LT"/>
        </w:rPr>
        <w:t>bei vertinta išlaidų struktūrą. Taip pat įvertintos vietinės valdžios biudžetų pajamos</w:t>
      </w:r>
      <w:r w:rsidR="00656466">
        <w:rPr>
          <w:lang w:val="lt-LT"/>
        </w:rPr>
        <w:t xml:space="preserve">, jų struktūra. </w:t>
      </w:r>
      <w:r>
        <w:rPr>
          <w:lang w:val="lt-LT"/>
        </w:rPr>
        <w:t xml:space="preserve">Atsižvelgta į </w:t>
      </w:r>
      <w:r w:rsidR="00412F83" w:rsidRPr="00412F83">
        <w:rPr>
          <w:lang w:val="lt-LT"/>
        </w:rPr>
        <w:t>vietinės valdžios priklausomybę nuo centrinės valdžios finansinių pervedimų, aptarta jų sudėtis.</w:t>
      </w:r>
      <w:r>
        <w:rPr>
          <w:lang w:val="lt-LT"/>
        </w:rPr>
        <w:t xml:space="preserve"> </w:t>
      </w:r>
    </w:p>
    <w:p w:rsidR="00656466" w:rsidRDefault="007260E5" w:rsidP="00656466">
      <w:pPr>
        <w:autoSpaceDE w:val="0"/>
        <w:autoSpaceDN w:val="0"/>
        <w:adjustRightInd w:val="0"/>
        <w:spacing w:line="360" w:lineRule="auto"/>
        <w:ind w:firstLine="720"/>
        <w:jc w:val="both"/>
        <w:rPr>
          <w:lang w:val="lt-LT"/>
        </w:rPr>
      </w:pPr>
      <w:r>
        <w:rPr>
          <w:lang w:val="lt-LT"/>
        </w:rPr>
        <w:t xml:space="preserve">Antrame poskyryje </w:t>
      </w:r>
      <w:r w:rsidR="00656466">
        <w:rPr>
          <w:lang w:val="lt-LT"/>
        </w:rPr>
        <w:t xml:space="preserve">Lietuvos vietinės valdžios fiskalinė decentralizacija bus lyginama su ES valstybėmis narėmis pagal visas fiskalinės decentralizacijos dedamąsias. </w:t>
      </w:r>
      <w:r w:rsidR="00412F83" w:rsidRPr="00412F83">
        <w:rPr>
          <w:lang w:val="lt-LT"/>
        </w:rPr>
        <w:t>Fiskalinės</w:t>
      </w:r>
      <w:r w:rsidR="00656466">
        <w:rPr>
          <w:lang w:val="lt-LT"/>
        </w:rPr>
        <w:t xml:space="preserve"> </w:t>
      </w:r>
      <w:r w:rsidR="00412F83" w:rsidRPr="00412F83">
        <w:rPr>
          <w:lang w:val="lt-LT"/>
        </w:rPr>
        <w:t>decentralizacijos rodiklius veikia valstybės valdymo forma, valstybės dydis, gyventojų skaičius,</w:t>
      </w:r>
      <w:r w:rsidR="00656466">
        <w:rPr>
          <w:lang w:val="lt-LT"/>
        </w:rPr>
        <w:t xml:space="preserve"> </w:t>
      </w:r>
      <w:r w:rsidR="00412F83" w:rsidRPr="00412F83">
        <w:rPr>
          <w:lang w:val="lt-LT"/>
        </w:rPr>
        <w:t>pajamų lygio kitimas, BVP rodiklio dydis ir kt., todėl lyginamosios analizės metu bus apžvelgta ir į šių</w:t>
      </w:r>
      <w:r w:rsidR="00656466">
        <w:rPr>
          <w:lang w:val="lt-LT"/>
        </w:rPr>
        <w:t xml:space="preserve"> </w:t>
      </w:r>
      <w:r w:rsidR="00412F83" w:rsidRPr="00412F83">
        <w:rPr>
          <w:lang w:val="lt-LT"/>
        </w:rPr>
        <w:t>rodiklių įtaką fiskalinei decentralizacijai skirtingose šalyse.</w:t>
      </w:r>
    </w:p>
    <w:p w:rsidR="00412F83" w:rsidRDefault="00412F83" w:rsidP="00656466">
      <w:pPr>
        <w:autoSpaceDE w:val="0"/>
        <w:autoSpaceDN w:val="0"/>
        <w:adjustRightInd w:val="0"/>
        <w:spacing w:line="360" w:lineRule="auto"/>
        <w:ind w:firstLine="720"/>
        <w:jc w:val="both"/>
        <w:rPr>
          <w:lang w:val="lt-LT"/>
        </w:rPr>
      </w:pPr>
      <w:r w:rsidRPr="00412F83">
        <w:rPr>
          <w:lang w:val="lt-LT"/>
        </w:rPr>
        <w:t xml:space="preserve"> </w:t>
      </w:r>
      <w:r w:rsidR="00656466">
        <w:rPr>
          <w:lang w:val="lt-LT"/>
        </w:rPr>
        <w:t>Trečiajame poskyryje bus apžvelgti bandomojo projekto dėl socialinės paramos perdavimo „eksperimentinėms savivaldybėms“ rezultatai.</w:t>
      </w:r>
    </w:p>
    <w:p w:rsidR="00656466" w:rsidRPr="00412F83" w:rsidRDefault="00656466" w:rsidP="00656466">
      <w:pPr>
        <w:autoSpaceDE w:val="0"/>
        <w:autoSpaceDN w:val="0"/>
        <w:adjustRightInd w:val="0"/>
        <w:spacing w:line="360" w:lineRule="auto"/>
        <w:ind w:firstLine="720"/>
        <w:jc w:val="both"/>
        <w:rPr>
          <w:lang w:val="lt-LT"/>
        </w:rPr>
      </w:pPr>
    </w:p>
    <w:p w:rsidR="00526632" w:rsidRDefault="00412F83" w:rsidP="00526632">
      <w:pPr>
        <w:autoSpaceDE w:val="0"/>
        <w:autoSpaceDN w:val="0"/>
        <w:adjustRightInd w:val="0"/>
        <w:spacing w:line="360" w:lineRule="auto"/>
        <w:ind w:firstLine="720"/>
        <w:jc w:val="both"/>
        <w:rPr>
          <w:lang w:val="lt-LT"/>
        </w:rPr>
      </w:pPr>
      <w:r w:rsidRPr="00412F83">
        <w:rPr>
          <w:lang w:val="lt-LT"/>
        </w:rPr>
        <w:t>Darbe analizuojami naujausi statistiniai d</w:t>
      </w:r>
      <w:r w:rsidR="00526632">
        <w:rPr>
          <w:lang w:val="lt-LT"/>
        </w:rPr>
        <w:t>uomenys, apimantys 200</w:t>
      </w:r>
      <w:r w:rsidR="00526632">
        <w:t>8</w:t>
      </w:r>
      <w:r w:rsidR="00526632">
        <w:rPr>
          <w:lang w:val="lt-LT"/>
        </w:rPr>
        <w:t>–2012 m. periodą.</w:t>
      </w:r>
    </w:p>
    <w:p w:rsidR="00412F83" w:rsidRDefault="00412F83" w:rsidP="000852CC">
      <w:pPr>
        <w:autoSpaceDE w:val="0"/>
        <w:autoSpaceDN w:val="0"/>
        <w:adjustRightInd w:val="0"/>
        <w:spacing w:line="360" w:lineRule="auto"/>
        <w:ind w:firstLine="720"/>
        <w:jc w:val="both"/>
        <w:rPr>
          <w:lang w:val="lt-LT"/>
        </w:rPr>
      </w:pPr>
      <w:r w:rsidRPr="00412F83">
        <w:rPr>
          <w:lang w:val="lt-LT"/>
        </w:rPr>
        <w:t>Šiam tyrimui atlikti naudojami Europos sąjungos statistikos tarnybos (toliau – Eurostatas),</w:t>
      </w:r>
      <w:r w:rsidR="00526632">
        <w:rPr>
          <w:lang w:val="lt-LT"/>
        </w:rPr>
        <w:t xml:space="preserve"> Lietuvos statistikos departamento ir </w:t>
      </w:r>
      <w:r w:rsidRPr="00412F83">
        <w:rPr>
          <w:lang w:val="lt-LT"/>
        </w:rPr>
        <w:t xml:space="preserve">Lietuvos Respublikos Finansų ministerijos statistiniai duomenys. Taip pat atliekant tyrimą remtasi </w:t>
      </w:r>
      <w:r w:rsidR="00CE1C8B">
        <w:rPr>
          <w:lang w:val="lt-LT"/>
        </w:rPr>
        <w:t>Lietuvos socialinių tyrimų centro ataskaitos rezultatais bei</w:t>
      </w:r>
      <w:r w:rsidR="00CE1C8B" w:rsidRPr="00CE1C8B">
        <w:t xml:space="preserve"> </w:t>
      </w:r>
      <w:r w:rsidR="00CE1C8B" w:rsidRPr="00CE1C8B">
        <w:rPr>
          <w:lang w:val="lt-LT"/>
        </w:rPr>
        <w:t>banko “Dexia” ir Europos savivaldybių ir regionų tarybos (CEMR)</w:t>
      </w:r>
      <w:r w:rsidR="00CE1C8B">
        <w:rPr>
          <w:lang w:val="lt-LT"/>
        </w:rPr>
        <w:t xml:space="preserve"> ataskaitų duomenimis.</w:t>
      </w:r>
    </w:p>
    <w:p w:rsidR="00CE1C8B" w:rsidRDefault="00CE1C8B" w:rsidP="000852CC">
      <w:pPr>
        <w:autoSpaceDE w:val="0"/>
        <w:autoSpaceDN w:val="0"/>
        <w:adjustRightInd w:val="0"/>
        <w:spacing w:line="360" w:lineRule="auto"/>
        <w:ind w:firstLine="720"/>
        <w:jc w:val="both"/>
        <w:rPr>
          <w:lang w:val="lt-LT"/>
        </w:rPr>
      </w:pPr>
    </w:p>
    <w:p w:rsidR="00CE1C8B" w:rsidRDefault="00C51540" w:rsidP="000852CC">
      <w:pPr>
        <w:pStyle w:val="Heading2"/>
        <w:spacing w:before="0" w:after="0" w:line="360" w:lineRule="auto"/>
        <w:jc w:val="center"/>
        <w:rPr>
          <w:lang w:val="lt-LT"/>
        </w:rPr>
      </w:pPr>
      <w:bookmarkStart w:id="35" w:name="_Toc385249533"/>
      <w:r>
        <w:t>3.2</w:t>
      </w:r>
      <w:r w:rsidR="00CE1C8B">
        <w:t xml:space="preserve">. </w:t>
      </w:r>
      <w:r w:rsidR="00CE1C8B">
        <w:rPr>
          <w:lang w:val="lt-LT"/>
        </w:rPr>
        <w:t>Lietuvos fiskalinės decentralizacijos lygio vertinimas</w:t>
      </w:r>
      <w:bookmarkEnd w:id="35"/>
    </w:p>
    <w:p w:rsidR="00CE1C8B" w:rsidRPr="00CE1C8B" w:rsidRDefault="00CE1C8B" w:rsidP="000852CC">
      <w:pPr>
        <w:spacing w:line="360" w:lineRule="auto"/>
        <w:rPr>
          <w:lang w:val="lt-LT"/>
        </w:rPr>
      </w:pPr>
    </w:p>
    <w:p w:rsidR="00CE1C8B" w:rsidRDefault="00CE1C8B" w:rsidP="00C51540">
      <w:pPr>
        <w:autoSpaceDE w:val="0"/>
        <w:autoSpaceDN w:val="0"/>
        <w:adjustRightInd w:val="0"/>
        <w:spacing w:line="360" w:lineRule="auto"/>
        <w:ind w:firstLine="720"/>
        <w:jc w:val="both"/>
        <w:rPr>
          <w:lang w:val="lt-LT"/>
        </w:rPr>
      </w:pPr>
      <w:r w:rsidRPr="00CE1C8B">
        <w:rPr>
          <w:lang w:val="lt-LT"/>
        </w:rPr>
        <w:t>Pasak Stačioko ir Rimo (2002), fiskalinės decentralizacijos laipsnio didinimas, atsakomybės už vykdomų funkcijų išlaidas, naudojant surinktas mokestines pajamas, griežtas paskirstymas tarp valdžios lygių yra viena svarbiausių ekonominio augimo ir investicijų į privatų ir viešą verslą skatinimo sąlygų.</w:t>
      </w:r>
      <w:r>
        <w:rPr>
          <w:lang w:val="lt-LT"/>
        </w:rPr>
        <w:t xml:space="preserve">  Todėl šiame poskyryje </w:t>
      </w:r>
      <w:r w:rsidR="0069772C">
        <w:rPr>
          <w:lang w:val="lt-LT"/>
        </w:rPr>
        <w:t>bus vertinamas Lietuvos fiskalinės decentralizacijos lygis pagal fiskalinės decentralizacijos dedamąsias.</w:t>
      </w:r>
    </w:p>
    <w:p w:rsidR="0069772C" w:rsidRDefault="0069772C" w:rsidP="00C51540">
      <w:pPr>
        <w:autoSpaceDE w:val="0"/>
        <w:autoSpaceDN w:val="0"/>
        <w:adjustRightInd w:val="0"/>
        <w:spacing w:line="360" w:lineRule="auto"/>
        <w:ind w:firstLine="720"/>
        <w:jc w:val="both"/>
        <w:rPr>
          <w:lang w:val="lt-LT"/>
        </w:rPr>
      </w:pPr>
    </w:p>
    <w:p w:rsidR="009D3FBA" w:rsidRDefault="00C51540" w:rsidP="00C51540">
      <w:pPr>
        <w:pStyle w:val="Heading3"/>
        <w:spacing w:before="0" w:line="360" w:lineRule="auto"/>
        <w:rPr>
          <w:lang w:val="lt-LT"/>
        </w:rPr>
      </w:pPr>
      <w:bookmarkStart w:id="36" w:name="_Toc385249534"/>
      <w:r>
        <w:t>3.2</w:t>
      </w:r>
      <w:r w:rsidR="00CE1C8B">
        <w:t>.1.</w:t>
      </w:r>
      <w:r w:rsidR="00E47ECC" w:rsidRPr="00E47ECC">
        <w:t xml:space="preserve"> </w:t>
      </w:r>
      <w:r w:rsidR="00E47ECC" w:rsidRPr="00E47ECC">
        <w:rPr>
          <w:lang w:val="lt-LT"/>
        </w:rPr>
        <w:t>Savivaldybių biudžetų išlaidų vertinimas</w:t>
      </w:r>
      <w:bookmarkEnd w:id="36"/>
    </w:p>
    <w:p w:rsidR="00B2488D" w:rsidRDefault="00B2488D" w:rsidP="00C51540">
      <w:pPr>
        <w:spacing w:line="360" w:lineRule="auto"/>
        <w:jc w:val="both"/>
        <w:rPr>
          <w:b/>
          <w:lang w:val="lt-LT"/>
        </w:rPr>
      </w:pPr>
    </w:p>
    <w:p w:rsidR="00B2488D" w:rsidRDefault="00B2488D" w:rsidP="00C51540">
      <w:pPr>
        <w:spacing w:line="360" w:lineRule="auto"/>
        <w:ind w:firstLine="720"/>
        <w:jc w:val="both"/>
        <w:rPr>
          <w:lang w:val="lt-LT"/>
        </w:rPr>
      </w:pPr>
      <w:r w:rsidRPr="00B2488D">
        <w:rPr>
          <w:lang w:val="lt-LT"/>
        </w:rPr>
        <w:t>Šiame poskyryje nagrinėjamas Lietuvos savivaldybių išlaidų lyginamasis svoris fiskalinės</w:t>
      </w:r>
      <w:r>
        <w:rPr>
          <w:lang w:val="lt-LT"/>
        </w:rPr>
        <w:t xml:space="preserve"> </w:t>
      </w:r>
      <w:r w:rsidRPr="00B2488D">
        <w:rPr>
          <w:lang w:val="lt-LT"/>
        </w:rPr>
        <w:t xml:space="preserve">decentralizacijos požiūriu. </w:t>
      </w:r>
    </w:p>
    <w:p w:rsidR="00A70442" w:rsidRDefault="00457590" w:rsidP="00B2488D">
      <w:pPr>
        <w:spacing w:line="360" w:lineRule="auto"/>
        <w:ind w:firstLine="720"/>
        <w:jc w:val="both"/>
      </w:pPr>
      <w:r w:rsidRPr="00457590">
        <w:rPr>
          <w:lang w:val="lt-LT"/>
        </w:rPr>
        <w:t>Literatūroje kaip ro</w:t>
      </w:r>
      <w:r w:rsidRPr="00457590">
        <w:rPr>
          <w:lang w:val="lt-LT"/>
        </w:rPr>
        <w:softHyphen/>
        <w:t>dik</w:t>
      </w:r>
      <w:r w:rsidRPr="00457590">
        <w:rPr>
          <w:lang w:val="lt-LT"/>
        </w:rPr>
        <w:softHyphen/>
        <w:t>lius, įver</w:t>
      </w:r>
      <w:r w:rsidRPr="00457590">
        <w:rPr>
          <w:lang w:val="lt-LT"/>
        </w:rPr>
        <w:softHyphen/>
        <w:t>tinančius fiskalinės decentralizacijos laips</w:t>
      </w:r>
      <w:r w:rsidRPr="00457590">
        <w:rPr>
          <w:lang w:val="lt-LT"/>
        </w:rPr>
        <w:softHyphen/>
        <w:t>nį, siūloma naudoti savivaldybių išlaidų nacionaliniame biudžete bei ša</w:t>
      </w:r>
      <w:r w:rsidRPr="00457590">
        <w:rPr>
          <w:lang w:val="lt-LT"/>
        </w:rPr>
        <w:softHyphen/>
        <w:t xml:space="preserve">lies bendrajame vidaus produkte (BVP) procentinę dalį. </w:t>
      </w:r>
      <w:r w:rsidRPr="00A70442">
        <w:t>Pasak Lazdyno (2001) mažai decentralizuotoms šalims subnacionalinių lygių valdžios išlaidoms tenka iki penktadalio nacionalinio biudžeto išlaidų ir iki 7 proc. BVP. Vidutinė fiskalinė decentralizacija yra tokia, kai vietos valdžia disponuoja iki 26 proc. visų valstybės išlaidų ir iki 10</w:t>
      </w:r>
      <w:r w:rsidR="00A70442" w:rsidRPr="00A70442">
        <w:t xml:space="preserve"> </w:t>
      </w:r>
      <w:r w:rsidRPr="00A70442">
        <w:t>proc. BVP. Prie labai finansiškai decentralizuotų savivaldos šalių priskiriamos valstybės, kuriose vietos valdžia disponuoja daugiau nei 26 proc. nacionalinių išlaidų ir apie 10 proc. BVP</w:t>
      </w:r>
      <w:r w:rsidR="00A70442" w:rsidRPr="00A70442">
        <w:t xml:space="preserve">. </w:t>
      </w:r>
    </w:p>
    <w:p w:rsidR="00205FDE" w:rsidRPr="00A70442" w:rsidRDefault="00205FDE" w:rsidP="00A70442">
      <w:pPr>
        <w:spacing w:line="360" w:lineRule="auto"/>
        <w:ind w:firstLine="720"/>
        <w:jc w:val="both"/>
      </w:pPr>
      <w:r w:rsidRPr="00A70442">
        <w:t xml:space="preserve">Vadovaujantis Statistikos departamento statistiniais duomenimis didžiausias BVP užfiksuotas </w:t>
      </w:r>
      <w:r w:rsidR="00A70442" w:rsidRPr="00A70442">
        <w:t>2013</w:t>
      </w:r>
      <w:r w:rsidRPr="00A70442">
        <w:t xml:space="preserve"> m. ir jis siekė</w:t>
      </w:r>
      <w:r w:rsidR="00A70442" w:rsidRPr="00A70442">
        <w:t xml:space="preserve"> 113,7</w:t>
      </w:r>
      <w:r w:rsidRPr="00A70442">
        <w:t xml:space="preserve"> ml</w:t>
      </w:r>
      <w:r w:rsidR="00A70442" w:rsidRPr="00A70442">
        <w:t>r</w:t>
      </w:r>
      <w:r w:rsidR="00A70442">
        <w:t xml:space="preserve">d. Lt. </w:t>
      </w:r>
      <w:r w:rsidR="00A70442" w:rsidRPr="00A70442">
        <w:t>Kaip matyti iš pirmo</w:t>
      </w:r>
      <w:r w:rsidRPr="00A70442">
        <w:t xml:space="preserve"> paveikslo 2009 m. fiksuoja</w:t>
      </w:r>
      <w:r w:rsidR="00A70442" w:rsidRPr="00A70442">
        <w:t>mas žymus sumažėjimas iki 92</w:t>
      </w:r>
      <w:r w:rsidRPr="00A70442">
        <w:t xml:space="preserve"> mlrd. Lt., tokį sumažėjimą įtakojo šalį palietusi ekonominė krizė. </w:t>
      </w:r>
      <w:r w:rsidR="00A70442" w:rsidRPr="00A70442">
        <w:t>Toliau BVP kasmet did</w:t>
      </w:r>
      <w:r w:rsidR="00A70442" w:rsidRPr="00A70442">
        <w:rPr>
          <w:lang w:val="lt-LT"/>
        </w:rPr>
        <w:t>ėjo.</w:t>
      </w:r>
    </w:p>
    <w:p w:rsidR="00205FDE" w:rsidRDefault="00205FDE" w:rsidP="007D6838">
      <w:pPr>
        <w:ind w:firstLine="720"/>
        <w:rPr>
          <w:sz w:val="23"/>
          <w:szCs w:val="23"/>
        </w:rPr>
      </w:pPr>
    </w:p>
    <w:p w:rsidR="00B67C86" w:rsidRDefault="00880BC7" w:rsidP="007D6838">
      <w:pPr>
        <w:ind w:firstLine="720"/>
        <w:rPr>
          <w:sz w:val="23"/>
          <w:szCs w:val="23"/>
        </w:rPr>
      </w:pPr>
      <w:r>
        <w:rPr>
          <w:noProof/>
          <w:sz w:val="23"/>
          <w:szCs w:val="23"/>
        </w:rPr>
        <w:lastRenderedPageBreak/>
        <w:drawing>
          <wp:inline distT="0" distB="0" distL="0" distR="0" wp14:anchorId="5ED20CAF" wp14:editId="3B3D8B36">
            <wp:extent cx="5495925" cy="2409825"/>
            <wp:effectExtent l="0" t="0" r="0" b="0"/>
            <wp:docPr id="28" name="Chart 2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B67C86" w:rsidRDefault="00DE45AC" w:rsidP="007D6838">
      <w:pPr>
        <w:ind w:firstLine="720"/>
        <w:rPr>
          <w:sz w:val="20"/>
          <w:szCs w:val="20"/>
          <w:lang w:val="lt-LT"/>
        </w:rPr>
      </w:pPr>
      <w:r w:rsidRPr="008E1A38">
        <w:rPr>
          <w:b/>
          <w:sz w:val="20"/>
          <w:szCs w:val="20"/>
          <w:lang w:val="lt-LT"/>
        </w:rPr>
        <w:t>Šaltinis</w:t>
      </w:r>
      <w:r w:rsidRPr="00DE45AC">
        <w:rPr>
          <w:sz w:val="20"/>
          <w:szCs w:val="20"/>
          <w:lang w:val="lt-LT"/>
        </w:rPr>
        <w:t>: Lietuvos statistikos departamento duomenų bazė</w:t>
      </w:r>
      <w:r w:rsidR="005C7FDE">
        <w:rPr>
          <w:sz w:val="20"/>
          <w:szCs w:val="20"/>
          <w:lang w:val="lt-LT"/>
        </w:rPr>
        <w:t>, Finansų ministerijos duomenys</w:t>
      </w:r>
    </w:p>
    <w:p w:rsidR="00DE45AC" w:rsidRDefault="00DE45AC" w:rsidP="002F362A">
      <w:pPr>
        <w:spacing w:line="360" w:lineRule="auto"/>
        <w:ind w:firstLine="720"/>
        <w:rPr>
          <w:sz w:val="20"/>
          <w:szCs w:val="20"/>
          <w:lang w:val="lt-LT"/>
        </w:rPr>
      </w:pPr>
    </w:p>
    <w:p w:rsidR="00DE45AC" w:rsidRDefault="008C1DD6" w:rsidP="002F362A">
      <w:pPr>
        <w:pStyle w:val="Caption"/>
        <w:spacing w:before="0" w:after="0" w:line="360" w:lineRule="auto"/>
        <w:ind w:hanging="851"/>
      </w:pPr>
      <w:bookmarkStart w:id="37" w:name="_Toc385239360"/>
      <w:r>
        <w:t>7</w:t>
      </w:r>
      <w:r w:rsidR="00DE45AC" w:rsidRPr="00DE45AC">
        <w:t xml:space="preserve"> pav. Lietuvos bendrasis vidaus produktas 2008–2012 m., mlrd. Lt.</w:t>
      </w:r>
      <w:bookmarkEnd w:id="37"/>
    </w:p>
    <w:p w:rsidR="00DE45AC" w:rsidRPr="00DE45AC" w:rsidRDefault="00DE45AC" w:rsidP="002F362A">
      <w:pPr>
        <w:spacing w:line="360" w:lineRule="auto"/>
        <w:rPr>
          <w:sz w:val="20"/>
          <w:szCs w:val="20"/>
          <w:lang w:val="lt-LT"/>
        </w:rPr>
      </w:pPr>
    </w:p>
    <w:p w:rsidR="007D6838" w:rsidRPr="00E45BDE" w:rsidRDefault="00B67C86" w:rsidP="002F362A">
      <w:pPr>
        <w:spacing w:line="360" w:lineRule="auto"/>
        <w:ind w:firstLine="720"/>
        <w:jc w:val="both"/>
      </w:pPr>
      <w:r w:rsidRPr="00E45BDE">
        <w:t>Kaip matyti iš</w:t>
      </w:r>
      <w:r w:rsidR="008E1A38">
        <w:t xml:space="preserve"> aštunto </w:t>
      </w:r>
      <w:r w:rsidR="007D6838" w:rsidRPr="00E45BDE">
        <w:t xml:space="preserve">paveikslo valstybės biudžeto išlaidų </w:t>
      </w:r>
      <w:proofErr w:type="gramStart"/>
      <w:r w:rsidR="007D6838" w:rsidRPr="00E45BDE">
        <w:t>dalis</w:t>
      </w:r>
      <w:proofErr w:type="gramEnd"/>
      <w:r w:rsidR="007D6838" w:rsidRPr="00E45BDE">
        <w:t xml:space="preserve"> BVP vidutiniškai apie 4</w:t>
      </w:r>
      <w:r w:rsidR="004C536E" w:rsidRPr="00E45BDE">
        <w:t xml:space="preserve"> kartus </w:t>
      </w:r>
      <w:r w:rsidR="007D6838" w:rsidRPr="00E45BDE">
        <w:t>didesnė nei savivaldybių biudžetų</w:t>
      </w:r>
      <w:r w:rsidR="004C536E" w:rsidRPr="00E45BDE">
        <w:t xml:space="preserve"> </w:t>
      </w:r>
      <w:r w:rsidR="007D6838" w:rsidRPr="00E45BDE">
        <w:t>ir siekia</w:t>
      </w:r>
      <w:r w:rsidR="004C536E" w:rsidRPr="00E45BDE">
        <w:t xml:space="preserve">, </w:t>
      </w:r>
      <w:r w:rsidR="007D6838" w:rsidRPr="00E45BDE">
        <w:t>nagrinėjamu laikotarpiu,</w:t>
      </w:r>
      <w:r w:rsidR="004C536E" w:rsidRPr="00E45BDE">
        <w:t xml:space="preserve"> </w:t>
      </w:r>
      <w:r w:rsidRPr="00E45BDE">
        <w:t>vidutini</w:t>
      </w:r>
      <w:r w:rsidRPr="00E45BDE">
        <w:rPr>
          <w:lang w:val="lt-LT"/>
        </w:rPr>
        <w:t xml:space="preserve">škai </w:t>
      </w:r>
      <w:r w:rsidRPr="00E45BDE">
        <w:t>apie 24</w:t>
      </w:r>
      <w:r w:rsidR="004C536E" w:rsidRPr="00E45BDE">
        <w:t xml:space="preserve"> proc. BVP. Nors </w:t>
      </w:r>
      <w:r w:rsidR="007D6838" w:rsidRPr="00E45BDE">
        <w:t>BVP 2009 m</w:t>
      </w:r>
      <w:r w:rsidR="004C536E" w:rsidRPr="00E45BDE">
        <w:t xml:space="preserve">. </w:t>
      </w:r>
      <w:r w:rsidR="007D6838" w:rsidRPr="00E45BDE">
        <w:t>ir</w:t>
      </w:r>
      <w:r w:rsidR="008E1A38">
        <w:t xml:space="preserve"> sumažėjo (žr. 7</w:t>
      </w:r>
      <w:r w:rsidR="007D6838" w:rsidRPr="00E45BDE">
        <w:t xml:space="preserve"> pav.), tačiau valstybės biudžeto dalis B</w:t>
      </w:r>
      <w:r w:rsidR="00C37E4C" w:rsidRPr="00E45BDE">
        <w:t xml:space="preserve">VP proc. padidėjo nuo 22 iki 26,7 </w:t>
      </w:r>
      <w:r w:rsidR="007D6838" w:rsidRPr="00E45BDE">
        <w:t>proc. tai rodo, kad valstybės biudžeto išlaidos lyginant su 2008 m. nepasikeitė (šiek tiek padidėjo). Tokia pati tendencija matyti ir nagrinėjant savivaldybių biudžetų</w:t>
      </w:r>
      <w:r w:rsidR="004C536E" w:rsidRPr="00E45BDE">
        <w:t xml:space="preserve"> </w:t>
      </w:r>
      <w:r w:rsidR="00A70442" w:rsidRPr="00E45BDE">
        <w:t xml:space="preserve">išlaidas nuo BVP. </w:t>
      </w:r>
      <w:r w:rsidR="00C37E4C" w:rsidRPr="00E45BDE">
        <w:t>Vertinant 2008</w:t>
      </w:r>
      <w:r w:rsidR="007D6838" w:rsidRPr="00E45BDE">
        <w:t>–</w:t>
      </w:r>
      <w:r w:rsidR="00C37E4C" w:rsidRPr="00E45BDE">
        <w:t>2012</w:t>
      </w:r>
      <w:r w:rsidR="007D6838" w:rsidRPr="00E45BDE">
        <w:t xml:space="preserve"> m. periodą matyti, kad savivaldybių biudžetų išlaidų dalis BVP išlieka </w:t>
      </w:r>
      <w:r w:rsidR="00C37E4C" w:rsidRPr="00E45BDE">
        <w:t xml:space="preserve">nestabili ir kinta nuo </w:t>
      </w:r>
      <w:r w:rsidR="00205FDE" w:rsidRPr="00E45BDE">
        <w:t>6</w:t>
      </w:r>
      <w:proofErr w:type="gramStart"/>
      <w:r w:rsidR="00205FDE" w:rsidRPr="00E45BDE">
        <w:t>,3</w:t>
      </w:r>
      <w:proofErr w:type="gramEnd"/>
      <w:r w:rsidR="00205FDE" w:rsidRPr="00E45BDE">
        <w:t xml:space="preserve"> iki 7,</w:t>
      </w:r>
      <w:r w:rsidR="007D6838" w:rsidRPr="00E45BDE">
        <w:t>4 proc., todėl nagrinėjamu laikotarpiu negalima fiksuoti nei didėjimo</w:t>
      </w:r>
      <w:r w:rsidR="002F362A">
        <w:t>,</w:t>
      </w:r>
      <w:r w:rsidR="007D6838" w:rsidRPr="00E45BDE">
        <w:t xml:space="preserve"> nei mažėjimo tendencijų, išlieka stabilus fis</w:t>
      </w:r>
      <w:r w:rsidR="00205FDE" w:rsidRPr="00E45BDE">
        <w:t xml:space="preserve">kalinės decentralizacijos lygis. </w:t>
      </w:r>
      <w:proofErr w:type="gramStart"/>
      <w:r w:rsidR="00205FDE" w:rsidRPr="00E45BDE">
        <w:t>Kaip matyti i</w:t>
      </w:r>
      <w:r w:rsidR="00205FDE" w:rsidRPr="00E45BDE">
        <w:rPr>
          <w:lang w:val="lt-LT"/>
        </w:rPr>
        <w:t xml:space="preserve">š </w:t>
      </w:r>
      <w:r w:rsidR="007477F7">
        <w:t>8</w:t>
      </w:r>
      <w:r w:rsidR="00205FDE" w:rsidRPr="00E45BDE">
        <w:t xml:space="preserve"> paveikslo šalies BVP kasmet auga, o išlaidų pokytis ne toks staigus.</w:t>
      </w:r>
      <w:proofErr w:type="gramEnd"/>
      <w:r w:rsidR="00205FDE" w:rsidRPr="00E45BDE">
        <w:rPr>
          <w:lang w:val="lt-LT"/>
        </w:rPr>
        <w:t xml:space="preserve"> </w:t>
      </w:r>
      <w:r w:rsidR="007D6838" w:rsidRPr="00E45BDE">
        <w:t>Nors 2009 m. jaučiama didesnė savivaldybių išlaidų dalis BVP</w:t>
      </w:r>
      <w:r w:rsidR="004C536E" w:rsidRPr="00E45BDE">
        <w:t xml:space="preserve"> </w:t>
      </w:r>
      <w:r w:rsidR="007D6838" w:rsidRPr="00E45BDE">
        <w:t xml:space="preserve">(7.4 proc.), tačiau negalime teigti, kad taip pat padidėjo ir </w:t>
      </w:r>
      <w:r w:rsidR="004C536E" w:rsidRPr="00E45BDE">
        <w:t xml:space="preserve">savivaldybių </w:t>
      </w:r>
      <w:r w:rsidR="007D6838" w:rsidRPr="00E45BDE">
        <w:t>savarankiškumo lygis, nes</w:t>
      </w:r>
      <w:r w:rsidR="004C536E" w:rsidRPr="00E45BDE">
        <w:t xml:space="preserve"> </w:t>
      </w:r>
      <w:r w:rsidR="007D6838" w:rsidRPr="00E45BDE">
        <w:t xml:space="preserve">šalį palietus ekonominei krizei sumažėjus BVP reikėjo </w:t>
      </w:r>
      <w:r w:rsidR="00A70442" w:rsidRPr="00E45BDE">
        <w:t xml:space="preserve">sumažinti skiriamus </w:t>
      </w:r>
      <w:r w:rsidR="007D6838" w:rsidRPr="00E45BDE">
        <w:t>finansinius išteklius valstybės sektoriui, atitinkamai pakoreguojant ir savivaldybių biudžetus.</w:t>
      </w:r>
      <w:r w:rsidR="004C536E" w:rsidRPr="00E45BDE">
        <w:t xml:space="preserve"> </w:t>
      </w:r>
      <w:r w:rsidR="00205FDE" w:rsidRPr="00E45BDE">
        <w:t>Tai matoma ir 2010-2012 m., kai BVP did</w:t>
      </w:r>
      <w:r w:rsidR="00205FDE" w:rsidRPr="00E45BDE">
        <w:rPr>
          <w:lang w:val="lt-LT"/>
        </w:rPr>
        <w:t xml:space="preserve">ėjo (žr. </w:t>
      </w:r>
      <w:r w:rsidR="007477F7">
        <w:t>8</w:t>
      </w:r>
      <w:r w:rsidR="00205FDE" w:rsidRPr="00E45BDE">
        <w:t xml:space="preserve"> pav.)</w:t>
      </w:r>
      <w:r w:rsidR="00205FDE" w:rsidRPr="00E45BDE">
        <w:rPr>
          <w:lang w:val="lt-LT"/>
        </w:rPr>
        <w:t xml:space="preserve">, o </w:t>
      </w:r>
      <w:r w:rsidR="00A70442" w:rsidRPr="00E45BDE">
        <w:rPr>
          <w:lang w:val="lt-LT"/>
        </w:rPr>
        <w:t xml:space="preserve">išlaidų </w:t>
      </w:r>
      <w:proofErr w:type="gramStart"/>
      <w:r w:rsidR="00A70442" w:rsidRPr="00E45BDE">
        <w:rPr>
          <w:lang w:val="lt-LT"/>
        </w:rPr>
        <w:t>dalis</w:t>
      </w:r>
      <w:proofErr w:type="gramEnd"/>
      <w:r w:rsidR="00A70442" w:rsidRPr="00E45BDE">
        <w:rPr>
          <w:lang w:val="lt-LT"/>
        </w:rPr>
        <w:t xml:space="preserve"> BVP</w:t>
      </w:r>
      <w:r w:rsidR="00205FDE" w:rsidRPr="00E45BDE">
        <w:rPr>
          <w:lang w:val="lt-LT"/>
        </w:rPr>
        <w:t xml:space="preserve"> tiek savivaldybėms, t</w:t>
      </w:r>
      <w:r w:rsidR="002C1897">
        <w:rPr>
          <w:lang w:val="lt-LT"/>
        </w:rPr>
        <w:t xml:space="preserve">iek </w:t>
      </w:r>
      <w:r w:rsidR="00205FDE" w:rsidRPr="00E45BDE">
        <w:rPr>
          <w:lang w:val="lt-LT"/>
        </w:rPr>
        <w:t>valstybei</w:t>
      </w:r>
      <w:r w:rsidR="00A70442" w:rsidRPr="00E45BDE">
        <w:rPr>
          <w:lang w:val="lt-LT"/>
        </w:rPr>
        <w:t xml:space="preserve"> mažėjo, nors realios išlaidos beveik nesikeitė.</w:t>
      </w:r>
      <w:r w:rsidR="00205FDE" w:rsidRPr="00E45BDE">
        <w:rPr>
          <w:lang w:val="lt-LT"/>
        </w:rPr>
        <w:t xml:space="preserve"> </w:t>
      </w:r>
      <w:r w:rsidR="007D6838" w:rsidRPr="00E45BDE">
        <w:t xml:space="preserve">Nagrinėjamu laikotarpiu </w:t>
      </w:r>
      <w:r w:rsidR="008E1A38">
        <w:t xml:space="preserve">savivaldybių biudžetų dalis BVP </w:t>
      </w:r>
      <w:r w:rsidR="007D6838" w:rsidRPr="00E45BDE">
        <w:t xml:space="preserve">yra apie </w:t>
      </w:r>
      <w:r w:rsidR="00A70442" w:rsidRPr="00E45BDE">
        <w:t xml:space="preserve">6.8 proc. </w:t>
      </w:r>
      <w:r w:rsidR="007D6838" w:rsidRPr="00E45BDE">
        <w:t>Lietuvą galima priskirsti prie maž</w:t>
      </w:r>
      <w:r w:rsidR="00DE45AC" w:rsidRPr="00E45BDE">
        <w:t>ai decentralizuotų šalių.</w:t>
      </w:r>
    </w:p>
    <w:p w:rsidR="007D6838" w:rsidRDefault="007D6838" w:rsidP="00BB2142">
      <w:pPr>
        <w:tabs>
          <w:tab w:val="center" w:pos="4770"/>
        </w:tabs>
        <w:autoSpaceDE w:val="0"/>
        <w:autoSpaceDN w:val="0"/>
        <w:adjustRightInd w:val="0"/>
        <w:spacing w:line="360" w:lineRule="auto"/>
        <w:jc w:val="both"/>
        <w:rPr>
          <w:lang w:val="lt-LT"/>
        </w:rPr>
      </w:pPr>
    </w:p>
    <w:p w:rsidR="00986D78" w:rsidRDefault="00880BC7" w:rsidP="00BB2142">
      <w:pPr>
        <w:tabs>
          <w:tab w:val="center" w:pos="4770"/>
        </w:tabs>
        <w:autoSpaceDE w:val="0"/>
        <w:autoSpaceDN w:val="0"/>
        <w:adjustRightInd w:val="0"/>
        <w:spacing w:line="360" w:lineRule="auto"/>
        <w:jc w:val="both"/>
        <w:rPr>
          <w:lang w:val="lt-LT"/>
        </w:rPr>
      </w:pPr>
      <w:r>
        <w:rPr>
          <w:noProof/>
        </w:rPr>
        <w:lastRenderedPageBreak/>
        <w:drawing>
          <wp:inline distT="0" distB="0" distL="0" distR="0" wp14:anchorId="43127733" wp14:editId="3673BE8A">
            <wp:extent cx="5838825" cy="2924175"/>
            <wp:effectExtent l="0" t="0" r="9525" b="9525"/>
            <wp:docPr id="27" name="Chart 1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DE45AC" w:rsidRDefault="00DE45AC" w:rsidP="00BB2142">
      <w:pPr>
        <w:tabs>
          <w:tab w:val="center" w:pos="4770"/>
        </w:tabs>
        <w:autoSpaceDE w:val="0"/>
        <w:autoSpaceDN w:val="0"/>
        <w:adjustRightInd w:val="0"/>
        <w:spacing w:line="360" w:lineRule="auto"/>
        <w:jc w:val="both"/>
        <w:rPr>
          <w:lang w:val="lt-LT"/>
        </w:rPr>
      </w:pPr>
      <w:r w:rsidRPr="008E1A38">
        <w:rPr>
          <w:b/>
          <w:sz w:val="20"/>
          <w:szCs w:val="20"/>
          <w:lang w:val="lt-LT"/>
        </w:rPr>
        <w:t>Šaltinis:</w:t>
      </w:r>
      <w:r w:rsidRPr="00DE45AC">
        <w:rPr>
          <w:sz w:val="20"/>
          <w:szCs w:val="20"/>
          <w:lang w:val="lt-LT"/>
        </w:rPr>
        <w:t xml:space="preserve"> Lietuvos statistikos departamento duomenų bazė</w:t>
      </w:r>
      <w:r w:rsidR="005C7FDE">
        <w:rPr>
          <w:sz w:val="20"/>
          <w:szCs w:val="20"/>
          <w:lang w:val="lt-LT"/>
        </w:rPr>
        <w:t>, Finansų ministerijos duomenys</w:t>
      </w:r>
    </w:p>
    <w:p w:rsidR="00DE45AC" w:rsidRPr="00A204BB" w:rsidRDefault="008C1DD6" w:rsidP="00A204BB">
      <w:pPr>
        <w:pStyle w:val="Caption"/>
        <w:ind w:left="0" w:firstLine="0"/>
      </w:pPr>
      <w:bookmarkStart w:id="38" w:name="_Toc385239361"/>
      <w:r w:rsidRPr="00A204BB">
        <w:t>8</w:t>
      </w:r>
      <w:r w:rsidR="00DE45AC" w:rsidRPr="00A204BB">
        <w:t xml:space="preserve"> pav. Valstybės ir savivaldybių biudžetų išlaidų dalis BVP 2008–2012 m., proc.</w:t>
      </w:r>
      <w:bookmarkEnd w:id="38"/>
    </w:p>
    <w:p w:rsidR="00765333" w:rsidRDefault="00765333" w:rsidP="00765333">
      <w:pPr>
        <w:rPr>
          <w:lang w:val="lt-LT"/>
        </w:rPr>
      </w:pPr>
    </w:p>
    <w:p w:rsidR="0069772C" w:rsidRDefault="0069772C" w:rsidP="00765333">
      <w:pPr>
        <w:rPr>
          <w:lang w:val="lt-LT"/>
        </w:rPr>
      </w:pPr>
    </w:p>
    <w:p w:rsidR="006D4446" w:rsidRDefault="00765333" w:rsidP="00E45BDE">
      <w:pPr>
        <w:spacing w:line="360" w:lineRule="auto"/>
        <w:ind w:firstLine="720"/>
        <w:jc w:val="both"/>
      </w:pPr>
      <w:r w:rsidRPr="00E45BDE">
        <w:t>Nagrinėjant savivaldybių biudžetų išlaidų dalį nacionaliniame biudžete pasirinktu laikotarpiu procentinis pokytis ne toks didelis, kaip BVP. Analizuojamu laikotarpiu 2009 m. savivaldybi</w:t>
      </w:r>
      <w:r w:rsidRPr="00E45BDE">
        <w:rPr>
          <w:lang w:val="lt-LT"/>
        </w:rPr>
        <w:t xml:space="preserve">ų biudžetų dalis nacionaliniame biudžete sumažėjo nuo </w:t>
      </w:r>
      <w:r w:rsidRPr="00E45BDE">
        <w:t>22,4 iki 21,7 proc.</w:t>
      </w:r>
      <w:r w:rsidR="00FF5E19" w:rsidRPr="00E45BDE">
        <w:t xml:space="preserve">, toks proc. išliko ir 2010 m. </w:t>
      </w:r>
      <w:r w:rsidR="00EB74BD">
        <w:t>(</w:t>
      </w:r>
      <w:r w:rsidR="00EB74BD">
        <w:rPr>
          <w:lang w:val="lt-LT"/>
        </w:rPr>
        <w:t xml:space="preserve">žr. 9 pav.). </w:t>
      </w:r>
      <w:r w:rsidR="00E45BDE">
        <w:t>2011-</w:t>
      </w:r>
      <w:r w:rsidR="00AF693D" w:rsidRPr="00E45BDE">
        <w:t xml:space="preserve">2012 m. </w:t>
      </w:r>
      <w:r w:rsidR="00AF693D" w:rsidRPr="00E45BDE">
        <w:rPr>
          <w:lang w:val="lt-LT"/>
        </w:rPr>
        <w:t xml:space="preserve">savivaldybių išlaidų dalis kilo atitinkamai 22,7 ir 23,1 proc. </w:t>
      </w:r>
      <w:r w:rsidR="00E45BDE" w:rsidRPr="00E45BDE">
        <w:t xml:space="preserve">Vadinasi, galima teigti, jog </w:t>
      </w:r>
      <w:r w:rsidRPr="00E45BDE">
        <w:t xml:space="preserve">remiantis šiuo kriterijumi savivaldybių finansinis savarankiškumas </w:t>
      </w:r>
      <w:r w:rsidR="00AF693D" w:rsidRPr="00E45BDE">
        <w:t>did</w:t>
      </w:r>
      <w:r w:rsidR="00AF693D" w:rsidRPr="00E45BDE">
        <w:rPr>
          <w:lang w:val="lt-LT"/>
        </w:rPr>
        <w:t>ėja</w:t>
      </w:r>
      <w:r w:rsidRPr="00E45BDE">
        <w:t xml:space="preserve">, nors pokytis labai nežymus. </w:t>
      </w:r>
    </w:p>
    <w:p w:rsidR="00986D78" w:rsidRPr="00E45BDE" w:rsidRDefault="006D4446" w:rsidP="00A204BB">
      <w:pPr>
        <w:spacing w:line="360" w:lineRule="auto"/>
        <w:ind w:firstLine="720"/>
        <w:jc w:val="both"/>
      </w:pPr>
      <w:r>
        <w:t xml:space="preserve">Vertinant savivaldybių biudžetų išlaidų ir nacionalinio biudžeto santykį Lietuva priskiriama prie vidutiniškai </w:t>
      </w:r>
      <w:r w:rsidR="00A204BB">
        <w:t>decentralizuotų valstybių.</w:t>
      </w:r>
    </w:p>
    <w:p w:rsidR="00986D78" w:rsidRDefault="00880BC7" w:rsidP="00E47ECC">
      <w:pPr>
        <w:tabs>
          <w:tab w:val="center" w:pos="4770"/>
        </w:tabs>
        <w:autoSpaceDE w:val="0"/>
        <w:autoSpaceDN w:val="0"/>
        <w:adjustRightInd w:val="0"/>
        <w:spacing w:line="360" w:lineRule="auto"/>
        <w:jc w:val="center"/>
        <w:rPr>
          <w:lang w:val="lt-LT"/>
        </w:rPr>
      </w:pPr>
      <w:r>
        <w:rPr>
          <w:noProof/>
        </w:rPr>
        <w:drawing>
          <wp:inline distT="0" distB="0" distL="0" distR="0" wp14:anchorId="116173E6" wp14:editId="62A80822">
            <wp:extent cx="5406390" cy="2045970"/>
            <wp:effectExtent l="0" t="0" r="22860" b="11430"/>
            <wp:docPr id="14" name="Chart 1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rsidR="00E45BDE" w:rsidRDefault="00E45BDE" w:rsidP="00BB2142">
      <w:pPr>
        <w:tabs>
          <w:tab w:val="center" w:pos="4770"/>
        </w:tabs>
        <w:autoSpaceDE w:val="0"/>
        <w:autoSpaceDN w:val="0"/>
        <w:adjustRightInd w:val="0"/>
        <w:spacing w:line="360" w:lineRule="auto"/>
        <w:jc w:val="both"/>
        <w:rPr>
          <w:lang w:val="lt-LT"/>
        </w:rPr>
      </w:pPr>
      <w:r w:rsidRPr="00EB74BD">
        <w:rPr>
          <w:b/>
          <w:sz w:val="20"/>
          <w:szCs w:val="20"/>
          <w:lang w:val="lt-LT"/>
        </w:rPr>
        <w:t>Šaltinis:</w:t>
      </w:r>
      <w:r w:rsidRPr="00DE45AC">
        <w:rPr>
          <w:sz w:val="20"/>
          <w:szCs w:val="20"/>
          <w:lang w:val="lt-LT"/>
        </w:rPr>
        <w:t xml:space="preserve"> Lietuvos statistikos departamento duomenų bazė</w:t>
      </w:r>
      <w:r w:rsidR="00CB1D1E">
        <w:rPr>
          <w:sz w:val="20"/>
          <w:szCs w:val="20"/>
          <w:lang w:val="lt-LT"/>
        </w:rPr>
        <w:t>, Finansų ministerijos</w:t>
      </w:r>
      <w:r w:rsidR="00493F8C">
        <w:rPr>
          <w:sz w:val="20"/>
          <w:szCs w:val="20"/>
          <w:lang w:val="lt-LT"/>
        </w:rPr>
        <w:t xml:space="preserve"> duomenys</w:t>
      </w:r>
    </w:p>
    <w:p w:rsidR="00E47ECC" w:rsidRDefault="00E47ECC" w:rsidP="00E45BDE">
      <w:pPr>
        <w:jc w:val="center"/>
        <w:rPr>
          <w:b/>
          <w:lang w:val="lt-LT"/>
        </w:rPr>
      </w:pPr>
    </w:p>
    <w:p w:rsidR="00E45BDE" w:rsidRDefault="00EB74BD" w:rsidP="00A204BB">
      <w:pPr>
        <w:pStyle w:val="Caption"/>
        <w:ind w:hanging="851"/>
      </w:pPr>
      <w:bookmarkStart w:id="39" w:name="_Toc385239362"/>
      <w:r>
        <w:rPr>
          <w:lang w:val="lt-LT"/>
        </w:rPr>
        <w:t>9</w:t>
      </w:r>
      <w:r w:rsidR="00E45BDE" w:rsidRPr="00E47ECC">
        <w:rPr>
          <w:lang w:val="lt-LT"/>
        </w:rPr>
        <w:t xml:space="preserve"> pav. </w:t>
      </w:r>
      <w:r w:rsidR="00E45BDE" w:rsidRPr="00E47ECC">
        <w:t>Savivaldybių biudžetų išlaidų dalis nacionaliniame biudžete 2008–2012 m., proc.</w:t>
      </w:r>
      <w:bookmarkEnd w:id="39"/>
    </w:p>
    <w:p w:rsidR="005E5428" w:rsidRDefault="00230E7B" w:rsidP="00E45BDE">
      <w:pPr>
        <w:jc w:val="center"/>
        <w:rPr>
          <w:b/>
        </w:rPr>
      </w:pPr>
      <w:r>
        <w:rPr>
          <w:b/>
        </w:rPr>
        <w:lastRenderedPageBreak/>
        <w:tab/>
      </w:r>
    </w:p>
    <w:p w:rsidR="004E7EEB" w:rsidRPr="00781AEB" w:rsidRDefault="005E5428" w:rsidP="00424C17">
      <w:pPr>
        <w:spacing w:line="360" w:lineRule="auto"/>
        <w:ind w:firstLine="720"/>
        <w:jc w:val="both"/>
        <w:rPr>
          <w:lang w:val="lt-LT"/>
        </w:rPr>
      </w:pPr>
      <w:r>
        <w:t>De</w:t>
      </w:r>
      <w:r>
        <w:rPr>
          <w:lang w:val="lt-LT"/>
        </w:rPr>
        <w:t>šimtame paveiksle matyti valstybės ir savivaldybių išlaidų dalį nacionaliniame biudžete</w:t>
      </w:r>
      <w:r w:rsidR="00230E7B">
        <w:rPr>
          <w:lang w:val="lt-LT"/>
        </w:rPr>
        <w:t>.</w:t>
      </w:r>
      <w:r w:rsidR="00943EB6">
        <w:t xml:space="preserve"> </w:t>
      </w:r>
      <w:r w:rsidR="00424C17">
        <w:rPr>
          <w:lang w:val="lt-LT"/>
        </w:rPr>
        <w:t xml:space="preserve"> G</w:t>
      </w:r>
      <w:r w:rsidR="00DB242B">
        <w:rPr>
          <w:lang w:val="lt-LT"/>
        </w:rPr>
        <w:t>alime teigti, kad labiausiai decentralizuotos valstybės funkcijos yra: būstas ir komunalinis ūkis</w:t>
      </w:r>
      <w:r w:rsidR="00424C17">
        <w:rPr>
          <w:lang w:val="lt-LT"/>
        </w:rPr>
        <w:t xml:space="preserve"> </w:t>
      </w:r>
      <w:r w:rsidR="00DB242B">
        <w:rPr>
          <w:lang w:val="lt-LT"/>
        </w:rPr>
        <w:t>(</w:t>
      </w:r>
      <w:r w:rsidR="00424C17">
        <w:rPr>
          <w:lang w:val="lt-LT"/>
        </w:rPr>
        <w:t xml:space="preserve">savivaldybių išlaidos sudaro </w:t>
      </w:r>
      <w:r w:rsidR="00424C17">
        <w:t>95.1 proc nacionalinio biud</w:t>
      </w:r>
      <w:r w:rsidR="00424C17">
        <w:rPr>
          <w:lang w:val="lt-LT"/>
        </w:rPr>
        <w:t xml:space="preserve">žeto išlaidų šia funkcijai) </w:t>
      </w:r>
      <w:r w:rsidR="00DB242B">
        <w:rPr>
          <w:lang w:val="lt-LT"/>
        </w:rPr>
        <w:t>, švietimas</w:t>
      </w:r>
      <w:r w:rsidR="00424C17">
        <w:rPr>
          <w:lang w:val="lt-LT"/>
        </w:rPr>
        <w:t xml:space="preserve"> (</w:t>
      </w:r>
      <w:r w:rsidR="00424C17">
        <w:t>45,1 proc.)</w:t>
      </w:r>
      <w:r w:rsidR="00DB242B">
        <w:rPr>
          <w:lang w:val="lt-LT"/>
        </w:rPr>
        <w:t>, poilsis, kultūra ir religija</w:t>
      </w:r>
      <w:r w:rsidR="00424C17">
        <w:rPr>
          <w:lang w:val="lt-LT"/>
        </w:rPr>
        <w:t xml:space="preserve"> (42,4 proc.), socialinė apsauga (31,2 proc.). Vidutiniškai decentralizuotos – bendros valstybės paslaugos (</w:t>
      </w:r>
      <w:r w:rsidR="00424C17">
        <w:t>15,7 proc.), aplinkos apsauga (24,7 proc.), ma</w:t>
      </w:r>
      <w:r w:rsidR="00424C17">
        <w:rPr>
          <w:lang w:val="lt-LT"/>
        </w:rPr>
        <w:t>žai – gynyba (</w:t>
      </w:r>
      <w:r w:rsidR="00424C17">
        <w:t>0,5 proc.), viešoji tvarka ir apsauga (3,1 proc.),  ekonomika (6,3 proc.), sveikatos apsauga (3,1 proc.)</w:t>
      </w:r>
      <w:r w:rsidR="00781AEB">
        <w:t>. Ma</w:t>
      </w:r>
      <w:r w:rsidR="00781AEB">
        <w:rPr>
          <w:lang w:val="lt-LT"/>
        </w:rPr>
        <w:t>žai decentralizuotos funkcijos išimtinai valstybinės. Toks išlaidų pasiskirstymas būdingas daugelyje šalių ir tas funkcijas, kurias lengviau administruoti iš centro yra</w:t>
      </w:r>
      <w:r w:rsidR="00DC747E">
        <w:rPr>
          <w:lang w:val="lt-LT"/>
        </w:rPr>
        <w:t xml:space="preserve"> priskiriamos</w:t>
      </w:r>
    </w:p>
    <w:p w:rsidR="004E7EEB" w:rsidRDefault="004E7EEB" w:rsidP="00E45BDE">
      <w:pPr>
        <w:jc w:val="center"/>
        <w:rPr>
          <w:b/>
        </w:rPr>
      </w:pPr>
    </w:p>
    <w:p w:rsidR="00EB74BD" w:rsidRDefault="00880BC7" w:rsidP="00EB74BD">
      <w:pPr>
        <w:jc w:val="center"/>
        <w:rPr>
          <w:b/>
        </w:rPr>
      </w:pPr>
      <w:r>
        <w:rPr>
          <w:b/>
          <w:noProof/>
        </w:rPr>
        <w:drawing>
          <wp:inline distT="0" distB="0" distL="0" distR="0" wp14:anchorId="634CE86D" wp14:editId="187D82E7">
            <wp:extent cx="5497830" cy="3108960"/>
            <wp:effectExtent l="0" t="0" r="26670" b="15240"/>
            <wp:docPr id="13" name="Chart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EB74BD" w:rsidRPr="00EB74BD" w:rsidRDefault="00EB74BD" w:rsidP="00EB74BD">
      <w:pPr>
        <w:tabs>
          <w:tab w:val="center" w:pos="4770"/>
        </w:tabs>
        <w:autoSpaceDE w:val="0"/>
        <w:autoSpaceDN w:val="0"/>
        <w:adjustRightInd w:val="0"/>
        <w:spacing w:line="360" w:lineRule="auto"/>
        <w:jc w:val="both"/>
        <w:rPr>
          <w:lang w:val="lt-LT"/>
        </w:rPr>
      </w:pPr>
      <w:r w:rsidRPr="00EB74BD">
        <w:rPr>
          <w:b/>
          <w:sz w:val="20"/>
          <w:szCs w:val="20"/>
          <w:lang w:val="lt-LT"/>
        </w:rPr>
        <w:t>Šaltinis:</w:t>
      </w:r>
      <w:r w:rsidRPr="00DE45AC">
        <w:rPr>
          <w:sz w:val="20"/>
          <w:szCs w:val="20"/>
          <w:lang w:val="lt-LT"/>
        </w:rPr>
        <w:t xml:space="preserve"> Lietuvos statistikos departamento duomenų bazė</w:t>
      </w:r>
      <w:r>
        <w:rPr>
          <w:sz w:val="20"/>
          <w:szCs w:val="20"/>
          <w:lang w:val="lt-LT"/>
        </w:rPr>
        <w:t>, Finansų ministerijos duomenys</w:t>
      </w:r>
    </w:p>
    <w:p w:rsidR="00EB74BD" w:rsidRDefault="00EB74BD" w:rsidP="00E45BDE">
      <w:pPr>
        <w:jc w:val="center"/>
        <w:rPr>
          <w:b/>
        </w:rPr>
      </w:pPr>
    </w:p>
    <w:p w:rsidR="004E7EEB" w:rsidRDefault="00EB74BD" w:rsidP="00A204BB">
      <w:pPr>
        <w:pStyle w:val="Caption"/>
        <w:ind w:hanging="851"/>
      </w:pPr>
      <w:bookmarkStart w:id="40" w:name="_Toc385239363"/>
      <w:r>
        <w:t xml:space="preserve">10 pav. </w:t>
      </w:r>
      <w:r w:rsidR="00D735C5">
        <w:t>Valstyb</w:t>
      </w:r>
      <w:r w:rsidR="00D735C5">
        <w:rPr>
          <w:lang w:val="lt-LT"/>
        </w:rPr>
        <w:t xml:space="preserve">ės ir </w:t>
      </w:r>
      <w:r w:rsidR="00D735C5">
        <w:t>s</w:t>
      </w:r>
      <w:r w:rsidR="00D735C5" w:rsidRPr="00E47ECC">
        <w:t>avivaldybių biudžetų išlaidų dalis nacionaliniame biudžete</w:t>
      </w:r>
      <w:r w:rsidR="00D735C5">
        <w:t xml:space="preserve"> pagal funkcijas </w:t>
      </w:r>
      <w:r w:rsidR="00D735C5" w:rsidRPr="00E47ECC">
        <w:t>2012 m., proc.</w:t>
      </w:r>
      <w:bookmarkEnd w:id="40"/>
    </w:p>
    <w:p w:rsidR="004E7EEB" w:rsidRDefault="004E7EEB" w:rsidP="00E45BDE">
      <w:pPr>
        <w:jc w:val="center"/>
        <w:rPr>
          <w:b/>
        </w:rPr>
      </w:pPr>
    </w:p>
    <w:p w:rsidR="0069772C" w:rsidRPr="007B3574" w:rsidRDefault="00146F6C" w:rsidP="007B3574">
      <w:pPr>
        <w:spacing w:line="360" w:lineRule="auto"/>
        <w:jc w:val="both"/>
      </w:pPr>
      <w:r>
        <w:rPr>
          <w:b/>
        </w:rPr>
        <w:tab/>
      </w:r>
      <w:r>
        <w:t>Įvertinus savivaldybių išlaidas BVP ir</w:t>
      </w:r>
      <w:r w:rsidR="00E91E87">
        <w:t xml:space="preserve"> nacionaliniame biudžete matyti</w:t>
      </w:r>
      <w:r>
        <w:t>,</w:t>
      </w:r>
      <w:r w:rsidR="00E91E87">
        <w:t xml:space="preserve"> </w:t>
      </w:r>
      <w:r>
        <w:t xml:space="preserve">kad vertinat savivaldybių biudžetų išlaidų </w:t>
      </w:r>
      <w:proofErr w:type="gramStart"/>
      <w:r>
        <w:t>dalį</w:t>
      </w:r>
      <w:proofErr w:type="gramEnd"/>
      <w:r>
        <w:t xml:space="preserve"> BVP gavome, kad Lietuva mažai decentralizuota, o vertinat pagal savivaldybių biudžetų ir nacionalinio biudžeto išlaidų santykį – vidutiniškai decentralizuota. </w:t>
      </w:r>
      <w:r w:rsidR="00BE3B3B">
        <w:t>Lietuvoje pagal valstybės funkcijas labiausiai decentralizuotas yra būstas ir komunalinis ūkis, o mažiausiai – gynyba.</w:t>
      </w:r>
    </w:p>
    <w:p w:rsidR="0069772C" w:rsidRDefault="0069772C" w:rsidP="00E45BDE">
      <w:pPr>
        <w:jc w:val="center"/>
        <w:rPr>
          <w:b/>
        </w:rPr>
      </w:pPr>
    </w:p>
    <w:p w:rsidR="001923FD" w:rsidRDefault="001923FD" w:rsidP="00E45BDE">
      <w:pPr>
        <w:jc w:val="center"/>
        <w:rPr>
          <w:b/>
        </w:rPr>
      </w:pPr>
    </w:p>
    <w:p w:rsidR="001923FD" w:rsidRDefault="001923FD" w:rsidP="00E45BDE">
      <w:pPr>
        <w:jc w:val="center"/>
        <w:rPr>
          <w:b/>
        </w:rPr>
      </w:pPr>
    </w:p>
    <w:p w:rsidR="001923FD" w:rsidRDefault="001923FD" w:rsidP="00E45BDE">
      <w:pPr>
        <w:jc w:val="center"/>
        <w:rPr>
          <w:b/>
        </w:rPr>
      </w:pPr>
    </w:p>
    <w:p w:rsidR="001923FD" w:rsidRDefault="001923FD" w:rsidP="00E45BDE">
      <w:pPr>
        <w:jc w:val="center"/>
        <w:rPr>
          <w:b/>
        </w:rPr>
      </w:pPr>
    </w:p>
    <w:p w:rsidR="00E47ECC" w:rsidRPr="00E47ECC" w:rsidRDefault="00E47ECC" w:rsidP="001923FD">
      <w:pPr>
        <w:pStyle w:val="Heading3"/>
        <w:rPr>
          <w:lang w:val="lt-LT"/>
        </w:rPr>
      </w:pPr>
      <w:bookmarkStart w:id="41" w:name="_Toc385249535"/>
      <w:r w:rsidRPr="00E47ECC">
        <w:lastRenderedPageBreak/>
        <w:t>3.2.</w:t>
      </w:r>
      <w:r w:rsidR="0069772C">
        <w:t>2.</w:t>
      </w:r>
      <w:r w:rsidRPr="00E47ECC">
        <w:t xml:space="preserve"> Savivaldybi</w:t>
      </w:r>
      <w:r w:rsidRPr="00E47ECC">
        <w:rPr>
          <w:lang w:val="lt-LT"/>
        </w:rPr>
        <w:t>ų biudžetų pajamų vertinimas</w:t>
      </w:r>
      <w:bookmarkEnd w:id="41"/>
    </w:p>
    <w:p w:rsidR="00E45BDE" w:rsidRDefault="004463A2" w:rsidP="00BB2142">
      <w:pPr>
        <w:tabs>
          <w:tab w:val="center" w:pos="4770"/>
        </w:tabs>
        <w:autoSpaceDE w:val="0"/>
        <w:autoSpaceDN w:val="0"/>
        <w:adjustRightInd w:val="0"/>
        <w:spacing w:line="360" w:lineRule="auto"/>
        <w:jc w:val="both"/>
        <w:rPr>
          <w:lang w:val="lt-LT"/>
        </w:rPr>
      </w:pPr>
      <w:r>
        <w:rPr>
          <w:lang w:val="lt-LT"/>
        </w:rPr>
        <w:tab/>
      </w:r>
    </w:p>
    <w:p w:rsidR="00A27A9E" w:rsidRDefault="00A27A9E" w:rsidP="00CB1D1E">
      <w:pPr>
        <w:spacing w:line="360" w:lineRule="auto"/>
        <w:ind w:firstLine="720"/>
        <w:jc w:val="both"/>
        <w:rPr>
          <w:lang w:val="lt-LT"/>
        </w:rPr>
      </w:pPr>
      <w:r>
        <w:t>Fiskalin</w:t>
      </w:r>
      <w:r>
        <w:rPr>
          <w:lang w:val="lt-LT"/>
        </w:rPr>
        <w:t>ės decentralizacijos lygio įvertinimui nepakanka subsektorių išlaidų analizės. Vienas iš savarankiškumo požymių – nuosavos pajamos. Todėl toliau darbe vertinsime savivaldybių biudžetų pajamas, jų sudėtį, bei valstybės pervedimus.</w:t>
      </w:r>
    </w:p>
    <w:p w:rsidR="00CB1D1E" w:rsidRPr="00E47ECC" w:rsidRDefault="00CB1D1E" w:rsidP="00CB1D1E">
      <w:pPr>
        <w:spacing w:line="360" w:lineRule="auto"/>
        <w:ind w:firstLine="720"/>
        <w:jc w:val="both"/>
      </w:pPr>
      <w:r w:rsidRPr="00E47ECC">
        <w:t>Savivaldybių biudžetų pajamų lyginamojo svorio nuo BVP ir nacionalinio biudžeto pajamų rezultatai panašūs kaip ir biudžetų išlaidų, nes šalies deficitas pastaraisiais metais nors ir buvo didelis, tačiau akivaizdžių pokyčių vertinat fiskalinės decentralizacijos požiūriu nesudaro.</w:t>
      </w:r>
    </w:p>
    <w:p w:rsidR="00CB1D1E" w:rsidRPr="00CB1D1E" w:rsidRDefault="00CB1D1E" w:rsidP="00CB1D1E">
      <w:pPr>
        <w:spacing w:line="360" w:lineRule="auto"/>
        <w:ind w:firstLine="720"/>
        <w:jc w:val="both"/>
      </w:pPr>
      <w:r w:rsidRPr="00E47ECC">
        <w:t>Matyti, kad santykis</w:t>
      </w:r>
      <w:r w:rsidRPr="00CB1D1E">
        <w:t xml:space="preserve"> su BVP tiek išlaidų tiek pajamų prasme išlieka stabilus, o santykis su nacionaliniu biudžetu pajamų atžvilgiu šiek tiek išauga, tačiau vis dar rodo vidutinišką decentralizacijos lygį šalyje</w:t>
      </w:r>
      <w:r>
        <w:t xml:space="preserve"> (</w:t>
      </w:r>
      <w:r>
        <w:rPr>
          <w:lang w:val="lt-LT"/>
        </w:rPr>
        <w:t xml:space="preserve">žr. </w:t>
      </w:r>
      <w:r w:rsidR="00EB74BD">
        <w:t>11</w:t>
      </w:r>
      <w:r>
        <w:t xml:space="preserve"> pav.)</w:t>
      </w:r>
      <w:r w:rsidRPr="00CB1D1E">
        <w:t>.</w:t>
      </w:r>
    </w:p>
    <w:p w:rsidR="00C248ED" w:rsidRDefault="00880BC7" w:rsidP="00BB2142">
      <w:pPr>
        <w:tabs>
          <w:tab w:val="center" w:pos="4770"/>
        </w:tabs>
        <w:autoSpaceDE w:val="0"/>
        <w:autoSpaceDN w:val="0"/>
        <w:adjustRightInd w:val="0"/>
        <w:spacing w:line="360" w:lineRule="auto"/>
        <w:jc w:val="both"/>
        <w:rPr>
          <w:lang w:val="lt-LT"/>
        </w:rPr>
      </w:pPr>
      <w:r>
        <w:rPr>
          <w:noProof/>
        </w:rPr>
        <w:drawing>
          <wp:inline distT="0" distB="0" distL="0" distR="0" wp14:anchorId="2213A193" wp14:editId="662A4D15">
            <wp:extent cx="6515396" cy="2708910"/>
            <wp:effectExtent l="0" t="0" r="0" b="0"/>
            <wp:docPr id="12" name="Object 280"/>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rsidR="005C7FDE" w:rsidRDefault="005C7FDE" w:rsidP="00E47ECC">
      <w:pPr>
        <w:ind w:firstLine="720"/>
        <w:rPr>
          <w:sz w:val="20"/>
          <w:szCs w:val="20"/>
          <w:lang w:val="lt-LT"/>
        </w:rPr>
      </w:pPr>
      <w:r w:rsidRPr="00EB74BD">
        <w:rPr>
          <w:b/>
          <w:sz w:val="20"/>
          <w:szCs w:val="20"/>
          <w:lang w:val="lt-LT"/>
        </w:rPr>
        <w:t>Šaltinis:</w:t>
      </w:r>
      <w:r w:rsidRPr="00DE45AC">
        <w:rPr>
          <w:sz w:val="20"/>
          <w:szCs w:val="20"/>
          <w:lang w:val="lt-LT"/>
        </w:rPr>
        <w:t xml:space="preserve"> Lietuvos statistikos departamento duomenų bazė</w:t>
      </w:r>
      <w:r>
        <w:rPr>
          <w:sz w:val="20"/>
          <w:szCs w:val="20"/>
          <w:lang w:val="lt-LT"/>
        </w:rPr>
        <w:t>, Finansų ministerijos duomenys</w:t>
      </w:r>
    </w:p>
    <w:p w:rsidR="00E47ECC" w:rsidRDefault="00E47ECC" w:rsidP="00E47ECC">
      <w:pPr>
        <w:ind w:firstLine="720"/>
        <w:rPr>
          <w:sz w:val="20"/>
          <w:szCs w:val="20"/>
          <w:lang w:val="lt-LT"/>
        </w:rPr>
      </w:pPr>
    </w:p>
    <w:p w:rsidR="005C7FDE" w:rsidRPr="005C7FDE" w:rsidRDefault="00EB74BD" w:rsidP="00E91E87">
      <w:pPr>
        <w:pStyle w:val="Caption"/>
        <w:spacing w:before="0" w:after="0" w:line="360" w:lineRule="auto"/>
        <w:ind w:hanging="851"/>
      </w:pPr>
      <w:bookmarkStart w:id="42" w:name="_Toc385239364"/>
      <w:r>
        <w:t>11</w:t>
      </w:r>
      <w:r w:rsidR="005C7FDE" w:rsidRPr="005C7FDE">
        <w:t xml:space="preserve"> pav. S</w:t>
      </w:r>
      <w:r w:rsidR="005C7FDE">
        <w:t xml:space="preserve">avivaldybių biudžetų </w:t>
      </w:r>
      <w:r w:rsidR="005C7FDE" w:rsidRPr="005C7FDE">
        <w:t>pajamų dalis nacionaliniame biudžete ir BVP</w:t>
      </w:r>
      <w:bookmarkEnd w:id="42"/>
    </w:p>
    <w:p w:rsidR="005C7FDE" w:rsidRPr="00E91E87" w:rsidRDefault="005C7FDE" w:rsidP="00E91E87">
      <w:pPr>
        <w:pStyle w:val="Caption"/>
        <w:spacing w:before="0" w:after="0" w:line="360" w:lineRule="auto"/>
        <w:ind w:hanging="851"/>
      </w:pPr>
      <w:bookmarkStart w:id="43" w:name="_Toc385239365"/>
      <w:proofErr w:type="gramStart"/>
      <w:r>
        <w:t>2008–2012</w:t>
      </w:r>
      <w:r w:rsidRPr="005C7FDE">
        <w:t xml:space="preserve"> m., proc.</w:t>
      </w:r>
      <w:bookmarkEnd w:id="43"/>
      <w:proofErr w:type="gramEnd"/>
    </w:p>
    <w:p w:rsidR="005C7FDE" w:rsidRDefault="005C7FDE" w:rsidP="00E91E87">
      <w:pPr>
        <w:tabs>
          <w:tab w:val="center" w:pos="4770"/>
        </w:tabs>
        <w:autoSpaceDE w:val="0"/>
        <w:autoSpaceDN w:val="0"/>
        <w:adjustRightInd w:val="0"/>
        <w:spacing w:line="360" w:lineRule="auto"/>
        <w:jc w:val="both"/>
        <w:rPr>
          <w:lang w:val="lt-LT"/>
        </w:rPr>
      </w:pPr>
    </w:p>
    <w:p w:rsidR="00493F8C" w:rsidRPr="00DB4A67" w:rsidRDefault="00493F8C" w:rsidP="00E91E87">
      <w:pPr>
        <w:spacing w:line="360" w:lineRule="auto"/>
        <w:ind w:firstLine="720"/>
        <w:jc w:val="both"/>
      </w:pPr>
      <w:r w:rsidRPr="00493F8C">
        <w:rPr>
          <w:lang w:val="lt-LT"/>
        </w:rPr>
        <w:t>Dauguma mokslininkų teigia</w:t>
      </w:r>
      <w:r w:rsidRPr="00493F8C">
        <w:t>, kad kuo didesnis pajamų struktūroje</w:t>
      </w:r>
      <w:r w:rsidR="00920201">
        <w:t xml:space="preserve"> valstybės biudžeto dotacijų lygis</w:t>
      </w:r>
      <w:r w:rsidRPr="00493F8C">
        <w:t>, tuo savivaldybė santykinai mažiau</w:t>
      </w:r>
      <w:r w:rsidR="00920201">
        <w:t xml:space="preserve"> savarankiška</w:t>
      </w:r>
      <w:r w:rsidRPr="00493F8C">
        <w:t xml:space="preserve"> (Davulis, 2006), (</w:t>
      </w:r>
      <w:r w:rsidR="00920201">
        <w:t>Civinskas ir Tolvaišis, 2006</w:t>
      </w:r>
      <w:r w:rsidRPr="00493F8C">
        <w:t xml:space="preserve">). Taigi  vertinat </w:t>
      </w:r>
      <w:r w:rsidRPr="00DB4A67">
        <w:t>fiskalinę decentralizaciją biudžeto pajamų atžvilgiu labai svarbus mokestinių, nemokestinių pajamų ir dotacijų santykis.</w:t>
      </w:r>
    </w:p>
    <w:p w:rsidR="00493F8C" w:rsidRPr="00EB74BD" w:rsidRDefault="00493F8C" w:rsidP="00EB74BD">
      <w:pPr>
        <w:spacing w:line="360" w:lineRule="auto"/>
        <w:ind w:firstLine="720"/>
        <w:jc w:val="both"/>
      </w:pPr>
      <w:r w:rsidRPr="00DB4A67">
        <w:t>Analizuojamu laikotarpiu</w:t>
      </w:r>
      <w:r w:rsidR="00593253" w:rsidRPr="00DB4A67">
        <w:t xml:space="preserve"> didžiausiąją pajamų dalį sudaro mokestinės pajamos ir valstybės biudžeto dotacijos, kurios 20</w:t>
      </w:r>
      <w:r w:rsidR="00E1211D" w:rsidRPr="00DB4A67">
        <w:t>11 m. siekė net 53</w:t>
      </w:r>
      <w:r w:rsidR="00593253" w:rsidRPr="00DB4A67">
        <w:t xml:space="preserve"> proc. visų savivaldybės biudžeto pajamų. </w:t>
      </w:r>
      <w:r w:rsidR="005C7FDE" w:rsidRPr="00DB4A67">
        <w:t>2008–2011</w:t>
      </w:r>
      <w:r w:rsidR="00DB4A67">
        <w:t xml:space="preserve"> </w:t>
      </w:r>
      <w:r w:rsidR="00E1211D" w:rsidRPr="00DB4A67">
        <w:t xml:space="preserve">m. </w:t>
      </w:r>
      <w:r w:rsidR="00593253" w:rsidRPr="00DB4A67">
        <w:t>d</w:t>
      </w:r>
      <w:r w:rsidR="005C7FDE" w:rsidRPr="00DB4A67">
        <w:t>otacijų santykis did</w:t>
      </w:r>
      <w:r w:rsidR="005C7FDE" w:rsidRPr="00DB4A67">
        <w:rPr>
          <w:lang w:val="lt-LT"/>
        </w:rPr>
        <w:t>ėja</w:t>
      </w:r>
      <w:r w:rsidR="005C7FDE" w:rsidRPr="00DB4A67">
        <w:t>, o atitinkamai mažėj</w:t>
      </w:r>
      <w:r w:rsidR="00EB74BD">
        <w:t>a mokestinių pajamų dalis (žr. 12</w:t>
      </w:r>
      <w:r w:rsidR="005C7FDE" w:rsidRPr="00DB4A67">
        <w:t xml:space="preserve"> </w:t>
      </w:r>
      <w:r w:rsidR="00593253" w:rsidRPr="00DB4A67">
        <w:t xml:space="preserve">pav.), o tai </w:t>
      </w:r>
      <w:r w:rsidR="00241C9E">
        <w:t>r</w:t>
      </w:r>
      <w:r w:rsidR="005C7FDE" w:rsidRPr="00DB4A67">
        <w:t>odo</w:t>
      </w:r>
      <w:r w:rsidR="00241C9E">
        <w:t xml:space="preserve"> </w:t>
      </w:r>
      <w:r w:rsidR="005C7FDE" w:rsidRPr="00DB4A67">
        <w:t>n</w:t>
      </w:r>
      <w:r w:rsidR="00593253" w:rsidRPr="00DB4A67">
        <w:t xml:space="preserve">eigiamą </w:t>
      </w:r>
      <w:r w:rsidR="00593253" w:rsidRPr="00DB4A67">
        <w:lastRenderedPageBreak/>
        <w:t xml:space="preserve">tendenciją fiskalinės decentralizacijos požiūriu. </w:t>
      </w:r>
      <w:r w:rsidR="005C7FDE" w:rsidRPr="00DB4A67">
        <w:t>Ta</w:t>
      </w:r>
      <w:r w:rsidR="005C7FDE" w:rsidRPr="00DB4A67">
        <w:rPr>
          <w:lang w:val="lt-LT"/>
        </w:rPr>
        <w:t xml:space="preserve">čiau jau </w:t>
      </w:r>
      <w:r w:rsidR="005C7FDE" w:rsidRPr="00DB4A67">
        <w:t>2012 m.</w:t>
      </w:r>
      <w:r w:rsidR="0001707B">
        <w:t xml:space="preserve"> mokestinės pajamos padidėjo iki 43 proc. taip ma</w:t>
      </w:r>
      <w:r w:rsidR="0001707B">
        <w:rPr>
          <w:lang w:val="lt-LT"/>
        </w:rPr>
        <w:t>žindama valstybės skiriamų</w:t>
      </w:r>
      <w:r w:rsidR="005C7FDE" w:rsidRPr="00DB4A67">
        <w:t xml:space="preserve"> dotacij</w:t>
      </w:r>
      <w:r w:rsidR="005C7FDE" w:rsidRPr="00DB4A67">
        <w:rPr>
          <w:lang w:val="lt-LT"/>
        </w:rPr>
        <w:t>ų dal</w:t>
      </w:r>
      <w:r w:rsidR="0001707B">
        <w:rPr>
          <w:lang w:val="lt-LT"/>
        </w:rPr>
        <w:t>į iki</w:t>
      </w:r>
      <w:r w:rsidR="005C7FDE" w:rsidRPr="00DB4A67">
        <w:rPr>
          <w:lang w:val="lt-LT"/>
        </w:rPr>
        <w:t xml:space="preserve"> </w:t>
      </w:r>
      <w:r w:rsidR="0001707B">
        <w:t xml:space="preserve">51 proc. </w:t>
      </w:r>
      <w:r w:rsidR="005C7FDE" w:rsidRPr="00DB4A67">
        <w:t>Nors tai ne</w:t>
      </w:r>
      <w:r w:rsidR="005C7FDE" w:rsidRPr="00DB4A67">
        <w:rPr>
          <w:lang w:val="lt-LT"/>
        </w:rPr>
        <w:t>žymus pokytis, tačiau matoma gerėjimo tendencija.</w:t>
      </w:r>
      <w:r w:rsidR="00241C9E">
        <w:rPr>
          <w:lang w:val="lt-LT"/>
        </w:rPr>
        <w:t xml:space="preserve"> </w:t>
      </w:r>
      <w:r w:rsidR="0001707B">
        <w:rPr>
          <w:lang w:val="lt-LT"/>
        </w:rPr>
        <w:t xml:space="preserve">Nemokestinių pajamų dalis bendrose pajamose yra nedidelė: vidutiniškai išlieka apie </w:t>
      </w:r>
      <w:r w:rsidR="0001707B">
        <w:t xml:space="preserve">6 proc. </w:t>
      </w:r>
      <w:r w:rsidR="00593253" w:rsidRPr="00DB4A67">
        <w:t>Ekonominė krizė paveikė pajamų struktūros kitimą ir sumažino savivaldybių savarankiškumą valstybei skiriant joms daugia</w:t>
      </w:r>
      <w:r w:rsidR="00DB4A67" w:rsidRPr="00DB4A67">
        <w:t>u dotacijų</w:t>
      </w:r>
      <w:r w:rsidR="00DB4A67">
        <w:rPr>
          <w:sz w:val="23"/>
          <w:szCs w:val="23"/>
        </w:rPr>
        <w:t>.</w:t>
      </w:r>
    </w:p>
    <w:p w:rsidR="00C248ED" w:rsidRDefault="00C248ED" w:rsidP="00BB2142">
      <w:pPr>
        <w:tabs>
          <w:tab w:val="center" w:pos="4770"/>
        </w:tabs>
        <w:autoSpaceDE w:val="0"/>
        <w:autoSpaceDN w:val="0"/>
        <w:adjustRightInd w:val="0"/>
        <w:spacing w:line="360" w:lineRule="auto"/>
        <w:jc w:val="both"/>
        <w:rPr>
          <w:lang w:val="lt-LT"/>
        </w:rPr>
      </w:pPr>
    </w:p>
    <w:p w:rsidR="00C248ED" w:rsidRDefault="00880BC7" w:rsidP="00BB2142">
      <w:pPr>
        <w:tabs>
          <w:tab w:val="center" w:pos="4770"/>
        </w:tabs>
        <w:autoSpaceDE w:val="0"/>
        <w:autoSpaceDN w:val="0"/>
        <w:adjustRightInd w:val="0"/>
        <w:spacing w:line="360" w:lineRule="auto"/>
        <w:jc w:val="both"/>
        <w:rPr>
          <w:lang w:val="lt-LT"/>
        </w:rPr>
      </w:pPr>
      <w:r>
        <w:rPr>
          <w:noProof/>
        </w:rPr>
        <w:drawing>
          <wp:inline distT="0" distB="0" distL="0" distR="0" wp14:anchorId="7FDBFFCF" wp14:editId="35F19898">
            <wp:extent cx="5955030" cy="3211830"/>
            <wp:effectExtent l="0" t="0" r="26670" b="26670"/>
            <wp:docPr id="11"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C248ED" w:rsidRDefault="005C7FDE" w:rsidP="00BB2142">
      <w:pPr>
        <w:tabs>
          <w:tab w:val="center" w:pos="4770"/>
        </w:tabs>
        <w:autoSpaceDE w:val="0"/>
        <w:autoSpaceDN w:val="0"/>
        <w:adjustRightInd w:val="0"/>
        <w:spacing w:line="360" w:lineRule="auto"/>
        <w:jc w:val="both"/>
        <w:rPr>
          <w:sz w:val="20"/>
          <w:szCs w:val="20"/>
          <w:lang w:val="lt-LT"/>
        </w:rPr>
      </w:pPr>
      <w:r w:rsidRPr="00936E98">
        <w:rPr>
          <w:b/>
          <w:sz w:val="20"/>
          <w:szCs w:val="20"/>
          <w:lang w:val="lt-LT"/>
        </w:rPr>
        <w:t>Šaltinis:</w:t>
      </w:r>
      <w:r w:rsidRPr="00DE45AC">
        <w:rPr>
          <w:sz w:val="20"/>
          <w:szCs w:val="20"/>
          <w:lang w:val="lt-LT"/>
        </w:rPr>
        <w:t xml:space="preserve"> </w:t>
      </w:r>
      <w:r>
        <w:rPr>
          <w:sz w:val="20"/>
          <w:szCs w:val="20"/>
          <w:lang w:val="lt-LT"/>
        </w:rPr>
        <w:t>Finansų ministerijos duomenys</w:t>
      </w:r>
    </w:p>
    <w:p w:rsidR="00DB4A67" w:rsidRDefault="00EB74BD" w:rsidP="00A204BB">
      <w:pPr>
        <w:pStyle w:val="Caption"/>
        <w:ind w:hanging="851"/>
      </w:pPr>
      <w:bookmarkStart w:id="44" w:name="_Toc385239366"/>
      <w:r>
        <w:t>12</w:t>
      </w:r>
      <w:r w:rsidR="00DB4A67" w:rsidRPr="00DB4A67">
        <w:t xml:space="preserve"> pav. Savivaldybių biudžetų pajamų struktūra 2008–2012 m., proc.</w:t>
      </w:r>
      <w:bookmarkEnd w:id="44"/>
    </w:p>
    <w:p w:rsidR="000E24C1" w:rsidRDefault="000E24C1" w:rsidP="00DB4A67">
      <w:pPr>
        <w:jc w:val="center"/>
        <w:rPr>
          <w:b/>
        </w:rPr>
      </w:pPr>
    </w:p>
    <w:p w:rsidR="000E24C1" w:rsidRDefault="000E24C1" w:rsidP="008F450C">
      <w:pPr>
        <w:spacing w:line="360" w:lineRule="auto"/>
        <w:jc w:val="both"/>
        <w:rPr>
          <w:lang w:val="lt-LT"/>
        </w:rPr>
      </w:pPr>
      <w:r>
        <w:rPr>
          <w:b/>
        </w:rPr>
        <w:tab/>
      </w:r>
      <w:r w:rsidRPr="008F450C">
        <w:rPr>
          <w:i/>
        </w:rPr>
        <w:t>Specialiųjų tikslinių dotacijų</w:t>
      </w:r>
      <w:r>
        <w:t xml:space="preserve"> sumos </w:t>
      </w:r>
      <w:r w:rsidR="004152FB">
        <w:t>nuo 2008 iki 2009 m. išaugo 12,5 proc. (</w:t>
      </w:r>
      <w:r w:rsidR="004152FB">
        <w:rPr>
          <w:lang w:val="lt-LT"/>
        </w:rPr>
        <w:t xml:space="preserve">žr. </w:t>
      </w:r>
      <w:r w:rsidR="00313B73">
        <w:rPr>
          <w:lang w:val="lt-LT"/>
        </w:rPr>
        <w:t>13</w:t>
      </w:r>
      <w:r w:rsidR="00EB74BD">
        <w:rPr>
          <w:lang w:val="lt-LT"/>
        </w:rPr>
        <w:t xml:space="preserve"> </w:t>
      </w:r>
      <w:r w:rsidR="004152FB">
        <w:rPr>
          <w:lang w:val="lt-LT"/>
        </w:rPr>
        <w:t xml:space="preserve">pav.), tačiau 2010 m. Šių dotacijų suma sumažėjo 268,3 mln. Lt dėl </w:t>
      </w:r>
      <w:r w:rsidR="004152FB">
        <w:t>97,7 proc. suma</w:t>
      </w:r>
      <w:r w:rsidR="004152FB">
        <w:rPr>
          <w:lang w:val="lt-LT"/>
        </w:rPr>
        <w:t>žinto valstybės investicijų programoje numatytų projektų finansavimo</w:t>
      </w:r>
      <w:r w:rsidR="00386577">
        <w:rPr>
          <w:lang w:val="lt-LT"/>
        </w:rPr>
        <w:t xml:space="preserve"> </w:t>
      </w:r>
      <w:r w:rsidR="00386577" w:rsidRPr="00424C17">
        <w:rPr>
          <w:lang w:val="lt-LT"/>
        </w:rPr>
        <w:t xml:space="preserve">(žr. </w:t>
      </w:r>
      <w:r w:rsidR="00424C17">
        <w:rPr>
          <w:lang w:val="lt-LT"/>
        </w:rPr>
        <w:t xml:space="preserve">3 </w:t>
      </w:r>
      <w:r w:rsidR="00386577" w:rsidRPr="00424C17">
        <w:rPr>
          <w:lang w:val="lt-LT"/>
        </w:rPr>
        <w:t>priedą).</w:t>
      </w:r>
    </w:p>
    <w:p w:rsidR="00386577" w:rsidRDefault="00386577" w:rsidP="008F450C">
      <w:pPr>
        <w:spacing w:line="360" w:lineRule="auto"/>
        <w:jc w:val="both"/>
        <w:rPr>
          <w:lang w:val="lt-LT"/>
        </w:rPr>
      </w:pPr>
      <w:r>
        <w:rPr>
          <w:lang w:val="lt-LT"/>
        </w:rPr>
        <w:tab/>
        <w:t xml:space="preserve">Specialiosios tikslinės dotacijos struktūroje apie </w:t>
      </w:r>
      <w:r>
        <w:t xml:space="preserve">50 proc. </w:t>
      </w:r>
      <w:r>
        <w:rPr>
          <w:lang w:val="lt-LT"/>
        </w:rPr>
        <w:t xml:space="preserve">lėšų skiriama mokinių krepšeliui finansuoti. Ši dalis sumažėjo </w:t>
      </w:r>
      <w:r>
        <w:t>2010 m. dėl mažėjančio mokinių skaičiaus.</w:t>
      </w:r>
      <w:r w:rsidR="00877E67">
        <w:t xml:space="preserve"> 2011 m. skiriam</w:t>
      </w:r>
      <w:r w:rsidR="00877E67">
        <w:rPr>
          <w:lang w:val="lt-LT"/>
        </w:rPr>
        <w:t xml:space="preserve">os lėšos mokinių krepšelio augimui įtakos turėjo įvestas ikimokyklinio ugdymo krepšelis ir jau tais metais valstybė skyrė papildomą tikslinę </w:t>
      </w:r>
      <w:r w:rsidR="00877E67">
        <w:t>194,1 mln. Lt dotacij</w:t>
      </w:r>
      <w:r w:rsidR="00877E67">
        <w:rPr>
          <w:lang w:val="lt-LT"/>
        </w:rPr>
        <w:t>ą.</w:t>
      </w:r>
    </w:p>
    <w:p w:rsidR="00877E67" w:rsidRDefault="00877E67" w:rsidP="008F450C">
      <w:pPr>
        <w:spacing w:line="360" w:lineRule="auto"/>
        <w:jc w:val="both"/>
        <w:rPr>
          <w:lang w:val="lt-LT"/>
        </w:rPr>
      </w:pPr>
      <w:r>
        <w:rPr>
          <w:lang w:val="lt-LT"/>
        </w:rPr>
        <w:tab/>
        <w:t>Antroji specialiųjų tikslinių dotacijų grupė – valstybinėms (perduotoms savivaldybėms) funkcijoms atlikti. Jos buvo skirtos valstybės garantijų nuomininkams vykdyti</w:t>
      </w:r>
      <w:r w:rsidR="00F5784C">
        <w:rPr>
          <w:lang w:val="lt-LT"/>
        </w:rPr>
        <w:t>, vaikų teisių apsaugai, melioracijai, žemės ūkio funkcijoms vykdyti, socialinėms išmokoms ir kompensacijoms skaičiuoti bei mokėti, socialinei paramai mokiniams ir kitoms sritims.</w:t>
      </w:r>
      <w:r w:rsidR="00CA14C4">
        <w:rPr>
          <w:lang w:val="lt-LT"/>
        </w:rPr>
        <w:t xml:space="preserve"> 201</w:t>
      </w:r>
      <w:r w:rsidR="00117C34">
        <w:rPr>
          <w:lang w:val="lt-LT"/>
        </w:rPr>
        <w:t>1</w:t>
      </w:r>
      <w:r w:rsidR="00CA14C4">
        <w:rPr>
          <w:lang w:val="lt-LT"/>
        </w:rPr>
        <w:t xml:space="preserve"> m. </w:t>
      </w:r>
      <w:r w:rsidR="00117C34">
        <w:rPr>
          <w:lang w:val="lt-LT"/>
        </w:rPr>
        <w:t>š</w:t>
      </w:r>
      <w:r w:rsidR="00CA14C4">
        <w:rPr>
          <w:lang w:val="lt-LT"/>
        </w:rPr>
        <w:t xml:space="preserve">i dalis padidėjo net 65 proc. (žr. </w:t>
      </w:r>
      <w:r w:rsidR="00B4194F">
        <w:rPr>
          <w:lang w:val="lt-LT"/>
        </w:rPr>
        <w:t xml:space="preserve">3 </w:t>
      </w:r>
      <w:r w:rsidR="00CA14C4">
        <w:rPr>
          <w:lang w:val="lt-LT"/>
        </w:rPr>
        <w:lastRenderedPageBreak/>
        <w:t>priedą)</w:t>
      </w:r>
      <w:r w:rsidR="00117C34">
        <w:rPr>
          <w:lang w:val="lt-LT"/>
        </w:rPr>
        <w:t xml:space="preserve"> ir tai galėjo lemti apskričių viršininkų administracijų panaikinimas ir jų funkcijų perskirstymas kitoms institucijoms.</w:t>
      </w:r>
    </w:p>
    <w:p w:rsidR="00117C34" w:rsidRDefault="000E529C" w:rsidP="008F450C">
      <w:pPr>
        <w:spacing w:line="360" w:lineRule="auto"/>
        <w:jc w:val="both"/>
        <w:rPr>
          <w:lang w:val="lt-LT"/>
        </w:rPr>
      </w:pPr>
      <w:r>
        <w:rPr>
          <w:lang w:val="lt-LT"/>
        </w:rPr>
        <w:tab/>
        <w:t xml:space="preserve">Kita sritis, kuriai teikiama specialioji tikslinė dotacija – valstybės investicijų programoje numatyti projektai, kurių įgyvendinimui savivaldybė įsipareigojo skirti tam tikrą lėšų dalį. </w:t>
      </w:r>
      <w:r>
        <w:t>2009 -2010 m. skiriamos savivaldybėms lėšos sumažėjo atitinkamai 46,8 proc. ir 97,7 proc. To prie</w:t>
      </w:r>
      <w:r>
        <w:rPr>
          <w:lang w:val="lt-LT"/>
        </w:rPr>
        <w:t>žastis buvo ekonominė krizė, dėl kurios</w:t>
      </w:r>
      <w:r w:rsidR="008F450C">
        <w:rPr>
          <w:lang w:val="lt-LT"/>
        </w:rPr>
        <w:t xml:space="preserve"> </w:t>
      </w:r>
      <w:r>
        <w:rPr>
          <w:lang w:val="lt-LT"/>
        </w:rPr>
        <w:t>investicinių projektų finansavimo lėšos buvo suma</w:t>
      </w:r>
      <w:r w:rsidR="00A005F3">
        <w:rPr>
          <w:lang w:val="lt-LT"/>
        </w:rPr>
        <w:t xml:space="preserve">žintos arba jų visai atsisakyta, tačiau kylant ekonomikos lygiui investicijos </w:t>
      </w:r>
      <w:r w:rsidR="00A005F3">
        <w:t xml:space="preserve">2011 ir 2012 m. </w:t>
      </w:r>
      <w:r w:rsidR="00A005F3">
        <w:rPr>
          <w:lang w:val="lt-LT"/>
        </w:rPr>
        <w:t>didėjo.</w:t>
      </w:r>
    </w:p>
    <w:p w:rsidR="00BA57FF" w:rsidRDefault="00BA57FF" w:rsidP="00BA57FF">
      <w:pPr>
        <w:spacing w:line="360" w:lineRule="auto"/>
        <w:ind w:firstLine="720"/>
        <w:jc w:val="both"/>
        <w:rPr>
          <w:lang w:val="lt-LT"/>
        </w:rPr>
      </w:pPr>
      <w:r w:rsidRPr="00BA57FF">
        <w:rPr>
          <w:i/>
          <w:lang w:val="lt-LT"/>
        </w:rPr>
        <w:t>Bendrosios dotacijos kompensacijos</w:t>
      </w:r>
      <w:r>
        <w:rPr>
          <w:lang w:val="lt-LT"/>
        </w:rPr>
        <w:t xml:space="preserve"> buvo skirtos Valstybės tarnybos įstatymo numatytų tarnautojų pareiginiams atlyginimams didinti ir mažėjančioms savivaldybių biudžeto pajamoms kompensuoti. Šios kompensacijos reikalingos norint paremti silpnesnes savivaldybes – išlyginant vis didėjančius pajamų ir išlaidų skirtumus. </w:t>
      </w:r>
    </w:p>
    <w:p w:rsidR="00BA57FF" w:rsidRPr="00BA57FF" w:rsidRDefault="00BA57FF" w:rsidP="00BA57FF">
      <w:pPr>
        <w:spacing w:line="360" w:lineRule="auto"/>
        <w:ind w:firstLine="720"/>
        <w:jc w:val="both"/>
      </w:pPr>
      <w:r>
        <w:rPr>
          <w:lang w:val="lt-LT"/>
        </w:rPr>
        <w:t xml:space="preserve">Dažnai siūloma visiškai atsisakyti valstybės dotavimo, o tai turėtų padidinti savivaldybių savarankiškumą, tačiau jį panaikinus, kai kurioms savivaldybėms iškiltų grėsmė atsidurti ties bankroto riba. Norint mažinti ekonomiškai silpnesnių savivaldybių priklausomybę nuo valstybinio dotavimo, reikėtų skatinti regionų plėtrą. Be to, pajamų atskaitymai į valstybės biudžetą riboja savivaldybių savarankiškumą taip pat, kaip ir dotavimo sistema (Civinskas, Tolvaišis, </w:t>
      </w:r>
      <w:r>
        <w:t>2006).</w:t>
      </w:r>
    </w:p>
    <w:p w:rsidR="00BA57FF" w:rsidRPr="000E529C" w:rsidRDefault="00BA57FF" w:rsidP="00BA57FF">
      <w:pPr>
        <w:spacing w:line="360" w:lineRule="auto"/>
        <w:ind w:firstLine="720"/>
        <w:jc w:val="both"/>
        <w:rPr>
          <w:lang w:val="lt-LT"/>
        </w:rPr>
      </w:pPr>
    </w:p>
    <w:p w:rsidR="00F734DC" w:rsidRDefault="009D1972" w:rsidP="00DB4A67">
      <w:pPr>
        <w:jc w:val="center"/>
        <w:rPr>
          <w:b/>
        </w:rPr>
      </w:pPr>
      <w:r>
        <w:rPr>
          <w:b/>
          <w:noProof/>
        </w:rPr>
        <w:drawing>
          <wp:inline distT="0" distB="0" distL="0" distR="0" wp14:anchorId="1077C461" wp14:editId="5DB589D0">
            <wp:extent cx="5781675" cy="3076575"/>
            <wp:effectExtent l="0" t="0" r="9525" b="9525"/>
            <wp:docPr id="266" name="Chart 266"/>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rsidR="00F734DC" w:rsidRDefault="00F734DC" w:rsidP="00DB4A67">
      <w:pPr>
        <w:jc w:val="center"/>
        <w:rPr>
          <w:b/>
        </w:rPr>
      </w:pPr>
    </w:p>
    <w:p w:rsidR="009D1972" w:rsidRDefault="009D1972" w:rsidP="009D1972">
      <w:pPr>
        <w:rPr>
          <w:sz w:val="20"/>
          <w:szCs w:val="20"/>
          <w:lang w:val="lt-LT"/>
        </w:rPr>
      </w:pPr>
      <w:r w:rsidRPr="00936E98">
        <w:rPr>
          <w:b/>
          <w:sz w:val="20"/>
          <w:szCs w:val="20"/>
          <w:lang w:val="lt-LT"/>
        </w:rPr>
        <w:t>Šaltinis:</w:t>
      </w:r>
      <w:r w:rsidRPr="009D1972">
        <w:rPr>
          <w:sz w:val="20"/>
          <w:szCs w:val="20"/>
          <w:lang w:val="lt-LT"/>
        </w:rPr>
        <w:t xml:space="preserve"> Finansų ministerijos duomenys</w:t>
      </w:r>
    </w:p>
    <w:p w:rsidR="009D1972" w:rsidRPr="009D1972" w:rsidRDefault="009D1972" w:rsidP="009D1972">
      <w:pPr>
        <w:rPr>
          <w:sz w:val="20"/>
          <w:szCs w:val="20"/>
          <w:lang w:val="lt-LT"/>
        </w:rPr>
      </w:pPr>
    </w:p>
    <w:p w:rsidR="0029491B" w:rsidRPr="00B4194F" w:rsidRDefault="00313B73" w:rsidP="00B4194F">
      <w:pPr>
        <w:pStyle w:val="Caption"/>
        <w:ind w:hanging="851"/>
      </w:pPr>
      <w:bookmarkStart w:id="45" w:name="_Toc385239367"/>
      <w:proofErr w:type="gramStart"/>
      <w:r>
        <w:t>13 pav.</w:t>
      </w:r>
      <w:proofErr w:type="gramEnd"/>
      <w:r>
        <w:t xml:space="preserve"> </w:t>
      </w:r>
      <w:r w:rsidR="009D1972">
        <w:t>Specialiųjų tikslinių ir bendrųjų dotacijų kompensacijų kitimas 2008-2012 m., mln. Lt</w:t>
      </w:r>
      <w:bookmarkEnd w:id="45"/>
    </w:p>
    <w:p w:rsidR="00920201" w:rsidRDefault="00920201" w:rsidP="009D1972">
      <w:pPr>
        <w:spacing w:line="360" w:lineRule="auto"/>
        <w:jc w:val="both"/>
        <w:rPr>
          <w:lang w:val="lt-LT"/>
        </w:rPr>
      </w:pPr>
      <w:r>
        <w:rPr>
          <w:b/>
        </w:rPr>
        <w:lastRenderedPageBreak/>
        <w:tab/>
      </w:r>
      <w:r w:rsidRPr="00920201">
        <w:t>Analizuojamu laikotarpiu</w:t>
      </w:r>
      <w:r>
        <w:t xml:space="preserve"> did</w:t>
      </w:r>
      <w:r>
        <w:rPr>
          <w:lang w:val="lt-LT"/>
        </w:rPr>
        <w:t>žiausią savivaldybių biudžetų</w:t>
      </w:r>
      <w:r w:rsidR="00D328F6">
        <w:rPr>
          <w:lang w:val="lt-LT"/>
        </w:rPr>
        <w:t xml:space="preserve"> mokestinių pajamų </w:t>
      </w:r>
      <w:proofErr w:type="gramStart"/>
      <w:r w:rsidR="00D328F6">
        <w:rPr>
          <w:lang w:val="lt-LT"/>
        </w:rPr>
        <w:t>dalį</w:t>
      </w:r>
      <w:proofErr w:type="gramEnd"/>
      <w:r w:rsidR="00D328F6">
        <w:rPr>
          <w:lang w:val="lt-LT"/>
        </w:rPr>
        <w:t xml:space="preserve"> sudarė g</w:t>
      </w:r>
      <w:r>
        <w:rPr>
          <w:lang w:val="lt-LT"/>
        </w:rPr>
        <w:t>yventojų</w:t>
      </w:r>
      <w:r w:rsidR="0029491B">
        <w:rPr>
          <w:lang w:val="lt-LT"/>
        </w:rPr>
        <w:t xml:space="preserve"> pajamų mokestis (virš </w:t>
      </w:r>
      <w:r w:rsidR="0029491B">
        <w:t>80 proc.) (</w:t>
      </w:r>
      <w:r w:rsidR="0029491B">
        <w:rPr>
          <w:lang w:val="lt-LT"/>
        </w:rPr>
        <w:t>žr.</w:t>
      </w:r>
      <w:r w:rsidR="00313B73">
        <w:rPr>
          <w:lang w:val="lt-LT"/>
        </w:rPr>
        <w:t xml:space="preserve"> 14</w:t>
      </w:r>
      <w:r w:rsidR="0029491B">
        <w:rPr>
          <w:lang w:val="lt-LT"/>
        </w:rPr>
        <w:t xml:space="preserve"> pav.)</w:t>
      </w:r>
      <w:r w:rsidR="0029491B">
        <w:t xml:space="preserve">, </w:t>
      </w:r>
      <w:r w:rsidR="00D328F6">
        <w:rPr>
          <w:lang w:val="lt-LT"/>
        </w:rPr>
        <w:t>todėl g</w:t>
      </w:r>
      <w:r w:rsidR="0029491B">
        <w:rPr>
          <w:lang w:val="lt-LT"/>
        </w:rPr>
        <w:t xml:space="preserve">alime teigti, kad nuo jo kaitos </w:t>
      </w:r>
      <w:r w:rsidR="00D328F6">
        <w:rPr>
          <w:lang w:val="lt-LT"/>
        </w:rPr>
        <w:t>priklauso</w:t>
      </w:r>
      <w:r w:rsidR="00612E3D">
        <w:rPr>
          <w:lang w:val="lt-LT"/>
        </w:rPr>
        <w:t xml:space="preserve"> </w:t>
      </w:r>
      <w:r w:rsidR="00D328F6">
        <w:rPr>
          <w:lang w:val="lt-LT"/>
        </w:rPr>
        <w:t>ir mokestinių pajamų surinkimas</w:t>
      </w:r>
      <w:r w:rsidR="00612E3D">
        <w:rPr>
          <w:lang w:val="lt-LT"/>
        </w:rPr>
        <w:t>.</w:t>
      </w:r>
    </w:p>
    <w:p w:rsidR="00D87419" w:rsidRDefault="00D87419" w:rsidP="009D1972">
      <w:pPr>
        <w:spacing w:line="360" w:lineRule="auto"/>
        <w:ind w:firstLine="720"/>
        <w:jc w:val="both"/>
        <w:rPr>
          <w:lang w:val="lt-LT"/>
        </w:rPr>
      </w:pPr>
      <w:r>
        <w:rPr>
          <w:lang w:val="lt-LT"/>
        </w:rPr>
        <w:t>Savivaldybių mokestines pajamas sudarantis gyventojų pajamų mokestis, kaip minėta, yra dalijamasis mokestis, kurio mokesčio bazės, tarifo negali kontroliuoti vietos valdžia.</w:t>
      </w:r>
    </w:p>
    <w:p w:rsidR="00D87419" w:rsidRDefault="00D87419" w:rsidP="009D1972">
      <w:pPr>
        <w:spacing w:line="360" w:lineRule="auto"/>
        <w:ind w:firstLine="720"/>
        <w:jc w:val="both"/>
      </w:pPr>
      <w:r>
        <w:rPr>
          <w:lang w:val="lt-LT"/>
        </w:rPr>
        <w:t xml:space="preserve">Vertinant gyventojų pajamų mokesčio pokyčius, analizuojamu laikotarpiu nustatyta, kad kasmet </w:t>
      </w:r>
      <w:r w:rsidR="00FB05A6">
        <w:rPr>
          <w:lang w:val="lt-LT"/>
        </w:rPr>
        <w:t xml:space="preserve">šio mokesčio surinkimas mažėjo (žr. </w:t>
      </w:r>
      <w:r w:rsidR="00313B73">
        <w:rPr>
          <w:lang w:val="lt-LT"/>
        </w:rPr>
        <w:t xml:space="preserve">14 </w:t>
      </w:r>
      <w:r w:rsidR="00FB05A6">
        <w:rPr>
          <w:lang w:val="lt-LT"/>
        </w:rPr>
        <w:t xml:space="preserve">pav.). Tai galėjo lemti ekonominė krizė, dėl kurios sumažėjo dirbančių gyventojų skaičius ir vidutinis bruto darbo užmokestis. Taip pat šį sumažėjimą iš dalies galėjo lemti ir GPM tarifo sumažinimas nuo </w:t>
      </w:r>
      <w:r w:rsidR="00FB05A6">
        <w:t>24 iki 15 proc.</w:t>
      </w:r>
    </w:p>
    <w:p w:rsidR="00936E98" w:rsidRPr="00FB05A6" w:rsidRDefault="00936E98" w:rsidP="009D1972">
      <w:pPr>
        <w:spacing w:line="360" w:lineRule="auto"/>
        <w:ind w:firstLine="720"/>
        <w:jc w:val="both"/>
      </w:pPr>
    </w:p>
    <w:p w:rsidR="00DB4A67" w:rsidRDefault="009D1972" w:rsidP="00DB4A67">
      <w:pPr>
        <w:tabs>
          <w:tab w:val="center" w:pos="4770"/>
        </w:tabs>
        <w:autoSpaceDE w:val="0"/>
        <w:autoSpaceDN w:val="0"/>
        <w:adjustRightInd w:val="0"/>
        <w:spacing w:line="360" w:lineRule="auto"/>
        <w:jc w:val="center"/>
        <w:rPr>
          <w:lang w:val="lt-LT"/>
        </w:rPr>
      </w:pPr>
      <w:r>
        <w:rPr>
          <w:noProof/>
        </w:rPr>
        <w:drawing>
          <wp:inline distT="0" distB="0" distL="0" distR="0" wp14:anchorId="1874E2D5" wp14:editId="572EB8EE">
            <wp:extent cx="5181600" cy="3248025"/>
            <wp:effectExtent l="0" t="0" r="0" b="0"/>
            <wp:docPr id="1"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rsidR="00D328F6" w:rsidRPr="00936E98" w:rsidRDefault="00936E98" w:rsidP="00936E98">
      <w:pPr>
        <w:tabs>
          <w:tab w:val="center" w:pos="4770"/>
        </w:tabs>
        <w:autoSpaceDE w:val="0"/>
        <w:autoSpaceDN w:val="0"/>
        <w:adjustRightInd w:val="0"/>
        <w:spacing w:line="360" w:lineRule="auto"/>
        <w:jc w:val="both"/>
        <w:rPr>
          <w:sz w:val="20"/>
          <w:szCs w:val="20"/>
          <w:lang w:val="lt-LT"/>
        </w:rPr>
      </w:pPr>
      <w:r w:rsidRPr="00936E98">
        <w:rPr>
          <w:b/>
          <w:sz w:val="20"/>
          <w:szCs w:val="20"/>
          <w:lang w:val="lt-LT"/>
        </w:rPr>
        <w:t>Šaltinis:</w:t>
      </w:r>
      <w:r w:rsidRPr="00DE45AC">
        <w:rPr>
          <w:sz w:val="20"/>
          <w:szCs w:val="20"/>
          <w:lang w:val="lt-LT"/>
        </w:rPr>
        <w:t xml:space="preserve"> </w:t>
      </w:r>
      <w:r>
        <w:rPr>
          <w:sz w:val="20"/>
          <w:szCs w:val="20"/>
          <w:lang w:val="lt-LT"/>
        </w:rPr>
        <w:t>Finansų ministerijos duomenys</w:t>
      </w:r>
    </w:p>
    <w:p w:rsidR="00923114" w:rsidRDefault="00D858EA" w:rsidP="00A204BB">
      <w:pPr>
        <w:pStyle w:val="Caption"/>
        <w:ind w:hanging="851"/>
      </w:pPr>
      <w:bookmarkStart w:id="46" w:name="_Toc385239368"/>
      <w:r>
        <w:t>14</w:t>
      </w:r>
      <w:r w:rsidR="00313B73">
        <w:t xml:space="preserve"> pav. </w:t>
      </w:r>
      <w:r w:rsidR="00923114" w:rsidRPr="00936E98">
        <w:t>Savivaldybių biudžetų mokestinių dalių kitimas</w:t>
      </w:r>
      <w:r w:rsidR="00936E98">
        <w:t xml:space="preserve"> 2008-2012 m., mln. Lt</w:t>
      </w:r>
      <w:bookmarkEnd w:id="46"/>
    </w:p>
    <w:p w:rsidR="00313B73" w:rsidRPr="00936E98" w:rsidRDefault="00313B73" w:rsidP="00DB4A67">
      <w:pPr>
        <w:tabs>
          <w:tab w:val="center" w:pos="4770"/>
        </w:tabs>
        <w:autoSpaceDE w:val="0"/>
        <w:autoSpaceDN w:val="0"/>
        <w:adjustRightInd w:val="0"/>
        <w:spacing w:line="360" w:lineRule="auto"/>
        <w:jc w:val="center"/>
        <w:rPr>
          <w:b/>
        </w:rPr>
      </w:pPr>
    </w:p>
    <w:p w:rsidR="00F201DE" w:rsidRPr="00C83414" w:rsidRDefault="00F201DE" w:rsidP="00C83414">
      <w:pPr>
        <w:spacing w:line="360" w:lineRule="auto"/>
        <w:ind w:firstLine="720"/>
        <w:jc w:val="both"/>
      </w:pPr>
      <w:r w:rsidRPr="00C83414">
        <w:t>Nagrinėjant savivaldybių biudžetų mokestinių pajamų santykį su valstybės biudžeto mokestinėmis pajamomis,</w:t>
      </w:r>
      <w:r w:rsidR="00C83414" w:rsidRPr="00C83414">
        <w:t xml:space="preserve"> </w:t>
      </w:r>
      <w:r w:rsidRPr="00C83414">
        <w:t xml:space="preserve">matyti, kad nagrinėjamu laikotarpiu daugiau nei 80 proc. mokestinių pajamų </w:t>
      </w:r>
      <w:r w:rsidR="00C83414" w:rsidRPr="00C83414">
        <w:t xml:space="preserve">buvo </w:t>
      </w:r>
      <w:r w:rsidRPr="00C83414">
        <w:t>perskirstyt</w:t>
      </w:r>
      <w:r w:rsidR="00D858EA">
        <w:t>a per valstybės biudžetą (žr. 15</w:t>
      </w:r>
      <w:r w:rsidR="00C83414" w:rsidRPr="00C83414">
        <w:t xml:space="preserve"> pav.). Analizuojamu laikotarpiu </w:t>
      </w:r>
      <w:r w:rsidRPr="00C83414">
        <w:t xml:space="preserve">savivaldybių biudžetų mokestinių pajamų </w:t>
      </w:r>
      <w:r w:rsidR="00C83414" w:rsidRPr="00C83414">
        <w:t xml:space="preserve">dalis </w:t>
      </w:r>
      <w:r w:rsidRPr="00C83414">
        <w:t>nacionaliniame biud</w:t>
      </w:r>
      <w:r w:rsidR="00C83414" w:rsidRPr="00C83414">
        <w:t>žete tai padidėja, tai pamažėja, tačiau pokytis toks nežymus, kad</w:t>
      </w:r>
      <w:r w:rsidRPr="00C83414">
        <w:t xml:space="preserve"> įtakos fiskalinės decentralizacijos požiūriui neturi. Aiškiai matyti tendencija, kad Lietuvoje būdinga fiskalinė centralizacija, nes priešingu atveju d</w:t>
      </w:r>
      <w:r w:rsidR="00C83414" w:rsidRPr="00C83414">
        <w:t xml:space="preserve">idesnis mokestinių pajamų lygis </w:t>
      </w:r>
      <w:r w:rsidRPr="00C83414">
        <w:t xml:space="preserve">rodytų ir didesnę fiskalinę </w:t>
      </w:r>
      <w:r w:rsidRPr="00C83414">
        <w:lastRenderedPageBreak/>
        <w:t>decentra</w:t>
      </w:r>
      <w:r w:rsidR="00C83414" w:rsidRPr="00C83414">
        <w:t xml:space="preserve">lizaciją šalyje (Davulis 2006). </w:t>
      </w:r>
      <w:r w:rsidRPr="00C83414">
        <w:t>Lietuvoje didžiąją dal</w:t>
      </w:r>
      <w:r w:rsidR="002C1897">
        <w:t>į mokestinių pajamų perskirst</w:t>
      </w:r>
      <w:r w:rsidR="00C83414" w:rsidRPr="00C83414">
        <w:t>oma</w:t>
      </w:r>
      <w:r w:rsidRPr="00C83414">
        <w:t xml:space="preserve"> per valstybės biudžetą</w:t>
      </w:r>
      <w:r w:rsidR="00C83414" w:rsidRPr="00C83414">
        <w:t>.</w:t>
      </w:r>
    </w:p>
    <w:p w:rsidR="00C248ED" w:rsidRDefault="00880BC7" w:rsidP="00BB2142">
      <w:pPr>
        <w:tabs>
          <w:tab w:val="center" w:pos="4770"/>
        </w:tabs>
        <w:autoSpaceDE w:val="0"/>
        <w:autoSpaceDN w:val="0"/>
        <w:adjustRightInd w:val="0"/>
        <w:spacing w:line="360" w:lineRule="auto"/>
        <w:jc w:val="both"/>
        <w:rPr>
          <w:lang w:val="lt-LT"/>
        </w:rPr>
      </w:pPr>
      <w:r>
        <w:rPr>
          <w:noProof/>
        </w:rPr>
        <w:drawing>
          <wp:inline distT="0" distB="0" distL="0" distR="0" wp14:anchorId="36795B1A" wp14:editId="68A8C9B6">
            <wp:extent cx="5495925" cy="2838450"/>
            <wp:effectExtent l="0" t="0" r="0" b="0"/>
            <wp:docPr id="10" name="Char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rsidR="00C83414" w:rsidRDefault="00C83414" w:rsidP="00C83414">
      <w:pPr>
        <w:tabs>
          <w:tab w:val="center" w:pos="4770"/>
        </w:tabs>
        <w:autoSpaceDE w:val="0"/>
        <w:autoSpaceDN w:val="0"/>
        <w:adjustRightInd w:val="0"/>
        <w:spacing w:line="360" w:lineRule="auto"/>
        <w:jc w:val="both"/>
        <w:rPr>
          <w:sz w:val="20"/>
          <w:szCs w:val="20"/>
          <w:lang w:val="lt-LT"/>
        </w:rPr>
      </w:pPr>
      <w:r w:rsidRPr="00313B73">
        <w:rPr>
          <w:b/>
          <w:sz w:val="20"/>
          <w:szCs w:val="20"/>
          <w:lang w:val="lt-LT"/>
        </w:rPr>
        <w:t>Šaltinis</w:t>
      </w:r>
      <w:r w:rsidRPr="00DE45AC">
        <w:rPr>
          <w:sz w:val="20"/>
          <w:szCs w:val="20"/>
          <w:lang w:val="lt-LT"/>
        </w:rPr>
        <w:t xml:space="preserve">: </w:t>
      </w:r>
      <w:r>
        <w:rPr>
          <w:sz w:val="20"/>
          <w:szCs w:val="20"/>
          <w:lang w:val="lt-LT"/>
        </w:rPr>
        <w:t>Finansų ministerijos duomenys</w:t>
      </w:r>
    </w:p>
    <w:p w:rsidR="00E47ECC" w:rsidRPr="00E47ECC" w:rsidRDefault="00313B73" w:rsidP="00A204BB">
      <w:pPr>
        <w:pStyle w:val="Caption"/>
        <w:ind w:hanging="851"/>
      </w:pPr>
      <w:bookmarkStart w:id="47" w:name="_Toc385239369"/>
      <w:r>
        <w:t>1</w:t>
      </w:r>
      <w:r w:rsidR="00D858EA">
        <w:t>5</w:t>
      </w:r>
      <w:r w:rsidR="00E47ECC" w:rsidRPr="00E47ECC">
        <w:t xml:space="preserve"> pav. Valstybės ir savivaldybių biudžetų mokestinių pajamų dalies kitimas nacionaliniame</w:t>
      </w:r>
      <w:bookmarkEnd w:id="47"/>
    </w:p>
    <w:p w:rsidR="00E47ECC" w:rsidRDefault="00E47ECC" w:rsidP="00A204BB">
      <w:pPr>
        <w:pStyle w:val="Caption"/>
        <w:ind w:hanging="851"/>
      </w:pPr>
      <w:bookmarkStart w:id="48" w:name="_Toc385239370"/>
      <w:r w:rsidRPr="00E47ECC">
        <w:t>biudžete 2008–2012 m., proc</w:t>
      </w:r>
      <w:bookmarkEnd w:id="48"/>
    </w:p>
    <w:p w:rsidR="00F77A9A" w:rsidRDefault="00F77A9A" w:rsidP="00E47ECC">
      <w:pPr>
        <w:jc w:val="center"/>
        <w:rPr>
          <w:b/>
        </w:rPr>
      </w:pPr>
    </w:p>
    <w:p w:rsidR="00F77A9A" w:rsidRPr="00B85001" w:rsidRDefault="00F77A9A" w:rsidP="00D11552">
      <w:pPr>
        <w:spacing w:line="360" w:lineRule="auto"/>
        <w:ind w:firstLine="720"/>
        <w:jc w:val="both"/>
      </w:pPr>
      <w:r w:rsidRPr="00B85001">
        <w:t>Savivaldybės turi ribotus savus finansinius išteklius. Didžioji dalis savų finansinių išteklių yra gaunama iš gyventojų pajamų mokesčio ir turto mokesčio. Savi finan</w:t>
      </w:r>
      <w:r w:rsidR="00B85001" w:rsidRPr="00B85001">
        <w:t xml:space="preserve">siniai </w:t>
      </w:r>
      <w:r w:rsidRPr="00B85001">
        <w:t>ištekliai, kuriais savivaldybės gali laisvai disponuoti, sudaro tik</w:t>
      </w:r>
      <w:r w:rsidR="00B85001" w:rsidRPr="00B85001">
        <w:t xml:space="preserve"> </w:t>
      </w:r>
      <w:r w:rsidRPr="00B85001">
        <w:t>nedidel</w:t>
      </w:r>
      <w:r w:rsidR="00B85001" w:rsidRPr="00B85001">
        <w:t>ę</w:t>
      </w:r>
      <w:r w:rsidRPr="00B85001">
        <w:t xml:space="preserve"> dal</w:t>
      </w:r>
      <w:r w:rsidR="00B85001" w:rsidRPr="00B85001">
        <w:t>į</w:t>
      </w:r>
      <w:r w:rsidRPr="00B85001">
        <w:t xml:space="preserve"> jų biudžeto. Didžioji dalis savivaldybių biudžeto yra</w:t>
      </w:r>
      <w:r w:rsidR="00B85001" w:rsidRPr="00B85001">
        <w:t xml:space="preserve"> </w:t>
      </w:r>
      <w:r w:rsidRPr="00B85001">
        <w:t>formuojama iš valstybės dotacijų, skirtų valstybinėms (perduotoms</w:t>
      </w:r>
      <w:r w:rsidR="00B85001" w:rsidRPr="00B85001">
        <w:t xml:space="preserve"> </w:t>
      </w:r>
      <w:r w:rsidRPr="00B85001">
        <w:t>savivaldybėms) funkcijoms atlikti. Esant tokiai fiskalinei sistemai,</w:t>
      </w:r>
      <w:r w:rsidR="00B85001" w:rsidRPr="00B85001">
        <w:t xml:space="preserve"> </w:t>
      </w:r>
      <w:r w:rsidRPr="00B85001">
        <w:t>savivaldybės turi labai ribotas galimyb</w:t>
      </w:r>
      <w:r w:rsidR="00B85001" w:rsidRPr="00B85001">
        <w:t>es aktyviai dalyvauti savo teri</w:t>
      </w:r>
      <w:r w:rsidRPr="00B85001">
        <w:t>torijos ekonominėje ir socialinėje plėtroje. Naujų investuotojų</w:t>
      </w:r>
      <w:r w:rsidR="00B85001" w:rsidRPr="00B85001">
        <w:t xml:space="preserve"> pritraukimas,sudarant </w:t>
      </w:r>
      <w:r w:rsidRPr="00B85001">
        <w:t>jiems palankias sąlygas, yra la</w:t>
      </w:r>
      <w:r w:rsidR="00B85001" w:rsidRPr="00B85001">
        <w:t>bai ribotas ir vyk</w:t>
      </w:r>
      <w:r w:rsidRPr="00B85001">
        <w:t>domas savų ir taip menkų finansinių išteklių sąskait</w:t>
      </w:r>
      <w:r w:rsidR="00B85001">
        <w:t>a.</w:t>
      </w:r>
    </w:p>
    <w:p w:rsidR="00C248ED" w:rsidRDefault="00C248ED" w:rsidP="00BB2142">
      <w:pPr>
        <w:tabs>
          <w:tab w:val="center" w:pos="4770"/>
        </w:tabs>
        <w:autoSpaceDE w:val="0"/>
        <w:autoSpaceDN w:val="0"/>
        <w:adjustRightInd w:val="0"/>
        <w:spacing w:line="360" w:lineRule="auto"/>
        <w:jc w:val="both"/>
        <w:rPr>
          <w:lang w:val="lt-LT"/>
        </w:rPr>
      </w:pPr>
    </w:p>
    <w:p w:rsidR="0058138C" w:rsidRDefault="00684009" w:rsidP="00A27A9E">
      <w:pPr>
        <w:pStyle w:val="Heading3"/>
        <w:rPr>
          <w:lang w:val="lt-LT"/>
        </w:rPr>
      </w:pPr>
      <w:bookmarkStart w:id="49" w:name="_Toc385249536"/>
      <w:r>
        <w:rPr>
          <w:lang w:val="lt-LT"/>
        </w:rPr>
        <w:t>3.2</w:t>
      </w:r>
      <w:r w:rsidR="00A27A9E">
        <w:rPr>
          <w:lang w:val="lt-LT"/>
        </w:rPr>
        <w:t>.</w:t>
      </w:r>
      <w:r w:rsidR="00A27A9E">
        <w:t xml:space="preserve">3. </w:t>
      </w:r>
      <w:r w:rsidR="00885B52" w:rsidRPr="00885B52">
        <w:rPr>
          <w:lang w:val="lt-LT"/>
        </w:rPr>
        <w:t>Savivaldybių įsiskolinimų vertinimas</w:t>
      </w:r>
      <w:bookmarkEnd w:id="49"/>
      <w:r w:rsidR="0058138C">
        <w:rPr>
          <w:lang w:val="lt-LT"/>
        </w:rPr>
        <w:t xml:space="preserve"> </w:t>
      </w:r>
    </w:p>
    <w:p w:rsidR="0058138C" w:rsidRDefault="0058138C" w:rsidP="0058138C">
      <w:pPr>
        <w:tabs>
          <w:tab w:val="center" w:pos="4770"/>
        </w:tabs>
        <w:autoSpaceDE w:val="0"/>
        <w:autoSpaceDN w:val="0"/>
        <w:adjustRightInd w:val="0"/>
        <w:spacing w:line="360" w:lineRule="auto"/>
        <w:rPr>
          <w:b/>
          <w:lang w:val="lt-LT"/>
        </w:rPr>
      </w:pPr>
    </w:p>
    <w:p w:rsidR="00885B52" w:rsidRDefault="0058138C" w:rsidP="00885B52">
      <w:pPr>
        <w:tabs>
          <w:tab w:val="center" w:pos="4770"/>
        </w:tabs>
        <w:autoSpaceDE w:val="0"/>
        <w:autoSpaceDN w:val="0"/>
        <w:adjustRightInd w:val="0"/>
        <w:spacing w:line="360" w:lineRule="auto"/>
        <w:jc w:val="both"/>
        <w:rPr>
          <w:lang w:val="lt-LT"/>
        </w:rPr>
      </w:pPr>
      <w:r>
        <w:rPr>
          <w:b/>
          <w:lang w:val="lt-LT"/>
        </w:rPr>
        <w:tab/>
        <w:t xml:space="preserve">         </w:t>
      </w:r>
      <w:r w:rsidR="00885B52">
        <w:rPr>
          <w:lang w:val="lt-LT"/>
        </w:rPr>
        <w:t xml:space="preserve">Lietuvoje, kaip ir daugelyje Europos šalių, vietos valdžia (savivaldybės) turi galimybę skolintis </w:t>
      </w:r>
      <w:r w:rsidR="003B6DD8">
        <w:rPr>
          <w:lang w:val="lt-LT"/>
        </w:rPr>
        <w:t>pajamų ir išlaidų di</w:t>
      </w:r>
      <w:r w:rsidR="00767D66">
        <w:rPr>
          <w:lang w:val="lt-LT"/>
        </w:rPr>
        <w:t xml:space="preserve">sbalansui mažinti bei įvairioms </w:t>
      </w:r>
      <w:r w:rsidR="00885B52">
        <w:rPr>
          <w:lang w:val="lt-LT"/>
        </w:rPr>
        <w:t>investicijoms finansuoti.</w:t>
      </w:r>
    </w:p>
    <w:p w:rsidR="00B737DF" w:rsidRPr="00CC759C" w:rsidRDefault="00CC759C" w:rsidP="00CC759C">
      <w:pPr>
        <w:tabs>
          <w:tab w:val="center" w:pos="4770"/>
        </w:tabs>
        <w:autoSpaceDE w:val="0"/>
        <w:autoSpaceDN w:val="0"/>
        <w:adjustRightInd w:val="0"/>
        <w:spacing w:line="360" w:lineRule="auto"/>
        <w:jc w:val="both"/>
        <w:rPr>
          <w:lang w:val="lt-LT"/>
        </w:rPr>
      </w:pPr>
      <w:r>
        <w:rPr>
          <w:lang w:val="lt-LT"/>
        </w:rPr>
        <w:t xml:space="preserve">         Analizuojamu laikotarpiu pastebėta, kad valstybės, atitinkamai ir savivaldybių biudžetai buvo deficitiniai. Nuo </w:t>
      </w:r>
      <w:r>
        <w:t>2008 iki 2010 m. valstyb</w:t>
      </w:r>
      <w:r>
        <w:rPr>
          <w:lang w:val="lt-LT"/>
        </w:rPr>
        <w:t xml:space="preserve">ės biudžeto pajamų ir išlaidų atotrūkis tik didėjo, tačiau jau </w:t>
      </w:r>
      <w:r>
        <w:t>2011 ir 2012 m. pajamos augo ir deficitas atitinkamai ma</w:t>
      </w:r>
      <w:r>
        <w:rPr>
          <w:lang w:val="lt-LT"/>
        </w:rPr>
        <w:t xml:space="preserve">žėjo (žr. </w:t>
      </w:r>
      <w:r w:rsidR="00D858EA">
        <w:rPr>
          <w:lang w:val="lt-LT"/>
        </w:rPr>
        <w:t>16</w:t>
      </w:r>
      <w:r w:rsidR="00313B73">
        <w:rPr>
          <w:lang w:val="lt-LT"/>
        </w:rPr>
        <w:t xml:space="preserve"> </w:t>
      </w:r>
      <w:r>
        <w:rPr>
          <w:lang w:val="lt-LT"/>
        </w:rPr>
        <w:t>pav.).</w:t>
      </w:r>
    </w:p>
    <w:p w:rsidR="00553DA9" w:rsidRDefault="00A43242" w:rsidP="00BB2142">
      <w:pPr>
        <w:tabs>
          <w:tab w:val="center" w:pos="4770"/>
        </w:tabs>
        <w:autoSpaceDE w:val="0"/>
        <w:autoSpaceDN w:val="0"/>
        <w:adjustRightInd w:val="0"/>
        <w:spacing w:line="360" w:lineRule="auto"/>
        <w:jc w:val="both"/>
        <w:rPr>
          <w:lang w:val="lt-LT"/>
        </w:rPr>
      </w:pPr>
      <w:r>
        <w:rPr>
          <w:noProof/>
        </w:rPr>
        <w:lastRenderedPageBreak/>
        <w:drawing>
          <wp:inline distT="0" distB="0" distL="0" distR="0" wp14:anchorId="2E4F4015" wp14:editId="315A2DDC">
            <wp:extent cx="5669280" cy="2978331"/>
            <wp:effectExtent l="0" t="0" r="26670" b="1270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313B73" w:rsidRDefault="00313B73" w:rsidP="00313B73">
      <w:pPr>
        <w:tabs>
          <w:tab w:val="center" w:pos="4770"/>
        </w:tabs>
        <w:autoSpaceDE w:val="0"/>
        <w:autoSpaceDN w:val="0"/>
        <w:adjustRightInd w:val="0"/>
        <w:spacing w:line="360" w:lineRule="auto"/>
        <w:jc w:val="both"/>
        <w:rPr>
          <w:lang w:val="lt-LT"/>
        </w:rPr>
      </w:pPr>
      <w:r w:rsidRPr="00EB74BD">
        <w:rPr>
          <w:b/>
          <w:sz w:val="20"/>
          <w:szCs w:val="20"/>
          <w:lang w:val="lt-LT"/>
        </w:rPr>
        <w:t>Šaltinis:</w:t>
      </w:r>
      <w:r w:rsidRPr="00DE45AC">
        <w:rPr>
          <w:sz w:val="20"/>
          <w:szCs w:val="20"/>
          <w:lang w:val="lt-LT"/>
        </w:rPr>
        <w:t xml:space="preserve"> Lietuvos statistikos departamento duomenų bazė</w:t>
      </w:r>
      <w:r>
        <w:rPr>
          <w:sz w:val="20"/>
          <w:szCs w:val="20"/>
          <w:lang w:val="lt-LT"/>
        </w:rPr>
        <w:t>, Finansų ministerijos duomenys</w:t>
      </w:r>
    </w:p>
    <w:p w:rsidR="00521E45" w:rsidRDefault="00D858EA" w:rsidP="00A204BB">
      <w:pPr>
        <w:pStyle w:val="Caption"/>
        <w:ind w:hanging="851"/>
      </w:pPr>
      <w:bookmarkStart w:id="50" w:name="_Toc385239371"/>
      <w:r>
        <w:t>16</w:t>
      </w:r>
      <w:r w:rsidR="00313B73">
        <w:t xml:space="preserve"> pav. </w:t>
      </w:r>
      <w:r w:rsidR="0015507F" w:rsidRPr="00767D66">
        <w:t>Valstybės ir savivaldybių biudžetų pajamų ir išlaidų kitimas 2008-2012 m., mln. Lt</w:t>
      </w:r>
      <w:bookmarkEnd w:id="50"/>
    </w:p>
    <w:p w:rsidR="00D95018" w:rsidRDefault="00D95018" w:rsidP="00553DA9">
      <w:pPr>
        <w:spacing w:line="360" w:lineRule="auto"/>
        <w:ind w:firstLine="720"/>
        <w:jc w:val="both"/>
      </w:pPr>
    </w:p>
    <w:p w:rsidR="00353A6F" w:rsidRDefault="00553DA9" w:rsidP="00A27A9E">
      <w:pPr>
        <w:spacing w:line="360" w:lineRule="auto"/>
        <w:ind w:firstLine="720"/>
        <w:jc w:val="both"/>
        <w:rPr>
          <w:lang w:val="lt-LT"/>
        </w:rPr>
      </w:pPr>
      <w:r w:rsidRPr="006C3B7C">
        <w:t>Jeigu</w:t>
      </w:r>
      <w:r w:rsidRPr="006C3B7C">
        <w:rPr>
          <w:color w:val="FFFFFF"/>
        </w:rPr>
        <w:t>_</w:t>
      </w:r>
      <w:r w:rsidRPr="006C3B7C">
        <w:t xml:space="preserve">valstybės išlaidoms padengti nepakanka biudžeto pajamų, tai </w:t>
      </w:r>
      <w:r w:rsidR="00D95018">
        <w:t>ne tik valstybė, bet ir savivaldybės priverstos</w:t>
      </w:r>
      <w:r w:rsidR="00EE54D9">
        <w:t xml:space="preserve"> skolintis. Nagrinėjamu laikotarpiu valstybės skola augo kasmet</w:t>
      </w:r>
      <w:r w:rsidR="00B51FF7">
        <w:t xml:space="preserve"> -</w:t>
      </w:r>
      <w:r w:rsidR="00EE54D9">
        <w:t xml:space="preserve"> </w:t>
      </w:r>
      <w:r w:rsidR="00B51FF7">
        <w:t xml:space="preserve">2012 m. </w:t>
      </w:r>
      <w:r w:rsidR="007B4FBD">
        <w:t>lyginant su 2008 m. padidėjo 2,6 karto. Tokiam didėjimui įtakos turėjo centrinės valdžios skolos didėjimas – nuo 2008 m. ji i</w:t>
      </w:r>
      <w:r w:rsidR="007B4FBD">
        <w:rPr>
          <w:lang w:val="lt-LT"/>
        </w:rPr>
        <w:t xml:space="preserve">šaugo </w:t>
      </w:r>
      <w:r w:rsidR="007B4FBD">
        <w:t>2,7 karto,</w:t>
      </w:r>
      <w:r w:rsidR="00B51FF7">
        <w:t xml:space="preserve"> o </w:t>
      </w:r>
      <w:r w:rsidR="007B4FBD">
        <w:t>vietinės valdžios</w:t>
      </w:r>
      <w:r w:rsidR="00B51FF7">
        <w:rPr>
          <w:lang w:val="lt-LT"/>
        </w:rPr>
        <w:t xml:space="preserve"> skola </w:t>
      </w:r>
      <w:r w:rsidR="007B4FBD">
        <w:rPr>
          <w:lang w:val="lt-LT"/>
        </w:rPr>
        <w:t>–</w:t>
      </w:r>
      <w:r w:rsidR="00B51FF7">
        <w:rPr>
          <w:lang w:val="lt-LT"/>
        </w:rPr>
        <w:t xml:space="preserve"> </w:t>
      </w:r>
      <w:r w:rsidR="00443EED">
        <w:t xml:space="preserve">1,6 karto (žr. </w:t>
      </w:r>
      <w:r w:rsidR="00D858EA">
        <w:t>17</w:t>
      </w:r>
      <w:r w:rsidR="00313B73">
        <w:t xml:space="preserve"> </w:t>
      </w:r>
      <w:r w:rsidR="00443EED">
        <w:t xml:space="preserve">pav.). </w:t>
      </w:r>
    </w:p>
    <w:p w:rsidR="00E47ECC" w:rsidRDefault="00F86DD9" w:rsidP="00BB2142">
      <w:pPr>
        <w:tabs>
          <w:tab w:val="center" w:pos="4770"/>
        </w:tabs>
        <w:autoSpaceDE w:val="0"/>
        <w:autoSpaceDN w:val="0"/>
        <w:adjustRightInd w:val="0"/>
        <w:spacing w:line="360" w:lineRule="auto"/>
        <w:jc w:val="both"/>
        <w:rPr>
          <w:lang w:val="lt-LT"/>
        </w:rPr>
      </w:pPr>
      <w:r>
        <w:rPr>
          <w:noProof/>
        </w:rPr>
        <w:drawing>
          <wp:inline distT="0" distB="0" distL="0" distR="0" wp14:anchorId="6B9E2EA8" wp14:editId="2E70C5CA">
            <wp:extent cx="6309360" cy="2965269"/>
            <wp:effectExtent l="0" t="0" r="15240" b="2603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rsidR="00F86DD9" w:rsidRDefault="00A037CB" w:rsidP="00BB2142">
      <w:pPr>
        <w:tabs>
          <w:tab w:val="center" w:pos="4770"/>
        </w:tabs>
        <w:autoSpaceDE w:val="0"/>
        <w:autoSpaceDN w:val="0"/>
        <w:adjustRightInd w:val="0"/>
        <w:spacing w:line="360" w:lineRule="auto"/>
        <w:jc w:val="both"/>
        <w:rPr>
          <w:sz w:val="20"/>
          <w:lang w:val="lt-LT"/>
        </w:rPr>
      </w:pPr>
      <w:r w:rsidRPr="00A037CB">
        <w:rPr>
          <w:b/>
          <w:sz w:val="20"/>
          <w:lang w:val="lt-LT"/>
        </w:rPr>
        <w:t>Šaltinis:</w:t>
      </w:r>
      <w:r w:rsidRPr="00A037CB">
        <w:rPr>
          <w:sz w:val="20"/>
          <w:lang w:val="lt-LT"/>
        </w:rPr>
        <w:t xml:space="preserve"> Finansų ministerijos </w:t>
      </w:r>
      <w:r w:rsidR="00F86DD9" w:rsidRPr="00A037CB">
        <w:rPr>
          <w:sz w:val="20"/>
          <w:lang w:val="lt-LT"/>
        </w:rPr>
        <w:t>duomenys</w:t>
      </w:r>
    </w:p>
    <w:p w:rsidR="00A037CB" w:rsidRDefault="00D858EA" w:rsidP="00A204BB">
      <w:pPr>
        <w:pStyle w:val="Caption"/>
        <w:ind w:hanging="851"/>
      </w:pPr>
      <w:bookmarkStart w:id="51" w:name="_Toc385239372"/>
      <w:r>
        <w:t>17</w:t>
      </w:r>
      <w:r w:rsidR="00313B73">
        <w:t xml:space="preserve"> pav. </w:t>
      </w:r>
      <w:r w:rsidR="00A037CB" w:rsidRPr="00A037CB">
        <w:t>Valstybės skola pagal subsektorius 2008-2012 m., mln. Lt</w:t>
      </w:r>
      <w:bookmarkEnd w:id="51"/>
    </w:p>
    <w:p w:rsidR="00443EED" w:rsidRPr="00D41991" w:rsidRDefault="00443EED" w:rsidP="00D41991">
      <w:pPr>
        <w:tabs>
          <w:tab w:val="center" w:pos="4770"/>
        </w:tabs>
        <w:autoSpaceDE w:val="0"/>
        <w:autoSpaceDN w:val="0"/>
        <w:adjustRightInd w:val="0"/>
        <w:spacing w:line="360" w:lineRule="auto"/>
        <w:jc w:val="both"/>
        <w:rPr>
          <w:lang w:val="lt-LT"/>
        </w:rPr>
      </w:pPr>
      <w:r>
        <w:lastRenderedPageBreak/>
        <w:t xml:space="preserve">      Nors socialinių apsaugos fondų skola nuo 2008 m. išaugo net 16 kart</w:t>
      </w:r>
      <w:r>
        <w:rPr>
          <w:lang w:val="lt-LT"/>
        </w:rPr>
        <w:t>ų, tačiau ji sudaro tik 3,</w:t>
      </w:r>
      <w:r w:rsidR="005D7576">
        <w:rPr>
          <w:lang w:val="lt-LT"/>
        </w:rPr>
        <w:t xml:space="preserve">1 </w:t>
      </w:r>
      <w:r>
        <w:rPr>
          <w:lang w:val="lt-LT"/>
        </w:rPr>
        <w:t>proc. visos valstybės skolos (žr.</w:t>
      </w:r>
      <w:r w:rsidR="00D858EA">
        <w:rPr>
          <w:lang w:val="lt-LT"/>
        </w:rPr>
        <w:t xml:space="preserve"> 18</w:t>
      </w:r>
      <w:r>
        <w:rPr>
          <w:lang w:val="lt-LT"/>
        </w:rPr>
        <w:t xml:space="preserve"> </w:t>
      </w:r>
      <w:r w:rsidR="00D41991">
        <w:rPr>
          <w:lang w:val="lt-LT"/>
        </w:rPr>
        <w:t xml:space="preserve">pav.). Vietinės valdžios skola nuo 2008 iki 2010 m. padidėjo 113,8 mln. Lt, tačiau procentinė dalis mažėjo, nes centrinės valdžios skola augo sparčiau. O 2011 ir 2012 m. procentinė vietinės valdžios dalis bendroje valstybės skoloje išliko stabili </w:t>
      </w:r>
      <w:r w:rsidR="00D41991">
        <w:t>4,3 proc. ir tai yra pakankamai ma</w:t>
      </w:r>
      <w:r w:rsidR="00D41991">
        <w:rPr>
          <w:lang w:val="lt-LT"/>
        </w:rPr>
        <w:t>ža lyginant su biudžeto pajamomis ir išlaidomis.</w:t>
      </w:r>
    </w:p>
    <w:p w:rsidR="00443EED" w:rsidRPr="00A037CB" w:rsidRDefault="00443EED" w:rsidP="00443EED">
      <w:pPr>
        <w:tabs>
          <w:tab w:val="center" w:pos="4770"/>
        </w:tabs>
        <w:autoSpaceDE w:val="0"/>
        <w:autoSpaceDN w:val="0"/>
        <w:adjustRightInd w:val="0"/>
        <w:spacing w:line="360" w:lineRule="auto"/>
        <w:rPr>
          <w:b/>
          <w:lang w:val="lt-LT"/>
        </w:rPr>
      </w:pPr>
    </w:p>
    <w:p w:rsidR="00F86DD9" w:rsidRDefault="00A4136A" w:rsidP="00BB2142">
      <w:pPr>
        <w:tabs>
          <w:tab w:val="center" w:pos="4770"/>
        </w:tabs>
        <w:autoSpaceDE w:val="0"/>
        <w:autoSpaceDN w:val="0"/>
        <w:adjustRightInd w:val="0"/>
        <w:spacing w:line="360" w:lineRule="auto"/>
        <w:jc w:val="both"/>
        <w:rPr>
          <w:lang w:val="lt-LT"/>
        </w:rPr>
      </w:pPr>
      <w:r>
        <w:rPr>
          <w:noProof/>
        </w:rPr>
        <w:drawing>
          <wp:inline distT="0" distB="0" distL="0" distR="0" wp14:anchorId="3760994B" wp14:editId="0FE5B3F5">
            <wp:extent cx="5581650" cy="1971675"/>
            <wp:effectExtent l="0" t="0" r="19050" b="9525"/>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rsidR="00C0658F" w:rsidRPr="00C0658F" w:rsidRDefault="00C0658F" w:rsidP="00C0658F">
      <w:pPr>
        <w:tabs>
          <w:tab w:val="center" w:pos="4770"/>
        </w:tabs>
        <w:autoSpaceDE w:val="0"/>
        <w:autoSpaceDN w:val="0"/>
        <w:adjustRightInd w:val="0"/>
        <w:spacing w:line="360" w:lineRule="auto"/>
        <w:jc w:val="both"/>
        <w:rPr>
          <w:lang w:val="lt-LT"/>
        </w:rPr>
      </w:pPr>
      <w:r w:rsidRPr="00C0658F">
        <w:rPr>
          <w:b/>
          <w:lang w:val="lt-LT"/>
        </w:rPr>
        <w:t>Šaltinis:</w:t>
      </w:r>
      <w:r w:rsidRPr="00C0658F">
        <w:rPr>
          <w:lang w:val="lt-LT"/>
        </w:rPr>
        <w:t xml:space="preserve"> </w:t>
      </w:r>
      <w:r w:rsidRPr="00C0658F">
        <w:rPr>
          <w:sz w:val="20"/>
          <w:lang w:val="lt-LT"/>
        </w:rPr>
        <w:t>Finansų ministerijos duomenys</w:t>
      </w:r>
    </w:p>
    <w:p w:rsidR="00313B73" w:rsidRDefault="00D858EA" w:rsidP="00A204BB">
      <w:pPr>
        <w:pStyle w:val="Caption"/>
        <w:ind w:hanging="851"/>
      </w:pPr>
      <w:bookmarkStart w:id="52" w:name="_Toc385239373"/>
      <w:r>
        <w:t>18</w:t>
      </w:r>
      <w:r w:rsidR="00313B73" w:rsidRPr="00313B73">
        <w:t xml:space="preserve"> pav.</w:t>
      </w:r>
      <w:r w:rsidR="00313B73">
        <w:t xml:space="preserve"> </w:t>
      </w:r>
      <w:r w:rsidR="00C0658F" w:rsidRPr="00313B73">
        <w:t>Valstybės subsekt</w:t>
      </w:r>
      <w:r w:rsidR="00653DE1" w:rsidRPr="00313B73">
        <w:t>orių skolos dali</w:t>
      </w:r>
      <w:r w:rsidR="00313B73">
        <w:t>e</w:t>
      </w:r>
      <w:r w:rsidR="00653DE1" w:rsidRPr="00313B73">
        <w:t>s</w:t>
      </w:r>
      <w:r w:rsidR="00313B73">
        <w:t xml:space="preserve"> kitimas</w:t>
      </w:r>
      <w:r w:rsidR="00653DE1" w:rsidRPr="00313B73">
        <w:t xml:space="preserve"> nuo bendros valstybės skolos</w:t>
      </w:r>
      <w:bookmarkEnd w:id="52"/>
      <w:r w:rsidR="00313B73">
        <w:t xml:space="preserve"> </w:t>
      </w:r>
    </w:p>
    <w:p w:rsidR="00C0658F" w:rsidRPr="00313B73" w:rsidRDefault="00C0658F" w:rsidP="00A204BB">
      <w:pPr>
        <w:pStyle w:val="Caption"/>
        <w:ind w:hanging="851"/>
      </w:pPr>
      <w:r w:rsidRPr="00313B73">
        <w:t xml:space="preserve"> </w:t>
      </w:r>
      <w:bookmarkStart w:id="53" w:name="_Toc385239374"/>
      <w:r w:rsidRPr="00313B73">
        <w:t xml:space="preserve">2008-2012 m., </w:t>
      </w:r>
      <w:r w:rsidR="00653DE1" w:rsidRPr="00313B73">
        <w:t>proc.</w:t>
      </w:r>
      <w:bookmarkEnd w:id="53"/>
    </w:p>
    <w:p w:rsidR="00E47ECC" w:rsidRDefault="00E332B4" w:rsidP="00BB2142">
      <w:pPr>
        <w:tabs>
          <w:tab w:val="center" w:pos="4770"/>
        </w:tabs>
        <w:autoSpaceDE w:val="0"/>
        <w:autoSpaceDN w:val="0"/>
        <w:adjustRightInd w:val="0"/>
        <w:spacing w:line="360" w:lineRule="auto"/>
        <w:jc w:val="both"/>
        <w:rPr>
          <w:lang w:val="lt-LT"/>
        </w:rPr>
      </w:pPr>
      <w:r>
        <w:rPr>
          <w:lang w:val="lt-LT"/>
        </w:rPr>
        <w:tab/>
        <w:t xml:space="preserve">          Daugelis savivaldybių skolinasi tam, kad užtikrintų projektams įgyvendinti būtinas bendrojo finansavimo lėšas, visų pirma – ES paramos lėšomis remiamiems projektams. Kadangi šiuo metu sunku įsivaizduoti greitesnį Lietuvos ūkio atsigavimą be spartesnio ES paramos įsisavinimo, todėl skolinimasis projektams finansuoti yra būtinas. Baltušnikienės (</w:t>
      </w:r>
      <w:r>
        <w:t>2004) teigimu, Lietuvoje dominuoja administracin</w:t>
      </w:r>
      <w:r>
        <w:rPr>
          <w:lang w:val="lt-LT"/>
        </w:rPr>
        <w:t>ė savivaldybių skolinimosi mechanizmo reguliavimo ir kontroliavimo sistem</w:t>
      </w:r>
      <w:r w:rsidR="00C26925">
        <w:rPr>
          <w:lang w:val="lt-LT"/>
        </w:rPr>
        <w:t>a, kai savivaldybių skolinimąsi</w:t>
      </w:r>
      <w:r w:rsidR="00C26925" w:rsidRPr="00C26925">
        <w:rPr>
          <w:color w:val="FFFFFF" w:themeColor="background1"/>
          <w:lang w:val="lt-LT"/>
        </w:rPr>
        <w:t>_</w:t>
      </w:r>
      <w:r>
        <w:rPr>
          <w:lang w:val="lt-LT"/>
        </w:rPr>
        <w:t>reguliuoja valstybės valdžia, nustatydama skolinimosi apribojimus</w:t>
      </w:r>
      <w:r w:rsidR="00AC69FE">
        <w:rPr>
          <w:lang w:val="lt-LT"/>
        </w:rPr>
        <w:t>, peržiūrėdama ir sankcionuodama skolinimosi operacijas, t.y. numato skolos limitus. Apie juos minima šio darbo antrame skyriuje.</w:t>
      </w:r>
    </w:p>
    <w:p w:rsidR="00620537" w:rsidRDefault="00620537" w:rsidP="00BB2142">
      <w:pPr>
        <w:tabs>
          <w:tab w:val="center" w:pos="4770"/>
        </w:tabs>
        <w:autoSpaceDE w:val="0"/>
        <w:autoSpaceDN w:val="0"/>
        <w:adjustRightInd w:val="0"/>
        <w:spacing w:line="360" w:lineRule="auto"/>
        <w:jc w:val="both"/>
        <w:rPr>
          <w:lang w:val="lt-LT"/>
        </w:rPr>
      </w:pPr>
      <w:r>
        <w:rPr>
          <w:lang w:val="lt-LT"/>
        </w:rPr>
        <w:t xml:space="preserve">         </w:t>
      </w:r>
      <w:r w:rsidR="00CD67F9">
        <w:rPr>
          <w:lang w:val="lt-LT"/>
        </w:rPr>
        <w:t>Pasak Hsing ir Hsieh (</w:t>
      </w:r>
      <w:r w:rsidR="00CD67F9">
        <w:t xml:space="preserve">2012), padidėjęs valdžios sektoriaus skolinimasis gali sustiprinti infrastruktūrą, padidinti verslo galimybes ir skatinti ekonomikos augimą. </w:t>
      </w:r>
      <w:r>
        <w:rPr>
          <w:lang w:val="lt-LT"/>
        </w:rPr>
        <w:t>Išanalizavus savivaldybių skolinimosi galimybes, galima teigti, kad Lietuvos centrinė valdžios reguliavimo ir kontroliavimo sistema</w:t>
      </w:r>
      <w:r w:rsidR="00CD67F9">
        <w:rPr>
          <w:lang w:val="lt-LT"/>
        </w:rPr>
        <w:t xml:space="preserve"> varžo savarankišką savivaldybių skolinimąsi. Tačiau jeigu </w:t>
      </w:r>
      <w:r w:rsidR="00537CF1">
        <w:rPr>
          <w:lang w:val="lt-LT"/>
        </w:rPr>
        <w:t>to nebūtų, savivaldybės nekontroliuotų skolinimąsi ir galėtų sukelti problemų visai šaliai dėl padidėjusios skolos ir kitų kreditinių įsipareigojimų.</w:t>
      </w:r>
    </w:p>
    <w:p w:rsidR="0011437D" w:rsidRDefault="0011437D" w:rsidP="00BB2142">
      <w:pPr>
        <w:tabs>
          <w:tab w:val="center" w:pos="4770"/>
        </w:tabs>
        <w:autoSpaceDE w:val="0"/>
        <w:autoSpaceDN w:val="0"/>
        <w:adjustRightInd w:val="0"/>
        <w:spacing w:line="360" w:lineRule="auto"/>
        <w:jc w:val="both"/>
        <w:rPr>
          <w:lang w:val="lt-LT"/>
        </w:rPr>
      </w:pPr>
    </w:p>
    <w:p w:rsidR="002F4763" w:rsidRDefault="002F4763" w:rsidP="00BB2142">
      <w:pPr>
        <w:tabs>
          <w:tab w:val="center" w:pos="4770"/>
        </w:tabs>
        <w:autoSpaceDE w:val="0"/>
        <w:autoSpaceDN w:val="0"/>
        <w:adjustRightInd w:val="0"/>
        <w:spacing w:line="360" w:lineRule="auto"/>
        <w:jc w:val="both"/>
        <w:rPr>
          <w:lang w:val="lt-LT"/>
        </w:rPr>
      </w:pPr>
    </w:p>
    <w:p w:rsidR="002F4763" w:rsidRDefault="002F4763" w:rsidP="00BB2142">
      <w:pPr>
        <w:tabs>
          <w:tab w:val="center" w:pos="4770"/>
        </w:tabs>
        <w:autoSpaceDE w:val="0"/>
        <w:autoSpaceDN w:val="0"/>
        <w:adjustRightInd w:val="0"/>
        <w:spacing w:line="360" w:lineRule="auto"/>
        <w:jc w:val="both"/>
        <w:rPr>
          <w:lang w:val="lt-LT"/>
        </w:rPr>
      </w:pPr>
    </w:p>
    <w:p w:rsidR="002F4763" w:rsidRDefault="00E91E87" w:rsidP="002F4763">
      <w:pPr>
        <w:pStyle w:val="Heading2"/>
        <w:spacing w:before="0" w:after="0" w:line="360" w:lineRule="auto"/>
        <w:jc w:val="center"/>
        <w:rPr>
          <w:lang w:val="lt-LT"/>
        </w:rPr>
      </w:pPr>
      <w:bookmarkStart w:id="54" w:name="_Toc385249537"/>
      <w:r>
        <w:rPr>
          <w:lang w:val="lt-LT"/>
        </w:rPr>
        <w:t>3.3</w:t>
      </w:r>
      <w:r w:rsidR="002F4763">
        <w:rPr>
          <w:lang w:val="lt-LT"/>
        </w:rPr>
        <w:t>. Lyginamoji Lietuvos ir ES fiskalinės decentralizacijos analizė</w:t>
      </w:r>
      <w:bookmarkEnd w:id="54"/>
    </w:p>
    <w:p w:rsidR="002F4763" w:rsidRPr="002F4763" w:rsidRDefault="002F4763" w:rsidP="002F4763">
      <w:pPr>
        <w:spacing w:line="360" w:lineRule="auto"/>
        <w:rPr>
          <w:lang w:val="lt-LT"/>
        </w:rPr>
      </w:pPr>
    </w:p>
    <w:p w:rsidR="00217008" w:rsidRPr="00217008" w:rsidRDefault="00217008" w:rsidP="002F4763">
      <w:pPr>
        <w:autoSpaceDE w:val="0"/>
        <w:autoSpaceDN w:val="0"/>
        <w:adjustRightInd w:val="0"/>
        <w:spacing w:line="360" w:lineRule="auto"/>
        <w:ind w:firstLine="720"/>
        <w:jc w:val="both"/>
        <w:rPr>
          <w:lang w:val="lt-LT"/>
        </w:rPr>
      </w:pPr>
      <w:r>
        <w:rPr>
          <w:lang w:val="lt-LT"/>
        </w:rPr>
        <w:t>S</w:t>
      </w:r>
      <w:r w:rsidRPr="00217008">
        <w:rPr>
          <w:lang w:val="lt-LT"/>
        </w:rPr>
        <w:t>antykiai tarp centrinės ir vietos (ir regionų)</w:t>
      </w:r>
      <w:r>
        <w:rPr>
          <w:lang w:val="lt-LT"/>
        </w:rPr>
        <w:t xml:space="preserve"> </w:t>
      </w:r>
      <w:r w:rsidRPr="00217008">
        <w:rPr>
          <w:lang w:val="lt-LT"/>
        </w:rPr>
        <w:t>vyriausybės keitėsi visą laiką.</w:t>
      </w:r>
      <w:r>
        <w:rPr>
          <w:lang w:val="lt-LT"/>
        </w:rPr>
        <w:t xml:space="preserve"> I</w:t>
      </w:r>
      <w:r w:rsidRPr="00217008">
        <w:rPr>
          <w:lang w:val="lt-LT"/>
        </w:rPr>
        <w:t>dėja</w:t>
      </w:r>
      <w:r>
        <w:rPr>
          <w:lang w:val="lt-LT"/>
        </w:rPr>
        <w:t xml:space="preserve"> </w:t>
      </w:r>
      <w:r w:rsidRPr="00217008">
        <w:rPr>
          <w:lang w:val="lt-LT"/>
        </w:rPr>
        <w:t>decent</w:t>
      </w:r>
      <w:r>
        <w:rPr>
          <w:lang w:val="lt-LT"/>
        </w:rPr>
        <w:t xml:space="preserve">ralizuoti politinius sprendimus </w:t>
      </w:r>
      <w:r w:rsidRPr="00217008">
        <w:rPr>
          <w:lang w:val="lt-LT"/>
        </w:rPr>
        <w:t xml:space="preserve">tampa vis populiaresni visame pasaulyje, </w:t>
      </w:r>
      <w:r>
        <w:rPr>
          <w:lang w:val="lt-LT"/>
        </w:rPr>
        <w:t>o tai lydi ir fiskalinę decentralizaciją.</w:t>
      </w:r>
    </w:p>
    <w:p w:rsidR="002F4763" w:rsidRDefault="002F4763" w:rsidP="002F4763">
      <w:pPr>
        <w:autoSpaceDE w:val="0"/>
        <w:autoSpaceDN w:val="0"/>
        <w:adjustRightInd w:val="0"/>
        <w:spacing w:line="360" w:lineRule="auto"/>
        <w:jc w:val="both"/>
        <w:rPr>
          <w:lang w:val="lt-LT"/>
        </w:rPr>
      </w:pPr>
      <w:r>
        <w:rPr>
          <w:lang w:val="lt-LT"/>
        </w:rPr>
        <w:tab/>
      </w:r>
      <w:r w:rsidR="00217008" w:rsidRPr="00217008">
        <w:rPr>
          <w:lang w:val="lt-LT"/>
        </w:rPr>
        <w:t>Per pastaruosius dvidešimt metų subsidiarumo pripažinimas</w:t>
      </w:r>
      <w:r w:rsidR="00217008">
        <w:rPr>
          <w:lang w:val="lt-LT"/>
        </w:rPr>
        <w:t xml:space="preserve"> </w:t>
      </w:r>
      <w:r w:rsidR="00217008" w:rsidRPr="00217008">
        <w:rPr>
          <w:lang w:val="lt-LT"/>
        </w:rPr>
        <w:t>kaip pagrindinį principą dėl Europos Sąjungos,</w:t>
      </w:r>
      <w:r w:rsidR="00217008">
        <w:rPr>
          <w:lang w:val="lt-LT"/>
        </w:rPr>
        <w:t xml:space="preserve"> </w:t>
      </w:r>
      <w:r w:rsidR="00217008" w:rsidRPr="00217008">
        <w:rPr>
          <w:lang w:val="lt-LT"/>
        </w:rPr>
        <w:t>Vakarų Vokietijos federalinės sistemos įdiegimas</w:t>
      </w:r>
      <w:r w:rsidR="00217008">
        <w:rPr>
          <w:lang w:val="lt-LT"/>
        </w:rPr>
        <w:t xml:space="preserve"> </w:t>
      </w:r>
      <w:r w:rsidR="007550B1">
        <w:rPr>
          <w:lang w:val="lt-LT"/>
        </w:rPr>
        <w:t>r</w:t>
      </w:r>
      <w:r w:rsidR="00217008" w:rsidRPr="00217008">
        <w:rPr>
          <w:lang w:val="lt-LT"/>
        </w:rPr>
        <w:t>ytinėje šalies</w:t>
      </w:r>
      <w:r w:rsidR="00217008">
        <w:rPr>
          <w:lang w:val="lt-LT"/>
        </w:rPr>
        <w:t xml:space="preserve"> dalyje</w:t>
      </w:r>
      <w:r w:rsidR="00217008" w:rsidRPr="00217008">
        <w:rPr>
          <w:lang w:val="lt-LT"/>
        </w:rPr>
        <w:t xml:space="preserve"> ir regionalizmo atgimimas</w:t>
      </w:r>
      <w:r w:rsidR="007550B1">
        <w:rPr>
          <w:lang w:val="lt-LT"/>
        </w:rPr>
        <w:t xml:space="preserve"> </w:t>
      </w:r>
      <w:r w:rsidR="00217008" w:rsidRPr="00217008">
        <w:rPr>
          <w:lang w:val="lt-LT"/>
        </w:rPr>
        <w:t>Vakarų Europos šalyse kaip Portugalija</w:t>
      </w:r>
      <w:r w:rsidR="007550B1">
        <w:rPr>
          <w:lang w:val="lt-LT"/>
        </w:rPr>
        <w:t xml:space="preserve"> </w:t>
      </w:r>
      <w:r w:rsidR="00217008" w:rsidRPr="00217008">
        <w:rPr>
          <w:lang w:val="lt-LT"/>
        </w:rPr>
        <w:t>buvo skirtingi pavyzdžiai decentralizacijos proceso</w:t>
      </w:r>
      <w:r w:rsidR="007550B1">
        <w:rPr>
          <w:lang w:val="lt-LT"/>
        </w:rPr>
        <w:t xml:space="preserve"> link Europoje. Be to, ši</w:t>
      </w:r>
      <w:r w:rsidR="00217008" w:rsidRPr="00217008">
        <w:rPr>
          <w:lang w:val="lt-LT"/>
        </w:rPr>
        <w:t xml:space="preserve"> politinės decentralizacijos rūšis</w:t>
      </w:r>
      <w:r w:rsidR="007550B1">
        <w:rPr>
          <w:lang w:val="lt-LT"/>
        </w:rPr>
        <w:t xml:space="preserve"> t</w:t>
      </w:r>
      <w:r w:rsidR="002309BB">
        <w:rPr>
          <w:lang w:val="lt-LT"/>
        </w:rPr>
        <w:t>aip pat buvo paskelbta</w:t>
      </w:r>
      <w:r w:rsidR="00217008" w:rsidRPr="00217008">
        <w:rPr>
          <w:lang w:val="lt-LT"/>
        </w:rPr>
        <w:t xml:space="preserve"> daugel</w:t>
      </w:r>
      <w:r w:rsidR="007550B1">
        <w:rPr>
          <w:lang w:val="lt-LT"/>
        </w:rPr>
        <w:t>io</w:t>
      </w:r>
      <w:r w:rsidR="00217008" w:rsidRPr="00217008">
        <w:rPr>
          <w:lang w:val="lt-LT"/>
        </w:rPr>
        <w:t xml:space="preserve"> pereinamojo laikotarpio </w:t>
      </w:r>
      <w:r w:rsidR="007550B1">
        <w:rPr>
          <w:lang w:val="lt-LT"/>
        </w:rPr>
        <w:t xml:space="preserve">Europos Sąjungos </w:t>
      </w:r>
      <w:r w:rsidR="00217008" w:rsidRPr="00217008">
        <w:rPr>
          <w:lang w:val="lt-LT"/>
        </w:rPr>
        <w:t>šalių (John, 2000).</w:t>
      </w:r>
    </w:p>
    <w:p w:rsidR="001410ED" w:rsidRDefault="001410ED" w:rsidP="001410ED">
      <w:pPr>
        <w:autoSpaceDE w:val="0"/>
        <w:autoSpaceDN w:val="0"/>
        <w:adjustRightInd w:val="0"/>
        <w:spacing w:line="360" w:lineRule="auto"/>
        <w:ind w:firstLine="720"/>
        <w:jc w:val="both"/>
        <w:rPr>
          <w:lang w:val="lt-LT"/>
        </w:rPr>
      </w:pPr>
      <w:r>
        <w:rPr>
          <w:lang w:val="lt-LT"/>
        </w:rPr>
        <w:t>Europos statistikos tarnyba (Eurostatas) nurodo, kad valdžios sektorių sudaro centrinės, subnacionalinės valdžios institucijos ir socialinės apsaugos fondų subsektoriai. Subnacionalinės valdžios institucijos apima visas subnacionalines valdžios pakopas, t.y. savivaldybes, provincijas, apskritis, regionus ir kt. Lietuvoje subnacionalinę valdžia - vietinė valdžia, kuriai</w:t>
      </w:r>
      <w:r w:rsidRPr="001410ED">
        <w:rPr>
          <w:lang w:val="lt-LT"/>
        </w:rPr>
        <w:t xml:space="preserve"> priskiriamos savivaldybės, viešosios gydymo įstaigos, kurias kontroliuoja savivaldybės ir Vilniaus miesto būstas.</w:t>
      </w:r>
    </w:p>
    <w:p w:rsidR="00217008" w:rsidRDefault="002F4763" w:rsidP="002F4763">
      <w:pPr>
        <w:autoSpaceDE w:val="0"/>
        <w:autoSpaceDN w:val="0"/>
        <w:adjustRightInd w:val="0"/>
        <w:spacing w:line="360" w:lineRule="auto"/>
        <w:jc w:val="both"/>
        <w:rPr>
          <w:lang w:val="lt-LT"/>
        </w:rPr>
      </w:pPr>
      <w:r>
        <w:rPr>
          <w:lang w:val="lt-LT"/>
        </w:rPr>
        <w:tab/>
      </w:r>
      <w:r w:rsidR="001942F9">
        <w:rPr>
          <w:lang w:val="lt-LT"/>
        </w:rPr>
        <w:t>Norint įvertinti</w:t>
      </w:r>
      <w:r w:rsidR="00EF7ADA">
        <w:rPr>
          <w:lang w:val="lt-LT"/>
        </w:rPr>
        <w:t xml:space="preserve"> Lietuvos fiskalinę decentraliza</w:t>
      </w:r>
      <w:r w:rsidR="00C65378">
        <w:rPr>
          <w:lang w:val="lt-LT"/>
        </w:rPr>
        <w:t xml:space="preserve">ciją Europos Sąjungos kontekste </w:t>
      </w:r>
      <w:r w:rsidR="00EF7ADA">
        <w:rPr>
          <w:lang w:val="lt-LT"/>
        </w:rPr>
        <w:t xml:space="preserve">būtina apžvelgti šalių </w:t>
      </w:r>
      <w:r w:rsidR="008D3508">
        <w:rPr>
          <w:lang w:val="lt-LT"/>
        </w:rPr>
        <w:t xml:space="preserve">subnacionalinių lygių skaičių, plotą </w:t>
      </w:r>
      <w:r w:rsidR="00C65378">
        <w:rPr>
          <w:lang w:val="lt-LT"/>
        </w:rPr>
        <w:t xml:space="preserve">bei bendrąjį vidaus produktą vienam gyventojui, kadangi šis rodiklis </w:t>
      </w:r>
      <w:r w:rsidR="00CA543E" w:rsidRPr="00CA543E">
        <w:rPr>
          <w:lang w:val="lt-LT"/>
        </w:rPr>
        <w:t>yra svarb</w:t>
      </w:r>
      <w:r w:rsidR="00C65378">
        <w:rPr>
          <w:lang w:val="lt-LT"/>
        </w:rPr>
        <w:t>us</w:t>
      </w:r>
      <w:r w:rsidR="00CA543E" w:rsidRPr="00CA543E">
        <w:rPr>
          <w:lang w:val="lt-LT"/>
        </w:rPr>
        <w:t xml:space="preserve"> makroekonominis rodiklis atspindintis valstybės ūkio augimą. Šio rodiklio pagalba atliekama palyginamoji įvairių šalių raidos analizė.</w:t>
      </w:r>
      <w:r w:rsidR="00E47ECC">
        <w:rPr>
          <w:lang w:val="lt-LT"/>
        </w:rPr>
        <w:tab/>
      </w:r>
    </w:p>
    <w:p w:rsidR="007A26F3" w:rsidRPr="007A26F3" w:rsidRDefault="007A26F3" w:rsidP="00217008">
      <w:pPr>
        <w:tabs>
          <w:tab w:val="center" w:pos="4770"/>
        </w:tabs>
        <w:autoSpaceDE w:val="0"/>
        <w:autoSpaceDN w:val="0"/>
        <w:adjustRightInd w:val="0"/>
        <w:spacing w:line="360" w:lineRule="auto"/>
        <w:jc w:val="both"/>
        <w:rPr>
          <w:lang w:val="lt-LT"/>
        </w:rPr>
      </w:pPr>
      <w:r>
        <w:rPr>
          <w:lang w:val="lt-LT"/>
        </w:rPr>
        <w:t xml:space="preserve">       Lietuvos BVP yra lyginamas su</w:t>
      </w:r>
      <w:r w:rsidRPr="002309BB">
        <w:rPr>
          <w:lang w:val="lt-LT"/>
        </w:rPr>
        <w:t xml:space="preserve"> kitų Europos sąjungos šalių BVP perkamosios galios pariteto metodu. Jį nustatant atsižvelgiama į kainų skirtumus valstybėse narėse, todėl pagal juos galima tiksliau lyginti padėtį. PGP taikant kaip perskaičiavimo koeficientą BVP paverčiamas sutartine bendra valiuta, vadinama perkamosios galios standartu (PGS), pagal kurį galima lyginti skirtingas nacionalines valiutas turinčių šalių perkamosios galios duomenis.</w:t>
      </w:r>
    </w:p>
    <w:p w:rsidR="00BC54D4" w:rsidRDefault="007A26F3" w:rsidP="00217008">
      <w:pPr>
        <w:tabs>
          <w:tab w:val="center" w:pos="4770"/>
        </w:tabs>
        <w:autoSpaceDE w:val="0"/>
        <w:autoSpaceDN w:val="0"/>
        <w:adjustRightInd w:val="0"/>
        <w:spacing w:line="360" w:lineRule="auto"/>
        <w:jc w:val="both"/>
        <w:rPr>
          <w:noProof/>
        </w:rPr>
      </w:pPr>
      <w:r>
        <w:t xml:space="preserve">         </w:t>
      </w:r>
      <w:r w:rsidRPr="007A26F3">
        <w:t xml:space="preserve">BVP vienam gyventojui, išreikšto perkamosios galios standartais, apimties indeksas pateikiamas lyginant su Europos Sąjungos vidurkiu (EU27 = 100) (žr. </w:t>
      </w:r>
      <w:r w:rsidR="00D858EA">
        <w:t>19</w:t>
      </w:r>
      <w:r w:rsidR="0027142D">
        <w:t xml:space="preserve"> </w:t>
      </w:r>
      <w:r w:rsidRPr="007A26F3">
        <w:t>pav.). Jeigu šalies indeksas yra didesnis nei 100, tokios šalies BVP vienam gyventojui lygis yra aukštesnis už ES vidurkį, ir atvirkščiai. Pagrindiniai rodikliai pateikiami perkamosios galios standartais, t. y. bendra valiuta, kuri panaikina kainų lygių skirtumus ir leidžia atlikti realius BVP palyginimus tarp šalių.</w:t>
      </w:r>
      <w:r w:rsidRPr="007A26F3">
        <w:rPr>
          <w:noProof/>
        </w:rPr>
        <w:t xml:space="preserve"> </w:t>
      </w:r>
    </w:p>
    <w:p w:rsidR="007A26F3" w:rsidRDefault="007A26F3" w:rsidP="00217008">
      <w:pPr>
        <w:tabs>
          <w:tab w:val="center" w:pos="4770"/>
        </w:tabs>
        <w:autoSpaceDE w:val="0"/>
        <w:autoSpaceDN w:val="0"/>
        <w:adjustRightInd w:val="0"/>
        <w:spacing w:line="360" w:lineRule="auto"/>
        <w:jc w:val="both"/>
        <w:rPr>
          <w:noProof/>
        </w:rPr>
      </w:pPr>
      <w:r>
        <w:rPr>
          <w:noProof/>
        </w:rPr>
        <w:lastRenderedPageBreak/>
        <w:drawing>
          <wp:inline distT="0" distB="0" distL="0" distR="0" wp14:anchorId="7A356C15" wp14:editId="6E8056AA">
            <wp:extent cx="6389370" cy="2914650"/>
            <wp:effectExtent l="0" t="0" r="11430" b="19050"/>
            <wp:docPr id="22"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rsidR="007A26F3" w:rsidRDefault="007A26F3" w:rsidP="007A26F3">
      <w:pPr>
        <w:tabs>
          <w:tab w:val="center" w:pos="4770"/>
        </w:tabs>
        <w:autoSpaceDE w:val="0"/>
        <w:autoSpaceDN w:val="0"/>
        <w:adjustRightInd w:val="0"/>
        <w:spacing w:line="360" w:lineRule="auto"/>
        <w:jc w:val="both"/>
        <w:rPr>
          <w:sz w:val="20"/>
          <w:lang w:val="lt-LT"/>
        </w:rPr>
      </w:pPr>
      <w:r w:rsidRPr="002309BB">
        <w:rPr>
          <w:b/>
          <w:sz w:val="20"/>
          <w:lang w:val="lt-LT"/>
        </w:rPr>
        <w:t>Šaltinis:</w:t>
      </w:r>
      <w:r w:rsidRPr="002309BB">
        <w:rPr>
          <w:sz w:val="20"/>
          <w:lang w:val="lt-LT"/>
        </w:rPr>
        <w:t xml:space="preserve"> Eurostat duomenys</w:t>
      </w:r>
    </w:p>
    <w:p w:rsidR="007A26F3" w:rsidRPr="002309BB" w:rsidRDefault="00D858EA" w:rsidP="00A204BB">
      <w:pPr>
        <w:pStyle w:val="Caption"/>
        <w:ind w:hanging="851"/>
      </w:pPr>
      <w:bookmarkStart w:id="55" w:name="_Toc385239375"/>
      <w:r>
        <w:t>19</w:t>
      </w:r>
      <w:r w:rsidR="001031CB">
        <w:t xml:space="preserve"> </w:t>
      </w:r>
      <w:r w:rsidR="007A26F3">
        <w:t xml:space="preserve">pav. </w:t>
      </w:r>
      <w:r w:rsidR="007A26F3" w:rsidRPr="002309BB">
        <w:t>BVP vienam g</w:t>
      </w:r>
      <w:r w:rsidR="007A26F3">
        <w:t>yventojui apimties indeksai 2012 m. (EU</w:t>
      </w:r>
      <w:r w:rsidR="007A26F3" w:rsidRPr="002309BB">
        <w:t>27=100</w:t>
      </w:r>
      <w:r w:rsidR="007A26F3">
        <w:t>), proc.</w:t>
      </w:r>
      <w:bookmarkEnd w:id="55"/>
    </w:p>
    <w:p w:rsidR="007A26F3" w:rsidRDefault="007A26F3" w:rsidP="00217008">
      <w:pPr>
        <w:tabs>
          <w:tab w:val="center" w:pos="4770"/>
        </w:tabs>
        <w:autoSpaceDE w:val="0"/>
        <w:autoSpaceDN w:val="0"/>
        <w:adjustRightInd w:val="0"/>
        <w:spacing w:line="360" w:lineRule="auto"/>
        <w:jc w:val="both"/>
      </w:pPr>
    </w:p>
    <w:p w:rsidR="007A26F3" w:rsidRDefault="0044793B" w:rsidP="0044793B">
      <w:pPr>
        <w:tabs>
          <w:tab w:val="center" w:pos="709"/>
        </w:tabs>
        <w:autoSpaceDE w:val="0"/>
        <w:autoSpaceDN w:val="0"/>
        <w:adjustRightInd w:val="0"/>
        <w:spacing w:line="360" w:lineRule="auto"/>
        <w:jc w:val="both"/>
      </w:pPr>
      <w:r>
        <w:tab/>
      </w:r>
      <w:r>
        <w:tab/>
      </w:r>
      <w:r w:rsidR="007A26F3">
        <w:t>BVP vienam gyventojui rodiklių išsiskirstymas ES narėse yra gana ryšk</w:t>
      </w:r>
      <w:r w:rsidR="00B4194F">
        <w:t xml:space="preserve">us. Sklaida yra </w:t>
      </w:r>
      <w:r>
        <w:t xml:space="preserve">nuo 47 proc. </w:t>
      </w:r>
      <w:r w:rsidR="00BC54D4">
        <w:t>iki 263 proc.</w:t>
      </w:r>
      <w:r w:rsidR="000550EB">
        <w:t xml:space="preserve"> (EU</w:t>
      </w:r>
      <w:r w:rsidR="007A26F3">
        <w:t>27=100). Didžiausias BVP vienam gyventojui rodiklis yra Liuksemburge. Lyginant su kitų Europos Sąjungos šalių  BVP, pagal perkamosios galios par</w:t>
      </w:r>
      <w:r w:rsidR="00BC54D4">
        <w:t>itetą, Liuksemburgo BVP buvo 263 proc.</w:t>
      </w:r>
      <w:r w:rsidR="007A26F3">
        <w:t xml:space="preserve"> </w:t>
      </w:r>
      <w:r w:rsidR="000550EB">
        <w:t>didesnis už ES šalių vidurkį (EU</w:t>
      </w:r>
      <w:r w:rsidR="007A26F3">
        <w:t>27=100). Dar viena šios šalies ypatybė: joje dirba (ir atitinkamai prisideda prie BVP) daug kitų šalių piliečių, neįtraukiamų į Liuksemburgo nuolatinių gyventojų skaičių. Taip pat dideli BVP vienam gyventojui</w:t>
      </w:r>
      <w:r>
        <w:t xml:space="preserve"> rodikliai yra Vokietijos</w:t>
      </w:r>
      <w:r w:rsidR="00BC54D4">
        <w:t>, Jung</w:t>
      </w:r>
      <w:r>
        <w:t>tini</w:t>
      </w:r>
      <w:r>
        <w:rPr>
          <w:lang w:val="lt-LT"/>
        </w:rPr>
        <w:t>ų</w:t>
      </w:r>
      <w:r w:rsidR="007A26F3">
        <w:t xml:space="preserve"> K</w:t>
      </w:r>
      <w:r>
        <w:t>aralysčių</w:t>
      </w:r>
      <w:r w:rsidR="007A26F3">
        <w:t>, Italijos, Belgijos, Nyderlandų, Austrijos, Airijos ir Skandinavijos šalių regionuose.</w:t>
      </w:r>
      <w:r>
        <w:t xml:space="preserve"> </w:t>
      </w:r>
      <w:r w:rsidR="007A26F3">
        <w:t>Mažiausias BVP vienam gyventojui yra pastebimas Bulgarijoj</w:t>
      </w:r>
      <w:r w:rsidR="00BC54D4">
        <w:t>e. Šios šalies BVP sudaro tik 47 proc.</w:t>
      </w:r>
      <w:r w:rsidR="007A26F3">
        <w:t xml:space="preserve"> ES šalių vidurkio.</w:t>
      </w:r>
    </w:p>
    <w:p w:rsidR="007A26F3" w:rsidRPr="006A1BB4" w:rsidRDefault="00BC54D4" w:rsidP="00217008">
      <w:pPr>
        <w:tabs>
          <w:tab w:val="center" w:pos="4770"/>
        </w:tabs>
        <w:autoSpaceDE w:val="0"/>
        <w:autoSpaceDN w:val="0"/>
        <w:adjustRightInd w:val="0"/>
        <w:spacing w:line="360" w:lineRule="auto"/>
        <w:jc w:val="both"/>
      </w:pPr>
      <w:r>
        <w:tab/>
        <w:t xml:space="preserve">         </w:t>
      </w:r>
      <w:r w:rsidR="0044793B">
        <w:t>2012</w:t>
      </w:r>
      <w:r w:rsidR="007A26F3">
        <w:t xml:space="preserve"> metais Lietuva ES šalių sąra</w:t>
      </w:r>
      <w:r>
        <w:t xml:space="preserve">še pagal BVP </w:t>
      </w:r>
      <w:r w:rsidR="0044793B">
        <w:t xml:space="preserve">vienam gyventojui </w:t>
      </w:r>
      <w:r>
        <w:t>užima 21 vietą su 72 proc.</w:t>
      </w:r>
      <w:r w:rsidR="007A26F3">
        <w:t xml:space="preserve"> Lietuva</w:t>
      </w:r>
      <w:r w:rsidR="0044793B">
        <w:t xml:space="preserve"> aplenkia</w:t>
      </w:r>
      <w:r>
        <w:t xml:space="preserve"> Bulgariją</w:t>
      </w:r>
      <w:r w:rsidR="006A1BB4">
        <w:t xml:space="preserve"> </w:t>
      </w:r>
      <w:r>
        <w:t>(47 proc.), Ru</w:t>
      </w:r>
      <w:r w:rsidR="007A26F3">
        <w:t>muniją</w:t>
      </w:r>
      <w:r>
        <w:t xml:space="preserve"> (49 proc.</w:t>
      </w:r>
      <w:r w:rsidR="007A26F3">
        <w:t>)</w:t>
      </w:r>
      <w:r>
        <w:t>, Latviją (58 proc.</w:t>
      </w:r>
      <w:r w:rsidR="007A26F3">
        <w:t>)</w:t>
      </w:r>
      <w:r w:rsidR="0044793B">
        <w:t>, Lenkij</w:t>
      </w:r>
      <w:r w:rsidR="0044793B">
        <w:rPr>
          <w:lang w:val="lt-LT"/>
        </w:rPr>
        <w:t>ą (</w:t>
      </w:r>
      <w:r w:rsidR="0044793B">
        <w:t>67 proc.), Vengrij</w:t>
      </w:r>
      <w:r w:rsidR="006F0891">
        <w:t xml:space="preserve">ą (67 proc.) ir </w:t>
      </w:r>
      <w:r>
        <w:t>Estij</w:t>
      </w:r>
      <w:r>
        <w:rPr>
          <w:lang w:val="lt-LT"/>
        </w:rPr>
        <w:t>ą (</w:t>
      </w:r>
      <w:r>
        <w:t>71 proc.)</w:t>
      </w:r>
      <w:r w:rsidR="006A1BB4">
        <w:t xml:space="preserve"> ir lyginant su 2011 m. šis rodiklis pakilo net 9 proc.</w:t>
      </w:r>
    </w:p>
    <w:p w:rsidR="008D3508" w:rsidRDefault="002309BB" w:rsidP="008D3508">
      <w:pPr>
        <w:tabs>
          <w:tab w:val="center" w:pos="4770"/>
        </w:tabs>
        <w:autoSpaceDE w:val="0"/>
        <w:autoSpaceDN w:val="0"/>
        <w:adjustRightInd w:val="0"/>
        <w:spacing w:line="360" w:lineRule="auto"/>
        <w:jc w:val="both"/>
        <w:rPr>
          <w:lang w:val="lt-LT"/>
        </w:rPr>
      </w:pPr>
      <w:r>
        <w:rPr>
          <w:lang w:val="lt-LT"/>
        </w:rPr>
        <w:tab/>
        <w:t xml:space="preserve">         </w:t>
      </w:r>
      <w:r w:rsidR="008D3508" w:rsidRPr="008D3508">
        <w:rPr>
          <w:lang w:val="lt-LT"/>
        </w:rPr>
        <w:t xml:space="preserve">Lyginant įvairių ES šalių savivaldos modelius, pirmiausia </w:t>
      </w:r>
      <w:r w:rsidR="006A1BB4">
        <w:rPr>
          <w:lang w:val="lt-LT"/>
        </w:rPr>
        <w:t>vertėtų apžvelgti savivaldybių dydžių skirtumus</w:t>
      </w:r>
      <w:r w:rsidR="008D3508" w:rsidRPr="008D3508">
        <w:rPr>
          <w:lang w:val="lt-LT"/>
        </w:rPr>
        <w:t xml:space="preserve">. </w:t>
      </w:r>
      <w:r w:rsidR="008D3508">
        <w:rPr>
          <w:lang w:val="lt-LT"/>
        </w:rPr>
        <w:t>Remiantis banko</w:t>
      </w:r>
      <w:r w:rsidR="008D3508" w:rsidRPr="008D3508">
        <w:rPr>
          <w:lang w:val="lt-LT"/>
        </w:rPr>
        <w:t xml:space="preserve"> “Dexia” ir Europo</w:t>
      </w:r>
      <w:r w:rsidR="006C3425">
        <w:rPr>
          <w:lang w:val="lt-LT"/>
        </w:rPr>
        <w:t>s savivaldybių ir regionų t</w:t>
      </w:r>
      <w:r w:rsidR="008D3508">
        <w:rPr>
          <w:lang w:val="lt-LT"/>
        </w:rPr>
        <w:t>arybos</w:t>
      </w:r>
      <w:r w:rsidR="008D3508" w:rsidRPr="008D3508">
        <w:rPr>
          <w:lang w:val="lt-LT"/>
        </w:rPr>
        <w:t xml:space="preserve"> (CEMR)</w:t>
      </w:r>
      <w:r w:rsidR="008D3508">
        <w:rPr>
          <w:lang w:val="lt-LT"/>
        </w:rPr>
        <w:t xml:space="preserve"> ataskaitomis</w:t>
      </w:r>
      <w:r w:rsidR="008D3508" w:rsidRPr="008D3508">
        <w:rPr>
          <w:lang w:val="lt-LT"/>
        </w:rPr>
        <w:t xml:space="preserve"> </w:t>
      </w:r>
      <w:r w:rsidR="00BD7D47">
        <w:rPr>
          <w:lang w:val="lt-LT"/>
        </w:rPr>
        <w:t xml:space="preserve">apžvelgsime Europos savivaldybių gyventojų skaičių ir plotą (žr. </w:t>
      </w:r>
      <w:r w:rsidR="00D858EA">
        <w:rPr>
          <w:lang w:val="lt-LT"/>
        </w:rPr>
        <w:t xml:space="preserve">20 </w:t>
      </w:r>
      <w:r w:rsidR="00BD7D47">
        <w:rPr>
          <w:lang w:val="lt-LT"/>
        </w:rPr>
        <w:t>pav.).</w:t>
      </w:r>
    </w:p>
    <w:p w:rsidR="000550EB" w:rsidRDefault="00AE5A49" w:rsidP="0050503B">
      <w:pPr>
        <w:autoSpaceDE w:val="0"/>
        <w:autoSpaceDN w:val="0"/>
        <w:adjustRightInd w:val="0"/>
        <w:spacing w:line="360" w:lineRule="auto"/>
        <w:jc w:val="both"/>
        <w:rPr>
          <w:lang w:val="lt-LT"/>
        </w:rPr>
      </w:pPr>
      <w:r>
        <w:rPr>
          <w:noProof/>
        </w:rPr>
        <w:lastRenderedPageBreak/>
        <w:drawing>
          <wp:anchor distT="0" distB="0" distL="114300" distR="114300" simplePos="0" relativeHeight="251658240" behindDoc="0" locked="0" layoutInCell="1" allowOverlap="1" wp14:anchorId="4C89AD52" wp14:editId="58CAFC7A">
            <wp:simplePos x="0" y="0"/>
            <wp:positionH relativeFrom="column">
              <wp:posOffset>2781300</wp:posOffset>
            </wp:positionH>
            <wp:positionV relativeFrom="paragraph">
              <wp:posOffset>47625</wp:posOffset>
            </wp:positionV>
            <wp:extent cx="3238500" cy="4229100"/>
            <wp:effectExtent l="0" t="0" r="0" b="0"/>
            <wp:wrapSquare wrapText="bothSides"/>
            <wp:docPr id="2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14:sizeRelH relativeFrom="page">
              <wp14:pctWidth>0</wp14:pctWidth>
            </wp14:sizeRelH>
            <wp14:sizeRelV relativeFrom="page">
              <wp14:pctHeight>0</wp14:pctHeight>
            </wp14:sizeRelV>
          </wp:anchor>
        </w:drawing>
      </w:r>
      <w:r w:rsidR="000550EB">
        <w:rPr>
          <w:noProof/>
        </w:rPr>
        <w:drawing>
          <wp:inline distT="0" distB="0" distL="0" distR="0" wp14:anchorId="7E44BE6A" wp14:editId="2E49F081">
            <wp:extent cx="3400425" cy="4333875"/>
            <wp:effectExtent l="0" t="0" r="0" b="9525"/>
            <wp:docPr id="2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p w:rsidR="00BD7D47" w:rsidRDefault="00BD7D47" w:rsidP="0050503B">
      <w:pPr>
        <w:autoSpaceDE w:val="0"/>
        <w:autoSpaceDN w:val="0"/>
        <w:adjustRightInd w:val="0"/>
        <w:spacing w:line="360" w:lineRule="auto"/>
        <w:jc w:val="both"/>
        <w:rPr>
          <w:sz w:val="20"/>
          <w:lang w:val="lt-LT"/>
        </w:rPr>
      </w:pPr>
      <w:r w:rsidRPr="00BD7D47">
        <w:rPr>
          <w:b/>
          <w:sz w:val="20"/>
          <w:lang w:val="lt-LT"/>
        </w:rPr>
        <w:t>Šaltinis:</w:t>
      </w:r>
      <w:r w:rsidRPr="00BD7D47">
        <w:rPr>
          <w:sz w:val="20"/>
          <w:lang w:val="lt-LT"/>
        </w:rPr>
        <w:t xml:space="preserve"> Dexia ir CEMR ataskaitos</w:t>
      </w:r>
    </w:p>
    <w:p w:rsidR="001031CB" w:rsidRDefault="00D57172" w:rsidP="00A204BB">
      <w:pPr>
        <w:pStyle w:val="Caption"/>
        <w:ind w:hanging="851"/>
      </w:pPr>
      <w:bookmarkStart w:id="56" w:name="_Toc385239376"/>
      <w:r>
        <w:t>20</w:t>
      </w:r>
      <w:r w:rsidR="001031CB">
        <w:t xml:space="preserve"> </w:t>
      </w:r>
      <w:r w:rsidR="00BD7D47" w:rsidRPr="00BD7D47">
        <w:t>pav.</w:t>
      </w:r>
      <w:r w:rsidR="00BD7D47">
        <w:t xml:space="preserve"> ES šalių narių vidutinis gyventojų skaičius savivaldybėse ir vidutinis savivaldybių plotas (km</w:t>
      </w:r>
      <w:r w:rsidR="00BD7D47" w:rsidRPr="00BD7D47">
        <w:rPr>
          <w:vertAlign w:val="superscript"/>
        </w:rPr>
        <w:t>2</w:t>
      </w:r>
      <w:r w:rsidR="00BD7D47">
        <w:t xml:space="preserve">) </w:t>
      </w:r>
      <w:r w:rsidR="00BD7D47" w:rsidRPr="00BD7D47">
        <w:t>2011 m.</w:t>
      </w:r>
      <w:bookmarkEnd w:id="56"/>
      <w:r w:rsidR="008D3508">
        <w:t xml:space="preserve">            </w:t>
      </w:r>
    </w:p>
    <w:p w:rsidR="008D3508" w:rsidRPr="001031CB" w:rsidRDefault="008D3508" w:rsidP="001031CB">
      <w:pPr>
        <w:autoSpaceDE w:val="0"/>
        <w:autoSpaceDN w:val="0"/>
        <w:adjustRightInd w:val="0"/>
        <w:spacing w:line="360" w:lineRule="auto"/>
        <w:ind w:firstLine="720"/>
        <w:jc w:val="both"/>
        <w:rPr>
          <w:lang w:val="lt-LT"/>
        </w:rPr>
      </w:pPr>
      <w:r w:rsidRPr="008D3508">
        <w:rPr>
          <w:lang w:val="lt-LT"/>
        </w:rPr>
        <w:t>2011 m. raporto duomenimis vidutinis savivaldybės gyventojų skaičius</w:t>
      </w:r>
      <w:r w:rsidR="006A1BB4">
        <w:rPr>
          <w:lang w:val="lt-LT"/>
        </w:rPr>
        <w:t xml:space="preserve"> Europoje siekė 56</w:t>
      </w:r>
      <w:r w:rsidR="006A1BB4">
        <w:t>41</w:t>
      </w:r>
      <w:r>
        <w:rPr>
          <w:lang w:val="lt-LT"/>
        </w:rPr>
        <w:t xml:space="preserve"> gyventojų (žr.</w:t>
      </w:r>
      <w:r w:rsidR="00D57172">
        <w:rPr>
          <w:lang w:val="lt-LT"/>
        </w:rPr>
        <w:t xml:space="preserve"> 20</w:t>
      </w:r>
      <w:r>
        <w:rPr>
          <w:lang w:val="lt-LT"/>
        </w:rPr>
        <w:t xml:space="preserve"> pav.). Lietuvoje </w:t>
      </w:r>
      <w:r w:rsidR="00423147">
        <w:t>9</w:t>
      </w:r>
      <w:r w:rsidR="00423147">
        <w:rPr>
          <w:lang w:val="lt-LT"/>
        </w:rPr>
        <w:t xml:space="preserve"> kartus</w:t>
      </w:r>
      <w:r w:rsidRPr="008D3508">
        <w:rPr>
          <w:lang w:val="lt-LT"/>
        </w:rPr>
        <w:t xml:space="preserve"> viršija ES vidurkį</w:t>
      </w:r>
      <w:r>
        <w:rPr>
          <w:lang w:val="lt-LT"/>
        </w:rPr>
        <w:t xml:space="preserve"> </w:t>
      </w:r>
      <w:r w:rsidRPr="008D3508">
        <w:rPr>
          <w:lang w:val="lt-LT"/>
        </w:rPr>
        <w:t>- vidutinis savivaldybės</w:t>
      </w:r>
      <w:r w:rsidR="003C04AF">
        <w:rPr>
          <w:lang w:val="lt-LT"/>
        </w:rPr>
        <w:t xml:space="preserve"> gyventojų skaičius siekia 50833</w:t>
      </w:r>
      <w:r w:rsidRPr="008D3508">
        <w:rPr>
          <w:lang w:val="lt-LT"/>
        </w:rPr>
        <w:t xml:space="preserve"> gyventojus vienai savivaldybei. Didesnės savivaldybės yra tik Danijoje bei Jungtinėje</w:t>
      </w:r>
      <w:r w:rsidR="003C04AF">
        <w:rPr>
          <w:lang w:val="lt-LT"/>
        </w:rPr>
        <w:t xml:space="preserve"> Karalystėje, atitinkamai 56735</w:t>
      </w:r>
      <w:r w:rsidRPr="008D3508">
        <w:rPr>
          <w:lang w:val="lt-LT"/>
        </w:rPr>
        <w:t xml:space="preserve"> ir 1</w:t>
      </w:r>
      <w:r w:rsidR="003C04AF">
        <w:rPr>
          <w:lang w:val="lt-LT"/>
        </w:rPr>
        <w:t xml:space="preserve">15172 </w:t>
      </w:r>
      <w:r w:rsidRPr="008D3508">
        <w:rPr>
          <w:lang w:val="lt-LT"/>
        </w:rPr>
        <w:t>gyventojų.</w:t>
      </w:r>
    </w:p>
    <w:p w:rsidR="008D3508" w:rsidRDefault="008D3508" w:rsidP="008D3508">
      <w:pPr>
        <w:tabs>
          <w:tab w:val="center" w:pos="4770"/>
        </w:tabs>
        <w:autoSpaceDE w:val="0"/>
        <w:autoSpaceDN w:val="0"/>
        <w:adjustRightInd w:val="0"/>
        <w:spacing w:line="360" w:lineRule="auto"/>
        <w:jc w:val="both"/>
        <w:rPr>
          <w:lang w:val="lt-LT"/>
        </w:rPr>
      </w:pPr>
      <w:r>
        <w:rPr>
          <w:lang w:val="lt-LT"/>
        </w:rPr>
        <w:tab/>
        <w:t xml:space="preserve">            </w:t>
      </w:r>
      <w:r w:rsidRPr="008D3508">
        <w:rPr>
          <w:lang w:val="lt-LT"/>
        </w:rPr>
        <w:t>Nors šiuo metu Estija ir Latvija taip pat turi vieną savivaldos lygmenį</w:t>
      </w:r>
      <w:r>
        <w:rPr>
          <w:lang w:val="lt-LT"/>
        </w:rPr>
        <w:t xml:space="preserve"> kaip</w:t>
      </w:r>
      <w:r w:rsidR="007A26F3">
        <w:rPr>
          <w:lang w:val="lt-LT"/>
        </w:rPr>
        <w:t xml:space="preserve"> </w:t>
      </w:r>
      <w:r>
        <w:rPr>
          <w:lang w:val="lt-LT"/>
        </w:rPr>
        <w:t>ir Lietuva</w:t>
      </w:r>
      <w:r w:rsidR="007A26F3">
        <w:rPr>
          <w:lang w:val="lt-LT"/>
        </w:rPr>
        <w:t xml:space="preserve">, </w:t>
      </w:r>
      <w:r w:rsidRPr="008D3508">
        <w:rPr>
          <w:lang w:val="lt-LT"/>
        </w:rPr>
        <w:t xml:space="preserve">Estijoje šiuo metu yra 226 savivaldybės </w:t>
      </w:r>
      <w:r w:rsidR="00B4194F">
        <w:rPr>
          <w:lang w:val="lt-LT"/>
        </w:rPr>
        <w:t xml:space="preserve">(žr. 4 </w:t>
      </w:r>
      <w:r w:rsidR="003C04AF">
        <w:rPr>
          <w:lang w:val="lt-LT"/>
        </w:rPr>
        <w:t xml:space="preserve">priedą) </w:t>
      </w:r>
      <w:r w:rsidRPr="008D3508">
        <w:rPr>
          <w:lang w:val="lt-LT"/>
        </w:rPr>
        <w:t>ir jose</w:t>
      </w:r>
      <w:r w:rsidR="003C04AF">
        <w:rPr>
          <w:lang w:val="lt-LT"/>
        </w:rPr>
        <w:t xml:space="preserve"> gyvena vidutiniškai 59</w:t>
      </w:r>
      <w:r w:rsidR="003C04AF">
        <w:t>29</w:t>
      </w:r>
      <w:r w:rsidR="003C04AF">
        <w:rPr>
          <w:lang w:val="lt-LT"/>
        </w:rPr>
        <w:t xml:space="preserve"> gyventojai</w:t>
      </w:r>
      <w:r w:rsidRPr="008D3508">
        <w:rPr>
          <w:lang w:val="lt-LT"/>
        </w:rPr>
        <w:t xml:space="preserve">, Latvijoje 119 savivaldybių ir vidutiniškai 18820 gyventojų. </w:t>
      </w:r>
      <w:r w:rsidR="007A26F3">
        <w:rPr>
          <w:lang w:val="lt-LT"/>
        </w:rPr>
        <w:t>Lenkijos</w:t>
      </w:r>
      <w:r w:rsidRPr="008D3508">
        <w:rPr>
          <w:lang w:val="lt-LT"/>
        </w:rPr>
        <w:t xml:space="preserve"> savivaldybėje vidutiniškai gyvena 1</w:t>
      </w:r>
      <w:r w:rsidR="005E5151">
        <w:rPr>
          <w:lang w:val="lt-LT"/>
        </w:rPr>
        <w:t>7395</w:t>
      </w:r>
      <w:r w:rsidRPr="008D3508">
        <w:rPr>
          <w:lang w:val="lt-LT"/>
        </w:rPr>
        <w:t xml:space="preserve"> gyventojų. Mažiausios savivaldybės Europoje gyventojų skaičiumi yra Čekijoje, Slovakijoje ir Prancūzijoje</w:t>
      </w:r>
      <w:r w:rsidR="007A26F3">
        <w:rPr>
          <w:lang w:val="lt-LT"/>
        </w:rPr>
        <w:t xml:space="preserve"> </w:t>
      </w:r>
      <w:r w:rsidRPr="008D3508">
        <w:rPr>
          <w:lang w:val="lt-LT"/>
        </w:rPr>
        <w:t>- kur savivaldybės gyventojų skaičius nesiekia ir dvejų tūkstančių.</w:t>
      </w:r>
    </w:p>
    <w:p w:rsidR="005E5151" w:rsidRDefault="005E5151" w:rsidP="005E5151">
      <w:pPr>
        <w:tabs>
          <w:tab w:val="center" w:pos="709"/>
        </w:tabs>
        <w:autoSpaceDE w:val="0"/>
        <w:autoSpaceDN w:val="0"/>
        <w:adjustRightInd w:val="0"/>
        <w:spacing w:line="360" w:lineRule="auto"/>
        <w:jc w:val="both"/>
      </w:pPr>
      <w:r>
        <w:rPr>
          <w:lang w:val="lt-LT"/>
        </w:rPr>
        <w:tab/>
      </w:r>
      <w:r w:rsidR="00423147">
        <w:rPr>
          <w:lang w:val="lt-LT"/>
        </w:rPr>
        <w:tab/>
      </w:r>
      <w:r>
        <w:rPr>
          <w:lang w:val="lt-LT"/>
        </w:rPr>
        <w:t>Lietuvoje vidutinis savivaldybių plotas taip pat yra vienas didžiausių Europos Sąjungoje (</w:t>
      </w:r>
      <w:r>
        <w:t>1088 kv. m</w:t>
      </w:r>
      <w:r w:rsidRPr="005E5151">
        <w:rPr>
          <w:vertAlign w:val="superscript"/>
        </w:rPr>
        <w:t>2</w:t>
      </w:r>
      <w:r>
        <w:t xml:space="preserve">). </w:t>
      </w:r>
      <w:r w:rsidR="00C74843">
        <w:t>J</w:t>
      </w:r>
      <w:r w:rsidR="00C74843">
        <w:rPr>
          <w:lang w:val="lt-LT"/>
        </w:rPr>
        <w:t xml:space="preserve">ą lenkia tik Švedija, kurioje savivaldybės yra vidutiniškai </w:t>
      </w:r>
      <w:r w:rsidR="00C74843">
        <w:t>1552</w:t>
      </w:r>
      <w:r w:rsidR="00C74843" w:rsidRPr="00C74843">
        <w:t xml:space="preserve"> kv. m</w:t>
      </w:r>
      <w:r w:rsidR="00C74843" w:rsidRPr="001031CB">
        <w:rPr>
          <w:vertAlign w:val="superscript"/>
        </w:rPr>
        <w:t>2</w:t>
      </w:r>
      <w:r w:rsidR="00C74843">
        <w:t>.</w:t>
      </w:r>
    </w:p>
    <w:p w:rsidR="002309BB" w:rsidRDefault="006C3425" w:rsidP="0027142D">
      <w:pPr>
        <w:tabs>
          <w:tab w:val="center" w:pos="709"/>
        </w:tabs>
        <w:autoSpaceDE w:val="0"/>
        <w:autoSpaceDN w:val="0"/>
        <w:adjustRightInd w:val="0"/>
        <w:spacing w:line="360" w:lineRule="auto"/>
        <w:jc w:val="both"/>
      </w:pPr>
      <w:r>
        <w:tab/>
      </w:r>
      <w:r>
        <w:tab/>
        <w:t xml:space="preserve">Pasak </w:t>
      </w:r>
      <w:r w:rsidRPr="006C3425">
        <w:t xml:space="preserve">Europos savivaldybių ir regionų tarybos </w:t>
      </w:r>
      <w:r>
        <w:t>optimalaus savivaldybių dyd</w:t>
      </w:r>
      <w:r>
        <w:rPr>
          <w:lang w:val="lt-LT"/>
        </w:rPr>
        <w:t>žio nėra</w:t>
      </w:r>
      <w:r w:rsidRPr="006C3425">
        <w:t xml:space="preserve">. Ieškoma balanso tarp efektyvaus paslaugų teikimo ir tikros vietinės demokratijos. Dalyje </w:t>
      </w:r>
      <w:r w:rsidR="00F20E97">
        <w:t xml:space="preserve">valstybių savivaldybės </w:t>
      </w:r>
      <w:r w:rsidR="00F20E97">
        <w:lastRenderedPageBreak/>
        <w:t>yra labia mažos</w:t>
      </w:r>
      <w:r w:rsidRPr="006C3425">
        <w:t xml:space="preserve"> vos su keletu tūkstančių g</w:t>
      </w:r>
      <w:r w:rsidR="009732E2">
        <w:t>yventojų, kitose kaip Lietuvoje</w:t>
      </w:r>
      <w:r w:rsidR="009732E2" w:rsidRPr="009732E2">
        <w:rPr>
          <w:color w:val="FFFFFF" w:themeColor="background1"/>
        </w:rPr>
        <w:t>_</w:t>
      </w:r>
      <w:r w:rsidRPr="006C3425">
        <w:t xml:space="preserve">ar </w:t>
      </w:r>
      <w:r w:rsidR="00F20E97">
        <w:t>Jungtinėje Karalystėje</w:t>
      </w:r>
      <w:r w:rsidRPr="006C3425">
        <w:t xml:space="preserve"> jos yra didelės su dešimtimis tūkstančių gyventojų. Tai yra du kraštutiniai mod</w:t>
      </w:r>
      <w:r w:rsidR="00F20E97">
        <w:t>eliai Europos Sąjungoje. Mažos</w:t>
      </w:r>
      <w:r w:rsidRPr="006C3425">
        <w:t xml:space="preserve"> savivaldybės nors ir priartina sprendimų priėmimą ir įgyvendinimą iki piliečių, bendruomenių, tačiau joms dažnai kyla problemų </w:t>
      </w:r>
      <w:proofErr w:type="gramStart"/>
      <w:r w:rsidRPr="006C3425">
        <w:t>dėl</w:t>
      </w:r>
      <w:proofErr w:type="gramEnd"/>
      <w:r w:rsidRPr="006C3425">
        <w:t xml:space="preserve"> kokybiško paslaugų teikimo, stambių projektų įgyvendi</w:t>
      </w:r>
      <w:r w:rsidR="00F20E97">
        <w:t>nimo ar investicijų pritraukimo</w:t>
      </w:r>
      <w:r w:rsidRPr="006C3425">
        <w:t>.</w:t>
      </w:r>
    </w:p>
    <w:p w:rsidR="00E91E87" w:rsidRPr="0027142D" w:rsidRDefault="00E91E87" w:rsidP="0027142D">
      <w:pPr>
        <w:tabs>
          <w:tab w:val="center" w:pos="709"/>
        </w:tabs>
        <w:autoSpaceDE w:val="0"/>
        <w:autoSpaceDN w:val="0"/>
        <w:adjustRightInd w:val="0"/>
        <w:spacing w:line="360" w:lineRule="auto"/>
        <w:jc w:val="both"/>
      </w:pPr>
    </w:p>
    <w:p w:rsidR="00217008" w:rsidRDefault="00684009" w:rsidP="001410ED">
      <w:pPr>
        <w:pStyle w:val="Heading3"/>
        <w:spacing w:before="0" w:line="360" w:lineRule="auto"/>
        <w:rPr>
          <w:lang w:val="lt-LT"/>
        </w:rPr>
      </w:pPr>
      <w:bookmarkStart w:id="57" w:name="_Toc385249538"/>
      <w:r>
        <w:rPr>
          <w:lang w:val="lt-LT"/>
        </w:rPr>
        <w:t>3.3</w:t>
      </w:r>
      <w:r w:rsidR="0027142D">
        <w:rPr>
          <w:lang w:val="lt-LT"/>
        </w:rPr>
        <w:t>.1. ES subnacionalinių valdžios institucijų išlaidų vertinimas</w:t>
      </w:r>
      <w:bookmarkEnd w:id="57"/>
    </w:p>
    <w:p w:rsidR="008718CD" w:rsidRDefault="00784AA0" w:rsidP="00784AA0">
      <w:pPr>
        <w:autoSpaceDE w:val="0"/>
        <w:autoSpaceDN w:val="0"/>
        <w:adjustRightInd w:val="0"/>
        <w:spacing w:line="360" w:lineRule="auto"/>
        <w:jc w:val="both"/>
        <w:rPr>
          <w:lang w:val="lt-LT"/>
        </w:rPr>
      </w:pPr>
      <w:r>
        <w:rPr>
          <w:lang w:val="lt-LT"/>
        </w:rPr>
        <w:tab/>
      </w:r>
    </w:p>
    <w:p w:rsidR="001410ED" w:rsidRDefault="001410ED" w:rsidP="001410ED">
      <w:pPr>
        <w:autoSpaceDE w:val="0"/>
        <w:autoSpaceDN w:val="0"/>
        <w:adjustRightInd w:val="0"/>
        <w:spacing w:line="360" w:lineRule="auto"/>
        <w:jc w:val="both"/>
        <w:rPr>
          <w:lang w:val="lt-LT"/>
        </w:rPr>
      </w:pPr>
      <w:r>
        <w:rPr>
          <w:lang w:val="lt-LT"/>
        </w:rPr>
        <w:t xml:space="preserve"> </w:t>
      </w:r>
      <w:r>
        <w:rPr>
          <w:lang w:val="lt-LT"/>
        </w:rPr>
        <w:tab/>
        <w:t>Lyginant Lietuvos ir ES subnacionalinių valdžios institucijų savarankiškumo lygį remsimės fiskalinės decentralizacijos dedamosiomis kaip ir vertinant Lietuvos fiskalinės decentralizacijos lygį.</w:t>
      </w:r>
    </w:p>
    <w:p w:rsidR="001410ED" w:rsidRDefault="001410ED" w:rsidP="001410ED">
      <w:pPr>
        <w:autoSpaceDE w:val="0"/>
        <w:autoSpaceDN w:val="0"/>
        <w:adjustRightInd w:val="0"/>
        <w:spacing w:line="360" w:lineRule="auto"/>
        <w:jc w:val="both"/>
        <w:rPr>
          <w:lang w:val="lt-LT"/>
        </w:rPr>
      </w:pPr>
      <w:r>
        <w:rPr>
          <w:lang w:val="lt-LT"/>
        </w:rPr>
        <w:tab/>
        <w:t xml:space="preserve">Kadangi šioje dalyje bus lyginama ne Lietuvos savivaldybių biudžetų, o vietinių valdžios sektorių </w:t>
      </w:r>
      <w:r w:rsidR="00FA1FC9">
        <w:rPr>
          <w:lang w:val="lt-LT"/>
        </w:rPr>
        <w:t>rodikliai, įver</w:t>
      </w:r>
      <w:r w:rsidR="00FA1FC9" w:rsidRPr="00FA1FC9">
        <w:rPr>
          <w:lang w:val="lt-LT"/>
        </w:rPr>
        <w:t>tinan</w:t>
      </w:r>
      <w:r w:rsidR="00FA1FC9">
        <w:rPr>
          <w:lang w:val="lt-LT"/>
        </w:rPr>
        <w:t>tys</w:t>
      </w:r>
      <w:r w:rsidR="00FA1FC9" w:rsidRPr="00FA1FC9">
        <w:rPr>
          <w:lang w:val="lt-LT"/>
        </w:rPr>
        <w:t xml:space="preserve"> fis</w:t>
      </w:r>
      <w:r w:rsidR="00FA1FC9">
        <w:rPr>
          <w:lang w:val="lt-LT"/>
        </w:rPr>
        <w:t xml:space="preserve">kalinės decentralizacijos laipsnį, bus naudojami </w:t>
      </w:r>
      <w:r w:rsidR="003F17D0">
        <w:rPr>
          <w:lang w:val="lt-LT"/>
        </w:rPr>
        <w:t xml:space="preserve">Tarptautinio valiutos fondo siūlomi fiskalinės decentralizacijos lygio matavimo kriterijai : didelis decentralizavimo lygis kai subnacionalinio valdžios sektoriaus išlaidų dalis valdžios sektoriaus išlaidose sudaro 33 proc. ir daugiau, vidutinis – nuo 25 iki 33 proc., mažas – mažiau nei 25 proc. </w:t>
      </w:r>
    </w:p>
    <w:p w:rsidR="009117DB" w:rsidRDefault="003F17D0" w:rsidP="003F17D0">
      <w:pPr>
        <w:autoSpaceDE w:val="0"/>
        <w:autoSpaceDN w:val="0"/>
        <w:adjustRightInd w:val="0"/>
        <w:spacing w:line="360" w:lineRule="auto"/>
        <w:jc w:val="both"/>
      </w:pPr>
      <w:r>
        <w:rPr>
          <w:lang w:val="lt-LT"/>
        </w:rPr>
        <w:tab/>
      </w:r>
      <w:r w:rsidR="009117DB">
        <w:rPr>
          <w:lang w:val="lt-LT"/>
        </w:rPr>
        <w:t xml:space="preserve"> </w:t>
      </w:r>
      <w:r w:rsidR="008B4BFC">
        <w:rPr>
          <w:lang w:val="lt-LT"/>
        </w:rPr>
        <w:t xml:space="preserve">ES valstybių narių </w:t>
      </w:r>
      <w:r w:rsidR="00EF453C">
        <w:rPr>
          <w:lang w:val="lt-LT"/>
        </w:rPr>
        <w:t>subnacionalinių</w:t>
      </w:r>
      <w:r w:rsidR="008B4BFC">
        <w:rPr>
          <w:lang w:val="lt-LT"/>
        </w:rPr>
        <w:t xml:space="preserve"> valdžios </w:t>
      </w:r>
      <w:r w:rsidR="00EF453C">
        <w:rPr>
          <w:lang w:val="lt-LT"/>
        </w:rPr>
        <w:t xml:space="preserve">institucijų </w:t>
      </w:r>
      <w:r w:rsidR="000F289B">
        <w:rPr>
          <w:lang w:val="lt-LT"/>
        </w:rPr>
        <w:t>išlaidų vidurkis</w:t>
      </w:r>
      <w:r w:rsidR="008B4BFC">
        <w:rPr>
          <w:lang w:val="lt-LT"/>
        </w:rPr>
        <w:t xml:space="preserve"> sudaro apie 30 proc. (</w:t>
      </w:r>
      <w:r w:rsidR="008B4BFC">
        <w:t>2012 m. – 28,9 proc.)</w:t>
      </w:r>
      <w:r w:rsidR="008B4BFC">
        <w:rPr>
          <w:lang w:val="lt-LT"/>
        </w:rPr>
        <w:t xml:space="preserve"> </w:t>
      </w:r>
      <w:r w:rsidR="00995D49">
        <w:rPr>
          <w:lang w:val="lt-LT"/>
        </w:rPr>
        <w:t xml:space="preserve">valdžios sektoriaus </w:t>
      </w:r>
      <w:r w:rsidR="008B4BFC">
        <w:rPr>
          <w:lang w:val="lt-LT"/>
        </w:rPr>
        <w:t>išlaidų</w:t>
      </w:r>
      <w:r w:rsidR="00D57172">
        <w:rPr>
          <w:lang w:val="lt-LT"/>
        </w:rPr>
        <w:t xml:space="preserve"> (žr. 21</w:t>
      </w:r>
      <w:r w:rsidR="001031CB">
        <w:rPr>
          <w:lang w:val="lt-LT"/>
        </w:rPr>
        <w:t xml:space="preserve"> </w:t>
      </w:r>
      <w:r w:rsidR="00995D49">
        <w:rPr>
          <w:lang w:val="lt-LT"/>
        </w:rPr>
        <w:t>pav.)</w:t>
      </w:r>
      <w:r w:rsidR="008B4BFC">
        <w:rPr>
          <w:lang w:val="lt-LT"/>
        </w:rPr>
        <w:t>.</w:t>
      </w:r>
      <w:r w:rsidR="008677C8">
        <w:rPr>
          <w:lang w:val="lt-LT"/>
        </w:rPr>
        <w:t xml:space="preserve"> Remiantis Europos Komisijos fiskalinės decentralizacijos vertinimo kriterijais tai rodo vidutiniškai centralizuotą finansų sistemą. Į šį lygmenį patenka ir Lietuva – subnacionalinių valdžios institucijų da</w:t>
      </w:r>
      <w:r w:rsidR="009117DB">
        <w:rPr>
          <w:lang w:val="lt-LT"/>
        </w:rPr>
        <w:t xml:space="preserve">lis valdžios sektoriaus išlaidose </w:t>
      </w:r>
      <w:r w:rsidR="009117DB">
        <w:t xml:space="preserve">26,2 proc. </w:t>
      </w:r>
    </w:p>
    <w:p w:rsidR="003F17D0" w:rsidRDefault="003F17D0" w:rsidP="003F17D0">
      <w:pPr>
        <w:autoSpaceDE w:val="0"/>
        <w:autoSpaceDN w:val="0"/>
        <w:adjustRightInd w:val="0"/>
        <w:spacing w:line="360" w:lineRule="auto"/>
        <w:jc w:val="both"/>
        <w:rPr>
          <w:lang w:val="lt-LT"/>
        </w:rPr>
      </w:pPr>
      <w:r>
        <w:tab/>
      </w:r>
      <w:r w:rsidR="008677C8">
        <w:rPr>
          <w:lang w:val="lt-LT"/>
        </w:rPr>
        <w:t xml:space="preserve">Fiskalinė </w:t>
      </w:r>
      <w:r w:rsidR="000F289B">
        <w:rPr>
          <w:lang w:val="lt-LT"/>
        </w:rPr>
        <w:t>decentralizacija</w:t>
      </w:r>
      <w:r w:rsidR="008B4BFC">
        <w:rPr>
          <w:lang w:val="lt-LT"/>
        </w:rPr>
        <w:t xml:space="preserve"> pažengusi federalinėse valstybėse (</w:t>
      </w:r>
      <w:r w:rsidR="00FE0B13">
        <w:rPr>
          <w:lang w:val="lt-LT"/>
        </w:rPr>
        <w:t xml:space="preserve">Austrijoje, Belgijoje, Vokietijoje ir Ispanijoje). </w:t>
      </w:r>
      <w:r w:rsidR="008677C8" w:rsidRPr="008677C8">
        <w:rPr>
          <w:lang w:val="lt-LT"/>
        </w:rPr>
        <w:t>Subnacionalinių valdžios institucijų išlaidos Ispanijoje ir Švedijoje sudaro daugiau kaip 45 proc. valdžios sektoriaus išlaidų, Danijoje – 63,7 proc.</w:t>
      </w:r>
      <w:r w:rsidR="008677C8">
        <w:rPr>
          <w:lang w:val="lt-LT"/>
        </w:rPr>
        <w:t xml:space="preserve"> Tai rodo subnacionalinių valdžios institucijų didelį savarankiškumą.</w:t>
      </w:r>
    </w:p>
    <w:p w:rsidR="006A754C" w:rsidRDefault="007F3937" w:rsidP="006A754C">
      <w:pPr>
        <w:autoSpaceDE w:val="0"/>
        <w:autoSpaceDN w:val="0"/>
        <w:adjustRightInd w:val="0"/>
        <w:spacing w:line="360" w:lineRule="auto"/>
        <w:ind w:firstLine="720"/>
        <w:jc w:val="both"/>
        <w:rPr>
          <w:lang w:val="lt-LT"/>
        </w:rPr>
      </w:pPr>
      <w:r>
        <w:rPr>
          <w:lang w:val="lt-LT"/>
        </w:rPr>
        <w:t xml:space="preserve">Dauguma ES šalių narių žemesni valdžios lygiai nuo </w:t>
      </w:r>
      <w:r>
        <w:t xml:space="preserve">1990 m. vis daugiau išlaidų atžvilgiu tampa nepriklausomi. </w:t>
      </w:r>
      <w:r>
        <w:rPr>
          <w:lang w:val="lt-LT"/>
        </w:rPr>
        <w:t xml:space="preserve">Verta išskirti Airiją, kurios subnacionalinio lygmens išlaidų dalis </w:t>
      </w:r>
      <w:r w:rsidR="003F17D0">
        <w:rPr>
          <w:lang w:val="lt-LT"/>
        </w:rPr>
        <w:t xml:space="preserve">valdžios sektoriaus išlaidose </w:t>
      </w:r>
      <w:r>
        <w:rPr>
          <w:lang w:val="lt-LT"/>
        </w:rPr>
        <w:t xml:space="preserve">sparčiai mažėja: </w:t>
      </w:r>
      <w:r>
        <w:t>2004 m. – 42,2 proc., 2008 m. - 18 proc, 2012 m. – 12,2 proc.</w:t>
      </w:r>
      <w:r w:rsidR="003E52B4">
        <w:t xml:space="preserve"> Tam </w:t>
      </w:r>
      <w:r w:rsidR="003E52B4">
        <w:rPr>
          <w:lang w:val="lt-LT"/>
        </w:rPr>
        <w:t xml:space="preserve">įtakos turėjo </w:t>
      </w:r>
      <w:r w:rsidR="003E52B4">
        <w:t>2000 m. pakeista sveikatos apsaugos sistema ir kriz</w:t>
      </w:r>
      <w:r w:rsidR="003E52B4">
        <w:rPr>
          <w:lang w:val="lt-LT"/>
        </w:rPr>
        <w:t>ės laikotarpiu bankų rekapitalizacija.</w:t>
      </w:r>
    </w:p>
    <w:p w:rsidR="009117DB" w:rsidRPr="006A754C" w:rsidRDefault="009117DB" w:rsidP="006A754C">
      <w:pPr>
        <w:autoSpaceDE w:val="0"/>
        <w:autoSpaceDN w:val="0"/>
        <w:adjustRightInd w:val="0"/>
        <w:spacing w:line="360" w:lineRule="auto"/>
        <w:ind w:firstLine="720"/>
        <w:jc w:val="both"/>
        <w:rPr>
          <w:lang w:val="lt-LT"/>
        </w:rPr>
      </w:pPr>
      <w:r>
        <w:rPr>
          <w:lang w:val="lt-LT"/>
        </w:rPr>
        <w:t xml:space="preserve"> Pastebima tendencija, kad ilgą laiką didėjanti subnacionalinių išlaidų dalis – nuo </w:t>
      </w:r>
      <w:r>
        <w:t xml:space="preserve">2010 m. ima mažėti. </w:t>
      </w:r>
      <w:r w:rsidR="008529F0">
        <w:t>Tam didelę įtaką turėjo ekonominė krizė, kuri paskatino centrinę valdžią labiau kontroliuoti žemesnius nacionalinius lygius.</w:t>
      </w:r>
    </w:p>
    <w:p w:rsidR="008677C8" w:rsidRPr="000F289B" w:rsidRDefault="008677C8" w:rsidP="00BB2142">
      <w:pPr>
        <w:tabs>
          <w:tab w:val="center" w:pos="4770"/>
        </w:tabs>
        <w:autoSpaceDE w:val="0"/>
        <w:autoSpaceDN w:val="0"/>
        <w:adjustRightInd w:val="0"/>
        <w:spacing w:line="360" w:lineRule="auto"/>
        <w:jc w:val="both"/>
      </w:pPr>
    </w:p>
    <w:p w:rsidR="0011437D" w:rsidRDefault="0011437D" w:rsidP="00BB2142">
      <w:pPr>
        <w:tabs>
          <w:tab w:val="center" w:pos="4770"/>
        </w:tabs>
        <w:autoSpaceDE w:val="0"/>
        <w:autoSpaceDN w:val="0"/>
        <w:adjustRightInd w:val="0"/>
        <w:spacing w:line="360" w:lineRule="auto"/>
        <w:jc w:val="both"/>
        <w:rPr>
          <w:lang w:val="lt-LT"/>
        </w:rPr>
      </w:pPr>
    </w:p>
    <w:p w:rsidR="0011437D" w:rsidRDefault="0011437D" w:rsidP="00BB2142">
      <w:pPr>
        <w:tabs>
          <w:tab w:val="center" w:pos="4770"/>
        </w:tabs>
        <w:autoSpaceDE w:val="0"/>
        <w:autoSpaceDN w:val="0"/>
        <w:adjustRightInd w:val="0"/>
        <w:spacing w:line="360" w:lineRule="auto"/>
        <w:jc w:val="both"/>
        <w:rPr>
          <w:lang w:val="lt-LT"/>
        </w:rPr>
      </w:pPr>
      <w:r w:rsidRPr="00123A63">
        <w:rPr>
          <w:noProof/>
          <w:color w:val="FF0000"/>
        </w:rPr>
        <w:lastRenderedPageBreak/>
        <w:drawing>
          <wp:inline distT="0" distB="0" distL="0" distR="0" wp14:anchorId="659C5269" wp14:editId="39128646">
            <wp:extent cx="6273209" cy="3200400"/>
            <wp:effectExtent l="0" t="0" r="13335" b="19050"/>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rsidR="00C3061E" w:rsidRDefault="00C3061E" w:rsidP="00BB2142">
      <w:pPr>
        <w:tabs>
          <w:tab w:val="center" w:pos="4770"/>
        </w:tabs>
        <w:autoSpaceDE w:val="0"/>
        <w:autoSpaceDN w:val="0"/>
        <w:adjustRightInd w:val="0"/>
        <w:spacing w:line="360" w:lineRule="auto"/>
        <w:jc w:val="both"/>
        <w:rPr>
          <w:sz w:val="20"/>
          <w:szCs w:val="20"/>
          <w:lang w:val="lt-LT"/>
        </w:rPr>
      </w:pPr>
      <w:r w:rsidRPr="00C3061E">
        <w:rPr>
          <w:b/>
          <w:sz w:val="20"/>
          <w:szCs w:val="20"/>
          <w:lang w:val="lt-LT"/>
        </w:rPr>
        <w:t>Šaltinis:</w:t>
      </w:r>
      <w:r w:rsidRPr="00C3061E">
        <w:rPr>
          <w:sz w:val="20"/>
          <w:szCs w:val="20"/>
          <w:lang w:val="lt-LT"/>
        </w:rPr>
        <w:t xml:space="preserve"> Eurostat duomenys</w:t>
      </w:r>
    </w:p>
    <w:p w:rsidR="008529F0" w:rsidRDefault="00D57172" w:rsidP="00A204BB">
      <w:pPr>
        <w:pStyle w:val="Caption"/>
        <w:ind w:hanging="851"/>
      </w:pPr>
      <w:bookmarkStart w:id="58" w:name="_Toc385239377"/>
      <w:proofErr w:type="gramStart"/>
      <w:r>
        <w:t>21</w:t>
      </w:r>
      <w:r w:rsidR="001031CB">
        <w:t xml:space="preserve"> </w:t>
      </w:r>
      <w:r w:rsidR="00995D49">
        <w:t>p</w:t>
      </w:r>
      <w:r w:rsidR="00C3061E" w:rsidRPr="00995D49">
        <w:t>av.</w:t>
      </w:r>
      <w:proofErr w:type="gramEnd"/>
      <w:r w:rsidR="00C3061E" w:rsidRPr="00995D49">
        <w:t xml:space="preserve"> Subnacionalinių valdžios institucijų </w:t>
      </w:r>
      <w:r w:rsidR="00995D49" w:rsidRPr="00995D49">
        <w:t xml:space="preserve">išlaidų dalis </w:t>
      </w:r>
      <w:r w:rsidR="007539C3">
        <w:t>valdžios sektoriaus</w:t>
      </w:r>
      <w:r w:rsidR="008718CD">
        <w:t xml:space="preserve"> biudžete</w:t>
      </w:r>
      <w:r w:rsidR="00995D49">
        <w:t xml:space="preserve"> 2012 m., proc.</w:t>
      </w:r>
      <w:bookmarkEnd w:id="58"/>
    </w:p>
    <w:p w:rsidR="003F17D0" w:rsidRDefault="003F17D0" w:rsidP="003F17D0">
      <w:pPr>
        <w:tabs>
          <w:tab w:val="center" w:pos="4770"/>
        </w:tabs>
        <w:autoSpaceDE w:val="0"/>
        <w:autoSpaceDN w:val="0"/>
        <w:adjustRightInd w:val="0"/>
        <w:spacing w:line="360" w:lineRule="auto"/>
        <w:jc w:val="center"/>
        <w:rPr>
          <w:b/>
          <w:lang w:val="lt-LT"/>
        </w:rPr>
      </w:pPr>
    </w:p>
    <w:p w:rsidR="003F17D0" w:rsidRDefault="003F17D0" w:rsidP="003F17D0">
      <w:pPr>
        <w:autoSpaceDE w:val="0"/>
        <w:autoSpaceDN w:val="0"/>
        <w:adjustRightInd w:val="0"/>
        <w:spacing w:line="360" w:lineRule="auto"/>
        <w:ind w:firstLine="720"/>
        <w:jc w:val="both"/>
        <w:rPr>
          <w:lang w:val="lt-LT"/>
        </w:rPr>
      </w:pPr>
      <w:r>
        <w:t>Dvide</w:t>
      </w:r>
      <w:r w:rsidR="00D57172">
        <w:rPr>
          <w:lang w:val="lt-LT"/>
        </w:rPr>
        <w:t>šimt antrame</w:t>
      </w:r>
      <w:r>
        <w:rPr>
          <w:lang w:val="lt-LT"/>
        </w:rPr>
        <w:t xml:space="preserve"> </w:t>
      </w:r>
      <w:r>
        <w:t>paveiksle matyti, kad centrin</w:t>
      </w:r>
      <w:r>
        <w:rPr>
          <w:lang w:val="lt-LT"/>
        </w:rPr>
        <w:t>ė valdžia dominuoja pagal išlaidas visose ES valstybėse. Kaip nurodo Europos Komisija, socialinės apsaugos fondai nuo centrinės valdžios nėra atskirti dvejose šalyse narėse – Maltoje ir Didžiojoje Britanijoje. Čia ir pastebima didžiausia centrinės valdžios išlaidų dalis valdžios sektoriuje.</w:t>
      </w:r>
      <w:r w:rsidRPr="008B1F51">
        <w:t xml:space="preserve"> </w:t>
      </w:r>
      <w:r w:rsidRPr="008B1F51">
        <w:rPr>
          <w:lang w:val="lt-LT"/>
        </w:rPr>
        <w:t>Belgijoje, Vokietijoj</w:t>
      </w:r>
      <w:r>
        <w:rPr>
          <w:lang w:val="lt-LT"/>
        </w:rPr>
        <w:t xml:space="preserve">e, Graikijoje, Prancūzijoje ir </w:t>
      </w:r>
      <w:r w:rsidRPr="008B1F51">
        <w:rPr>
          <w:lang w:val="lt-LT"/>
        </w:rPr>
        <w:t>Liuksemburge,</w:t>
      </w:r>
      <w:r>
        <w:rPr>
          <w:lang w:val="lt-LT"/>
        </w:rPr>
        <w:t xml:space="preserve"> </w:t>
      </w:r>
      <w:r w:rsidRPr="008B1F51">
        <w:rPr>
          <w:lang w:val="lt-LT"/>
        </w:rPr>
        <w:t>sociali</w:t>
      </w:r>
      <w:r>
        <w:rPr>
          <w:lang w:val="lt-LT"/>
        </w:rPr>
        <w:t>nės apsaugos fondų subsektorius sudarė daugiau nei 40 proc.</w:t>
      </w:r>
      <w:r w:rsidRPr="008B1F51">
        <w:rPr>
          <w:lang w:val="lt-LT"/>
        </w:rPr>
        <w:t xml:space="preserve"> vi</w:t>
      </w:r>
      <w:r>
        <w:rPr>
          <w:lang w:val="lt-LT"/>
        </w:rPr>
        <w:t>sų valdžios sektoriaus išlaidų dalį 2012 m.</w:t>
      </w:r>
      <w:r w:rsidRPr="00B14D32">
        <w:t xml:space="preserve"> </w:t>
      </w:r>
      <w:r>
        <w:rPr>
          <w:lang w:val="lt-LT"/>
        </w:rPr>
        <w:t>Didelė dalis centrinės valdžios</w:t>
      </w:r>
      <w:r w:rsidRPr="00B14D32">
        <w:rPr>
          <w:lang w:val="lt-LT"/>
        </w:rPr>
        <w:t xml:space="preserve"> sektoriaus išlaidų</w:t>
      </w:r>
      <w:r>
        <w:rPr>
          <w:lang w:val="lt-LT"/>
        </w:rPr>
        <w:t xml:space="preserve"> tenka </w:t>
      </w:r>
      <w:r w:rsidRPr="00B14D32">
        <w:rPr>
          <w:lang w:val="lt-LT"/>
        </w:rPr>
        <w:t>Čekijoje (64</w:t>
      </w:r>
      <w:r>
        <w:rPr>
          <w:lang w:val="lt-LT"/>
        </w:rPr>
        <w:t xml:space="preserve"> proc. ) , Estijoje  ( 68 proc.) , Airijoje ( 75 proc.) , Kipre ( 76 proc.), Jungtinėje Karalystėje ( 7</w:t>
      </w:r>
      <w:r>
        <w:t>4 proc.</w:t>
      </w:r>
      <w:r w:rsidRPr="00B14D32">
        <w:rPr>
          <w:lang w:val="lt-LT"/>
        </w:rPr>
        <w:t>)</w:t>
      </w:r>
      <w:r>
        <w:rPr>
          <w:lang w:val="lt-LT"/>
        </w:rPr>
        <w:t>.</w:t>
      </w:r>
    </w:p>
    <w:p w:rsidR="003F17D0" w:rsidRDefault="003F17D0" w:rsidP="003F17D0">
      <w:pPr>
        <w:autoSpaceDE w:val="0"/>
        <w:autoSpaceDN w:val="0"/>
        <w:adjustRightInd w:val="0"/>
        <w:spacing w:line="360" w:lineRule="auto"/>
        <w:ind w:firstLine="720"/>
        <w:jc w:val="both"/>
        <w:rPr>
          <w:lang w:val="lt-LT"/>
        </w:rPr>
      </w:pPr>
      <w:r w:rsidRPr="003F17D0">
        <w:rPr>
          <w:lang w:val="lt-LT"/>
        </w:rPr>
        <w:t>Lietuvos centrinės valdžios išlaidos siekia 49 proc., o subnacionalinės – 22 proc. visų valdžios sektoriaus išlaidų. Nors tai nedidelis atsilikimas decentralizacijos požiūriu nuo ES vidurkio (atitinkamai 45 ir 28 proc.), tačiau tai rodo mažesnes savivaldybių finansines galias ir atitinkamai disponuoja santykinai mažesniu finansiniu išteklių kiekiu šalyje.</w:t>
      </w:r>
    </w:p>
    <w:p w:rsidR="008529F0" w:rsidRPr="00995D49" w:rsidRDefault="008529F0" w:rsidP="00C3061E">
      <w:pPr>
        <w:tabs>
          <w:tab w:val="center" w:pos="4770"/>
        </w:tabs>
        <w:autoSpaceDE w:val="0"/>
        <w:autoSpaceDN w:val="0"/>
        <w:adjustRightInd w:val="0"/>
        <w:spacing w:line="360" w:lineRule="auto"/>
        <w:jc w:val="center"/>
        <w:rPr>
          <w:b/>
        </w:rPr>
      </w:pPr>
    </w:p>
    <w:p w:rsidR="00686F33" w:rsidRDefault="00686F33" w:rsidP="00BB2142">
      <w:pPr>
        <w:tabs>
          <w:tab w:val="center" w:pos="4770"/>
        </w:tabs>
        <w:autoSpaceDE w:val="0"/>
        <w:autoSpaceDN w:val="0"/>
        <w:adjustRightInd w:val="0"/>
        <w:spacing w:line="360" w:lineRule="auto"/>
        <w:jc w:val="both"/>
        <w:rPr>
          <w:lang w:val="lt-LT"/>
        </w:rPr>
      </w:pPr>
    </w:p>
    <w:p w:rsidR="003A0A1D" w:rsidRDefault="00880BC7" w:rsidP="00452D18">
      <w:pPr>
        <w:autoSpaceDE w:val="0"/>
        <w:autoSpaceDN w:val="0"/>
        <w:adjustRightInd w:val="0"/>
        <w:spacing w:line="360" w:lineRule="auto"/>
        <w:jc w:val="both"/>
        <w:rPr>
          <w:lang w:val="lt-LT"/>
        </w:rPr>
      </w:pPr>
      <w:r>
        <w:rPr>
          <w:noProof/>
        </w:rPr>
        <w:lastRenderedPageBreak/>
        <w:drawing>
          <wp:inline distT="0" distB="0" distL="0" distR="0" wp14:anchorId="16B5F623" wp14:editId="5DB053DC">
            <wp:extent cx="6464596" cy="3147238"/>
            <wp:effectExtent l="0" t="0" r="0" b="0"/>
            <wp:docPr id="9" name="Object 267"/>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p>
    <w:p w:rsidR="00DF0D9F" w:rsidRDefault="00DF0D9F" w:rsidP="00452D18">
      <w:pPr>
        <w:autoSpaceDE w:val="0"/>
        <w:autoSpaceDN w:val="0"/>
        <w:adjustRightInd w:val="0"/>
        <w:spacing w:line="360" w:lineRule="auto"/>
        <w:jc w:val="both"/>
        <w:rPr>
          <w:sz w:val="20"/>
          <w:lang w:val="lt-LT"/>
        </w:rPr>
      </w:pPr>
      <w:r w:rsidRPr="00DF0D9F">
        <w:rPr>
          <w:b/>
          <w:sz w:val="20"/>
          <w:lang w:val="lt-LT"/>
        </w:rPr>
        <w:t>Šaltinis:</w:t>
      </w:r>
      <w:r w:rsidR="00D45266">
        <w:rPr>
          <w:b/>
          <w:sz w:val="20"/>
          <w:lang w:val="lt-LT"/>
        </w:rPr>
        <w:t xml:space="preserve"> </w:t>
      </w:r>
      <w:r w:rsidR="00D45266" w:rsidRPr="00D45266">
        <w:rPr>
          <w:sz w:val="20"/>
          <w:lang w:val="lt-LT"/>
        </w:rPr>
        <w:t>sudaryta pagal</w:t>
      </w:r>
      <w:r w:rsidR="00D45266">
        <w:rPr>
          <w:sz w:val="20"/>
          <w:lang w:val="lt-LT"/>
        </w:rPr>
        <w:t xml:space="preserve"> Eurostat duomeni</w:t>
      </w:r>
      <w:r w:rsidRPr="00DF0D9F">
        <w:rPr>
          <w:sz w:val="20"/>
          <w:lang w:val="lt-LT"/>
        </w:rPr>
        <w:t>s</w:t>
      </w:r>
    </w:p>
    <w:p w:rsidR="00DF0D9F" w:rsidRDefault="00D57172" w:rsidP="00A204BB">
      <w:pPr>
        <w:pStyle w:val="Caption"/>
        <w:ind w:hanging="709"/>
      </w:pPr>
      <w:bookmarkStart w:id="59" w:name="_Toc385239378"/>
      <w:r>
        <w:t>22</w:t>
      </w:r>
      <w:r w:rsidR="00950EA1">
        <w:t xml:space="preserve"> </w:t>
      </w:r>
      <w:r w:rsidR="00DF0D9F" w:rsidRPr="00DF0D9F">
        <w:t>pav. Subsektorių išlaidų dalis valdžios sektoriaus išlaidose 2012 m., proc.</w:t>
      </w:r>
      <w:bookmarkEnd w:id="59"/>
    </w:p>
    <w:p w:rsidR="00DF0D9F" w:rsidRDefault="00DF0D9F" w:rsidP="00DF0D9F">
      <w:pPr>
        <w:autoSpaceDE w:val="0"/>
        <w:autoSpaceDN w:val="0"/>
        <w:adjustRightInd w:val="0"/>
        <w:spacing w:line="360" w:lineRule="auto"/>
        <w:jc w:val="center"/>
        <w:rPr>
          <w:b/>
        </w:rPr>
      </w:pPr>
    </w:p>
    <w:p w:rsidR="00232F89" w:rsidRPr="00232F89" w:rsidRDefault="00232F89" w:rsidP="00950EA1">
      <w:pPr>
        <w:autoSpaceDE w:val="0"/>
        <w:autoSpaceDN w:val="0"/>
        <w:adjustRightInd w:val="0"/>
        <w:spacing w:line="360" w:lineRule="auto"/>
        <w:jc w:val="both"/>
      </w:pPr>
      <w:r>
        <w:rPr>
          <w:lang w:val="lt-LT"/>
        </w:rPr>
        <w:tab/>
      </w:r>
      <w:r w:rsidR="00372F42" w:rsidRPr="00372F42">
        <w:rPr>
          <w:lang w:val="lt-LT"/>
        </w:rPr>
        <w:t xml:space="preserve">Remiantis Eurostat duomenimis nustatyta, kad 2012 m. ES biudžeto valdžios išlaidos sudarė 49,4 proc. BVP, o Lietuvoje – 36,1 proc. Iš </w:t>
      </w:r>
      <w:r w:rsidR="00372F42">
        <w:rPr>
          <w:lang w:val="lt-LT"/>
        </w:rPr>
        <w:t>dvidešimt</w:t>
      </w:r>
      <w:r w:rsidR="007477F7">
        <w:rPr>
          <w:lang w:val="lt-LT"/>
        </w:rPr>
        <w:t xml:space="preserve"> ketvirto</w:t>
      </w:r>
      <w:r w:rsidR="00372F42">
        <w:rPr>
          <w:lang w:val="lt-LT"/>
        </w:rPr>
        <w:t xml:space="preserve"> </w:t>
      </w:r>
      <w:r w:rsidR="00372F42" w:rsidRPr="00372F42">
        <w:rPr>
          <w:lang w:val="lt-LT"/>
        </w:rPr>
        <w:t>paveikslo matyti, kad socialinei apsaugai ES ir Lietuva skiria išskirtinį dėmesį, skirdamos didžiausią valdžios išlaidų dalį BVP (19,6 ir 12,4 proc.). Tačiau ES ir Lietuvos subnacionalinės valdžios institucijos (Lietuvoje - vietinė valdžia) šiai sferai skiria atitinkamai tik 3,3 ir 1,4 proc BVP. Galime teigti, kad socialinė apsauga Lietuvoje lyginant su ES vidurkiu yra mažai decentralizuota. Fiskalinės decentralizacijos požiūriu Lietuva atsilieka daugumoje sričių: sveikatos apsaugos, ekonomikos, viešosios tvarkos ir visuomenės apsaugos, poilsio, kultūros ir religijos, bei bendrų valstybės paslaugų. Švietimo ir aplinkos apsaugos sferose Lietuva nežymiai (atitinkamai 0,1 ir 0,2 procentiniu punktu) lenkia ES šalių vidurkį. Tačiau akivaizdu, kad Lietuvos fiskalinė decentralizacija pagal COFOG klasifikaciją atsilieka nuo ES vidurkio beveik visose srityse.</w:t>
      </w:r>
    </w:p>
    <w:p w:rsidR="008718CD" w:rsidRPr="00B14D32" w:rsidRDefault="008718CD" w:rsidP="00B14D32">
      <w:pPr>
        <w:autoSpaceDE w:val="0"/>
        <w:autoSpaceDN w:val="0"/>
        <w:adjustRightInd w:val="0"/>
        <w:spacing w:line="360" w:lineRule="auto"/>
        <w:rPr>
          <w:lang w:val="lt-LT"/>
        </w:rPr>
      </w:pPr>
      <w:r>
        <w:rPr>
          <w:lang w:val="lt-LT"/>
        </w:rPr>
        <w:tab/>
      </w:r>
    </w:p>
    <w:p w:rsidR="00ED0A1C" w:rsidRDefault="00880BC7" w:rsidP="00452D18">
      <w:pPr>
        <w:autoSpaceDE w:val="0"/>
        <w:autoSpaceDN w:val="0"/>
        <w:adjustRightInd w:val="0"/>
        <w:spacing w:line="360" w:lineRule="auto"/>
        <w:jc w:val="both"/>
        <w:rPr>
          <w:lang w:val="lt-LT"/>
        </w:rPr>
      </w:pPr>
      <w:r>
        <w:rPr>
          <w:noProof/>
        </w:rPr>
        <w:lastRenderedPageBreak/>
        <w:drawing>
          <wp:inline distT="0" distB="0" distL="0" distR="0" wp14:anchorId="508E1323" wp14:editId="7580F4FC">
            <wp:extent cx="6492240" cy="4506686"/>
            <wp:effectExtent l="0" t="0" r="3810" b="0"/>
            <wp:docPr id="8" name="Object 248"/>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rsidR="00950EA1" w:rsidRDefault="002D0223" w:rsidP="00950EA1">
      <w:pPr>
        <w:tabs>
          <w:tab w:val="center" w:pos="4770"/>
        </w:tabs>
        <w:autoSpaceDE w:val="0"/>
        <w:autoSpaceDN w:val="0"/>
        <w:adjustRightInd w:val="0"/>
        <w:spacing w:line="360" w:lineRule="auto"/>
        <w:jc w:val="both"/>
        <w:rPr>
          <w:lang w:val="lt-LT"/>
        </w:rPr>
      </w:pPr>
      <w:r>
        <w:rPr>
          <w:b/>
          <w:sz w:val="20"/>
          <w:lang w:val="lt-LT"/>
        </w:rPr>
        <w:t>Š</w:t>
      </w:r>
      <w:r w:rsidRPr="002D0223">
        <w:rPr>
          <w:b/>
          <w:sz w:val="20"/>
          <w:lang w:val="lt-LT"/>
        </w:rPr>
        <w:t>altinis:</w:t>
      </w:r>
      <w:r w:rsidRPr="002D0223">
        <w:rPr>
          <w:sz w:val="20"/>
          <w:lang w:val="lt-LT"/>
        </w:rPr>
        <w:t xml:space="preserve"> Eurostat, </w:t>
      </w:r>
      <w:r w:rsidR="00950EA1" w:rsidRPr="00DE45AC">
        <w:rPr>
          <w:sz w:val="20"/>
          <w:szCs w:val="20"/>
          <w:lang w:val="lt-LT"/>
        </w:rPr>
        <w:t>Lietuvos statistikos departamento duomenų bazė</w:t>
      </w:r>
    </w:p>
    <w:p w:rsidR="00372F42" w:rsidRDefault="00D57172" w:rsidP="00A204BB">
      <w:pPr>
        <w:pStyle w:val="Caption"/>
        <w:ind w:hanging="851"/>
      </w:pPr>
      <w:bookmarkStart w:id="60" w:name="_Toc385239379"/>
      <w:r>
        <w:t>23</w:t>
      </w:r>
      <w:r w:rsidR="00950EA1">
        <w:t xml:space="preserve"> </w:t>
      </w:r>
      <w:r w:rsidR="00D41A8E" w:rsidRPr="00E02084">
        <w:t xml:space="preserve">pav. ES ir Lietuvos </w:t>
      </w:r>
      <w:r w:rsidR="00E26D74">
        <w:t>nacionalinio</w:t>
      </w:r>
      <w:r w:rsidR="00D41A8E" w:rsidRPr="00E02084">
        <w:t xml:space="preserve"> ir subnacionalinių valdžios institucijų biudžetų išlaidų dalis BVP pagal COFOG klasifikaciją 2012 m., proc.</w:t>
      </w:r>
      <w:bookmarkEnd w:id="60"/>
    </w:p>
    <w:p w:rsidR="00D57172" w:rsidRDefault="00D57172" w:rsidP="00372F42">
      <w:pPr>
        <w:autoSpaceDE w:val="0"/>
        <w:autoSpaceDN w:val="0"/>
        <w:adjustRightInd w:val="0"/>
        <w:spacing w:line="360" w:lineRule="auto"/>
        <w:jc w:val="center"/>
        <w:rPr>
          <w:b/>
          <w:lang w:val="lt-LT"/>
        </w:rPr>
      </w:pPr>
    </w:p>
    <w:p w:rsidR="00E02084" w:rsidRDefault="00372F42" w:rsidP="00372F42">
      <w:pPr>
        <w:spacing w:line="360" w:lineRule="auto"/>
        <w:ind w:firstLine="720"/>
        <w:jc w:val="both"/>
        <w:rPr>
          <w:lang w:val="lt-LT"/>
        </w:rPr>
      </w:pPr>
      <w:r>
        <w:rPr>
          <w:lang w:val="lt-LT"/>
        </w:rPr>
        <w:t xml:space="preserve">Dvidešimt </w:t>
      </w:r>
      <w:r w:rsidR="00D57172">
        <w:rPr>
          <w:lang w:val="lt-LT"/>
        </w:rPr>
        <w:t>ketvirtam</w:t>
      </w:r>
      <w:r>
        <w:rPr>
          <w:lang w:val="lt-LT"/>
        </w:rPr>
        <w:t xml:space="preserve"> paveiksle matyti, kad ryšys tarp subnacionalinių valdžios institucijų išlaidų dalies nacionaliniame biudžete ir nacionalinio biudžetų išlaidų dalies BVP yra teigiamas, tačiau silpnas. Tai reiškia, kad padidėjus nacionalinio biudžeto išlaidų daliai BVP subnacionalinių valdžios institucijų biudžetų išlaidų dalis nacionaliniame biudžete padidėja nežymiai</w:t>
      </w:r>
      <w:r w:rsidR="00E91E87">
        <w:rPr>
          <w:lang w:val="lt-LT"/>
        </w:rPr>
        <w:t>.</w:t>
      </w:r>
    </w:p>
    <w:p w:rsidR="00D57172" w:rsidRDefault="00D57172" w:rsidP="00372F42">
      <w:pPr>
        <w:spacing w:line="360" w:lineRule="auto"/>
        <w:ind w:firstLine="720"/>
        <w:jc w:val="both"/>
        <w:rPr>
          <w:lang w:val="lt-LT"/>
        </w:rPr>
      </w:pPr>
    </w:p>
    <w:p w:rsidR="00D57172" w:rsidRPr="00372F42" w:rsidRDefault="00D57172" w:rsidP="00372F42">
      <w:pPr>
        <w:spacing w:line="360" w:lineRule="auto"/>
        <w:ind w:firstLine="720"/>
        <w:jc w:val="both"/>
        <w:rPr>
          <w:lang w:val="lt-LT"/>
        </w:rPr>
      </w:pPr>
    </w:p>
    <w:p w:rsidR="00D57172" w:rsidRPr="00E91E87" w:rsidRDefault="00FD7880" w:rsidP="00E91E87">
      <w:pPr>
        <w:autoSpaceDE w:val="0"/>
        <w:autoSpaceDN w:val="0"/>
        <w:adjustRightInd w:val="0"/>
        <w:spacing w:line="360" w:lineRule="auto"/>
        <w:rPr>
          <w:lang w:val="lt-LT"/>
        </w:rPr>
      </w:pPr>
      <w:r>
        <w:rPr>
          <w:noProof/>
        </w:rPr>
        <w:lastRenderedPageBreak/>
        <w:drawing>
          <wp:inline distT="0" distB="0" distL="0" distR="0" wp14:anchorId="7F4DDD8D" wp14:editId="693975F6">
            <wp:extent cx="6296297" cy="2847703"/>
            <wp:effectExtent l="0" t="0" r="9525" b="1016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p>
    <w:p w:rsidR="00D57172" w:rsidRDefault="00485DE3" w:rsidP="00FD7880">
      <w:pPr>
        <w:rPr>
          <w:sz w:val="20"/>
          <w:lang w:val="lt-LT"/>
        </w:rPr>
      </w:pPr>
      <w:r w:rsidRPr="00485DE3">
        <w:rPr>
          <w:b/>
          <w:sz w:val="20"/>
          <w:lang w:val="lt-LT"/>
        </w:rPr>
        <w:t>Šaltinis:</w:t>
      </w:r>
      <w:r w:rsidRPr="00485DE3">
        <w:rPr>
          <w:sz w:val="20"/>
          <w:lang w:val="lt-LT"/>
        </w:rPr>
        <w:t xml:space="preserve"> sudaryta</w:t>
      </w:r>
      <w:r w:rsidR="00C9344A">
        <w:rPr>
          <w:sz w:val="20"/>
          <w:lang w:val="lt-LT"/>
        </w:rPr>
        <w:t xml:space="preserve"> autorės</w:t>
      </w:r>
      <w:r w:rsidRPr="00485DE3">
        <w:rPr>
          <w:sz w:val="20"/>
          <w:lang w:val="lt-LT"/>
        </w:rPr>
        <w:t xml:space="preserve"> pagal Eurostat duomenis</w:t>
      </w:r>
    </w:p>
    <w:p w:rsidR="00E91E87" w:rsidRDefault="00E91E87" w:rsidP="00FD7880">
      <w:pPr>
        <w:rPr>
          <w:sz w:val="20"/>
          <w:lang w:val="lt-LT"/>
        </w:rPr>
      </w:pPr>
    </w:p>
    <w:p w:rsidR="00950EA1" w:rsidRPr="00950EA1" w:rsidRDefault="00D57172" w:rsidP="00E91E87">
      <w:pPr>
        <w:pStyle w:val="Caption"/>
        <w:spacing w:before="0" w:after="0" w:line="360" w:lineRule="auto"/>
        <w:ind w:hanging="851"/>
      </w:pPr>
      <w:bookmarkStart w:id="61" w:name="_Toc385239380"/>
      <w:proofErr w:type="gramStart"/>
      <w:r>
        <w:t>24</w:t>
      </w:r>
      <w:r w:rsidR="00950EA1">
        <w:t xml:space="preserve"> pav.</w:t>
      </w:r>
      <w:proofErr w:type="gramEnd"/>
      <w:r w:rsidR="00950EA1">
        <w:t xml:space="preserve"> Nacionalinio biudžeto išlaidų BVP ir subnacionalinių valdžios institucijų išlaidų dalies nacionaliniame biudžete ryšys 2012 m., proc.</w:t>
      </w:r>
      <w:bookmarkEnd w:id="61"/>
    </w:p>
    <w:p w:rsidR="00FD7880" w:rsidRDefault="00FD7880" w:rsidP="00E91E87">
      <w:pPr>
        <w:spacing w:line="360" w:lineRule="auto"/>
        <w:rPr>
          <w:lang w:val="lt-LT"/>
        </w:rPr>
      </w:pPr>
    </w:p>
    <w:p w:rsidR="00372F42" w:rsidRDefault="00B23FAB" w:rsidP="00E91E87">
      <w:pPr>
        <w:spacing w:line="360" w:lineRule="auto"/>
        <w:jc w:val="both"/>
        <w:rPr>
          <w:lang w:val="lt-LT"/>
        </w:rPr>
      </w:pPr>
      <w:r>
        <w:rPr>
          <w:lang w:val="lt-LT"/>
        </w:rPr>
        <w:tab/>
        <w:t xml:space="preserve">Galime daryti išvadą, kad Lietuva </w:t>
      </w:r>
      <w:r w:rsidR="00B60DCB">
        <w:rPr>
          <w:lang w:val="lt-LT"/>
        </w:rPr>
        <w:t xml:space="preserve">išlaidų atžvilgiu yra vidutiniame fiskalinės decentralizacijos lygyje kaip ir ES vidurkis. Pagal COFOG klasifikaciją Lietuva nuo ES atsilieka visose srityse išskyrus švietimą ir aplinkos apsaugą. Lietuvos </w:t>
      </w:r>
      <w:r w:rsidR="0004205E">
        <w:rPr>
          <w:lang w:val="lt-LT"/>
        </w:rPr>
        <w:t>vietinės valdžios mažesnė biudžeto dalis bendrose valstybės išlaidose nei ES vidurkis parodo mažesnį finansinį vietinės valdžios savarankiškumą ES kontekste.</w:t>
      </w:r>
    </w:p>
    <w:p w:rsidR="00B4194F" w:rsidRDefault="00B4194F" w:rsidP="00B4194F">
      <w:pPr>
        <w:spacing w:line="360" w:lineRule="auto"/>
        <w:jc w:val="both"/>
        <w:rPr>
          <w:lang w:val="lt-LT"/>
        </w:rPr>
      </w:pPr>
    </w:p>
    <w:p w:rsidR="00372F42" w:rsidRDefault="00E91E87" w:rsidP="00B4194F">
      <w:pPr>
        <w:pStyle w:val="Heading3"/>
        <w:spacing w:before="0" w:line="360" w:lineRule="auto"/>
        <w:rPr>
          <w:lang w:val="lt-LT"/>
        </w:rPr>
      </w:pPr>
      <w:bookmarkStart w:id="62" w:name="_Toc385249539"/>
      <w:r>
        <w:rPr>
          <w:lang w:val="lt-LT"/>
        </w:rPr>
        <w:t>3.3</w:t>
      </w:r>
      <w:r w:rsidR="00372F42">
        <w:rPr>
          <w:lang w:val="lt-LT"/>
        </w:rPr>
        <w:t>.2. ES subnacionalinių valdžios institucijų pajamų vertinimas</w:t>
      </w:r>
      <w:bookmarkEnd w:id="62"/>
    </w:p>
    <w:p w:rsidR="00BE7214" w:rsidRDefault="00BE7214" w:rsidP="00B4194F">
      <w:pPr>
        <w:spacing w:line="360" w:lineRule="auto"/>
        <w:rPr>
          <w:lang w:val="lt-LT"/>
        </w:rPr>
      </w:pPr>
    </w:p>
    <w:p w:rsidR="00BE7214" w:rsidRDefault="00BE7214" w:rsidP="00B4194F">
      <w:pPr>
        <w:spacing w:line="360" w:lineRule="auto"/>
        <w:rPr>
          <w:lang w:val="lt-LT"/>
        </w:rPr>
      </w:pPr>
      <w:r>
        <w:rPr>
          <w:lang w:val="lt-LT"/>
        </w:rPr>
        <w:tab/>
        <w:t xml:space="preserve">Europos vietos savivaldos chartijos </w:t>
      </w:r>
      <w:r>
        <w:t xml:space="preserve">9 straipsnyje numatyta, kad </w:t>
      </w:r>
      <w:r>
        <w:rPr>
          <w:lang w:val="lt-LT"/>
        </w:rPr>
        <w:t>šalies ekonomikos politika turi suteikti vietinės valdžios organams teisę turėti atitinkamus savo finansinius išteklius, kuriuos jie savo nuožiūra gali laisvai panaudoti suteiktų įgaliojimų ribose.</w:t>
      </w:r>
    </w:p>
    <w:p w:rsidR="00BE7214" w:rsidRPr="00BE7214" w:rsidRDefault="00BE7214" w:rsidP="00BE7214">
      <w:pPr>
        <w:spacing w:line="360" w:lineRule="auto"/>
        <w:ind w:firstLine="720"/>
        <w:rPr>
          <w:lang w:val="lt-LT"/>
        </w:rPr>
      </w:pPr>
      <w:r>
        <w:rPr>
          <w:lang w:val="lt-LT"/>
        </w:rPr>
        <w:t>Todėl vertinant subnacionalinių valdžios institucijų savarankiškumą, svarbu įvertinti jų pajamas, jų sudėtį ir valdžios sektoriaus pervedimus.</w:t>
      </w:r>
    </w:p>
    <w:p w:rsidR="0004205E" w:rsidRDefault="0004205E" w:rsidP="00BE7214">
      <w:pPr>
        <w:spacing w:line="360" w:lineRule="auto"/>
        <w:rPr>
          <w:lang w:val="lt-LT"/>
        </w:rPr>
      </w:pPr>
    </w:p>
    <w:p w:rsidR="0004205E" w:rsidRDefault="00593149" w:rsidP="00FD7880">
      <w:pPr>
        <w:rPr>
          <w:lang w:val="lt-LT"/>
        </w:rPr>
      </w:pPr>
      <w:r>
        <w:rPr>
          <w:rFonts w:ascii="TimesNewRomanPSMT" w:hAnsi="TimesNewRomanPSMT" w:cs="TimesNewRomanPSMT"/>
          <w:noProof/>
          <w:sz w:val="23"/>
          <w:szCs w:val="23"/>
        </w:rPr>
        <w:lastRenderedPageBreak/>
        <w:drawing>
          <wp:inline distT="0" distB="0" distL="0" distR="0" wp14:anchorId="625DDCBA" wp14:editId="45E9BE5C">
            <wp:extent cx="6126480" cy="2207623"/>
            <wp:effectExtent l="0" t="0" r="26670" b="21590"/>
            <wp:docPr id="2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rsidR="00593149" w:rsidRDefault="00593149" w:rsidP="00593149">
      <w:pPr>
        <w:rPr>
          <w:sz w:val="20"/>
          <w:lang w:val="lt-LT"/>
        </w:rPr>
      </w:pPr>
      <w:r w:rsidRPr="00675AEB">
        <w:rPr>
          <w:b/>
          <w:sz w:val="20"/>
          <w:lang w:val="lt-LT"/>
        </w:rPr>
        <w:t>Šaltinis:</w:t>
      </w:r>
      <w:r w:rsidRPr="00675AEB">
        <w:rPr>
          <w:sz w:val="20"/>
          <w:lang w:val="lt-LT"/>
        </w:rPr>
        <w:t xml:space="preserve"> Eurostat duomenys</w:t>
      </w:r>
    </w:p>
    <w:p w:rsidR="00485DE3" w:rsidRDefault="00485DE3" w:rsidP="00FD7880">
      <w:pPr>
        <w:rPr>
          <w:lang w:val="lt-LT"/>
        </w:rPr>
      </w:pPr>
    </w:p>
    <w:p w:rsidR="00EA3C56" w:rsidRDefault="006C5A81" w:rsidP="00A204BB">
      <w:pPr>
        <w:pStyle w:val="Caption"/>
        <w:ind w:hanging="851"/>
      </w:pPr>
      <w:bookmarkStart w:id="63" w:name="_Toc385239381"/>
      <w:r>
        <w:t>25</w:t>
      </w:r>
      <w:r w:rsidR="00EA3C56">
        <w:t xml:space="preserve"> </w:t>
      </w:r>
      <w:r w:rsidR="00316F27" w:rsidRPr="00316F27">
        <w:t xml:space="preserve">pav. </w:t>
      </w:r>
      <w:r w:rsidR="00593149" w:rsidRPr="00316F27">
        <w:t>ES valstybių narių subnacionalinių biudžetų pajamų dalis</w:t>
      </w:r>
      <w:r w:rsidR="00316F27" w:rsidRPr="00316F27">
        <w:t xml:space="preserve"> valdžios sektoriaus biudžete</w:t>
      </w:r>
      <w:bookmarkEnd w:id="63"/>
    </w:p>
    <w:p w:rsidR="00593149" w:rsidRDefault="00316F27" w:rsidP="00A204BB">
      <w:pPr>
        <w:pStyle w:val="Caption"/>
        <w:ind w:hanging="851"/>
      </w:pPr>
      <w:r w:rsidRPr="00316F27">
        <w:t xml:space="preserve"> </w:t>
      </w:r>
      <w:bookmarkStart w:id="64" w:name="_Toc385239382"/>
      <w:r w:rsidRPr="00316F27">
        <w:t>2012 m., proc.</w:t>
      </w:r>
      <w:bookmarkEnd w:id="64"/>
    </w:p>
    <w:p w:rsidR="00316F27" w:rsidRDefault="00316F27" w:rsidP="00316F27">
      <w:pPr>
        <w:jc w:val="center"/>
        <w:rPr>
          <w:b/>
        </w:rPr>
      </w:pPr>
    </w:p>
    <w:p w:rsidR="000F5A55" w:rsidRPr="00EA3C56" w:rsidRDefault="004F5E1D" w:rsidP="00B4194F">
      <w:pPr>
        <w:autoSpaceDE w:val="0"/>
        <w:autoSpaceDN w:val="0"/>
        <w:adjustRightInd w:val="0"/>
        <w:spacing w:line="360" w:lineRule="auto"/>
        <w:ind w:firstLine="720"/>
        <w:jc w:val="both"/>
      </w:pPr>
      <w:r w:rsidRPr="00EA3C56">
        <w:t>Nagrinė</w:t>
      </w:r>
      <w:r w:rsidR="00487CE9" w:rsidRPr="00EA3C56">
        <w:t>jant subnacionalinių</w:t>
      </w:r>
      <w:r w:rsidRPr="00EA3C56">
        <w:t xml:space="preserve"> biudžetų pajamų santykį</w:t>
      </w:r>
      <w:r w:rsidR="00487CE9" w:rsidRPr="00EA3C56">
        <w:t xml:space="preserve"> su valdžios sektoriaus</w:t>
      </w:r>
      <w:r w:rsidRPr="00EA3C56">
        <w:t xml:space="preserve"> biudžeto</w:t>
      </w:r>
      <w:r w:rsidR="00487CE9" w:rsidRPr="00EA3C56">
        <w:t xml:space="preserve"> </w:t>
      </w:r>
      <w:r w:rsidRPr="00EA3C56">
        <w:t xml:space="preserve">pajamomis, matyti, kad nagrinėjamu </w:t>
      </w:r>
      <w:r w:rsidR="0090626C" w:rsidRPr="00EA3C56">
        <w:t>laikotarpiu daugiau nei 5</w:t>
      </w:r>
      <w:r w:rsidRPr="00EA3C56">
        <w:t>0 proc</w:t>
      </w:r>
      <w:r w:rsidR="0090626C" w:rsidRPr="00EA3C56">
        <w:t>. subnacionalini</w:t>
      </w:r>
      <w:r w:rsidR="0090626C" w:rsidRPr="00EA3C56">
        <w:rPr>
          <w:lang w:val="lt-LT"/>
        </w:rPr>
        <w:t>ų</w:t>
      </w:r>
      <w:r w:rsidRPr="00EA3C56">
        <w:t xml:space="preserve"> pajamų</w:t>
      </w:r>
      <w:r w:rsidR="00BC54D4" w:rsidRPr="00EA3C56">
        <w:t xml:space="preserve"> </w:t>
      </w:r>
      <w:proofErr w:type="gramStart"/>
      <w:r w:rsidR="00BC54D4" w:rsidRPr="00EA3C56">
        <w:t xml:space="preserve">dalį </w:t>
      </w:r>
      <w:r w:rsidR="00EA3C56">
        <w:t xml:space="preserve"> </w:t>
      </w:r>
      <w:r w:rsidR="0090626C" w:rsidRPr="00EA3C56">
        <w:t>sudaro</w:t>
      </w:r>
      <w:proofErr w:type="gramEnd"/>
      <w:r w:rsidR="0090626C" w:rsidRPr="00EA3C56">
        <w:t xml:space="preserve"> tik dvejose ES šalyse (Danijoje ir Ispanijoje)</w:t>
      </w:r>
      <w:r w:rsidR="00BC54D4" w:rsidRPr="00EA3C56">
        <w:t xml:space="preserve"> </w:t>
      </w:r>
      <w:r w:rsidR="000F5A55" w:rsidRPr="00EA3C56">
        <w:t xml:space="preserve">(žr. </w:t>
      </w:r>
      <w:r w:rsidR="00B4194F">
        <w:t xml:space="preserve">25 </w:t>
      </w:r>
      <w:r w:rsidR="000F5A55" w:rsidRPr="00EA3C56">
        <w:t>pav.), mažiau nei 20 proc. – septyniose (Slovakijoje, Portugalijoje, Airijoje, Liuksemburge ir kt.).</w:t>
      </w:r>
    </w:p>
    <w:p w:rsidR="000F5A55" w:rsidRPr="00EA3C56" w:rsidRDefault="000F5A55" w:rsidP="00EA3C56">
      <w:pPr>
        <w:autoSpaceDE w:val="0"/>
        <w:autoSpaceDN w:val="0"/>
        <w:adjustRightInd w:val="0"/>
        <w:spacing w:line="360" w:lineRule="auto"/>
      </w:pPr>
      <w:r w:rsidRPr="00EA3C56">
        <w:tab/>
        <w:t>Lietuvoje vietinės valdžios pajamos sudaro 28,1 proc. valdžios sektoriaus pajamų. Ir tai yra 8 proc. mažiau lyginant su Europos Sąjungos vidurkiu (36 proc.).</w:t>
      </w:r>
    </w:p>
    <w:p w:rsidR="000F5A55" w:rsidRPr="00EA3C56" w:rsidRDefault="009C48D0" w:rsidP="00EA3C56">
      <w:pPr>
        <w:tabs>
          <w:tab w:val="left" w:pos="720"/>
          <w:tab w:val="left" w:pos="1440"/>
          <w:tab w:val="left" w:pos="2430"/>
        </w:tabs>
        <w:autoSpaceDE w:val="0"/>
        <w:autoSpaceDN w:val="0"/>
        <w:adjustRightInd w:val="0"/>
        <w:spacing w:line="360" w:lineRule="auto"/>
      </w:pPr>
      <w:r w:rsidRPr="00EA3C56">
        <w:tab/>
        <w:t>Subnacionalinių biudže</w:t>
      </w:r>
      <w:r w:rsidR="00934203" w:rsidRPr="00EA3C56">
        <w:t>tų pajamų dedamosios pavaizduotos</w:t>
      </w:r>
      <w:r w:rsidRPr="00EA3C56">
        <w:t xml:space="preserve"> </w:t>
      </w:r>
      <w:r w:rsidR="006C5A81">
        <w:t xml:space="preserve">dvidešimt </w:t>
      </w:r>
      <w:r w:rsidR="006C5A81">
        <w:rPr>
          <w:lang w:val="lt-LT"/>
        </w:rPr>
        <w:t>šeštame</w:t>
      </w:r>
      <w:r w:rsidR="00EA3C56">
        <w:t xml:space="preserve"> paveiksle.</w:t>
      </w:r>
    </w:p>
    <w:p w:rsidR="000F5A55" w:rsidRDefault="000F5A55" w:rsidP="004F5E1D">
      <w:pPr>
        <w:autoSpaceDE w:val="0"/>
        <w:autoSpaceDN w:val="0"/>
        <w:adjustRightInd w:val="0"/>
        <w:rPr>
          <w:rFonts w:ascii="TimesNewRomanPSMT" w:hAnsi="TimesNewRomanPSMT" w:cs="TimesNewRomanPSMT"/>
          <w:sz w:val="23"/>
          <w:szCs w:val="23"/>
        </w:rPr>
      </w:pPr>
      <w:r>
        <w:rPr>
          <w:rFonts w:ascii="TimesNewRomanPSMT" w:hAnsi="TimesNewRomanPSMT" w:cs="TimesNewRomanPSMT"/>
          <w:sz w:val="23"/>
          <w:szCs w:val="23"/>
        </w:rPr>
        <w:tab/>
      </w:r>
    </w:p>
    <w:p w:rsidR="00FD7880" w:rsidRDefault="00C70EA2" w:rsidP="00FD7880">
      <w:pPr>
        <w:rPr>
          <w:lang w:val="lt-LT"/>
        </w:rPr>
      </w:pPr>
      <w:r>
        <w:rPr>
          <w:noProof/>
        </w:rPr>
        <w:drawing>
          <wp:inline distT="0" distB="0" distL="0" distR="0" wp14:anchorId="3338B3C1" wp14:editId="2154AEE9">
            <wp:extent cx="6061166" cy="2547257"/>
            <wp:effectExtent l="0" t="0" r="15875" b="24765"/>
            <wp:docPr id="1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p>
    <w:p w:rsidR="006927B0" w:rsidRDefault="00675AEB" w:rsidP="00FD7880">
      <w:pPr>
        <w:rPr>
          <w:sz w:val="20"/>
          <w:lang w:val="lt-LT"/>
        </w:rPr>
      </w:pPr>
      <w:r w:rsidRPr="00675AEB">
        <w:rPr>
          <w:b/>
          <w:sz w:val="20"/>
          <w:lang w:val="lt-LT"/>
        </w:rPr>
        <w:t>Šaltinis:</w:t>
      </w:r>
      <w:r w:rsidRPr="00675AEB">
        <w:rPr>
          <w:sz w:val="20"/>
          <w:lang w:val="lt-LT"/>
        </w:rPr>
        <w:t xml:space="preserve"> Eurostat duomenys</w:t>
      </w:r>
    </w:p>
    <w:p w:rsidR="00675AEB" w:rsidRDefault="00675AEB" w:rsidP="00FD7880">
      <w:pPr>
        <w:rPr>
          <w:sz w:val="20"/>
          <w:lang w:val="lt-LT"/>
        </w:rPr>
      </w:pPr>
    </w:p>
    <w:p w:rsidR="00675AEB" w:rsidRDefault="006C5A81" w:rsidP="00A204BB">
      <w:pPr>
        <w:pStyle w:val="Caption"/>
        <w:ind w:hanging="851"/>
      </w:pPr>
      <w:bookmarkStart w:id="65" w:name="_Toc385239383"/>
      <w:r>
        <w:t>26</w:t>
      </w:r>
      <w:r w:rsidR="00EA3C56">
        <w:t xml:space="preserve"> p</w:t>
      </w:r>
      <w:r w:rsidR="00675AEB" w:rsidRPr="00675AEB">
        <w:t>av. ES šalių narių subnacionalinių biudžetų pajamų struktūra</w:t>
      </w:r>
      <w:r w:rsidR="00675AEB">
        <w:t xml:space="preserve"> 2012 m., proc.</w:t>
      </w:r>
      <w:bookmarkEnd w:id="65"/>
    </w:p>
    <w:p w:rsidR="00675AEB" w:rsidRDefault="00675AEB" w:rsidP="00675AEB">
      <w:pPr>
        <w:jc w:val="center"/>
        <w:rPr>
          <w:b/>
          <w:sz w:val="22"/>
        </w:rPr>
      </w:pPr>
    </w:p>
    <w:p w:rsidR="0075136E" w:rsidRPr="00EA3C56" w:rsidRDefault="00EA3C56" w:rsidP="00EA3C56">
      <w:pPr>
        <w:spacing w:line="360" w:lineRule="auto"/>
        <w:ind w:firstLine="720"/>
        <w:jc w:val="both"/>
        <w:rPr>
          <w:lang w:val="lt-LT"/>
        </w:rPr>
      </w:pPr>
      <w:r w:rsidRPr="00EA3C56">
        <w:rPr>
          <w:rStyle w:val="hps"/>
          <w:lang w:val="lt-LT"/>
        </w:rPr>
        <w:t xml:space="preserve">Dvidešimt </w:t>
      </w:r>
      <w:r w:rsidR="006C5A81">
        <w:rPr>
          <w:rStyle w:val="hps"/>
          <w:lang w:val="lt-LT"/>
        </w:rPr>
        <w:t>šeštame</w:t>
      </w:r>
      <w:r w:rsidRPr="00EA3C56">
        <w:rPr>
          <w:rStyle w:val="hps"/>
          <w:lang w:val="lt-LT"/>
        </w:rPr>
        <w:t xml:space="preserve"> </w:t>
      </w:r>
      <w:r w:rsidR="00284CA7" w:rsidRPr="00EA3C56">
        <w:rPr>
          <w:rStyle w:val="hps"/>
          <w:lang w:val="lt-LT"/>
        </w:rPr>
        <w:t>p</w:t>
      </w:r>
      <w:r w:rsidR="00675AEB" w:rsidRPr="00EA3C56">
        <w:rPr>
          <w:rStyle w:val="hps"/>
          <w:lang w:val="lt-LT"/>
        </w:rPr>
        <w:t>aveiksle matyti, kad ES s</w:t>
      </w:r>
      <w:r w:rsidR="00284CA7" w:rsidRPr="00EA3C56">
        <w:rPr>
          <w:rStyle w:val="hps"/>
          <w:lang w:val="lt-LT"/>
        </w:rPr>
        <w:t>ubnacionalinio lygmens mokestinės pajamo</w:t>
      </w:r>
      <w:r w:rsidRPr="00EA3C56">
        <w:rPr>
          <w:rStyle w:val="hps"/>
          <w:lang w:val="lt-LT"/>
        </w:rPr>
        <w:t xml:space="preserve">s </w:t>
      </w:r>
      <w:r w:rsidR="00675AEB" w:rsidRPr="00EA3C56">
        <w:rPr>
          <w:rStyle w:val="hps"/>
          <w:lang w:val="lt-LT"/>
        </w:rPr>
        <w:t xml:space="preserve">sudaro </w:t>
      </w:r>
      <w:r w:rsidR="00284CA7" w:rsidRPr="00EA3C56">
        <w:rPr>
          <w:rStyle w:val="hps"/>
          <w:lang w:val="lt-LT"/>
        </w:rPr>
        <w:t xml:space="preserve">43,1 proc. pajamų. </w:t>
      </w:r>
      <w:r w:rsidR="00675AEB" w:rsidRPr="00EA3C56">
        <w:rPr>
          <w:rStyle w:val="hps"/>
          <w:lang w:val="lt-LT"/>
        </w:rPr>
        <w:t>Tai šiek tiek daugiau nei 2011 m. (</w:t>
      </w:r>
      <w:r w:rsidR="00675AEB" w:rsidRPr="00EA3C56">
        <w:rPr>
          <w:rStyle w:val="hps"/>
        </w:rPr>
        <w:t xml:space="preserve">41,6 proc.). </w:t>
      </w:r>
      <w:r w:rsidR="00675AEB" w:rsidRPr="00EA3C56">
        <w:rPr>
          <w:rStyle w:val="hps"/>
          <w:lang w:val="lt-LT"/>
        </w:rPr>
        <w:t>Vietin</w:t>
      </w:r>
      <w:r w:rsidR="00675AEB" w:rsidRPr="00EA3C56">
        <w:rPr>
          <w:lang w:val="lt-LT"/>
        </w:rPr>
        <w:t xml:space="preserve">ių </w:t>
      </w:r>
      <w:r w:rsidR="00675AEB" w:rsidRPr="00EA3C56">
        <w:rPr>
          <w:rStyle w:val="hps"/>
          <w:lang w:val="lt-LT"/>
        </w:rPr>
        <w:t>mokesčių nėra</w:t>
      </w:r>
      <w:r w:rsidR="00675AEB" w:rsidRPr="00EA3C56">
        <w:rPr>
          <w:lang w:val="lt-LT"/>
        </w:rPr>
        <w:t xml:space="preserve"> </w:t>
      </w:r>
      <w:r w:rsidR="00675AEB" w:rsidRPr="00EA3C56">
        <w:rPr>
          <w:rStyle w:val="hps"/>
          <w:lang w:val="lt-LT"/>
        </w:rPr>
        <w:t>Maltoje</w:t>
      </w:r>
      <w:r w:rsidR="00675AEB" w:rsidRPr="00EA3C56">
        <w:rPr>
          <w:lang w:val="lt-LT"/>
        </w:rPr>
        <w:t xml:space="preserve"> </w:t>
      </w:r>
      <w:r w:rsidR="00675AEB" w:rsidRPr="00EA3C56">
        <w:rPr>
          <w:rStyle w:val="hps"/>
          <w:lang w:val="lt-LT"/>
        </w:rPr>
        <w:t>ir</w:t>
      </w:r>
      <w:r w:rsidR="00C43066" w:rsidRPr="00EA3C56">
        <w:rPr>
          <w:lang w:val="lt-LT"/>
        </w:rPr>
        <w:t xml:space="preserve"> </w:t>
      </w:r>
      <w:r w:rsidR="00675AEB" w:rsidRPr="00EA3C56">
        <w:rPr>
          <w:rStyle w:val="hps"/>
          <w:lang w:val="lt-LT"/>
        </w:rPr>
        <w:t>nepakankamai atstovauja</w:t>
      </w:r>
      <w:r w:rsidR="00675AEB" w:rsidRPr="00EA3C56">
        <w:rPr>
          <w:lang w:val="lt-LT"/>
        </w:rPr>
        <w:t xml:space="preserve"> </w:t>
      </w:r>
      <w:r w:rsidR="00675AEB" w:rsidRPr="00EA3C56">
        <w:rPr>
          <w:rStyle w:val="hps"/>
          <w:lang w:val="lt-LT"/>
        </w:rPr>
        <w:t>Jungtinė</w:t>
      </w:r>
      <w:r w:rsidR="00675AEB" w:rsidRPr="00EA3C56">
        <w:rPr>
          <w:lang w:val="lt-LT"/>
        </w:rPr>
        <w:t xml:space="preserve">je </w:t>
      </w:r>
      <w:r w:rsidR="00675AEB" w:rsidRPr="00EA3C56">
        <w:rPr>
          <w:rStyle w:val="hps"/>
          <w:lang w:val="lt-LT"/>
        </w:rPr>
        <w:t>Karalystėje</w:t>
      </w:r>
      <w:r w:rsidR="00675AEB" w:rsidRPr="00EA3C56">
        <w:rPr>
          <w:lang w:val="lt-LT"/>
        </w:rPr>
        <w:t xml:space="preserve">, </w:t>
      </w:r>
      <w:r w:rsidR="00675AEB" w:rsidRPr="00EA3C56">
        <w:rPr>
          <w:rStyle w:val="hps"/>
          <w:lang w:val="lt-LT"/>
        </w:rPr>
        <w:t>Nyderlanduose</w:t>
      </w:r>
      <w:r w:rsidR="00675AEB" w:rsidRPr="00EA3C56">
        <w:rPr>
          <w:lang w:val="lt-LT"/>
        </w:rPr>
        <w:t xml:space="preserve">, Graikijoje, </w:t>
      </w:r>
      <w:r w:rsidR="00675AEB" w:rsidRPr="00EA3C56">
        <w:rPr>
          <w:rStyle w:val="hps"/>
          <w:lang w:val="lt-LT"/>
        </w:rPr>
        <w:t>Bulgarijoje ir</w:t>
      </w:r>
      <w:r w:rsidR="00675AEB" w:rsidRPr="00EA3C56">
        <w:rPr>
          <w:lang w:val="lt-LT"/>
        </w:rPr>
        <w:t xml:space="preserve"> </w:t>
      </w:r>
      <w:r w:rsidR="00675AEB" w:rsidRPr="00EA3C56">
        <w:rPr>
          <w:rStyle w:val="hps"/>
          <w:lang w:val="lt-LT"/>
        </w:rPr>
        <w:t>Rumunijoje</w:t>
      </w:r>
      <w:r w:rsidR="00675AEB" w:rsidRPr="00EA3C56">
        <w:rPr>
          <w:lang w:val="lt-LT"/>
        </w:rPr>
        <w:t xml:space="preserve">, kur </w:t>
      </w:r>
      <w:r w:rsidR="00675AEB" w:rsidRPr="00EA3C56">
        <w:rPr>
          <w:rStyle w:val="hps"/>
          <w:lang w:val="lt-LT"/>
        </w:rPr>
        <w:t>sudaro mažiau nei</w:t>
      </w:r>
      <w:r w:rsidR="00675AEB" w:rsidRPr="00EA3C56">
        <w:rPr>
          <w:lang w:val="lt-LT"/>
        </w:rPr>
        <w:t xml:space="preserve"> </w:t>
      </w:r>
      <w:r w:rsidR="00675AEB" w:rsidRPr="00EA3C56">
        <w:rPr>
          <w:rStyle w:val="hps"/>
          <w:lang w:val="lt-LT"/>
        </w:rPr>
        <w:t>15</w:t>
      </w:r>
      <w:r w:rsidR="00675AEB" w:rsidRPr="00EA3C56">
        <w:rPr>
          <w:lang w:val="lt-LT"/>
        </w:rPr>
        <w:t xml:space="preserve">% </w:t>
      </w:r>
      <w:r w:rsidR="00675AEB" w:rsidRPr="00EA3C56">
        <w:rPr>
          <w:rStyle w:val="hps"/>
          <w:lang w:val="lt-LT"/>
        </w:rPr>
        <w:t>vietos</w:t>
      </w:r>
      <w:r w:rsidR="00675AEB" w:rsidRPr="00EA3C56">
        <w:rPr>
          <w:lang w:val="lt-LT"/>
        </w:rPr>
        <w:t xml:space="preserve"> </w:t>
      </w:r>
      <w:r w:rsidR="00675AEB" w:rsidRPr="00EA3C56">
        <w:rPr>
          <w:rStyle w:val="hps"/>
          <w:lang w:val="lt-LT"/>
        </w:rPr>
        <w:t>pajamų.</w:t>
      </w:r>
      <w:r w:rsidR="00675AEB" w:rsidRPr="00EA3C56">
        <w:rPr>
          <w:lang w:val="lt-LT"/>
        </w:rPr>
        <w:t xml:space="preserve"> </w:t>
      </w:r>
      <w:r w:rsidR="00675AEB" w:rsidRPr="00EA3C56">
        <w:rPr>
          <w:rStyle w:val="hps"/>
          <w:lang w:val="lt-LT"/>
        </w:rPr>
        <w:t>Vietinių mokesčių</w:t>
      </w:r>
      <w:r w:rsidR="00675AEB" w:rsidRPr="00EA3C56">
        <w:rPr>
          <w:lang w:val="lt-LT"/>
        </w:rPr>
        <w:t xml:space="preserve"> </w:t>
      </w:r>
      <w:r w:rsidR="00675AEB" w:rsidRPr="00EA3C56">
        <w:rPr>
          <w:rStyle w:val="hps"/>
          <w:lang w:val="lt-LT"/>
        </w:rPr>
        <w:t>daugiausia surenka</w:t>
      </w:r>
      <w:r w:rsidR="00675AEB" w:rsidRPr="00EA3C56">
        <w:rPr>
          <w:lang w:val="lt-LT"/>
        </w:rPr>
        <w:t xml:space="preserve"> </w:t>
      </w:r>
      <w:r w:rsidR="00675AEB" w:rsidRPr="00EA3C56">
        <w:rPr>
          <w:rStyle w:val="hps"/>
          <w:lang w:val="lt-LT"/>
        </w:rPr>
        <w:t>(daugiau kaip</w:t>
      </w:r>
      <w:r w:rsidR="00675AEB" w:rsidRPr="00EA3C56">
        <w:rPr>
          <w:lang w:val="lt-LT"/>
        </w:rPr>
        <w:t xml:space="preserve"> </w:t>
      </w:r>
      <w:r w:rsidR="00675AEB" w:rsidRPr="00EA3C56">
        <w:rPr>
          <w:rStyle w:val="hps"/>
        </w:rPr>
        <w:t>50</w:t>
      </w:r>
      <w:r w:rsidR="00675AEB" w:rsidRPr="00EA3C56">
        <w:rPr>
          <w:rStyle w:val="hps"/>
          <w:lang w:val="lt-LT"/>
        </w:rPr>
        <w:t>%</w:t>
      </w:r>
      <w:r w:rsidR="00675AEB" w:rsidRPr="00EA3C56">
        <w:rPr>
          <w:lang w:val="lt-LT"/>
        </w:rPr>
        <w:t xml:space="preserve"> </w:t>
      </w:r>
      <w:r w:rsidR="00675AEB" w:rsidRPr="00EA3C56">
        <w:rPr>
          <w:rStyle w:val="hps"/>
          <w:lang w:val="lt-LT"/>
        </w:rPr>
        <w:t>biudžeto</w:t>
      </w:r>
      <w:r w:rsidR="00675AEB" w:rsidRPr="00EA3C56">
        <w:rPr>
          <w:lang w:val="lt-LT"/>
        </w:rPr>
        <w:t>)</w:t>
      </w:r>
      <w:r w:rsidR="00675AEB" w:rsidRPr="00EA3C56">
        <w:rPr>
          <w:rStyle w:val="hps"/>
          <w:lang w:val="lt-LT"/>
        </w:rPr>
        <w:t xml:space="preserve"> Švedijos, Latvijos</w:t>
      </w:r>
      <w:r w:rsidR="00675AEB" w:rsidRPr="00EA3C56">
        <w:rPr>
          <w:lang w:val="lt-LT"/>
        </w:rPr>
        <w:t xml:space="preserve">, Austrijos, </w:t>
      </w:r>
      <w:r w:rsidR="00675AEB" w:rsidRPr="00EA3C56">
        <w:rPr>
          <w:rStyle w:val="hps"/>
          <w:lang w:val="lt-LT"/>
        </w:rPr>
        <w:t xml:space="preserve">Vokietijos, Ispanijos subnacionaliniai valdžios lygiai. </w:t>
      </w:r>
    </w:p>
    <w:p w:rsidR="00284CA7" w:rsidRPr="00EA3C56" w:rsidRDefault="00675AEB" w:rsidP="00EA3C56">
      <w:pPr>
        <w:spacing w:line="360" w:lineRule="auto"/>
        <w:ind w:firstLine="720"/>
        <w:jc w:val="both"/>
      </w:pPr>
      <w:r w:rsidRPr="00EA3C56">
        <w:rPr>
          <w:rStyle w:val="hps"/>
          <w:lang w:val="lt-LT"/>
        </w:rPr>
        <w:t>Ispanijoje</w:t>
      </w:r>
      <w:r w:rsidRPr="00EA3C56">
        <w:rPr>
          <w:lang w:val="lt-LT"/>
        </w:rPr>
        <w:t xml:space="preserve"> </w:t>
      </w:r>
      <w:r w:rsidRPr="00EA3C56">
        <w:rPr>
          <w:rStyle w:val="hps"/>
          <w:lang w:val="lt-LT"/>
        </w:rPr>
        <w:t>mokesčiai</w:t>
      </w:r>
      <w:r w:rsidRPr="00EA3C56">
        <w:rPr>
          <w:lang w:val="lt-LT"/>
        </w:rPr>
        <w:t xml:space="preserve"> </w:t>
      </w:r>
      <w:r w:rsidRPr="00EA3C56">
        <w:rPr>
          <w:rStyle w:val="hps"/>
          <w:lang w:val="lt-LT"/>
        </w:rPr>
        <w:t>kaip</w:t>
      </w:r>
      <w:r w:rsidRPr="00EA3C56">
        <w:rPr>
          <w:lang w:val="lt-LT"/>
        </w:rPr>
        <w:t xml:space="preserve"> </w:t>
      </w:r>
      <w:r w:rsidRPr="00EA3C56">
        <w:rPr>
          <w:rStyle w:val="hps"/>
          <w:lang w:val="lt-LT"/>
        </w:rPr>
        <w:t>ir subnacionalinio lygmens</w:t>
      </w:r>
      <w:r w:rsidRPr="00EA3C56">
        <w:rPr>
          <w:lang w:val="lt-LT"/>
        </w:rPr>
        <w:t xml:space="preserve"> </w:t>
      </w:r>
      <w:r w:rsidRPr="00EA3C56">
        <w:rPr>
          <w:rStyle w:val="hps"/>
          <w:lang w:val="lt-LT"/>
        </w:rPr>
        <w:t>pajamų procentinė dalis</w:t>
      </w:r>
      <w:r w:rsidRPr="00EA3C56">
        <w:rPr>
          <w:lang w:val="lt-LT"/>
        </w:rPr>
        <w:t xml:space="preserve"> </w:t>
      </w:r>
      <w:r w:rsidRPr="00EA3C56">
        <w:rPr>
          <w:rStyle w:val="hps"/>
          <w:lang w:val="lt-LT"/>
        </w:rPr>
        <w:t>padidėjo</w:t>
      </w:r>
      <w:r w:rsidRPr="00EA3C56">
        <w:rPr>
          <w:lang w:val="lt-LT"/>
        </w:rPr>
        <w:t xml:space="preserve"> </w:t>
      </w:r>
      <w:r w:rsidRPr="00EA3C56">
        <w:rPr>
          <w:rStyle w:val="hps"/>
          <w:lang w:val="lt-LT"/>
        </w:rPr>
        <w:t>ženkliai</w:t>
      </w:r>
      <w:r w:rsidRPr="00EA3C56">
        <w:rPr>
          <w:lang w:val="lt-LT"/>
        </w:rPr>
        <w:t xml:space="preserve"> </w:t>
      </w:r>
      <w:r w:rsidRPr="00EA3C56">
        <w:rPr>
          <w:rStyle w:val="hps"/>
          <w:lang w:val="lt-LT"/>
        </w:rPr>
        <w:t>po</w:t>
      </w:r>
      <w:r w:rsidRPr="00EA3C56">
        <w:rPr>
          <w:lang w:val="lt-LT"/>
        </w:rPr>
        <w:t xml:space="preserve">  2011 m. </w:t>
      </w:r>
      <w:r w:rsidRPr="00EA3C56">
        <w:rPr>
          <w:rStyle w:val="hps"/>
          <w:lang w:val="lt-LT"/>
        </w:rPr>
        <w:t>dėl</w:t>
      </w:r>
      <w:r w:rsidRPr="00EA3C56">
        <w:rPr>
          <w:lang w:val="lt-LT"/>
        </w:rPr>
        <w:t xml:space="preserve"> </w:t>
      </w:r>
      <w:r w:rsidRPr="00EA3C56">
        <w:rPr>
          <w:rStyle w:val="hps"/>
          <w:lang w:val="lt-LT"/>
        </w:rPr>
        <w:t>finansavimo sistemos</w:t>
      </w:r>
      <w:r w:rsidRPr="00EA3C56">
        <w:rPr>
          <w:lang w:val="lt-LT"/>
        </w:rPr>
        <w:t xml:space="preserve"> </w:t>
      </w:r>
      <w:r w:rsidRPr="00EA3C56">
        <w:rPr>
          <w:rStyle w:val="hps"/>
          <w:lang w:val="lt-LT"/>
        </w:rPr>
        <w:t>reformos</w:t>
      </w:r>
      <w:r w:rsidR="00284CA7" w:rsidRPr="00EA3C56">
        <w:rPr>
          <w:rStyle w:val="hps"/>
          <w:lang w:val="lt-LT"/>
        </w:rPr>
        <w:t xml:space="preserve"> (OECD, 2012</w:t>
      </w:r>
      <w:r w:rsidR="0075136E" w:rsidRPr="00EA3C56">
        <w:rPr>
          <w:rStyle w:val="hps"/>
          <w:lang w:val="lt-LT"/>
        </w:rPr>
        <w:t>)</w:t>
      </w:r>
      <w:r w:rsidRPr="00EA3C56">
        <w:rPr>
          <w:lang w:val="lt-LT"/>
        </w:rPr>
        <w:t xml:space="preserve">. </w:t>
      </w:r>
      <w:r w:rsidRPr="00EA3C56">
        <w:rPr>
          <w:rStyle w:val="hps"/>
          <w:lang w:val="lt-LT"/>
        </w:rPr>
        <w:t>Ispanijos</w:t>
      </w:r>
      <w:r w:rsidRPr="00EA3C56">
        <w:rPr>
          <w:lang w:val="lt-LT"/>
        </w:rPr>
        <w:t xml:space="preserve"> </w:t>
      </w:r>
      <w:r w:rsidR="0075136E" w:rsidRPr="00EA3C56">
        <w:rPr>
          <w:rStyle w:val="hps"/>
          <w:lang w:val="lt-LT"/>
        </w:rPr>
        <w:t xml:space="preserve">subnacionalinių lygio biudžetų mokestinė pajamų dalis </w:t>
      </w:r>
      <w:r w:rsidRPr="00EA3C56">
        <w:rPr>
          <w:rStyle w:val="hps"/>
          <w:lang w:val="lt-LT"/>
        </w:rPr>
        <w:t>padidėjo nuo</w:t>
      </w:r>
      <w:r w:rsidRPr="00EA3C56">
        <w:rPr>
          <w:lang w:val="lt-LT"/>
        </w:rPr>
        <w:t xml:space="preserve"> </w:t>
      </w:r>
      <w:r w:rsidRPr="00EA3C56">
        <w:rPr>
          <w:rStyle w:val="hps"/>
          <w:lang w:val="lt-LT"/>
        </w:rPr>
        <w:t xml:space="preserve">43 </w:t>
      </w:r>
      <w:r w:rsidRPr="00EA3C56">
        <w:rPr>
          <w:lang w:val="lt-LT"/>
        </w:rPr>
        <w:t xml:space="preserve">proc. 2010 </w:t>
      </w:r>
      <w:r w:rsidRPr="00EA3C56">
        <w:rPr>
          <w:rStyle w:val="hps"/>
          <w:lang w:val="lt-LT"/>
        </w:rPr>
        <w:t xml:space="preserve">iki </w:t>
      </w:r>
      <w:r w:rsidRPr="00EA3C56">
        <w:rPr>
          <w:rStyle w:val="hps"/>
        </w:rPr>
        <w:t>61,5 proc.</w:t>
      </w:r>
      <w:r w:rsidRPr="00EA3C56">
        <w:rPr>
          <w:lang w:val="lt-LT"/>
        </w:rPr>
        <w:t xml:space="preserve"> </w:t>
      </w:r>
      <w:r w:rsidRPr="00EA3C56">
        <w:rPr>
          <w:rStyle w:val="hps"/>
          <w:lang w:val="lt-LT"/>
        </w:rPr>
        <w:t>2012</w:t>
      </w:r>
      <w:r w:rsidRPr="00EA3C56">
        <w:rPr>
          <w:lang w:val="lt-LT"/>
        </w:rPr>
        <w:t>.</w:t>
      </w:r>
    </w:p>
    <w:p w:rsidR="00284CA7" w:rsidRPr="00EA3C56" w:rsidRDefault="00284CA7" w:rsidP="00EA3C56">
      <w:pPr>
        <w:spacing w:line="360" w:lineRule="auto"/>
        <w:ind w:firstLine="720"/>
        <w:jc w:val="both"/>
        <w:rPr>
          <w:lang w:val="lt-LT"/>
        </w:rPr>
      </w:pPr>
      <w:r w:rsidRPr="00EA3C56">
        <w:t>Lietuvoje</w:t>
      </w:r>
      <w:r w:rsidR="006D5017" w:rsidRPr="00EA3C56">
        <w:t xml:space="preserve"> vietinės valdžios </w:t>
      </w:r>
      <w:r w:rsidR="00C32FE3" w:rsidRPr="00EA3C56">
        <w:t>mokestinių pajam</w:t>
      </w:r>
      <w:r w:rsidR="009D43C7" w:rsidRPr="00EA3C56">
        <w:t>ų dalis mažesnė net 14,8</w:t>
      </w:r>
      <w:r w:rsidR="00C32FE3" w:rsidRPr="00EA3C56">
        <w:t xml:space="preserve"> proc. lyginant su ES subnacionalinio lygio biudžeto mokestinėmis pajamomis (Lietuvos – 28,3 proc., ES – 43,1 proc.)</w:t>
      </w:r>
      <w:r w:rsidR="009D43C7" w:rsidRPr="00EA3C56">
        <w:t xml:space="preserve">. </w:t>
      </w:r>
      <w:r w:rsidR="00080178" w:rsidRPr="00EA3C56">
        <w:rPr>
          <w:lang w:val="lt-LT"/>
        </w:rPr>
        <w:t>Aiškiai matyti tendencija, kad Lietuvoje būdinga fiskalinė centralizacija, nes priešingu atveju didesnis mokestinių pajamų lygis rodytų ir didesnę fiskalinę decentralizaciją šalyje (Davulis 2006).</w:t>
      </w:r>
    </w:p>
    <w:p w:rsidR="00284CA7" w:rsidRPr="00EA3C56" w:rsidRDefault="00284CA7" w:rsidP="00EA3C56">
      <w:pPr>
        <w:spacing w:line="360" w:lineRule="auto"/>
        <w:ind w:firstLine="720"/>
        <w:jc w:val="both"/>
      </w:pPr>
      <w:r w:rsidRPr="00EA3C56">
        <w:t>Didžiausią dalį mokestinių pajamų</w:t>
      </w:r>
      <w:r w:rsidR="009D43C7" w:rsidRPr="00EA3C56">
        <w:t xml:space="preserve"> šalyse sudaro pajamų bei </w:t>
      </w:r>
      <w:r w:rsidRPr="00EA3C56">
        <w:t>prekių ir paslaugų mokesčiai</w:t>
      </w:r>
      <w:r w:rsidR="00EA3C56">
        <w:t xml:space="preserve">            </w:t>
      </w:r>
      <w:r w:rsidRPr="00EA3C56">
        <w:t xml:space="preserve">(žr. </w:t>
      </w:r>
      <w:r w:rsidR="006C5A81">
        <w:t>28</w:t>
      </w:r>
      <w:r w:rsidR="00EA3C56">
        <w:t xml:space="preserve"> </w:t>
      </w:r>
      <w:r w:rsidRPr="00EA3C56">
        <w:t>p</w:t>
      </w:r>
      <w:r w:rsidR="00546E7C" w:rsidRPr="00EA3C56">
        <w:t>av</w:t>
      </w:r>
      <w:r w:rsidRPr="00EA3C56">
        <w:t>). Visose šalyse mokesčių tarifus, jų surinkimą užtikrina centrinė valdžia, todėl, galima teigti,</w:t>
      </w:r>
      <w:r w:rsidR="00EA3C56">
        <w:t xml:space="preserve"> </w:t>
      </w:r>
      <w:r w:rsidRPr="00EA3C56">
        <w:t xml:space="preserve">kad nors ir vietinius mokesčius valstybės turi, tačiau iš jų surenkamos pajamos yra labai nedidelės. </w:t>
      </w:r>
    </w:p>
    <w:p w:rsidR="00284CA7" w:rsidRPr="00EA3C56" w:rsidRDefault="00284CA7" w:rsidP="00EA3C56">
      <w:pPr>
        <w:spacing w:line="360" w:lineRule="auto"/>
        <w:jc w:val="both"/>
        <w:rPr>
          <w:lang w:val="lt-LT"/>
        </w:rPr>
      </w:pPr>
      <w:r w:rsidRPr="00EA3C56">
        <w:tab/>
        <w:t>Atitinkamai nesurinktų mokesčių ir nemokestinių pajamų deficitui kompensuoti centrinė valdžia skiria dotacijas. Dotacijos išliko pagrindinis Europos subnacionalinio lygmens viešojo sektoriaus pajamų šaltinis. Jos vidutiniškai sudarė 42,3 proc. šalių narių subnacionalin</w:t>
      </w:r>
      <w:r w:rsidRPr="00EA3C56">
        <w:rPr>
          <w:lang w:val="lt-LT"/>
        </w:rPr>
        <w:t>ių lygių biudžeto pajamų</w:t>
      </w:r>
      <w:r w:rsidR="00240316" w:rsidRPr="00EA3C56">
        <w:rPr>
          <w:lang w:val="lt-LT"/>
        </w:rPr>
        <w:t>.</w:t>
      </w:r>
    </w:p>
    <w:p w:rsidR="00284CA7" w:rsidRPr="00EA3C56" w:rsidRDefault="00284CA7" w:rsidP="00EA3C56">
      <w:pPr>
        <w:spacing w:line="360" w:lineRule="auto"/>
        <w:ind w:firstLine="720"/>
        <w:jc w:val="both"/>
      </w:pPr>
      <w:r w:rsidRPr="00EA3C56">
        <w:t>Net keturiolikos Europos Sąjungos šalių narių dotacijos sudarė daugiau kaip pusę subnacionalinių biudžetų pajamų (Malta, Rumunija, Bulgarija, Nyderlandai, Jungtinė Karalystė,</w:t>
      </w:r>
      <w:r w:rsidR="00EA3C56">
        <w:t xml:space="preserve"> </w:t>
      </w:r>
      <w:r w:rsidRPr="00EA3C56">
        <w:t xml:space="preserve">Graikija ir t. t.). </w:t>
      </w:r>
      <w:r w:rsidR="00240316" w:rsidRPr="00EA3C56">
        <w:t>Graikijoje po Kallikratis reformos (aptarta 2 skyriuje) dotacij</w:t>
      </w:r>
      <w:r w:rsidR="00240316" w:rsidRPr="00EA3C56">
        <w:rPr>
          <w:lang w:val="lt-LT"/>
        </w:rPr>
        <w:t xml:space="preserve">ų dalis padidėjo nuo 58 proc. 2010 m. iki 65 proc. </w:t>
      </w:r>
      <w:r w:rsidR="00EA3C56">
        <w:rPr>
          <w:lang w:val="lt-LT"/>
        </w:rPr>
        <w:t xml:space="preserve">   </w:t>
      </w:r>
      <w:r w:rsidR="00240316" w:rsidRPr="00EA3C56">
        <w:rPr>
          <w:lang w:val="lt-LT"/>
        </w:rPr>
        <w:t>2012</w:t>
      </w:r>
      <w:r w:rsidR="00172FFD" w:rsidRPr="00EA3C56">
        <w:rPr>
          <w:lang w:val="lt-LT"/>
        </w:rPr>
        <w:t xml:space="preserve"> </w:t>
      </w:r>
      <w:r w:rsidR="00240316" w:rsidRPr="00EA3C56">
        <w:rPr>
          <w:lang w:val="lt-LT"/>
        </w:rPr>
        <w:t xml:space="preserve">m. </w:t>
      </w:r>
      <w:r w:rsidR="00240316" w:rsidRPr="00EA3C56">
        <w:t xml:space="preserve">centrinės valdžios dotacijos padidėjo </w:t>
      </w:r>
      <w:r w:rsidR="009D43C7" w:rsidRPr="00EA3C56">
        <w:t>Tame tarpe yra ir Lietuva. Vietinės valdžios dotacijos sudarė net 65,6 proc. gaunam</w:t>
      </w:r>
      <w:r w:rsidR="009D43C7" w:rsidRPr="00EA3C56">
        <w:rPr>
          <w:lang w:val="lt-LT"/>
        </w:rPr>
        <w:t>ų pajamų. Tai dar kartą rodo didelę priklausomybę nuo centrinės valdžios. Ma</w:t>
      </w:r>
      <w:r w:rsidR="006D7D89" w:rsidRPr="00EA3C56">
        <w:rPr>
          <w:lang w:val="lt-LT"/>
        </w:rPr>
        <w:t>žiausiai subnacionaliniai lygmenys</w:t>
      </w:r>
      <w:r w:rsidR="009D43C7" w:rsidRPr="00EA3C56">
        <w:rPr>
          <w:lang w:val="lt-LT"/>
        </w:rPr>
        <w:t xml:space="preserve"> </w:t>
      </w:r>
      <w:r w:rsidR="00C43066" w:rsidRPr="00EA3C56">
        <w:rPr>
          <w:lang w:val="lt-LT"/>
        </w:rPr>
        <w:t>g</w:t>
      </w:r>
      <w:r w:rsidR="00172FFD" w:rsidRPr="00EA3C56">
        <w:rPr>
          <w:lang w:val="lt-LT"/>
        </w:rPr>
        <w:t xml:space="preserve">auna dotacijų ir </w:t>
      </w:r>
      <w:r w:rsidR="00C43066" w:rsidRPr="00EA3C56">
        <w:rPr>
          <w:lang w:val="lt-LT"/>
        </w:rPr>
        <w:t>savarankiškiausi</w:t>
      </w:r>
      <w:r w:rsidR="009D43C7" w:rsidRPr="00EA3C56">
        <w:rPr>
          <w:lang w:val="lt-LT"/>
        </w:rPr>
        <w:t xml:space="preserve"> yra </w:t>
      </w:r>
      <w:r w:rsidR="00C43066" w:rsidRPr="00EA3C56">
        <w:rPr>
          <w:lang w:val="lt-LT"/>
        </w:rPr>
        <w:t>Vokietijoje (26,9 proc.), Švedijoje (25,3 proc.), Suomijoje (</w:t>
      </w:r>
      <w:r w:rsidR="00C43066" w:rsidRPr="00EA3C56">
        <w:t>30,1 proc.)</w:t>
      </w:r>
      <w:r w:rsidR="006D7D89" w:rsidRPr="00EA3C56">
        <w:t>.</w:t>
      </w:r>
    </w:p>
    <w:p w:rsidR="006D7D89" w:rsidRPr="00EA3C56" w:rsidRDefault="006D7D89" w:rsidP="00EA3C56">
      <w:pPr>
        <w:spacing w:line="360" w:lineRule="auto"/>
        <w:jc w:val="both"/>
        <w:rPr>
          <w:lang w:val="lt-LT"/>
        </w:rPr>
      </w:pPr>
      <w:r w:rsidRPr="00EA3C56">
        <w:tab/>
        <w:t>G</w:t>
      </w:r>
      <w:r w:rsidRPr="00EA3C56">
        <w:rPr>
          <w:lang w:val="lt-LT"/>
        </w:rPr>
        <w:t>inčijamasi, ar subnacionalinio valdžios lygmens priklausomybė nuo centrinės valdžios ydinga ar ne. Pasak De Mello (</w:t>
      </w:r>
      <w:r w:rsidRPr="00EA3C56">
        <w:t>2007) dotacijos gali sugeneruoti didesnį subnacionalinio lygmens deficit</w:t>
      </w:r>
      <w:r w:rsidRPr="00EA3C56">
        <w:rPr>
          <w:lang w:val="lt-LT"/>
        </w:rPr>
        <w:t>ą.</w:t>
      </w:r>
      <w:r w:rsidR="00B375C0" w:rsidRPr="00EA3C56">
        <w:rPr>
          <w:lang w:val="lt-LT"/>
        </w:rPr>
        <w:t xml:space="preserve"> Todėl vietiniai mokesčiai yra skatinami ir dėl fiskalinės drausmės.</w:t>
      </w:r>
    </w:p>
    <w:p w:rsidR="00172FFD" w:rsidRDefault="00250F83" w:rsidP="00250F83">
      <w:pPr>
        <w:pStyle w:val="NormalWeb"/>
        <w:rPr>
          <w:sz w:val="22"/>
        </w:rPr>
      </w:pPr>
      <w:r>
        <w:rPr>
          <w:sz w:val="22"/>
        </w:rPr>
        <w:lastRenderedPageBreak/>
        <w:tab/>
      </w:r>
      <w:r w:rsidR="00172FFD" w:rsidRPr="004D561D">
        <w:rPr>
          <w:rFonts w:ascii="TimesNewRomanPSMT" w:hAnsi="TimesNewRomanPSMT" w:cs="TimesNewRomanPSMT"/>
          <w:noProof/>
        </w:rPr>
        <w:drawing>
          <wp:inline distT="0" distB="0" distL="0" distR="0" wp14:anchorId="48C6D22C" wp14:editId="0E79BE4D">
            <wp:extent cx="5525588" cy="2364378"/>
            <wp:effectExtent l="0" t="0" r="18415" b="17145"/>
            <wp:docPr id="2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p>
    <w:p w:rsidR="00EA3C56" w:rsidRPr="00EA3C56" w:rsidRDefault="00EA3C56" w:rsidP="00250F83">
      <w:pPr>
        <w:pStyle w:val="NormalWeb"/>
        <w:rPr>
          <w:sz w:val="20"/>
          <w:szCs w:val="20"/>
        </w:rPr>
      </w:pPr>
      <w:r w:rsidRPr="00EA3C56">
        <w:rPr>
          <w:b/>
          <w:sz w:val="20"/>
          <w:szCs w:val="20"/>
        </w:rPr>
        <w:t>Šaltinis:</w:t>
      </w:r>
      <w:r w:rsidRPr="00EA3C56">
        <w:rPr>
          <w:sz w:val="20"/>
          <w:szCs w:val="20"/>
        </w:rPr>
        <w:t xml:space="preserve"> Eurostat duomenys</w:t>
      </w:r>
    </w:p>
    <w:p w:rsidR="00172FFD" w:rsidRDefault="006C5A81" w:rsidP="00E91E87">
      <w:pPr>
        <w:pStyle w:val="Caption"/>
        <w:spacing w:before="0" w:after="0" w:line="360" w:lineRule="auto"/>
        <w:ind w:hanging="851"/>
        <w:rPr>
          <w:lang w:val="lt-LT"/>
        </w:rPr>
      </w:pPr>
      <w:bookmarkStart w:id="66" w:name="_Toc385239384"/>
      <w:r>
        <w:t>27</w:t>
      </w:r>
      <w:r w:rsidR="00EA3C56">
        <w:t xml:space="preserve"> </w:t>
      </w:r>
      <w:r w:rsidR="00172FFD" w:rsidRPr="00172FFD">
        <w:t xml:space="preserve">pav.  ES ir Lietuvos skiriamų </w:t>
      </w:r>
      <w:r w:rsidR="00EF5882">
        <w:t xml:space="preserve">subnacionaliniam sektoriui </w:t>
      </w:r>
      <w:r w:rsidR="00172FFD" w:rsidRPr="00172FFD">
        <w:t xml:space="preserve">dotacijų </w:t>
      </w:r>
      <w:r w:rsidR="001724E6">
        <w:t>dal</w:t>
      </w:r>
      <w:r w:rsidR="00EF5882">
        <w:t xml:space="preserve">ies </w:t>
      </w:r>
      <w:r w:rsidR="00172FFD" w:rsidRPr="00172FFD">
        <w:t>kitimas 2008-2012 m. proc. nuo vis</w:t>
      </w:r>
      <w:r w:rsidR="00172FFD" w:rsidRPr="00172FFD">
        <w:rPr>
          <w:lang w:val="lt-LT"/>
        </w:rPr>
        <w:t>ų subnacionalinio sektoriaus gaunamų pajamų</w:t>
      </w:r>
      <w:bookmarkEnd w:id="66"/>
    </w:p>
    <w:p w:rsidR="00172FFD" w:rsidRDefault="00172FFD" w:rsidP="00E91E87">
      <w:pPr>
        <w:spacing w:line="360" w:lineRule="auto"/>
        <w:jc w:val="center"/>
        <w:rPr>
          <w:b/>
          <w:lang w:val="lt-LT"/>
        </w:rPr>
      </w:pPr>
    </w:p>
    <w:p w:rsidR="00505D1D" w:rsidRDefault="00172FFD" w:rsidP="00E91E87">
      <w:pPr>
        <w:spacing w:line="360" w:lineRule="auto"/>
        <w:jc w:val="both"/>
        <w:rPr>
          <w:lang w:val="lt-LT"/>
        </w:rPr>
      </w:pPr>
      <w:r>
        <w:rPr>
          <w:lang w:val="lt-LT"/>
        </w:rPr>
        <w:tab/>
      </w:r>
      <w:r w:rsidR="00505D1D">
        <w:rPr>
          <w:lang w:val="lt-LT"/>
        </w:rPr>
        <w:t xml:space="preserve">Dvidešimt </w:t>
      </w:r>
      <w:r w:rsidR="006C5A81">
        <w:rPr>
          <w:lang w:val="lt-LT"/>
        </w:rPr>
        <w:t>septintame</w:t>
      </w:r>
      <w:r w:rsidR="00505D1D">
        <w:rPr>
          <w:lang w:val="lt-LT"/>
        </w:rPr>
        <w:t xml:space="preserve"> </w:t>
      </w:r>
      <w:r>
        <w:rPr>
          <w:lang w:val="lt-LT"/>
        </w:rPr>
        <w:t xml:space="preserve">paveiksle matyti subnacionalinio sektoriaus gaunamų dotacijų kitimą </w:t>
      </w:r>
      <w:r>
        <w:t xml:space="preserve">2008-2012 m. ES ir Lietuvoje. </w:t>
      </w:r>
      <w:r w:rsidR="00EF5882">
        <w:t>Analizuojamu laikotarpiu dotacij</w:t>
      </w:r>
      <w:r w:rsidR="00EF5882">
        <w:rPr>
          <w:lang w:val="lt-LT"/>
        </w:rPr>
        <w:t xml:space="preserve">ų dalis tiek ES, tiek Lietuvoje augo </w:t>
      </w:r>
      <w:r w:rsidR="00B4194F">
        <w:t xml:space="preserve">2008-2010 m. </w:t>
      </w:r>
      <w:r w:rsidR="00EF5882">
        <w:t>Galima daryti prielaidą, kad tokį augimą įtakojo prasidėjusi ekonominė krizė, kuri priverstė valdžios sektorių skirti subnacionaliniam lygmeniui daugiau dotacijų dėl nesurenkamų pajamų. Ta</w:t>
      </w:r>
      <w:r w:rsidR="00EF5882">
        <w:rPr>
          <w:lang w:val="lt-LT"/>
        </w:rPr>
        <w:t xml:space="preserve">čiau jau 2011 m. ES, o </w:t>
      </w:r>
      <w:r w:rsidR="00EF5882">
        <w:t xml:space="preserve">2012 m. ir Lietuvoje </w:t>
      </w:r>
      <w:r w:rsidR="00EF5882">
        <w:rPr>
          <w:lang w:val="lt-LT"/>
        </w:rPr>
        <w:t xml:space="preserve">dotacijų dalis subnacionalinėse pajamose mažėja. Tam įtakos </w:t>
      </w:r>
      <w:r w:rsidR="009732E2">
        <w:rPr>
          <w:lang w:val="lt-LT"/>
        </w:rPr>
        <w:t xml:space="preserve"> turėjo Europos Komisijos vykdytos griežtesnės finansinės politikos reformos kovai su ekonominiu nuosmukiu.</w:t>
      </w:r>
    </w:p>
    <w:p w:rsidR="00505D1D" w:rsidRPr="00505D1D" w:rsidRDefault="00250F83" w:rsidP="00505D1D">
      <w:pPr>
        <w:spacing w:line="360" w:lineRule="auto"/>
        <w:ind w:firstLine="720"/>
        <w:jc w:val="both"/>
        <w:rPr>
          <w:lang w:val="lt-LT"/>
        </w:rPr>
      </w:pPr>
      <w:r w:rsidRPr="00505D1D">
        <w:t>Europos nacionalin</w:t>
      </w:r>
      <w:r w:rsidRPr="00505D1D">
        <w:rPr>
          <w:lang w:val="lt-LT"/>
        </w:rPr>
        <w:t xml:space="preserve">ė ir regioninė sąskaitų sistema (ESS), kuri  nustato ES nacionalinių sąskaitų rengimo metodiką </w:t>
      </w:r>
      <w:r w:rsidR="005F10DB" w:rsidRPr="00505D1D">
        <w:rPr>
          <w:lang w:val="lt-LT"/>
        </w:rPr>
        <w:t>išskiria Europos šalių subnacionalinės</w:t>
      </w:r>
      <w:r w:rsidRPr="00505D1D">
        <w:rPr>
          <w:lang w:val="lt-LT"/>
        </w:rPr>
        <w:t xml:space="preserve"> valdžios mokestinių pajamų dedamąsias: </w:t>
      </w:r>
    </w:p>
    <w:p w:rsidR="00505D1D" w:rsidRPr="00505D1D" w:rsidRDefault="00250F83" w:rsidP="00CC565B">
      <w:pPr>
        <w:pStyle w:val="ListParagraph"/>
        <w:numPr>
          <w:ilvl w:val="0"/>
          <w:numId w:val="21"/>
        </w:numPr>
        <w:spacing w:line="360" w:lineRule="auto"/>
        <w:jc w:val="both"/>
        <w:rPr>
          <w:lang w:val="lt-LT"/>
        </w:rPr>
      </w:pPr>
      <w:r w:rsidRPr="00505D1D">
        <w:rPr>
          <w:lang w:val="lt-LT"/>
        </w:rPr>
        <w:t xml:space="preserve">pajamų, turto ir kt. mokesčiai, įskaitant visus privalomuosius mokėjimus, reguliariai renkamus valdžios sektoriaus, kuriais apmokestinamos įmonių ir namų ūkių pajamos ir turtas; gamybos ir importo mokesčius, </w:t>
      </w:r>
    </w:p>
    <w:p w:rsidR="00505D1D" w:rsidRPr="00505D1D" w:rsidRDefault="00250F83" w:rsidP="00CC565B">
      <w:pPr>
        <w:pStyle w:val="ListParagraph"/>
        <w:numPr>
          <w:ilvl w:val="0"/>
          <w:numId w:val="21"/>
        </w:numPr>
        <w:spacing w:line="360" w:lineRule="auto"/>
        <w:jc w:val="both"/>
        <w:rPr>
          <w:lang w:val="lt-LT"/>
        </w:rPr>
      </w:pPr>
      <w:r w:rsidRPr="00505D1D">
        <w:t xml:space="preserve">gamybos ir importo mokesčiai, įskaitant visus privalomuosius mokėjimus, nustatytus valdžios sektoriaus ir susijusius su prekių ir paslaugų gamyba ir importu, darbo jėgos samdymu, žemės, pastatų ar kito turto, naudojamo gamybos procese, nuosavybe ar naudojimu; </w:t>
      </w:r>
    </w:p>
    <w:p w:rsidR="00505D1D" w:rsidRPr="00505D1D" w:rsidRDefault="0085166C" w:rsidP="00CC565B">
      <w:pPr>
        <w:pStyle w:val="ListParagraph"/>
        <w:numPr>
          <w:ilvl w:val="0"/>
          <w:numId w:val="21"/>
        </w:numPr>
        <w:spacing w:line="360" w:lineRule="auto"/>
        <w:jc w:val="both"/>
        <w:rPr>
          <w:lang w:val="lt-LT"/>
        </w:rPr>
      </w:pPr>
      <w:r w:rsidRPr="00505D1D">
        <w:t>ka</w:t>
      </w:r>
      <w:r w:rsidR="005F10DB" w:rsidRPr="00505D1D">
        <w:t>pitalo mokesčiai.</w:t>
      </w:r>
    </w:p>
    <w:p w:rsidR="005F10DB" w:rsidRPr="00505D1D" w:rsidRDefault="006C5A81" w:rsidP="00505D1D">
      <w:pPr>
        <w:spacing w:line="360" w:lineRule="auto"/>
        <w:ind w:firstLine="720"/>
        <w:jc w:val="both"/>
        <w:rPr>
          <w:lang w:val="lt-LT"/>
        </w:rPr>
      </w:pPr>
      <w:r>
        <w:t>Dvidešimt aštuntame</w:t>
      </w:r>
      <w:r w:rsidR="00505D1D">
        <w:t xml:space="preserve"> p</w:t>
      </w:r>
      <w:r w:rsidR="005F10DB">
        <w:t>aveiksle matyti ES šalių narių subnacionalinių biudžetų mokestinių pajamų dedamąsias.</w:t>
      </w:r>
    </w:p>
    <w:p w:rsidR="00250F83" w:rsidRPr="00C43066" w:rsidRDefault="00250F83" w:rsidP="00284CA7">
      <w:pPr>
        <w:jc w:val="both"/>
        <w:rPr>
          <w:sz w:val="22"/>
        </w:rPr>
      </w:pPr>
    </w:p>
    <w:p w:rsidR="00284CA7" w:rsidRDefault="00284CA7" w:rsidP="00284CA7">
      <w:pPr>
        <w:rPr>
          <w:lang w:val="lt-LT"/>
        </w:rPr>
      </w:pPr>
    </w:p>
    <w:p w:rsidR="006927B0" w:rsidRDefault="00B02C09" w:rsidP="00FD7880">
      <w:pPr>
        <w:rPr>
          <w:lang w:val="lt-LT"/>
        </w:rPr>
      </w:pPr>
      <w:r>
        <w:rPr>
          <w:noProof/>
        </w:rPr>
        <w:drawing>
          <wp:inline distT="0" distB="0" distL="0" distR="0" wp14:anchorId="6F863B0E" wp14:editId="0B9472F0">
            <wp:extent cx="6162675" cy="3200400"/>
            <wp:effectExtent l="0" t="0" r="9525" b="19050"/>
            <wp:docPr id="1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p>
    <w:p w:rsidR="001622CD" w:rsidRDefault="001622CD" w:rsidP="001622CD">
      <w:pPr>
        <w:rPr>
          <w:sz w:val="20"/>
          <w:lang w:val="lt-LT"/>
        </w:rPr>
      </w:pPr>
      <w:r w:rsidRPr="00675AEB">
        <w:rPr>
          <w:b/>
          <w:sz w:val="20"/>
          <w:lang w:val="lt-LT"/>
        </w:rPr>
        <w:t>Šaltinis:</w:t>
      </w:r>
      <w:r w:rsidRPr="00675AEB">
        <w:rPr>
          <w:sz w:val="20"/>
          <w:lang w:val="lt-LT"/>
        </w:rPr>
        <w:t xml:space="preserve"> Eurostat duomenys</w:t>
      </w:r>
    </w:p>
    <w:p w:rsidR="001622CD" w:rsidRDefault="001622CD" w:rsidP="00FD7880">
      <w:pPr>
        <w:rPr>
          <w:lang w:val="lt-LT"/>
        </w:rPr>
      </w:pPr>
    </w:p>
    <w:p w:rsidR="001622CD" w:rsidRPr="00DE4F51" w:rsidRDefault="006C5A81" w:rsidP="00E91E87">
      <w:pPr>
        <w:pStyle w:val="Caption"/>
        <w:spacing w:before="0" w:after="0" w:line="360" w:lineRule="auto"/>
        <w:ind w:hanging="851"/>
      </w:pPr>
      <w:bookmarkStart w:id="67" w:name="_Toc385239385"/>
      <w:r>
        <w:t>28</w:t>
      </w:r>
      <w:r w:rsidR="00505D1D">
        <w:t xml:space="preserve"> </w:t>
      </w:r>
      <w:r w:rsidR="00240316" w:rsidRPr="00DE4F51">
        <w:t xml:space="preserve">pav. </w:t>
      </w:r>
      <w:r w:rsidR="00DE4F51" w:rsidRPr="00DE4F51">
        <w:t xml:space="preserve">ES šalių narių </w:t>
      </w:r>
      <w:r w:rsidR="00240316" w:rsidRPr="00DE4F51">
        <w:t xml:space="preserve">mokestinių pajamų, pagal atskiras mokesčių grupes, </w:t>
      </w:r>
      <w:r w:rsidR="00DE4F51" w:rsidRPr="00DE4F51">
        <w:t xml:space="preserve">dalis subnacionalinio lygio </w:t>
      </w:r>
      <w:r w:rsidR="00240316" w:rsidRPr="00DE4F51">
        <w:t xml:space="preserve">biudžete </w:t>
      </w:r>
      <w:r w:rsidR="00FC1A8C">
        <w:t>2012</w:t>
      </w:r>
      <w:r w:rsidR="00240316" w:rsidRPr="00DE4F51">
        <w:t xml:space="preserve"> m., proc.</w:t>
      </w:r>
      <w:bookmarkEnd w:id="67"/>
    </w:p>
    <w:p w:rsidR="00E313F8" w:rsidRDefault="00E313F8" w:rsidP="00E91E87">
      <w:pPr>
        <w:spacing w:line="360" w:lineRule="auto"/>
        <w:rPr>
          <w:lang w:val="lt-LT"/>
        </w:rPr>
      </w:pPr>
    </w:p>
    <w:p w:rsidR="00546E7C" w:rsidRPr="00505D1D" w:rsidRDefault="00B23BB8" w:rsidP="00E91E87">
      <w:pPr>
        <w:spacing w:line="360" w:lineRule="auto"/>
        <w:jc w:val="both"/>
        <w:rPr>
          <w:lang w:val="lt-LT"/>
        </w:rPr>
      </w:pPr>
      <w:r>
        <w:rPr>
          <w:lang w:val="lt-LT"/>
        </w:rPr>
        <w:t xml:space="preserve">     Nors teigi</w:t>
      </w:r>
      <w:r w:rsidR="00F70E2F">
        <w:rPr>
          <w:lang w:val="lt-LT"/>
        </w:rPr>
        <w:t>a</w:t>
      </w:r>
      <w:r>
        <w:rPr>
          <w:lang w:val="lt-LT"/>
        </w:rPr>
        <w:t>ma, kad mokestinių pajamų dalis subnacionalini</w:t>
      </w:r>
      <w:r w:rsidR="00505D1D">
        <w:rPr>
          <w:lang w:val="lt-LT"/>
        </w:rPr>
        <w:t xml:space="preserve">ame biudžete nurodo subsektorių </w:t>
      </w:r>
      <w:r>
        <w:rPr>
          <w:lang w:val="lt-LT"/>
        </w:rPr>
        <w:t>savarankiškumo lygį finansiniu atžvilgiu, tačiau kiekvieną valstybę reikėtų nagrinėti atskirai.</w:t>
      </w:r>
      <w:r w:rsidR="00505D1D">
        <w:rPr>
          <w:lang w:val="lt-LT"/>
        </w:rPr>
        <w:t xml:space="preserve"> </w:t>
      </w:r>
      <w:r>
        <w:rPr>
          <w:lang w:val="lt-LT"/>
        </w:rPr>
        <w:t xml:space="preserve">Svarbu </w:t>
      </w:r>
      <w:r w:rsidRPr="00B23BB8">
        <w:rPr>
          <w:lang w:val="lt-LT"/>
        </w:rPr>
        <w:t>atsižvelg</w:t>
      </w:r>
      <w:r>
        <w:rPr>
          <w:lang w:val="lt-LT"/>
        </w:rPr>
        <w:t>ti</w:t>
      </w:r>
      <w:r w:rsidRPr="00B23BB8">
        <w:rPr>
          <w:lang w:val="lt-LT"/>
        </w:rPr>
        <w:t xml:space="preserve"> į "mokesčių" sąvokas ir "vietinė rinkliava" </w:t>
      </w:r>
      <w:r>
        <w:rPr>
          <w:lang w:val="lt-LT"/>
        </w:rPr>
        <w:t>sąvokas. Skirtumą</w:t>
      </w:r>
      <w:r w:rsidRPr="00B23BB8">
        <w:rPr>
          <w:lang w:val="lt-LT"/>
        </w:rPr>
        <w:t xml:space="preserve"> t</w:t>
      </w:r>
      <w:r w:rsidR="00FC1A8C">
        <w:rPr>
          <w:lang w:val="lt-LT"/>
        </w:rPr>
        <w:t xml:space="preserve">arp abiejų yra sunku įžiūrėti. Tačiau pavyzdžiui Liuksemburge ir Graikijoje </w:t>
      </w:r>
      <w:r w:rsidRPr="00B23BB8">
        <w:rPr>
          <w:lang w:val="lt-LT"/>
        </w:rPr>
        <w:t>keli vietiniai mokesčiai, kurie būtų</w:t>
      </w:r>
      <w:r w:rsidR="00505D1D">
        <w:rPr>
          <w:lang w:val="lt-LT"/>
        </w:rPr>
        <w:t xml:space="preserve"> </w:t>
      </w:r>
      <w:r w:rsidR="00FC1A8C">
        <w:rPr>
          <w:lang w:val="lt-LT"/>
        </w:rPr>
        <w:t>laikomi</w:t>
      </w:r>
      <w:r w:rsidRPr="00B23BB8">
        <w:rPr>
          <w:lang w:val="lt-LT"/>
        </w:rPr>
        <w:t xml:space="preserve"> </w:t>
      </w:r>
      <w:r w:rsidR="00FC1A8C">
        <w:rPr>
          <w:lang w:val="lt-LT"/>
        </w:rPr>
        <w:t>„</w:t>
      </w:r>
      <w:r w:rsidRPr="00B23BB8">
        <w:rPr>
          <w:lang w:val="lt-LT"/>
        </w:rPr>
        <w:t>vieti</w:t>
      </w:r>
      <w:r w:rsidR="00FC1A8C">
        <w:rPr>
          <w:lang w:val="lt-LT"/>
        </w:rPr>
        <w:t>niais mokesčiais“</w:t>
      </w:r>
      <w:r w:rsidRPr="00B23BB8">
        <w:rPr>
          <w:lang w:val="lt-LT"/>
        </w:rPr>
        <w:t xml:space="preserve"> daugelyje Europos šalių, yra </w:t>
      </w:r>
      <w:r w:rsidR="00BC7DCF">
        <w:rPr>
          <w:lang w:val="lt-LT"/>
        </w:rPr>
        <w:t>pavadinti "kitos pajamo</w:t>
      </w:r>
      <w:r w:rsidR="00FC1A8C">
        <w:rPr>
          <w:lang w:val="lt-LT"/>
        </w:rPr>
        <w:t xml:space="preserve">s" </w:t>
      </w:r>
      <w:r w:rsidRPr="00B23BB8">
        <w:rPr>
          <w:lang w:val="lt-LT"/>
        </w:rPr>
        <w:t>kategor</w:t>
      </w:r>
      <w:r w:rsidR="00FC1A8C">
        <w:rPr>
          <w:lang w:val="lt-LT"/>
        </w:rPr>
        <w:t xml:space="preserve">ijoje kartu su mokesčių įplaukomis (Dexia, </w:t>
      </w:r>
      <w:r w:rsidR="00FC1A8C">
        <w:t>2012).</w:t>
      </w:r>
      <w:r w:rsidR="00BC7DCF">
        <w:t xml:space="preserve"> </w:t>
      </w:r>
    </w:p>
    <w:p w:rsidR="00BC7DCF" w:rsidRDefault="006C5A81" w:rsidP="00505D1D">
      <w:pPr>
        <w:spacing w:line="360" w:lineRule="auto"/>
        <w:jc w:val="both"/>
        <w:rPr>
          <w:lang w:val="lt-LT"/>
        </w:rPr>
      </w:pPr>
      <w:r>
        <w:tab/>
        <w:t>Dvide</w:t>
      </w:r>
      <w:r>
        <w:rPr>
          <w:lang w:val="lt-LT"/>
        </w:rPr>
        <w:t>šimt aštuntame p</w:t>
      </w:r>
      <w:r w:rsidR="00BC7DCF">
        <w:t>aveiksle matyti, kad gyventoj</w:t>
      </w:r>
      <w:r w:rsidR="00BC7DCF">
        <w:rPr>
          <w:lang w:val="lt-LT"/>
        </w:rPr>
        <w:t xml:space="preserve">ų pajamų mokestis daugiau nei </w:t>
      </w:r>
      <w:r w:rsidR="00BC7DCF">
        <w:t xml:space="preserve">80 proc. </w:t>
      </w:r>
      <w:r w:rsidR="00BC7DCF">
        <w:rPr>
          <w:lang w:val="lt-LT"/>
        </w:rPr>
        <w:t>subnacionalinio biudžeto mokestinėse pajamose sudaro dešimtyje šalių (Suomijoje, Jungtinėje Karalystėje, Švedijoje, Liuksemburge ir t.t.).</w:t>
      </w:r>
    </w:p>
    <w:p w:rsidR="00BC7DCF" w:rsidRDefault="00BC7DCF" w:rsidP="00505D1D">
      <w:pPr>
        <w:spacing w:line="360" w:lineRule="auto"/>
        <w:ind w:firstLine="720"/>
        <w:jc w:val="both"/>
      </w:pPr>
      <w:r>
        <w:rPr>
          <w:lang w:val="lt-LT"/>
        </w:rPr>
        <w:t xml:space="preserve"> Lietuvoje šis mokestis sudaro</w:t>
      </w:r>
      <w:r>
        <w:t xml:space="preserve"> 84,5 proc. vietinės valdžios gaunamų pajamų. </w:t>
      </w:r>
      <w:r w:rsidR="009B2AF9">
        <w:t>Tačiau, buvo plačiau anksčiau aptarta, gyventojų pajamų mokestis yra dalijamasis t.y. dalis šio mokesčio tenka valstybės, o kita – savivaldybių biudžetams. Šis</w:t>
      </w:r>
      <w:r w:rsidR="009B2AF9" w:rsidRPr="009B2AF9">
        <w:rPr>
          <w:color w:val="FFFFFF" w:themeColor="background1"/>
        </w:rPr>
        <w:t>_</w:t>
      </w:r>
      <w:r w:rsidR="009B2AF9">
        <w:t>mokestis, pasak Baltušnikienės (2004), užtikrina stipresnes vietos valdžios pozicijas negu dotacijų atveju, kadangi pajamas, gaunamas iš šio mokesčio, savivaldybės gali naudoti savo nuožiūra, tačiau negali įtakoti šio mokesčio tarifo.</w:t>
      </w:r>
    </w:p>
    <w:p w:rsidR="0052785E" w:rsidRDefault="00D065AA" w:rsidP="00E91E87">
      <w:pPr>
        <w:spacing w:line="360" w:lineRule="auto"/>
        <w:ind w:firstLine="720"/>
        <w:jc w:val="both"/>
        <w:rPr>
          <w:lang w:val="lt-LT"/>
        </w:rPr>
      </w:pPr>
      <w:r>
        <w:lastRenderedPageBreak/>
        <w:t>Taigi apibendrinus ES subnacionalinių valdžios biudžetų mokestinių pajamų įtakos savarankiškumui sunku nustatyti, nes gaunami mokesčiai nebūtinai paliekami vietinės valdžios poreikiams tenkinti – šios pajamos gali būti perskirstomos per valstybės biudžetą (pvz. Lietuvoje GPM).  Kiekvieną valstybės narės mokestinę bazę reikėtų anali</w:t>
      </w:r>
      <w:r w:rsidR="0052785E">
        <w:t>zuoti atskirai. Tuo tarpu pervedamų valstybės dotacijų dalis subnacionaliniam sektoriui Lietuvoje viršija 23,3 proc. gaunam</w:t>
      </w:r>
      <w:r w:rsidR="0052785E">
        <w:rPr>
          <w:lang w:val="lt-LT"/>
        </w:rPr>
        <w:t>ų biudžeto pajamų lyginant su ES vidurkiu. Griežtesnės ES reformos dėl ekonominės krizės daro teigiamą įtaką dotacijų mažėjimui tiek ES, tiek Lietuvoje.</w:t>
      </w:r>
    </w:p>
    <w:p w:rsidR="00E91E87" w:rsidRDefault="00E91E87" w:rsidP="00E91E87">
      <w:pPr>
        <w:spacing w:line="360" w:lineRule="auto"/>
        <w:ind w:firstLine="720"/>
        <w:jc w:val="both"/>
        <w:rPr>
          <w:lang w:val="lt-LT"/>
        </w:rPr>
      </w:pPr>
    </w:p>
    <w:p w:rsidR="0052785E" w:rsidRPr="0052785E" w:rsidRDefault="00E91E87" w:rsidP="00E91E87">
      <w:pPr>
        <w:pStyle w:val="Heading3"/>
        <w:spacing w:before="0" w:line="360" w:lineRule="auto"/>
        <w:rPr>
          <w:lang w:val="lt-LT"/>
        </w:rPr>
      </w:pPr>
      <w:bookmarkStart w:id="68" w:name="_Toc385249540"/>
      <w:r>
        <w:t>3.3</w:t>
      </w:r>
      <w:r w:rsidR="0052785E">
        <w:t xml:space="preserve">.3. ES </w:t>
      </w:r>
      <w:r w:rsidR="0052785E">
        <w:rPr>
          <w:lang w:val="lt-LT"/>
        </w:rPr>
        <w:t>įsiskolinimų vertinimas</w:t>
      </w:r>
      <w:bookmarkEnd w:id="68"/>
    </w:p>
    <w:p w:rsidR="00546E7C" w:rsidRDefault="00546E7C" w:rsidP="00E91E87">
      <w:pPr>
        <w:spacing w:line="360" w:lineRule="auto"/>
        <w:rPr>
          <w:lang w:val="lt-LT"/>
        </w:rPr>
      </w:pPr>
    </w:p>
    <w:p w:rsidR="00EF6FEB" w:rsidRPr="004D561D" w:rsidRDefault="00C872B4" w:rsidP="00E91E87">
      <w:pPr>
        <w:spacing w:line="360" w:lineRule="auto"/>
        <w:ind w:firstLine="720"/>
        <w:jc w:val="both"/>
        <w:rPr>
          <w:lang w:val="lt-LT"/>
        </w:rPr>
      </w:pPr>
      <w:r w:rsidRPr="00C872B4">
        <w:rPr>
          <w:lang w:val="lt-LT"/>
        </w:rPr>
        <w:t>Europos Komisija teigia, kad augimą skatinančiu fiskaliniu konsolidavimu turėtų būti užtikrinama, kad centrinės valdžios skola nebūtų mažinama didesnės subnacionalinės valdžios sektoriaus skolos sąskaita. Skolą mažinant koordinuotai taip pat turėtų būti užtikrinamos tolesnės augimą skatinančios viešosios investicijos, be kita ko, bendrai finansuojamos pagal sanglaudos politiką</w:t>
      </w:r>
      <w:r w:rsidR="004D561D">
        <w:rPr>
          <w:lang w:val="lt-LT"/>
        </w:rPr>
        <w:t>.</w:t>
      </w:r>
    </w:p>
    <w:p w:rsidR="00FD7880" w:rsidRDefault="00FD7880" w:rsidP="00172FFD">
      <w:pPr>
        <w:pStyle w:val="Heading1"/>
        <w:rPr>
          <w:lang w:val="lt-LT"/>
        </w:rPr>
      </w:pPr>
      <w:bookmarkStart w:id="69" w:name="_Toc345766255"/>
    </w:p>
    <w:p w:rsidR="00FD7880" w:rsidRDefault="00912086" w:rsidP="005744DF">
      <w:pPr>
        <w:pStyle w:val="Title"/>
        <w:rPr>
          <w:lang w:val="lt-LT"/>
        </w:rPr>
      </w:pPr>
      <w:r>
        <w:rPr>
          <w:noProof/>
        </w:rPr>
        <w:drawing>
          <wp:inline distT="0" distB="0" distL="0" distR="0" wp14:anchorId="36B58266" wp14:editId="6C58667B">
            <wp:extent cx="5969726" cy="2743200"/>
            <wp:effectExtent l="0" t="0" r="12065" b="19050"/>
            <wp:docPr id="26"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p w:rsidR="00C872B4" w:rsidRPr="00F02837" w:rsidRDefault="00C872B4" w:rsidP="00F02837">
      <w:pPr>
        <w:rPr>
          <w:sz w:val="20"/>
          <w:lang w:val="lt-LT"/>
        </w:rPr>
      </w:pPr>
      <w:r w:rsidRPr="00675AEB">
        <w:rPr>
          <w:b/>
          <w:sz w:val="20"/>
          <w:lang w:val="lt-LT"/>
        </w:rPr>
        <w:t>Šaltinis:</w:t>
      </w:r>
      <w:r w:rsidRPr="00675AEB">
        <w:rPr>
          <w:sz w:val="20"/>
          <w:lang w:val="lt-LT"/>
        </w:rPr>
        <w:t xml:space="preserve"> Eurostat duomenys</w:t>
      </w:r>
    </w:p>
    <w:p w:rsidR="00FD7880" w:rsidRPr="00C872B4" w:rsidRDefault="006C5A81" w:rsidP="00A204BB">
      <w:pPr>
        <w:pStyle w:val="Caption"/>
        <w:ind w:hanging="851"/>
      </w:pPr>
      <w:bookmarkStart w:id="70" w:name="_Toc385239386"/>
      <w:proofErr w:type="gramStart"/>
      <w:r>
        <w:t>29</w:t>
      </w:r>
      <w:r w:rsidR="00505D1D" w:rsidRPr="00C872B4">
        <w:t xml:space="preserve"> </w:t>
      </w:r>
      <w:r w:rsidR="00674D00" w:rsidRPr="00C872B4">
        <w:t>pav.</w:t>
      </w:r>
      <w:proofErr w:type="gramEnd"/>
      <w:r w:rsidR="00674D00" w:rsidRPr="00C872B4">
        <w:t xml:space="preserve"> Konsoliduota ES šalių narių skola</w:t>
      </w:r>
      <w:r w:rsidR="00F70E2F" w:rsidRPr="00C872B4">
        <w:t xml:space="preserve"> 2012 m., proc. nuo BVP</w:t>
      </w:r>
      <w:bookmarkEnd w:id="70"/>
    </w:p>
    <w:p w:rsidR="00013211" w:rsidRDefault="00013211" w:rsidP="00013211">
      <w:pPr>
        <w:rPr>
          <w:lang w:val="lt-LT"/>
        </w:rPr>
      </w:pPr>
    </w:p>
    <w:p w:rsidR="00013211" w:rsidRDefault="00824D82" w:rsidP="00505D1D">
      <w:pPr>
        <w:spacing w:line="360" w:lineRule="auto"/>
        <w:ind w:firstLine="720"/>
        <w:jc w:val="both"/>
        <w:rPr>
          <w:lang w:val="lt-LT"/>
        </w:rPr>
      </w:pPr>
      <w:r>
        <w:rPr>
          <w:lang w:val="lt-LT"/>
        </w:rPr>
        <w:t>Europos Sąjungos</w:t>
      </w:r>
      <w:r w:rsidR="00013211" w:rsidRPr="00013211">
        <w:rPr>
          <w:lang w:val="lt-LT"/>
        </w:rPr>
        <w:t xml:space="preserve"> valdžios sektoriaus skolos ir BVP santykis </w:t>
      </w:r>
      <w:r>
        <w:rPr>
          <w:lang w:val="lt-LT"/>
        </w:rPr>
        <w:t xml:space="preserve">2012 m. sudarė </w:t>
      </w:r>
      <w:r w:rsidR="008D5143">
        <w:t>85,2 proc.</w:t>
      </w:r>
      <w:r w:rsidR="00594938">
        <w:t xml:space="preserve"> (</w:t>
      </w:r>
      <w:r w:rsidR="00594938">
        <w:rPr>
          <w:lang w:val="lt-LT"/>
        </w:rPr>
        <w:t xml:space="preserve">žr. </w:t>
      </w:r>
      <w:r w:rsidR="006C5A81">
        <w:rPr>
          <w:lang w:val="lt-LT"/>
        </w:rPr>
        <w:t>29</w:t>
      </w:r>
      <w:r w:rsidR="00505D1D">
        <w:rPr>
          <w:lang w:val="lt-LT"/>
        </w:rPr>
        <w:t xml:space="preserve"> </w:t>
      </w:r>
      <w:r w:rsidR="00594938">
        <w:rPr>
          <w:lang w:val="lt-LT"/>
        </w:rPr>
        <w:t>pav.)</w:t>
      </w:r>
      <w:r w:rsidR="008D5143">
        <w:t>, i</w:t>
      </w:r>
      <w:r w:rsidR="008D5143">
        <w:rPr>
          <w:lang w:val="lt-LT"/>
        </w:rPr>
        <w:t xml:space="preserve">š jų </w:t>
      </w:r>
      <w:r w:rsidR="00594938">
        <w:rPr>
          <w:lang w:val="lt-LT"/>
        </w:rPr>
        <w:t>13 proc. teko subnacionaliniam lygmeniui.</w:t>
      </w:r>
      <w:r>
        <w:rPr>
          <w:lang w:val="lt-LT"/>
        </w:rPr>
        <w:t xml:space="preserve"> </w:t>
      </w:r>
      <w:r w:rsidR="00594938">
        <w:rPr>
          <w:lang w:val="lt-LT"/>
        </w:rPr>
        <w:t>Iš viso 15</w:t>
      </w:r>
      <w:r w:rsidR="00013211" w:rsidRPr="00013211">
        <w:rPr>
          <w:lang w:val="lt-LT"/>
        </w:rPr>
        <w:t xml:space="preserve"> valstybių narių </w:t>
      </w:r>
      <w:r w:rsidR="00594938">
        <w:rPr>
          <w:lang w:val="lt-LT"/>
        </w:rPr>
        <w:t xml:space="preserve">skola viršijo </w:t>
      </w:r>
      <w:r w:rsidR="00594938">
        <w:t>60 proc.</w:t>
      </w:r>
      <w:r w:rsidR="00594938">
        <w:rPr>
          <w:lang w:val="lt-LT"/>
        </w:rPr>
        <w:t xml:space="preserve"> </w:t>
      </w:r>
      <w:r w:rsidR="00594938">
        <w:rPr>
          <w:lang w:val="lt-LT"/>
        </w:rPr>
        <w:lastRenderedPageBreak/>
        <w:t>BVP</w:t>
      </w:r>
      <w:r w:rsidR="000F355E">
        <w:rPr>
          <w:lang w:val="lt-LT"/>
        </w:rPr>
        <w:t>. 2012</w:t>
      </w:r>
      <w:r w:rsidR="00013211" w:rsidRPr="00013211">
        <w:rPr>
          <w:lang w:val="lt-LT"/>
        </w:rPr>
        <w:t xml:space="preserve"> m. pabaigoje mažiausias valdžios sektoriaus skolos ir BVP </w:t>
      </w:r>
      <w:r w:rsidR="00594938">
        <w:rPr>
          <w:lang w:val="lt-LT"/>
        </w:rPr>
        <w:t>santykis nustatytas Estijoje (9,</w:t>
      </w:r>
      <w:r w:rsidR="00594938">
        <w:t>8</w:t>
      </w:r>
      <w:r w:rsidR="00594938">
        <w:rPr>
          <w:lang w:val="lt-LT"/>
        </w:rPr>
        <w:t xml:space="preserve"> proc.), Bulgarijoje (</w:t>
      </w:r>
      <w:r w:rsidR="00A5328E">
        <w:rPr>
          <w:lang w:val="lt-LT"/>
        </w:rPr>
        <w:t>18,5</w:t>
      </w:r>
      <w:r w:rsidR="00594938">
        <w:rPr>
          <w:lang w:val="lt-LT"/>
        </w:rPr>
        <w:t xml:space="preserve"> </w:t>
      </w:r>
      <w:r w:rsidR="00A5328E">
        <w:rPr>
          <w:lang w:val="lt-LT"/>
        </w:rPr>
        <w:t>proc.) ir Liuksemburge (21,7</w:t>
      </w:r>
      <w:r w:rsidR="00013211" w:rsidRPr="00013211">
        <w:rPr>
          <w:lang w:val="lt-LT"/>
        </w:rPr>
        <w:t xml:space="preserve"> proc.)</w:t>
      </w:r>
      <w:r w:rsidR="00594938">
        <w:rPr>
          <w:lang w:val="lt-LT"/>
        </w:rPr>
        <w:t>.</w:t>
      </w:r>
      <w:r w:rsidR="00013211" w:rsidRPr="00013211">
        <w:rPr>
          <w:lang w:val="lt-LT"/>
        </w:rPr>
        <w:t xml:space="preserve"> </w:t>
      </w:r>
    </w:p>
    <w:p w:rsidR="004D561D" w:rsidRDefault="00A5328E" w:rsidP="00505D1D">
      <w:pPr>
        <w:spacing w:line="360" w:lineRule="auto"/>
        <w:ind w:firstLine="720"/>
        <w:jc w:val="both"/>
        <w:rPr>
          <w:lang w:val="lt-LT"/>
        </w:rPr>
      </w:pPr>
      <w:r>
        <w:rPr>
          <w:lang w:val="lt-LT"/>
        </w:rPr>
        <w:t>Didžiausia subnacionalinio lygme</w:t>
      </w:r>
      <w:r w:rsidR="00C872B4">
        <w:rPr>
          <w:lang w:val="lt-LT"/>
        </w:rPr>
        <w:t xml:space="preserve">ns skolos </w:t>
      </w:r>
      <w:r w:rsidR="00034927">
        <w:rPr>
          <w:lang w:val="lt-LT"/>
        </w:rPr>
        <w:t>federacinės</w:t>
      </w:r>
      <w:r w:rsidR="00C872B4">
        <w:rPr>
          <w:lang w:val="lt-LT"/>
        </w:rPr>
        <w:t xml:space="preserve"> šalyse:</w:t>
      </w:r>
      <w:r>
        <w:rPr>
          <w:lang w:val="lt-LT"/>
        </w:rPr>
        <w:t xml:space="preserve"> Vokietijoje  (30,3 proc.), Ispanijoje (22,1 proc.), Belgijoje (11,9 pr</w:t>
      </w:r>
      <w:r w:rsidR="00C556A5">
        <w:rPr>
          <w:lang w:val="lt-LT"/>
        </w:rPr>
        <w:t xml:space="preserve">oc.) ir Austrijoje (8,7 proc.). </w:t>
      </w:r>
      <w:r w:rsidR="00FD5B2C">
        <w:rPr>
          <w:lang w:val="lt-LT"/>
        </w:rPr>
        <w:t>Tačiau šių šalių valstybių skolos nėra didžiausios.</w:t>
      </w:r>
      <w:r w:rsidR="007477F7">
        <w:rPr>
          <w:lang w:val="lt-LT"/>
        </w:rPr>
        <w:t xml:space="preserve"> </w:t>
      </w:r>
      <w:r w:rsidR="00FD5B2C">
        <w:rPr>
          <w:lang w:val="lt-LT"/>
        </w:rPr>
        <w:t xml:space="preserve">Tai rodo didesnį vietos ir regionų savarankiškumą fiskalinės decentralizacijos atžvilgiu. </w:t>
      </w:r>
    </w:p>
    <w:p w:rsidR="00A5328E" w:rsidRDefault="00C9344A" w:rsidP="00505D1D">
      <w:pPr>
        <w:spacing w:line="360" w:lineRule="auto"/>
        <w:ind w:firstLine="720"/>
        <w:jc w:val="both"/>
        <w:rPr>
          <w:lang w:val="lt-LT"/>
        </w:rPr>
      </w:pPr>
      <w:r>
        <w:rPr>
          <w:lang w:val="lt-LT"/>
        </w:rPr>
        <w:t>Trisd</w:t>
      </w:r>
      <w:r w:rsidR="004D561D">
        <w:rPr>
          <w:lang w:val="lt-LT"/>
        </w:rPr>
        <w:t>ešimt</w:t>
      </w:r>
      <w:r w:rsidR="006C5A81">
        <w:rPr>
          <w:lang w:val="lt-LT"/>
        </w:rPr>
        <w:t xml:space="preserve">ame </w:t>
      </w:r>
      <w:r w:rsidR="004D561D">
        <w:rPr>
          <w:lang w:val="lt-LT"/>
        </w:rPr>
        <w:t>paveiksle matyti s</w:t>
      </w:r>
      <w:r w:rsidR="004D561D" w:rsidRPr="004D561D">
        <w:rPr>
          <w:lang w:val="lt-LT"/>
        </w:rPr>
        <w:t>ubnacionalinių valdžios institucijų</w:t>
      </w:r>
      <w:r w:rsidR="007539C3">
        <w:rPr>
          <w:lang w:val="lt-LT"/>
        </w:rPr>
        <w:t xml:space="preserve"> biudžetų</w:t>
      </w:r>
      <w:r w:rsidR="004D561D" w:rsidRPr="004D561D">
        <w:rPr>
          <w:lang w:val="lt-LT"/>
        </w:rPr>
        <w:t xml:space="preserve"> išlaidų dali</w:t>
      </w:r>
      <w:r w:rsidR="004D561D">
        <w:rPr>
          <w:lang w:val="lt-LT"/>
        </w:rPr>
        <w:t>e</w:t>
      </w:r>
      <w:r w:rsidR="004D561D" w:rsidRPr="004D561D">
        <w:rPr>
          <w:lang w:val="lt-LT"/>
        </w:rPr>
        <w:t xml:space="preserve">s </w:t>
      </w:r>
      <w:r w:rsidR="007539C3">
        <w:rPr>
          <w:lang w:val="lt-LT"/>
        </w:rPr>
        <w:t>valdžios sektoriaus</w:t>
      </w:r>
      <w:r w:rsidR="004D561D" w:rsidRPr="004D561D">
        <w:rPr>
          <w:lang w:val="lt-LT"/>
        </w:rPr>
        <w:t xml:space="preserve"> </w:t>
      </w:r>
      <w:r w:rsidR="007539C3">
        <w:rPr>
          <w:lang w:val="lt-LT"/>
        </w:rPr>
        <w:t>išlaidose</w:t>
      </w:r>
      <w:r w:rsidR="004D561D">
        <w:rPr>
          <w:lang w:val="lt-LT"/>
        </w:rPr>
        <w:t xml:space="preserve"> (kuris nusako aiškų decentralizacijos lygį) ir subnacionalinių valdžios institucijų biudžetų skolos ryšį.</w:t>
      </w:r>
      <w:r w:rsidR="007539C3">
        <w:rPr>
          <w:lang w:val="lt-LT"/>
        </w:rPr>
        <w:t xml:space="preserve"> Koreliacija yra teigiama ir stipri. Tai daroma išvada : kuo subnacionalinio </w:t>
      </w:r>
      <w:r w:rsidR="00D1258B">
        <w:rPr>
          <w:lang w:val="lt-LT"/>
        </w:rPr>
        <w:t xml:space="preserve">valdžios </w:t>
      </w:r>
      <w:r w:rsidR="007539C3">
        <w:rPr>
          <w:lang w:val="lt-LT"/>
        </w:rPr>
        <w:t>sektoriaus</w:t>
      </w:r>
      <w:r w:rsidR="00D1258B">
        <w:rPr>
          <w:lang w:val="lt-LT"/>
        </w:rPr>
        <w:t xml:space="preserve"> fiskalinė decentralizacija didesnė, tuo jo biudžeto skola didesnė.</w:t>
      </w:r>
    </w:p>
    <w:p w:rsidR="00C9344A" w:rsidRDefault="00C9344A" w:rsidP="00505D1D">
      <w:pPr>
        <w:spacing w:line="360" w:lineRule="auto"/>
        <w:ind w:firstLine="720"/>
        <w:jc w:val="both"/>
        <w:rPr>
          <w:lang w:val="lt-LT"/>
        </w:rPr>
      </w:pPr>
    </w:p>
    <w:p w:rsidR="00C556A5" w:rsidRDefault="00C556A5" w:rsidP="00505D1D">
      <w:pPr>
        <w:spacing w:line="360" w:lineRule="auto"/>
        <w:ind w:firstLine="720"/>
        <w:jc w:val="both"/>
        <w:rPr>
          <w:lang w:val="lt-LT"/>
        </w:rPr>
      </w:pPr>
      <w:r>
        <w:rPr>
          <w:noProof/>
        </w:rPr>
        <w:drawing>
          <wp:inline distT="0" distB="0" distL="0" distR="0" wp14:anchorId="16607E50" wp14:editId="0EDA7FAF">
            <wp:extent cx="5747657" cy="3291840"/>
            <wp:effectExtent l="0" t="0" r="24765" b="22860"/>
            <wp:docPr id="271" name="Chart 271"/>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p>
    <w:p w:rsidR="00D1258B" w:rsidRDefault="00D1258B" w:rsidP="00505D1D">
      <w:pPr>
        <w:spacing w:line="360" w:lineRule="auto"/>
        <w:ind w:firstLine="720"/>
        <w:jc w:val="both"/>
        <w:rPr>
          <w:lang w:val="lt-LT"/>
        </w:rPr>
      </w:pPr>
      <w:r w:rsidRPr="00D1258B">
        <w:rPr>
          <w:b/>
          <w:lang w:val="lt-LT"/>
        </w:rPr>
        <w:t>Šaltinis:</w:t>
      </w:r>
      <w:r w:rsidRPr="00D1258B">
        <w:rPr>
          <w:lang w:val="lt-LT"/>
        </w:rPr>
        <w:t xml:space="preserve"> </w:t>
      </w:r>
      <w:r w:rsidR="00C77147">
        <w:rPr>
          <w:lang w:val="lt-LT"/>
        </w:rPr>
        <w:t>sudaryta autorės pagal Eurostat duomeni</w:t>
      </w:r>
      <w:r w:rsidRPr="00D1258B">
        <w:rPr>
          <w:lang w:val="lt-LT"/>
        </w:rPr>
        <w:t>s</w:t>
      </w:r>
    </w:p>
    <w:p w:rsidR="00FB4422" w:rsidRPr="00FB4422" w:rsidRDefault="006C5A81" w:rsidP="00A204BB">
      <w:pPr>
        <w:pStyle w:val="Caption"/>
        <w:ind w:hanging="851"/>
      </w:pPr>
      <w:bookmarkStart w:id="71" w:name="_Toc385239387"/>
      <w:r>
        <w:t>30</w:t>
      </w:r>
      <w:r w:rsidR="00FB4422">
        <w:t xml:space="preserve"> pav. Subnacionalinio valdžios sektoriaus biudžeto išlaidų dalies valdžios sektoriaus išlaidose ir subnacionalinio valdžios sektoriaus biudžeto skolos</w:t>
      </w:r>
      <w:r w:rsidR="00C77147">
        <w:t xml:space="preserve"> dalies </w:t>
      </w:r>
      <w:r w:rsidR="00FB4422">
        <w:t xml:space="preserve">valdžios </w:t>
      </w:r>
      <w:r w:rsidR="00C77147">
        <w:t>sektoriaus skolos ryšys, proc.</w:t>
      </w:r>
      <w:bookmarkEnd w:id="71"/>
    </w:p>
    <w:p w:rsidR="00C556A5" w:rsidRDefault="00C556A5" w:rsidP="00C556A5">
      <w:pPr>
        <w:spacing w:line="360" w:lineRule="auto"/>
        <w:ind w:firstLine="720"/>
        <w:jc w:val="both"/>
        <w:rPr>
          <w:lang w:val="lt-LT"/>
        </w:rPr>
      </w:pPr>
      <w:r>
        <w:rPr>
          <w:lang w:val="lt-LT"/>
        </w:rPr>
        <w:t>Pasak Europos Komisijos, finansinė krizė</w:t>
      </w:r>
      <w:r w:rsidRPr="00C556A5">
        <w:rPr>
          <w:lang w:val="lt-LT"/>
        </w:rPr>
        <w:t xml:space="preserve"> daro poveikį subnacionalinei valdžiai dviem būdais. Pirma, dėl krizės sumažėjo mokestinės pajamos ir buvo apkarpyti mokesčiai siekiant paskatinti augimą. Antra, dėl krizės išaugo viešųjų paslaugų ir socialinės apsaugos vietos paklausa, o tai lėmė didesnes viešąsias išlaidas.</w:t>
      </w:r>
    </w:p>
    <w:p w:rsidR="00734D04" w:rsidRDefault="003827A2" w:rsidP="00505D1D">
      <w:pPr>
        <w:spacing w:line="360" w:lineRule="auto"/>
        <w:ind w:firstLine="720"/>
        <w:jc w:val="both"/>
      </w:pPr>
      <w:r>
        <w:rPr>
          <w:lang w:val="lt-LT"/>
        </w:rPr>
        <w:t xml:space="preserve">Lietuvos valstybės skola yra </w:t>
      </w:r>
      <w:r>
        <w:t>40,5 proc.</w:t>
      </w:r>
      <w:r w:rsidR="007477F7">
        <w:t xml:space="preserve"> </w:t>
      </w:r>
      <w:proofErr w:type="gramStart"/>
      <w:r w:rsidR="007477F7">
        <w:t>BVP (žr. 29</w:t>
      </w:r>
      <w:r w:rsidR="004D561D">
        <w:t xml:space="preserve"> pav.)</w:t>
      </w:r>
      <w:r>
        <w:t xml:space="preserve"> ir yra viena mažiausių ES taip n</w:t>
      </w:r>
      <w:r w:rsidR="00EB5455">
        <w:t>epažeisdama Mastrichto kriterijaus (v</w:t>
      </w:r>
      <w:r w:rsidR="00EB5455" w:rsidRPr="00EB5455">
        <w:t>al</w:t>
      </w:r>
      <w:r w:rsidR="00EB5455">
        <w:t>stybės skola neturi viršyti 60 proc.</w:t>
      </w:r>
      <w:r w:rsidR="00EB5455" w:rsidRPr="00EB5455">
        <w:t xml:space="preserve"> bendrojo vidaus produkto)</w:t>
      </w:r>
      <w:r>
        <w:t>.</w:t>
      </w:r>
      <w:proofErr w:type="gramEnd"/>
      <w:r w:rsidR="00B31D32">
        <w:t xml:space="preserve"> ES </w:t>
      </w:r>
      <w:r w:rsidR="00B31D32">
        <w:lastRenderedPageBreak/>
        <w:t>reaguodama į visų šalių augančias skolas</w:t>
      </w:r>
      <w:r>
        <w:t xml:space="preserve"> </w:t>
      </w:r>
      <w:r w:rsidR="00B31D32">
        <w:t>numatė baudas šalims, kurios nemažins savo skolų lygio</w:t>
      </w:r>
      <w:r w:rsidR="00C556A5">
        <w:t xml:space="preserve"> </w:t>
      </w:r>
      <w:r>
        <w:t xml:space="preserve">Lietuvos </w:t>
      </w:r>
      <w:r w:rsidR="00EB5455">
        <w:t xml:space="preserve">Respublikos Seimo patvirtinti skolinimosi limitai įtakoja sąlyginai nedidelę </w:t>
      </w:r>
      <w:r>
        <w:t>vietinės valdžios</w:t>
      </w:r>
      <w:r w:rsidR="00EB5455">
        <w:t xml:space="preserve"> skolą</w:t>
      </w:r>
      <w:r w:rsidR="005C631D">
        <w:t xml:space="preserve">– 1,9 proc. </w:t>
      </w:r>
      <w:r w:rsidR="00EB5455">
        <w:t xml:space="preserve">BVP. Tai </w:t>
      </w:r>
      <w:r w:rsidR="005C631D">
        <w:t>rodo didelę kontrolę ir priklausomumą vietinė</w:t>
      </w:r>
      <w:r w:rsidR="00505D1D">
        <w:t xml:space="preserve">s valdžios finansų ir tuo pačiu </w:t>
      </w:r>
      <w:r w:rsidR="005C631D">
        <w:t>decentralizacijos atžvilgiu.</w:t>
      </w:r>
    </w:p>
    <w:p w:rsidR="00B375C0" w:rsidRDefault="00B375C0" w:rsidP="00505D1D">
      <w:pPr>
        <w:spacing w:line="360" w:lineRule="auto"/>
        <w:jc w:val="both"/>
      </w:pPr>
      <w:r>
        <w:rPr>
          <w:lang w:val="lt-LT"/>
        </w:rPr>
        <w:tab/>
        <w:t>Pasak Oates (</w:t>
      </w:r>
      <w:r>
        <w:t>2006), subnacionalinio skolinimosi autonomija gali pakenkti vietos vyriausybi</w:t>
      </w:r>
      <w:r w:rsidR="00505D1D">
        <w:rPr>
          <w:lang w:val="lt-LT"/>
        </w:rPr>
        <w:t xml:space="preserve">ų </w:t>
      </w:r>
      <w:r w:rsidR="005333ED">
        <w:t>fiskalinei drausmei</w:t>
      </w:r>
      <w:r w:rsidR="005D22FD">
        <w:t xml:space="preserve">. </w:t>
      </w:r>
      <w:r w:rsidR="00E879AC">
        <w:t>Mokslininkų tyrimai</w:t>
      </w:r>
      <w:r w:rsidR="005D22FD">
        <w:t xml:space="preserve"> parodė, kad subnacionalinių valdžios instiucijų ribojimas skolintis yra susijęs su geresniais fiskaliniais rezultatais</w:t>
      </w:r>
      <w:r w:rsidR="00E879AC">
        <w:t xml:space="preserve"> (Plekhanov, Singh, 2007; Rodden et al, 2002).</w:t>
      </w:r>
    </w:p>
    <w:p w:rsidR="001923FD" w:rsidRDefault="00C77147" w:rsidP="00E91E87">
      <w:pPr>
        <w:spacing w:line="360" w:lineRule="auto"/>
        <w:jc w:val="both"/>
      </w:pPr>
      <w:r>
        <w:rPr>
          <w:lang w:val="lt-LT"/>
        </w:rPr>
        <w:t xml:space="preserve">Šioje darbo dalyje pastebėta, kad didesnis subnacionalinio lygmens fiskalinės decentralizacijos lygis lemia jo biudžeto didesnę skolą. </w:t>
      </w:r>
      <w:r>
        <w:t>Todėl g</w:t>
      </w:r>
      <w:r w:rsidR="00E879AC">
        <w:t xml:space="preserve">alime teigti, kad Lietuvoje savivaldybėms taikytini skolinimosi limitai neleidžia vietinei valdžiai padidinti esamą skolą ir išvengia </w:t>
      </w:r>
      <w:r w:rsidR="00226322">
        <w:t>papildomų fiskalinių problemų.</w:t>
      </w:r>
    </w:p>
    <w:p w:rsidR="008C1336" w:rsidRPr="001923FD" w:rsidRDefault="008C1336" w:rsidP="00E91E87">
      <w:pPr>
        <w:spacing w:line="360" w:lineRule="auto"/>
      </w:pPr>
    </w:p>
    <w:p w:rsidR="008C1336" w:rsidRDefault="00E91E87" w:rsidP="00E91E87">
      <w:pPr>
        <w:pStyle w:val="Heading2"/>
        <w:spacing w:before="0" w:after="0" w:line="360" w:lineRule="auto"/>
        <w:jc w:val="center"/>
        <w:rPr>
          <w:lang w:val="lt-LT"/>
        </w:rPr>
      </w:pPr>
      <w:bookmarkStart w:id="72" w:name="_Toc385249541"/>
      <w:r>
        <w:rPr>
          <w:lang w:val="lt-LT"/>
        </w:rPr>
        <w:t>3.4</w:t>
      </w:r>
      <w:r w:rsidR="001923FD">
        <w:rPr>
          <w:lang w:val="lt-LT"/>
        </w:rPr>
        <w:t xml:space="preserve">.  </w:t>
      </w:r>
      <w:r w:rsidR="001923FD" w:rsidRPr="001923FD">
        <w:rPr>
          <w:lang w:val="lt-LT"/>
        </w:rPr>
        <w:t>Socialinės paramos decentralizacijos efektyvumo Lietuvos „eksperiment</w:t>
      </w:r>
      <w:r w:rsidR="00003E58">
        <w:rPr>
          <w:lang w:val="lt-LT"/>
        </w:rPr>
        <w:t>inėse savivaldybėse“ vertinimas</w:t>
      </w:r>
      <w:bookmarkEnd w:id="72"/>
    </w:p>
    <w:p w:rsidR="00C57715" w:rsidRDefault="00C57715" w:rsidP="00E91E87">
      <w:pPr>
        <w:spacing w:line="360" w:lineRule="auto"/>
        <w:rPr>
          <w:lang w:val="lt-LT"/>
        </w:rPr>
      </w:pPr>
    </w:p>
    <w:p w:rsidR="007C0263" w:rsidRDefault="00763DFF" w:rsidP="00E91E87">
      <w:pPr>
        <w:spacing w:line="360" w:lineRule="auto"/>
        <w:jc w:val="both"/>
      </w:pPr>
      <w:r>
        <w:rPr>
          <w:lang w:val="lt-LT"/>
        </w:rPr>
        <w:tab/>
        <w:t>2012 m. pradėta įgyvendinti Piniginės socialinės paramos sistemos reforma, kurios pagrindinis tikslas – mažinti piktnaudžiavimą socialine parama ir skatinti darbingų asmenų įsidarbinimą. Remiantis šiuo įstatymu, pakito socialinės paramos ne tik administravimas, dydžiai ir teikimo kriterijai, bet ir finansavimas. Socialinės paramos teikimas tapo savarankiška savivaldybių funkcija.</w:t>
      </w:r>
      <w:r w:rsidR="007C0263" w:rsidRPr="007C0263">
        <w:t xml:space="preserve"> </w:t>
      </w:r>
    </w:p>
    <w:p w:rsidR="008C1336" w:rsidRDefault="007C0263" w:rsidP="006B7152">
      <w:pPr>
        <w:spacing w:line="360" w:lineRule="auto"/>
        <w:ind w:firstLine="720"/>
        <w:jc w:val="both"/>
        <w:rPr>
          <w:lang w:val="lt-LT"/>
        </w:rPr>
      </w:pPr>
      <w:r>
        <w:t xml:space="preserve">Bandomasis eksperimentas dėl socialinės paramos teikimo </w:t>
      </w:r>
      <w:r w:rsidR="00340B18">
        <w:t>decentralizavimo nuspręstas vykdyti tris metus (2012-2014 m.)</w:t>
      </w:r>
      <w:r w:rsidR="00411B1F">
        <w:t xml:space="preserve"> </w:t>
      </w:r>
      <w:r w:rsidR="00003E58">
        <w:t>“eksperimentin</w:t>
      </w:r>
      <w:r w:rsidR="00003E58">
        <w:rPr>
          <w:lang w:val="lt-LT"/>
        </w:rPr>
        <w:t>ėse“ (</w:t>
      </w:r>
      <w:r w:rsidR="00411B1F">
        <w:rPr>
          <w:lang w:val="lt-LT"/>
        </w:rPr>
        <w:t>bandomosiose</w:t>
      </w:r>
      <w:r w:rsidR="00003E58">
        <w:rPr>
          <w:lang w:val="lt-LT"/>
        </w:rPr>
        <w:t>)</w:t>
      </w:r>
      <w:r w:rsidR="00411B1F">
        <w:rPr>
          <w:lang w:val="lt-LT"/>
        </w:rPr>
        <w:t xml:space="preserve"> </w:t>
      </w:r>
      <w:r w:rsidR="00340B18">
        <w:rPr>
          <w:lang w:val="lt-LT"/>
        </w:rPr>
        <w:t>savivaldybės</w:t>
      </w:r>
      <w:r w:rsidR="00411B1F">
        <w:rPr>
          <w:lang w:val="lt-LT"/>
        </w:rPr>
        <w:t>e:</w:t>
      </w:r>
      <w:r w:rsidR="00340B18">
        <w:rPr>
          <w:lang w:val="lt-LT"/>
        </w:rPr>
        <w:t xml:space="preserve"> </w:t>
      </w:r>
      <w:r w:rsidRPr="007C0263">
        <w:rPr>
          <w:lang w:val="lt-LT"/>
        </w:rPr>
        <w:t>Akmenės r., Panevėžio r., Radviliš</w:t>
      </w:r>
      <w:r w:rsidR="00340B18">
        <w:rPr>
          <w:lang w:val="lt-LT"/>
        </w:rPr>
        <w:t>kio r., Raseinių r., Šilalės r.</w:t>
      </w:r>
      <w:r w:rsidR="00411B1F">
        <w:rPr>
          <w:lang w:val="lt-LT"/>
        </w:rPr>
        <w:t xml:space="preserve"> Jos</w:t>
      </w:r>
      <w:r w:rsidR="00340B18">
        <w:rPr>
          <w:lang w:val="lt-LT"/>
        </w:rPr>
        <w:t xml:space="preserve"> </w:t>
      </w:r>
      <w:r w:rsidRPr="007C0263">
        <w:rPr>
          <w:lang w:val="lt-LT"/>
        </w:rPr>
        <w:t>pin</w:t>
      </w:r>
      <w:r w:rsidR="00340B18">
        <w:rPr>
          <w:lang w:val="lt-LT"/>
        </w:rPr>
        <w:t xml:space="preserve">iginę socialinę paramą vykdo kaip </w:t>
      </w:r>
      <w:r w:rsidRPr="007C0263">
        <w:rPr>
          <w:lang w:val="lt-LT"/>
        </w:rPr>
        <w:t xml:space="preserve"> savarankiškąją savivaldybių funkciją.</w:t>
      </w:r>
      <w:r w:rsidR="00411B1F">
        <w:rPr>
          <w:lang w:val="lt-LT"/>
        </w:rPr>
        <w:t xml:space="preserve"> Remi</w:t>
      </w:r>
      <w:r w:rsidR="001B05A8">
        <w:rPr>
          <w:lang w:val="lt-LT"/>
        </w:rPr>
        <w:t>antis Lietuvos socialinio tyrimų centro</w:t>
      </w:r>
      <w:r w:rsidR="00411B1F">
        <w:rPr>
          <w:lang w:val="lt-LT"/>
        </w:rPr>
        <w:t xml:space="preserve"> ataskaita dėl bandomojo projekto </w:t>
      </w:r>
      <w:r w:rsidR="00520DA9">
        <w:rPr>
          <w:lang w:val="lt-LT"/>
        </w:rPr>
        <w:t>šiame poskyryje svarbu  aptart</w:t>
      </w:r>
      <w:r w:rsidR="00FA368C" w:rsidRPr="00FA368C">
        <w:rPr>
          <w:lang w:val="lt-LT"/>
        </w:rPr>
        <w:t>i piniginės socialinės paramos reformos teigiamus ir neigiamus aspektus</w:t>
      </w:r>
      <w:r w:rsidR="00520DA9">
        <w:rPr>
          <w:lang w:val="lt-LT"/>
        </w:rPr>
        <w:t xml:space="preserve"> fiskalinės decentralizacijos atžvilgiu.</w:t>
      </w:r>
    </w:p>
    <w:p w:rsidR="00520DA9" w:rsidRPr="001B05A8" w:rsidRDefault="001B05A8" w:rsidP="006B7152">
      <w:pPr>
        <w:spacing w:line="360" w:lineRule="auto"/>
        <w:ind w:firstLine="720"/>
        <w:jc w:val="both"/>
        <w:rPr>
          <w:lang w:val="lt-LT"/>
        </w:rPr>
      </w:pPr>
      <w:r>
        <w:rPr>
          <w:lang w:val="lt-LT"/>
        </w:rPr>
        <w:t>Norint palyginti bandomųjų savivaldybių (S</w:t>
      </w:r>
      <w:r>
        <w:t xml:space="preserve">5), kuriose buvo </w:t>
      </w:r>
      <w:r w:rsidRPr="001B05A8">
        <w:t>išbandomas naujas socialinės pašalpos skyrimo modelis</w:t>
      </w:r>
      <w:r>
        <w:t xml:space="preserve">, </w:t>
      </w:r>
      <w:r w:rsidR="00AB1263">
        <w:t xml:space="preserve"> </w:t>
      </w:r>
      <w:r>
        <w:t>ir likusi</w:t>
      </w:r>
      <w:r>
        <w:rPr>
          <w:lang w:val="lt-LT"/>
        </w:rPr>
        <w:t>ų savivaldybių (S</w:t>
      </w:r>
      <w:r>
        <w:t>55)</w:t>
      </w:r>
      <w:r w:rsidRPr="001B05A8">
        <w:t xml:space="preserve"> </w:t>
      </w:r>
      <w:r>
        <w:t>s</w:t>
      </w:r>
      <w:r w:rsidRPr="001B05A8">
        <w:t>ocialinės pašalpos gavėjų skaičiaus ir atitinkamai išlaidų šioms pašalpoms pasikeitimu</w:t>
      </w:r>
      <w:r>
        <w:t>s</w:t>
      </w:r>
      <w:r w:rsidRPr="001B05A8">
        <w:t xml:space="preserve"> 2012 m.</w:t>
      </w:r>
      <w:r>
        <w:t xml:space="preserve"> b</w:t>
      </w:r>
      <w:r>
        <w:rPr>
          <w:lang w:val="lt-LT"/>
        </w:rPr>
        <w:t>ūtina</w:t>
      </w:r>
      <w:r w:rsidR="00AB1263">
        <w:rPr>
          <w:lang w:val="lt-LT"/>
        </w:rPr>
        <w:t xml:space="preserve"> įvertinti pašalpų gavėjų skaičiaus</w:t>
      </w:r>
      <w:r w:rsidR="00F76A1D">
        <w:rPr>
          <w:lang w:val="lt-LT"/>
        </w:rPr>
        <w:t xml:space="preserve"> pokytį</w:t>
      </w:r>
      <w:r w:rsidR="00FB6FF1">
        <w:rPr>
          <w:lang w:val="lt-LT"/>
        </w:rPr>
        <w:t xml:space="preserve"> visos valstybės mastu.</w:t>
      </w:r>
    </w:p>
    <w:p w:rsidR="00FA368C" w:rsidRDefault="00FA368C" w:rsidP="00013211">
      <w:pPr>
        <w:rPr>
          <w:lang w:val="lt-LT"/>
        </w:rPr>
      </w:pPr>
    </w:p>
    <w:p w:rsidR="008C1336" w:rsidRDefault="008C1336" w:rsidP="00505D1D">
      <w:pPr>
        <w:jc w:val="center"/>
        <w:rPr>
          <w:lang w:val="lt-LT"/>
        </w:rPr>
      </w:pPr>
      <w:r>
        <w:rPr>
          <w:noProof/>
        </w:rPr>
        <w:lastRenderedPageBreak/>
        <w:drawing>
          <wp:inline distT="0" distB="0" distL="0" distR="0" wp14:anchorId="6F610E06" wp14:editId="7963F7E2">
            <wp:extent cx="5646420" cy="2560320"/>
            <wp:effectExtent l="0" t="0" r="11430" b="11430"/>
            <wp:docPr id="269" name="Chart 269"/>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p w:rsidR="00FA368C" w:rsidRDefault="00FA368C" w:rsidP="00013211">
      <w:pPr>
        <w:rPr>
          <w:sz w:val="20"/>
          <w:lang w:val="lt-LT"/>
        </w:rPr>
      </w:pPr>
      <w:r w:rsidRPr="00AF74D5">
        <w:rPr>
          <w:b/>
          <w:sz w:val="20"/>
          <w:lang w:val="lt-LT"/>
        </w:rPr>
        <w:t>Šaltinis:</w:t>
      </w:r>
      <w:r w:rsidRPr="00AF74D5">
        <w:rPr>
          <w:sz w:val="20"/>
          <w:lang w:val="lt-LT"/>
        </w:rPr>
        <w:t xml:space="preserve"> </w:t>
      </w:r>
      <w:r w:rsidR="00505D1D" w:rsidRPr="00505D1D">
        <w:rPr>
          <w:sz w:val="20"/>
          <w:lang w:val="lt-LT"/>
        </w:rPr>
        <w:t>Lietuvos statistikos departamento duomenų bazė</w:t>
      </w:r>
    </w:p>
    <w:p w:rsidR="00505D1D" w:rsidRDefault="00505D1D" w:rsidP="00013211">
      <w:pPr>
        <w:rPr>
          <w:lang w:val="lt-LT"/>
        </w:rPr>
      </w:pPr>
    </w:p>
    <w:p w:rsidR="00FA368C" w:rsidRPr="00FA368C" w:rsidRDefault="00003E58" w:rsidP="00A204BB">
      <w:pPr>
        <w:pStyle w:val="Caption"/>
        <w:ind w:hanging="851"/>
      </w:pPr>
      <w:bookmarkStart w:id="73" w:name="_Toc385239388"/>
      <w:r>
        <w:t>31</w:t>
      </w:r>
      <w:r w:rsidR="00505D1D">
        <w:t xml:space="preserve"> </w:t>
      </w:r>
      <w:r w:rsidR="00F76A1D">
        <w:t>p</w:t>
      </w:r>
      <w:r w:rsidR="00FA368C" w:rsidRPr="00FA368C">
        <w:t xml:space="preserve">av. Socialinės pašalpos gavėjų skaičiaus kitimas </w:t>
      </w:r>
      <w:r w:rsidR="001B05A8">
        <w:t xml:space="preserve">Lietuvoje </w:t>
      </w:r>
      <w:r w:rsidR="00FA368C" w:rsidRPr="00FA368C">
        <w:t>2008-2012 m., tūkst.</w:t>
      </w:r>
      <w:bookmarkEnd w:id="73"/>
    </w:p>
    <w:p w:rsidR="008C1336" w:rsidRDefault="008C1336" w:rsidP="00013211">
      <w:pPr>
        <w:rPr>
          <w:lang w:val="lt-LT"/>
        </w:rPr>
      </w:pPr>
    </w:p>
    <w:p w:rsidR="008C1336" w:rsidRDefault="00F76A1D" w:rsidP="006B7152">
      <w:pPr>
        <w:spacing w:line="360" w:lineRule="auto"/>
        <w:ind w:firstLine="720"/>
        <w:jc w:val="both"/>
        <w:rPr>
          <w:lang w:val="lt-LT"/>
        </w:rPr>
      </w:pPr>
      <w:r>
        <w:rPr>
          <w:lang w:val="lt-LT"/>
        </w:rPr>
        <w:t>Visą analizuojamą laikotarpį</w:t>
      </w:r>
      <w:r w:rsidRPr="00F76A1D">
        <w:rPr>
          <w:lang w:val="lt-LT"/>
        </w:rPr>
        <w:t xml:space="preserve"> 2012</w:t>
      </w:r>
      <w:r>
        <w:rPr>
          <w:lang w:val="lt-LT"/>
        </w:rPr>
        <w:t xml:space="preserve"> </w:t>
      </w:r>
      <w:r w:rsidRPr="00F76A1D">
        <w:rPr>
          <w:lang w:val="lt-LT"/>
        </w:rPr>
        <w:t xml:space="preserve">m. reformos penkiose </w:t>
      </w:r>
      <w:r>
        <w:rPr>
          <w:lang w:val="lt-LT"/>
        </w:rPr>
        <w:t>eksperimentinėse</w:t>
      </w:r>
      <w:r w:rsidRPr="00F76A1D">
        <w:rPr>
          <w:lang w:val="lt-LT"/>
        </w:rPr>
        <w:t xml:space="preserve"> savivaldybėse, piniginę socialinę paramą nepasiturintiems asmenims skyrė ir mokėjo savivaldybės, ka</w:t>
      </w:r>
      <w:r>
        <w:rPr>
          <w:lang w:val="lt-LT"/>
        </w:rPr>
        <w:t>ip valstybės deleguotą funkciją.</w:t>
      </w:r>
      <w:r w:rsidRPr="00F76A1D">
        <w:rPr>
          <w:lang w:val="lt-LT"/>
        </w:rPr>
        <w:t xml:space="preserve"> Todėl sunku gavėjų skaičiaus pokyčius sieti su tuo ar pašalpa mokama kaip savivaldybėms deleguota, ar kaip savarankiška funkcija</w:t>
      </w:r>
      <w:r>
        <w:rPr>
          <w:lang w:val="lt-LT"/>
        </w:rPr>
        <w:t xml:space="preserve"> (žr.</w:t>
      </w:r>
      <w:r w:rsidR="00003E58">
        <w:rPr>
          <w:lang w:val="lt-LT"/>
        </w:rPr>
        <w:t xml:space="preserve"> 31</w:t>
      </w:r>
      <w:r>
        <w:rPr>
          <w:lang w:val="lt-LT"/>
        </w:rPr>
        <w:t xml:space="preserve"> pav.). Tačiau akivaizdu, kad ekonomė ir finansinė krizė ženkliai padidino pašalpų gavėjų skaičių – nuo 37 tūkst. (</w:t>
      </w:r>
      <w:r>
        <w:t xml:space="preserve">2008 m.) </w:t>
      </w:r>
      <w:r>
        <w:rPr>
          <w:lang w:val="lt-LT"/>
        </w:rPr>
        <w:t>iki 222 tūkst. (2012 m.)</w:t>
      </w:r>
      <w:r w:rsidR="00AB1263">
        <w:rPr>
          <w:lang w:val="lt-LT"/>
        </w:rPr>
        <w:t>.</w:t>
      </w:r>
    </w:p>
    <w:p w:rsidR="00AB1263" w:rsidRDefault="00AB1263" w:rsidP="00F76A1D">
      <w:pPr>
        <w:ind w:firstLine="720"/>
        <w:rPr>
          <w:lang w:val="lt-LT"/>
        </w:rPr>
      </w:pPr>
    </w:p>
    <w:p w:rsidR="00013211" w:rsidRDefault="00013211" w:rsidP="00013211">
      <w:pPr>
        <w:rPr>
          <w:lang w:val="lt-LT"/>
        </w:rPr>
      </w:pPr>
    </w:p>
    <w:p w:rsidR="00000252" w:rsidRDefault="00AB1263" w:rsidP="00013211">
      <w:pPr>
        <w:rPr>
          <w:lang w:val="lt-LT"/>
        </w:rPr>
      </w:pPr>
      <w:r>
        <w:rPr>
          <w:noProof/>
        </w:rPr>
        <w:drawing>
          <wp:inline distT="0" distB="0" distL="0" distR="0" wp14:anchorId="0B29951D" wp14:editId="554A1E53">
            <wp:extent cx="6435090" cy="2537460"/>
            <wp:effectExtent l="0" t="0" r="22860" b="15240"/>
            <wp:docPr id="267" name="Chart 267"/>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p>
    <w:p w:rsidR="00000252" w:rsidRPr="00F71CBD" w:rsidRDefault="00390496" w:rsidP="00013211">
      <w:pPr>
        <w:rPr>
          <w:sz w:val="20"/>
          <w:lang w:val="lt-LT"/>
        </w:rPr>
      </w:pPr>
      <w:r w:rsidRPr="00F71CBD">
        <w:rPr>
          <w:b/>
          <w:sz w:val="20"/>
          <w:lang w:val="lt-LT"/>
        </w:rPr>
        <w:t>Šaltinis:</w:t>
      </w:r>
      <w:r w:rsidR="00684009">
        <w:rPr>
          <w:b/>
          <w:sz w:val="20"/>
          <w:lang w:val="lt-LT"/>
        </w:rPr>
        <w:t xml:space="preserve"> </w:t>
      </w:r>
      <w:r w:rsidRPr="00F71CBD">
        <w:rPr>
          <w:sz w:val="20"/>
          <w:lang w:val="lt-LT"/>
        </w:rPr>
        <w:t>Lietuvos socialinio tyrimų centro ataskaita</w:t>
      </w:r>
    </w:p>
    <w:p w:rsidR="00390496" w:rsidRDefault="00390496" w:rsidP="00013211">
      <w:pPr>
        <w:rPr>
          <w:lang w:val="lt-LT"/>
        </w:rPr>
      </w:pPr>
    </w:p>
    <w:p w:rsidR="00390496" w:rsidRPr="00FA0A0E" w:rsidRDefault="00003E58" w:rsidP="00A204BB">
      <w:pPr>
        <w:pStyle w:val="Caption"/>
        <w:ind w:hanging="851"/>
      </w:pPr>
      <w:bookmarkStart w:id="74" w:name="_Toc385239389"/>
      <w:r>
        <w:t>32</w:t>
      </w:r>
      <w:r w:rsidR="00837F24">
        <w:t xml:space="preserve"> </w:t>
      </w:r>
      <w:r w:rsidR="00F71CBD" w:rsidRPr="00FA0A0E">
        <w:t xml:space="preserve">pav. Išmokų ir gavėjų skaičiaus 1000 gyventojų </w:t>
      </w:r>
      <w:r w:rsidR="00FA0A0E" w:rsidRPr="00FA0A0E">
        <w:t>kitimas 2008-2012 m.,</w:t>
      </w:r>
      <w:r w:rsidR="00FA0A0E">
        <w:t xml:space="preserve"> (S</w:t>
      </w:r>
      <w:r w:rsidR="00F71CBD" w:rsidRPr="00FA0A0E">
        <w:t>5</w:t>
      </w:r>
      <w:r w:rsidR="00FA0A0E" w:rsidRPr="00FA0A0E">
        <w:t xml:space="preserve"> </w:t>
      </w:r>
      <w:r w:rsidR="00FA0A0E">
        <w:t>ir S</w:t>
      </w:r>
      <w:r w:rsidR="00F71CBD" w:rsidRPr="00FA0A0E">
        <w:t>55)</w:t>
      </w:r>
      <w:bookmarkEnd w:id="74"/>
    </w:p>
    <w:p w:rsidR="00646EFA" w:rsidRDefault="00646EFA" w:rsidP="00013211">
      <w:pPr>
        <w:rPr>
          <w:lang w:val="lt-LT"/>
        </w:rPr>
      </w:pPr>
    </w:p>
    <w:p w:rsidR="00646EFA" w:rsidRDefault="00390496" w:rsidP="006B7152">
      <w:pPr>
        <w:spacing w:line="360" w:lineRule="auto"/>
        <w:jc w:val="both"/>
      </w:pPr>
      <w:r>
        <w:rPr>
          <w:lang w:val="lt-LT"/>
        </w:rPr>
        <w:lastRenderedPageBreak/>
        <w:t xml:space="preserve"> </w:t>
      </w:r>
      <w:r w:rsidR="006B7152">
        <w:rPr>
          <w:lang w:val="lt-LT"/>
        </w:rPr>
        <w:tab/>
      </w:r>
      <w:r w:rsidR="00837F24">
        <w:rPr>
          <w:lang w:val="lt-LT"/>
        </w:rPr>
        <w:t xml:space="preserve">Trisdešimt </w:t>
      </w:r>
      <w:r w:rsidR="00003E58">
        <w:rPr>
          <w:lang w:val="lt-LT"/>
        </w:rPr>
        <w:t>antrame</w:t>
      </w:r>
      <w:r w:rsidR="00837F24">
        <w:rPr>
          <w:lang w:val="lt-LT"/>
        </w:rPr>
        <w:t xml:space="preserve"> </w:t>
      </w:r>
      <w:r w:rsidR="00646EFA" w:rsidRPr="00646EFA">
        <w:rPr>
          <w:lang w:val="lt-LT"/>
        </w:rPr>
        <w:t>paveiksle pavaizduota, kaip keitėsi socialinės pašalpos išmokų ir socialinės p</w:t>
      </w:r>
      <w:r>
        <w:rPr>
          <w:lang w:val="lt-LT"/>
        </w:rPr>
        <w:t>ašalpos gavėjų skaičius nuo 200</w:t>
      </w:r>
      <w:r>
        <w:t>8</w:t>
      </w:r>
      <w:r w:rsidR="00646EFA" w:rsidRPr="00646EFA">
        <w:rPr>
          <w:lang w:val="lt-LT"/>
        </w:rPr>
        <w:t xml:space="preserve"> metų iki 2012 metų </w:t>
      </w:r>
      <w:r>
        <w:rPr>
          <w:lang w:val="lt-LT"/>
        </w:rPr>
        <w:t>dvejuose</w:t>
      </w:r>
      <w:r w:rsidR="00F71CBD">
        <w:rPr>
          <w:lang w:val="lt-LT"/>
        </w:rPr>
        <w:t xml:space="preserve"> savivaldybių grupėse, S</w:t>
      </w:r>
      <w:r w:rsidR="00646EFA" w:rsidRPr="00646EFA">
        <w:rPr>
          <w:lang w:val="lt-LT"/>
        </w:rPr>
        <w:t>5</w:t>
      </w:r>
      <w:r w:rsidR="00F71CBD">
        <w:rPr>
          <w:lang w:val="lt-LT"/>
        </w:rPr>
        <w:t>ir S</w:t>
      </w:r>
      <w:r w:rsidR="00646EFA" w:rsidRPr="00646EFA">
        <w:rPr>
          <w:lang w:val="lt-LT"/>
        </w:rPr>
        <w:t xml:space="preserve">55. </w:t>
      </w:r>
      <w:r>
        <w:rPr>
          <w:lang w:val="lt-LT"/>
        </w:rPr>
        <w:t xml:space="preserve">Pateikti ataskaitos </w:t>
      </w:r>
      <w:r w:rsidR="00F71CBD">
        <w:rPr>
          <w:lang w:val="lt-LT"/>
        </w:rPr>
        <w:t>duomenys rodo, kad S</w:t>
      </w:r>
      <w:r w:rsidR="00646EFA" w:rsidRPr="00646EFA">
        <w:rPr>
          <w:lang w:val="lt-LT"/>
        </w:rPr>
        <w:t>5 savivaldybių grupėje 2012 metais lyginant su 2011 metais socialinės pašalpos išmokų skaičius sumažėjo nuo 1138 iki 1063 išm</w:t>
      </w:r>
      <w:r>
        <w:rPr>
          <w:lang w:val="lt-LT"/>
        </w:rPr>
        <w:t xml:space="preserve">okų 1000 savivaldybės gyventojų. Taip pat sumažėjo ir gavėjų skaičius </w:t>
      </w:r>
      <w:r w:rsidR="00F71CBD">
        <w:rPr>
          <w:lang w:val="lt-LT"/>
        </w:rPr>
        <w:t xml:space="preserve">1000 gyventojų </w:t>
      </w:r>
      <w:r>
        <w:rPr>
          <w:lang w:val="lt-LT"/>
        </w:rPr>
        <w:t xml:space="preserve">nuo </w:t>
      </w:r>
      <w:r w:rsidR="00F71CBD">
        <w:rPr>
          <w:lang w:val="lt-LT"/>
        </w:rPr>
        <w:t xml:space="preserve">184 iki 179. </w:t>
      </w:r>
      <w:r w:rsidR="00F71CBD" w:rsidRPr="00F71CBD">
        <w:rPr>
          <w:lang w:val="lt-LT"/>
        </w:rPr>
        <w:t xml:space="preserve">Analizuojamu laikotarpiu tai pirmas šių rodiklių sumažėjimas. </w:t>
      </w:r>
      <w:r w:rsidR="00F71CBD">
        <w:rPr>
          <w:lang w:val="lt-LT"/>
        </w:rPr>
        <w:t xml:space="preserve">Likusiose savivaldybėse pastebimas gavėjų ir išmokų </w:t>
      </w:r>
      <w:r w:rsidR="00F71CBD">
        <w:t>1000 gyv. kilimas atitinkamai nuo 125 (2011 m.) iki 133 (2012 m.) ir nuo 949 (2011 m.) iki 980 (2012 m.).</w:t>
      </w:r>
    </w:p>
    <w:p w:rsidR="00FA0A0E" w:rsidRPr="00FA0A0E" w:rsidRDefault="00FA0A0E" w:rsidP="006B7152">
      <w:pPr>
        <w:spacing w:line="360" w:lineRule="auto"/>
        <w:jc w:val="both"/>
        <w:rPr>
          <w:lang w:val="lt-LT"/>
        </w:rPr>
      </w:pPr>
      <w:r>
        <w:tab/>
        <w:t>Atkreiptinas d</w:t>
      </w:r>
      <w:r>
        <w:rPr>
          <w:lang w:val="lt-LT"/>
        </w:rPr>
        <w:t>ėmesys, kad kad S</w:t>
      </w:r>
      <w:r w:rsidRPr="00FA0A0E">
        <w:rPr>
          <w:lang w:val="lt-LT"/>
        </w:rPr>
        <w:t>5 savivaldybių grupėje socialinės pašalpos gavėjų socialinės pašalpos išmokų atvejų procentai padidėjo kelis kartus mažiau, nei kitose dviejose savivaldybių grupėse. Socialinės pašalpos išmokų suma vienam sąlyginiam savivaldybės gyventojui S-5 savivaldybių grupėje sumažėjo nuo 21,24 Lt. iki 19,20 Lt arba beveik 10 proc.</w:t>
      </w:r>
    </w:p>
    <w:p w:rsidR="00646EFA" w:rsidRDefault="00646EFA" w:rsidP="00013211">
      <w:pPr>
        <w:rPr>
          <w:lang w:val="lt-LT"/>
        </w:rPr>
      </w:pPr>
    </w:p>
    <w:p w:rsidR="00000252" w:rsidRDefault="00000252" w:rsidP="00837F24">
      <w:pPr>
        <w:jc w:val="center"/>
        <w:rPr>
          <w:lang w:val="lt-LT"/>
        </w:rPr>
      </w:pPr>
      <w:r>
        <w:rPr>
          <w:noProof/>
        </w:rPr>
        <w:drawing>
          <wp:inline distT="0" distB="0" distL="0" distR="0" wp14:anchorId="177A371D" wp14:editId="46A108A9">
            <wp:extent cx="5554980" cy="2560320"/>
            <wp:effectExtent l="0" t="0" r="26670" b="11430"/>
            <wp:docPr id="268" name="Chart 268"/>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inline>
        </w:drawing>
      </w:r>
    </w:p>
    <w:p w:rsidR="00FA0A0E" w:rsidRDefault="00FA0A0E" w:rsidP="00013211">
      <w:pPr>
        <w:rPr>
          <w:sz w:val="20"/>
          <w:lang w:val="lt-LT"/>
        </w:rPr>
      </w:pPr>
      <w:r w:rsidRPr="00FA0A0E">
        <w:rPr>
          <w:b/>
          <w:sz w:val="20"/>
          <w:lang w:val="lt-LT"/>
        </w:rPr>
        <w:t>Šaltinis:</w:t>
      </w:r>
      <w:r w:rsidR="00684009">
        <w:rPr>
          <w:b/>
          <w:sz w:val="20"/>
          <w:lang w:val="lt-LT"/>
        </w:rPr>
        <w:t xml:space="preserve"> </w:t>
      </w:r>
      <w:r w:rsidRPr="00FA0A0E">
        <w:rPr>
          <w:sz w:val="20"/>
          <w:lang w:val="lt-LT"/>
        </w:rPr>
        <w:t>Lietuvos socialinio tyrimų centro ataskaita</w:t>
      </w:r>
    </w:p>
    <w:p w:rsidR="00FA0A0E" w:rsidRPr="00FA0A0E" w:rsidRDefault="00FA0A0E" w:rsidP="00013211">
      <w:pPr>
        <w:rPr>
          <w:sz w:val="20"/>
          <w:lang w:val="lt-LT"/>
        </w:rPr>
      </w:pPr>
    </w:p>
    <w:p w:rsidR="00FA0A0E" w:rsidRPr="00FA0A0E" w:rsidRDefault="00003E58" w:rsidP="00A204BB">
      <w:pPr>
        <w:pStyle w:val="Caption"/>
        <w:ind w:hanging="851"/>
      </w:pPr>
      <w:bookmarkStart w:id="75" w:name="_Toc385239390"/>
      <w:r>
        <w:t>33</w:t>
      </w:r>
      <w:r w:rsidR="00837F24">
        <w:t xml:space="preserve"> p</w:t>
      </w:r>
      <w:r w:rsidR="00FA0A0E">
        <w:t xml:space="preserve">av. </w:t>
      </w:r>
      <w:r w:rsidR="00FA0A0E" w:rsidRPr="00FA0A0E">
        <w:t>Socialinių pašalpos vienam sąlyginiam savivaldybės gyventojui sumos litais per</w:t>
      </w:r>
      <w:bookmarkEnd w:id="75"/>
    </w:p>
    <w:p w:rsidR="00FA0A0E" w:rsidRDefault="006B7152" w:rsidP="00A204BB">
      <w:pPr>
        <w:pStyle w:val="Caption"/>
        <w:ind w:hanging="851"/>
      </w:pPr>
      <w:bookmarkStart w:id="76" w:name="_Toc385239391"/>
      <w:r>
        <w:t>mėnesį palyginimas (S</w:t>
      </w:r>
      <w:r w:rsidR="00FA0A0E" w:rsidRPr="00FA0A0E">
        <w:t>5</w:t>
      </w:r>
      <w:r>
        <w:t>, S</w:t>
      </w:r>
      <w:r w:rsidR="00FA0A0E" w:rsidRPr="00FA0A0E">
        <w:t>55)</w:t>
      </w:r>
      <w:bookmarkEnd w:id="76"/>
    </w:p>
    <w:p w:rsidR="006B7152" w:rsidRPr="00FA0A0E" w:rsidRDefault="006B7152" w:rsidP="00FA0A0E">
      <w:pPr>
        <w:jc w:val="center"/>
        <w:rPr>
          <w:b/>
          <w:lang w:val="lt-LT"/>
        </w:rPr>
      </w:pPr>
    </w:p>
    <w:p w:rsidR="00000252" w:rsidRDefault="00837F24" w:rsidP="006B7152">
      <w:pPr>
        <w:spacing w:line="360" w:lineRule="auto"/>
        <w:ind w:firstLine="720"/>
        <w:jc w:val="both"/>
        <w:rPr>
          <w:lang w:val="lt-LT"/>
        </w:rPr>
      </w:pPr>
      <w:r>
        <w:rPr>
          <w:lang w:val="lt-LT"/>
        </w:rPr>
        <w:t xml:space="preserve">Trisdešimt </w:t>
      </w:r>
      <w:r w:rsidR="00003E58">
        <w:rPr>
          <w:lang w:val="lt-LT"/>
        </w:rPr>
        <w:t>trečiame</w:t>
      </w:r>
      <w:r>
        <w:rPr>
          <w:lang w:val="lt-LT"/>
        </w:rPr>
        <w:t xml:space="preserve"> </w:t>
      </w:r>
      <w:r w:rsidR="006B7152">
        <w:rPr>
          <w:lang w:val="lt-LT"/>
        </w:rPr>
        <w:t xml:space="preserve">paveiksle matyti, kaip nuo </w:t>
      </w:r>
      <w:r w:rsidR="00AF74D5">
        <w:rPr>
          <w:lang w:val="lt-LT"/>
        </w:rPr>
        <w:t>200</w:t>
      </w:r>
      <w:r w:rsidR="00AF74D5">
        <w:t xml:space="preserve">8 </w:t>
      </w:r>
      <w:r w:rsidR="00FA0A0E" w:rsidRPr="00FA0A0E">
        <w:rPr>
          <w:lang w:val="lt-LT"/>
        </w:rPr>
        <w:t xml:space="preserve">metų iki 2012 metų keitėsi socialinės pašalpų išmokų, socialinės pašalpos gavėjų ir socialinių pašalpos vienam sąlyginiam savivaldybės gyventojui sumos Lt. per mėnesį. </w:t>
      </w:r>
      <w:r w:rsidR="00AF74D5">
        <w:rPr>
          <w:lang w:val="lt-LT"/>
        </w:rPr>
        <w:t>S</w:t>
      </w:r>
      <w:r w:rsidR="00FA0A0E" w:rsidRPr="00FA0A0E">
        <w:rPr>
          <w:lang w:val="lt-LT"/>
        </w:rPr>
        <w:t>5 savivaldybių grupėje socialinės pašalpos gavėjų socialinės pašalpos išmokų atvejų procentai padidėjo kelis kartus mažiau, nei kitose dviejose savivaldybių grupėse. Socialinės pašalpos išmokų suma vienam sąlyg</w:t>
      </w:r>
      <w:r w:rsidR="00AF74D5">
        <w:rPr>
          <w:lang w:val="lt-LT"/>
        </w:rPr>
        <w:t>iniam savivaldybės gyventojui S</w:t>
      </w:r>
      <w:r w:rsidR="00FA0A0E" w:rsidRPr="00FA0A0E">
        <w:rPr>
          <w:lang w:val="lt-LT"/>
        </w:rPr>
        <w:t>5 savi</w:t>
      </w:r>
      <w:r w:rsidR="00AF74D5">
        <w:rPr>
          <w:lang w:val="lt-LT"/>
        </w:rPr>
        <w:t>valdybių grupėje sumažėjo nuo 24,14 Lt. iki 19,20 Lt arba beveik 2</w:t>
      </w:r>
      <w:r w:rsidR="00FA0A0E" w:rsidRPr="00FA0A0E">
        <w:rPr>
          <w:lang w:val="lt-LT"/>
        </w:rPr>
        <w:t>0 proc.</w:t>
      </w:r>
    </w:p>
    <w:p w:rsidR="009540CC" w:rsidRDefault="00E91E87" w:rsidP="006B7152">
      <w:pPr>
        <w:spacing w:line="360" w:lineRule="auto"/>
        <w:ind w:firstLine="720"/>
        <w:jc w:val="both"/>
        <w:rPr>
          <w:lang w:val="lt-LT"/>
        </w:rPr>
      </w:pPr>
      <w:r>
        <w:rPr>
          <w:noProof/>
        </w:rPr>
        <w:lastRenderedPageBreak/>
        <w:drawing>
          <wp:inline distT="0" distB="0" distL="0" distR="0">
            <wp:extent cx="5486400" cy="3200400"/>
            <wp:effectExtent l="0" t="0" r="19050" b="19050"/>
            <wp:docPr id="2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inline>
        </w:drawing>
      </w:r>
    </w:p>
    <w:p w:rsidR="005A5CD3" w:rsidRDefault="005A5CD3" w:rsidP="00E91E87">
      <w:pPr>
        <w:tabs>
          <w:tab w:val="center" w:pos="4770"/>
        </w:tabs>
        <w:autoSpaceDE w:val="0"/>
        <w:autoSpaceDN w:val="0"/>
        <w:adjustRightInd w:val="0"/>
        <w:spacing w:line="360" w:lineRule="auto"/>
        <w:jc w:val="both"/>
        <w:rPr>
          <w:lang w:val="lt-LT"/>
        </w:rPr>
      </w:pPr>
      <w:r>
        <w:rPr>
          <w:b/>
          <w:sz w:val="20"/>
          <w:szCs w:val="20"/>
          <w:lang w:val="lt-LT"/>
        </w:rPr>
        <w:t xml:space="preserve">            </w:t>
      </w:r>
      <w:r w:rsidRPr="00EB74BD">
        <w:rPr>
          <w:b/>
          <w:sz w:val="20"/>
          <w:szCs w:val="20"/>
          <w:lang w:val="lt-LT"/>
        </w:rPr>
        <w:t>Šaltinis:</w:t>
      </w:r>
      <w:r w:rsidRPr="00DE45AC">
        <w:rPr>
          <w:sz w:val="20"/>
          <w:szCs w:val="20"/>
          <w:lang w:val="lt-LT"/>
        </w:rPr>
        <w:t xml:space="preserve"> Lietuvos statistikos departamento duomenų bazė</w:t>
      </w:r>
    </w:p>
    <w:p w:rsidR="00E51DBD" w:rsidRDefault="00003E58" w:rsidP="00E91E87">
      <w:pPr>
        <w:pStyle w:val="Caption"/>
        <w:spacing w:before="0" w:after="0" w:line="360" w:lineRule="auto"/>
        <w:ind w:hanging="851"/>
      </w:pPr>
      <w:bookmarkStart w:id="77" w:name="_Toc385239392"/>
      <w:r>
        <w:t>34</w:t>
      </w:r>
      <w:r w:rsidR="00837F24">
        <w:t xml:space="preserve"> pav. </w:t>
      </w:r>
      <w:proofErr w:type="gramStart"/>
      <w:r w:rsidR="00E51DBD" w:rsidRPr="00E51DBD">
        <w:t>Socialinės pašalpos gavėjų skai</w:t>
      </w:r>
      <w:r w:rsidR="00E51DBD">
        <w:t>čiaus kitimas eksperimentinėse</w:t>
      </w:r>
      <w:r w:rsidR="00E51DBD" w:rsidRPr="00E51DBD">
        <w:t xml:space="preserve"> savivaldybėse</w:t>
      </w:r>
      <w:r w:rsidR="00E91E87">
        <w:t xml:space="preserve"> </w:t>
      </w:r>
      <w:r w:rsidR="00E51DBD" w:rsidRPr="00E51DBD">
        <w:t>2008-2012 m.</w:t>
      </w:r>
      <w:bookmarkEnd w:id="77"/>
      <w:proofErr w:type="gramEnd"/>
    </w:p>
    <w:p w:rsidR="00E52761" w:rsidRDefault="00E52761" w:rsidP="00E91E87">
      <w:pPr>
        <w:spacing w:line="360" w:lineRule="auto"/>
        <w:ind w:firstLine="720"/>
        <w:jc w:val="center"/>
        <w:rPr>
          <w:b/>
          <w:lang w:val="lt-LT"/>
        </w:rPr>
      </w:pPr>
    </w:p>
    <w:p w:rsidR="00E52761" w:rsidRPr="00E52761" w:rsidRDefault="00E52761" w:rsidP="00E91E87">
      <w:pPr>
        <w:spacing w:line="360" w:lineRule="auto"/>
        <w:ind w:firstLine="720"/>
        <w:jc w:val="both"/>
        <w:rPr>
          <w:lang w:val="lt-LT"/>
        </w:rPr>
      </w:pPr>
      <w:r>
        <w:rPr>
          <w:lang w:val="lt-LT"/>
        </w:rPr>
        <w:t>Remiantis Statistikos dedartamento duomenimis b</w:t>
      </w:r>
      <w:r w:rsidRPr="00E52761">
        <w:rPr>
          <w:lang w:val="lt-LT"/>
        </w:rPr>
        <w:t>endras socialinės pašalpos gavėjų skaičius 2012</w:t>
      </w:r>
      <w:r>
        <w:rPr>
          <w:lang w:val="lt-LT"/>
        </w:rPr>
        <w:t xml:space="preserve"> </w:t>
      </w:r>
      <w:r w:rsidRPr="00E52761">
        <w:rPr>
          <w:lang w:val="lt-LT"/>
        </w:rPr>
        <w:t>m., lygin</w:t>
      </w:r>
      <w:r>
        <w:rPr>
          <w:lang w:val="lt-LT"/>
        </w:rPr>
        <w:t>ant su 2011m. visai nesumažėjo. Tačiau kaip matyti</w:t>
      </w:r>
      <w:r w:rsidR="00837F24">
        <w:rPr>
          <w:lang w:val="lt-LT"/>
        </w:rPr>
        <w:t xml:space="preserve"> trisdešimt </w:t>
      </w:r>
      <w:r w:rsidR="00003E58">
        <w:rPr>
          <w:lang w:val="lt-LT"/>
        </w:rPr>
        <w:t>ketvirtame</w:t>
      </w:r>
      <w:r>
        <w:rPr>
          <w:lang w:val="lt-LT"/>
        </w:rPr>
        <w:t xml:space="preserve"> paveiksle k</w:t>
      </w:r>
      <w:r w:rsidRPr="00E52761">
        <w:rPr>
          <w:lang w:val="lt-LT"/>
        </w:rPr>
        <w:t xml:space="preserve">eturiose iš 2012 m. reformą įgyvendinusių savivaldybių pašalpos gavėjų skaičius sumažėjo, </w:t>
      </w:r>
      <w:r>
        <w:rPr>
          <w:lang w:val="lt-LT"/>
        </w:rPr>
        <w:t xml:space="preserve">iš jų - </w:t>
      </w:r>
      <w:r w:rsidRPr="00E52761">
        <w:rPr>
          <w:lang w:val="lt-LT"/>
        </w:rPr>
        <w:t xml:space="preserve">Šilalės </w:t>
      </w:r>
      <w:r>
        <w:rPr>
          <w:lang w:val="lt-LT"/>
        </w:rPr>
        <w:t>ir Akmenės – net labai smarkiai.</w:t>
      </w:r>
    </w:p>
    <w:p w:rsidR="006B7152" w:rsidRDefault="006B7152" w:rsidP="006B7152">
      <w:pPr>
        <w:spacing w:line="360" w:lineRule="auto"/>
        <w:ind w:firstLine="720"/>
        <w:jc w:val="both"/>
        <w:rPr>
          <w:lang w:val="lt-LT"/>
        </w:rPr>
      </w:pPr>
      <w:r>
        <w:rPr>
          <w:lang w:val="lt-LT"/>
        </w:rPr>
        <w:t>Iš bandomojo projekto rezultatų matyti</w:t>
      </w:r>
      <w:r w:rsidR="00680507">
        <w:rPr>
          <w:lang w:val="lt-LT"/>
        </w:rPr>
        <w:t>, kad socialinės paramos teikimą</w:t>
      </w:r>
      <w:r>
        <w:rPr>
          <w:lang w:val="lt-LT"/>
        </w:rPr>
        <w:t xml:space="preserve"> perduoti savivaldybei sumažino </w:t>
      </w:r>
      <w:r w:rsidR="00680507">
        <w:rPr>
          <w:lang w:val="lt-LT"/>
        </w:rPr>
        <w:t xml:space="preserve">pašalpos gavėjų skaičių, tuo pačiu išmokamų </w:t>
      </w:r>
      <w:r w:rsidR="00D13C74">
        <w:rPr>
          <w:lang w:val="lt-LT"/>
        </w:rPr>
        <w:t>pašalpų dydį. Nors bandomojo eksperimento laikotarpis sąlyginai nedidelis, tačiau teigiam</w:t>
      </w:r>
      <w:r w:rsidR="008E76D5">
        <w:rPr>
          <w:lang w:val="lt-LT"/>
        </w:rPr>
        <w:t xml:space="preserve">iems rezultatams </w:t>
      </w:r>
      <w:r w:rsidR="00D13C74">
        <w:rPr>
          <w:lang w:val="lt-LT"/>
        </w:rPr>
        <w:t>fiskalinės decentralizacijos atžvilgiu turėjo:</w:t>
      </w:r>
    </w:p>
    <w:p w:rsidR="00D13C74" w:rsidRDefault="00D13C74" w:rsidP="00CC565B">
      <w:pPr>
        <w:pStyle w:val="ListParagraph"/>
        <w:numPr>
          <w:ilvl w:val="0"/>
          <w:numId w:val="12"/>
        </w:numPr>
        <w:spacing w:line="360" w:lineRule="auto"/>
        <w:jc w:val="both"/>
        <w:rPr>
          <w:lang w:val="lt-LT"/>
        </w:rPr>
      </w:pPr>
      <w:r w:rsidRPr="00D13C74">
        <w:rPr>
          <w:lang w:val="lt-LT"/>
        </w:rPr>
        <w:t xml:space="preserve">vietos valdžios įsitraukimas padeda didinti paramos taiklumą. Eksperimentinių savivaldybių patirtis atskleidė, kad šis paramos tobulinimo įrankis čia išnaudojamas, nes savivaldybės politikai ir kiti valdžios atstovai aktyviai įsijungia į šios </w:t>
      </w:r>
      <w:r>
        <w:rPr>
          <w:lang w:val="lt-LT"/>
        </w:rPr>
        <w:t>paramos administravimo reikalus;</w:t>
      </w:r>
    </w:p>
    <w:p w:rsidR="00D13C74" w:rsidRDefault="008E76D5" w:rsidP="00CC565B">
      <w:pPr>
        <w:pStyle w:val="ListParagraph"/>
        <w:numPr>
          <w:ilvl w:val="0"/>
          <w:numId w:val="12"/>
        </w:numPr>
        <w:spacing w:line="360" w:lineRule="auto"/>
        <w:jc w:val="both"/>
        <w:rPr>
          <w:lang w:val="lt-LT"/>
        </w:rPr>
      </w:pPr>
      <w:r>
        <w:rPr>
          <w:lang w:val="lt-LT"/>
        </w:rPr>
        <w:t>Seniūnų bei seniūnaičių nuomone</w:t>
      </w:r>
      <w:r w:rsidRPr="008E76D5">
        <w:rPr>
          <w:color w:val="FFFFFF" w:themeColor="background1"/>
          <w:lang w:val="lt-LT"/>
        </w:rPr>
        <w:t>_</w:t>
      </w:r>
      <w:r w:rsidR="00D13C74" w:rsidRPr="00D13C74">
        <w:rPr>
          <w:lang w:val="lt-LT"/>
        </w:rPr>
        <w:t>eksperimento metu tose savivaldybėse padidėjo gyventojų aktyvumas išsakant savo nuomonę bei teikiant informaciją apie paramos gavėjus. Galima manyti, kad seniūnijų didesnis įtraukimas į paramos teikimo procesą turėjo aktyvinantį poveikį visai aplinkinei bendruomenei, atskirų jos narių pilietiniam aktyvumui</w:t>
      </w:r>
      <w:r w:rsidR="00D13C74">
        <w:rPr>
          <w:lang w:val="lt-LT"/>
        </w:rPr>
        <w:t>;</w:t>
      </w:r>
    </w:p>
    <w:p w:rsidR="00D13C74" w:rsidRDefault="00D13C74" w:rsidP="00CC565B">
      <w:pPr>
        <w:pStyle w:val="ListParagraph"/>
        <w:numPr>
          <w:ilvl w:val="0"/>
          <w:numId w:val="12"/>
        </w:numPr>
        <w:spacing w:line="360" w:lineRule="auto"/>
        <w:jc w:val="both"/>
        <w:rPr>
          <w:lang w:val="lt-LT"/>
        </w:rPr>
      </w:pPr>
      <w:r w:rsidRPr="00D13C74">
        <w:rPr>
          <w:lang w:val="lt-LT"/>
        </w:rPr>
        <w:lastRenderedPageBreak/>
        <w:t>vietos valdžia, aktyviau dalyvaudama paramos organizavime sukuria papildomus svertus kitų institucijų įtraukimui</w:t>
      </w:r>
      <w:r w:rsidR="008E76D5">
        <w:rPr>
          <w:lang w:val="lt-LT"/>
        </w:rPr>
        <w:t>.</w:t>
      </w:r>
    </w:p>
    <w:p w:rsidR="000160D3" w:rsidRDefault="008E76D5" w:rsidP="00A826F1">
      <w:pPr>
        <w:spacing w:line="360" w:lineRule="auto"/>
        <w:ind w:firstLine="720"/>
        <w:jc w:val="both"/>
        <w:rPr>
          <w:lang w:val="lt-LT"/>
        </w:rPr>
      </w:pPr>
      <w:r w:rsidRPr="008E76D5">
        <w:rPr>
          <w:lang w:val="lt-LT"/>
        </w:rPr>
        <w:t xml:space="preserve">Minimalių pajamų palaikymo pašalpos bei visos socialinės paramos teikimas daugumoje šalių yra decentralizuotas. </w:t>
      </w:r>
    </w:p>
    <w:p w:rsidR="008E76D5" w:rsidRDefault="008E76D5" w:rsidP="00A826F1">
      <w:pPr>
        <w:spacing w:line="360" w:lineRule="auto"/>
        <w:ind w:firstLine="720"/>
        <w:jc w:val="both"/>
        <w:rPr>
          <w:lang w:val="lt-LT"/>
        </w:rPr>
      </w:pPr>
      <w:r w:rsidRPr="008E76D5">
        <w:rPr>
          <w:lang w:val="lt-LT"/>
        </w:rPr>
        <w:t>Pagrindiniai decentralizacijos privalumai:</w:t>
      </w:r>
    </w:p>
    <w:p w:rsidR="008E76D5" w:rsidRDefault="008E76D5" w:rsidP="00CC565B">
      <w:pPr>
        <w:pStyle w:val="ListParagraph"/>
        <w:numPr>
          <w:ilvl w:val="0"/>
          <w:numId w:val="13"/>
        </w:numPr>
        <w:spacing w:line="360" w:lineRule="auto"/>
        <w:jc w:val="both"/>
        <w:rPr>
          <w:lang w:val="lt-LT"/>
        </w:rPr>
      </w:pPr>
      <w:r w:rsidRPr="008E76D5">
        <w:rPr>
          <w:lang w:val="lt-LT"/>
        </w:rPr>
        <w:t>leidžia geriau susikalbėti įvairiems paramos organizavime ir te</w:t>
      </w:r>
      <w:r>
        <w:rPr>
          <w:lang w:val="lt-LT"/>
        </w:rPr>
        <w:t>ikime dalyvaujantiems aktoriams;</w:t>
      </w:r>
    </w:p>
    <w:p w:rsidR="008E76D5" w:rsidRDefault="008E76D5" w:rsidP="00CC565B">
      <w:pPr>
        <w:pStyle w:val="ListParagraph"/>
        <w:numPr>
          <w:ilvl w:val="0"/>
          <w:numId w:val="13"/>
        </w:numPr>
        <w:spacing w:line="360" w:lineRule="auto"/>
        <w:jc w:val="both"/>
        <w:rPr>
          <w:lang w:val="lt-LT"/>
        </w:rPr>
      </w:pPr>
      <w:r w:rsidRPr="008E76D5">
        <w:rPr>
          <w:lang w:val="lt-LT"/>
        </w:rPr>
        <w:t>didina institucijų paskatas taupyti ir efektyvia</w:t>
      </w:r>
      <w:r>
        <w:rPr>
          <w:lang w:val="lt-LT"/>
        </w:rPr>
        <w:t>u naudoti paramai skirtas lėšas</w:t>
      </w:r>
    </w:p>
    <w:p w:rsidR="008E76D5" w:rsidRPr="008E76D5" w:rsidRDefault="008E76D5" w:rsidP="00CC565B">
      <w:pPr>
        <w:pStyle w:val="ListParagraph"/>
        <w:numPr>
          <w:ilvl w:val="0"/>
          <w:numId w:val="13"/>
        </w:numPr>
        <w:spacing w:line="360" w:lineRule="auto"/>
        <w:jc w:val="both"/>
        <w:rPr>
          <w:lang w:val="lt-LT"/>
        </w:rPr>
      </w:pPr>
      <w:r>
        <w:rPr>
          <w:lang w:val="lt-LT"/>
        </w:rPr>
        <w:t xml:space="preserve"> mažina </w:t>
      </w:r>
      <w:r w:rsidRPr="008E76D5">
        <w:rPr>
          <w:lang w:val="lt-LT"/>
        </w:rPr>
        <w:t>paramos gavėjų priklausomybę nuo paramos.</w:t>
      </w:r>
    </w:p>
    <w:p w:rsidR="008E76D5" w:rsidRPr="008E76D5" w:rsidRDefault="008E76D5" w:rsidP="00A826F1">
      <w:pPr>
        <w:spacing w:line="360" w:lineRule="auto"/>
        <w:ind w:firstLine="720"/>
        <w:jc w:val="both"/>
        <w:rPr>
          <w:lang w:val="lt-LT"/>
        </w:rPr>
      </w:pPr>
      <w:r w:rsidRPr="008E76D5">
        <w:rPr>
          <w:lang w:val="lt-LT"/>
        </w:rPr>
        <w:t>Tačiau pastebima, kad decentralizuotos administracijos nenoriai investuoja ir skiria dėmesį duomenų rinkimui, vertinimui, dalinimuisi su kitų jurisdikcijų atstovais. Nors decentralizacija užtikrina požiūrių įvairovę, tačiau sukuria prielaidas labai skirtingam soci</w:t>
      </w:r>
      <w:r w:rsidR="00747C63">
        <w:rPr>
          <w:lang w:val="lt-LT"/>
        </w:rPr>
        <w:t xml:space="preserve">alinės paramos lygiui, formoms, </w:t>
      </w:r>
      <w:r w:rsidRPr="008E76D5">
        <w:rPr>
          <w:lang w:val="lt-LT"/>
        </w:rPr>
        <w:t>darbuotojų kvalifikaciniams reikalavimams, kas kelia pavojų lygių galimybių principo įgyvendinimui. Esant decentralizuotoms paramos sistemoms užtikrinti vienodus</w:t>
      </w:r>
      <w:r w:rsidR="00747C63">
        <w:rPr>
          <w:lang w:val="lt-LT"/>
        </w:rPr>
        <w:t xml:space="preserve"> paramos teikimo standartus yra </w:t>
      </w:r>
      <w:r w:rsidRPr="008E76D5">
        <w:rPr>
          <w:lang w:val="lt-LT"/>
        </w:rPr>
        <w:t>sudėtinga. (Midgley, 2008).</w:t>
      </w:r>
    </w:p>
    <w:p w:rsidR="00A826F1" w:rsidRDefault="008E76D5" w:rsidP="00F84344">
      <w:pPr>
        <w:spacing w:line="360" w:lineRule="auto"/>
        <w:ind w:firstLine="720"/>
        <w:jc w:val="both"/>
        <w:rPr>
          <w:lang w:val="lt-LT"/>
        </w:rPr>
      </w:pPr>
      <w:r w:rsidRPr="008E76D5">
        <w:rPr>
          <w:lang w:val="lt-LT"/>
        </w:rPr>
        <w:t>Lygių galimybių į paramą principas gali būti pažeistas ir jeigu sprendimas dėl išmoko</w:t>
      </w:r>
      <w:r w:rsidR="00747C63">
        <w:rPr>
          <w:lang w:val="lt-LT"/>
        </w:rPr>
        <w:t>s priklauso tik nuo darbuotojo . D</w:t>
      </w:r>
      <w:r w:rsidRPr="008E76D5">
        <w:rPr>
          <w:lang w:val="lt-LT"/>
        </w:rPr>
        <w:t>arbuotojai neretai vadovaujasi stereotipais, priimdami sprendimus dėl paramos ar nukreipdami klientus į tam</w:t>
      </w:r>
      <w:r w:rsidR="00747C63">
        <w:rPr>
          <w:lang w:val="lt-LT"/>
        </w:rPr>
        <w:t xml:space="preserve"> tikras paslaugas ar programas.</w:t>
      </w:r>
      <w:r w:rsidR="00747C63" w:rsidRPr="00747C63">
        <w:rPr>
          <w:color w:val="FFFFFF" w:themeColor="background1"/>
          <w:lang w:val="lt-LT"/>
        </w:rPr>
        <w:t>_</w:t>
      </w:r>
      <w:r w:rsidRPr="008E76D5">
        <w:rPr>
          <w:lang w:val="lt-LT"/>
        </w:rPr>
        <w:t>Ypač tai dažnai atsitinka, kai darbuotojų krūvis didelis, trūksta darbo jėgos, nelieka pakankamai laiko įsigilinti į kliento situaciją. (Immervoll, 2010)</w:t>
      </w:r>
      <w:r w:rsidR="00F84344">
        <w:rPr>
          <w:lang w:val="lt-LT"/>
        </w:rPr>
        <w:t xml:space="preserve"> </w:t>
      </w:r>
      <w:r w:rsidRPr="008E76D5">
        <w:rPr>
          <w:lang w:val="lt-LT"/>
        </w:rPr>
        <w:t xml:space="preserve">Tuo tarpu </w:t>
      </w:r>
      <w:r w:rsidR="00A826F1">
        <w:rPr>
          <w:lang w:val="lt-LT"/>
        </w:rPr>
        <w:t xml:space="preserve">Europoje </w:t>
      </w:r>
      <w:r w:rsidRPr="008E76D5">
        <w:rPr>
          <w:lang w:val="lt-LT"/>
        </w:rPr>
        <w:t>s</w:t>
      </w:r>
      <w:r w:rsidR="00A826F1">
        <w:rPr>
          <w:lang w:val="lt-LT"/>
        </w:rPr>
        <w:t>ocialinės pašalpos finansavimas</w:t>
      </w:r>
      <w:r w:rsidR="00A826F1" w:rsidRPr="00A826F1">
        <w:rPr>
          <w:color w:val="FFFFFF" w:themeColor="background1"/>
          <w:lang w:val="lt-LT"/>
        </w:rPr>
        <w:t>_</w:t>
      </w:r>
      <w:r w:rsidRPr="008E76D5">
        <w:rPr>
          <w:lang w:val="lt-LT"/>
        </w:rPr>
        <w:t>dažniau yra centralizuotas ar dalinai centralizuotas</w:t>
      </w:r>
      <w:r w:rsidR="00A826F1">
        <w:rPr>
          <w:lang w:val="lt-LT"/>
        </w:rPr>
        <w:t xml:space="preserve"> (žr. </w:t>
      </w:r>
      <w:r w:rsidR="00307606">
        <w:t>7</w:t>
      </w:r>
      <w:r w:rsidR="00F84344">
        <w:t xml:space="preserve"> </w:t>
      </w:r>
      <w:r w:rsidR="00F84344">
        <w:rPr>
          <w:lang w:val="lt-LT"/>
        </w:rPr>
        <w:t>lent</w:t>
      </w:r>
      <w:r w:rsidR="00A826F1">
        <w:rPr>
          <w:lang w:val="lt-LT"/>
        </w:rPr>
        <w:t>)</w:t>
      </w:r>
      <w:r w:rsidRPr="008E76D5">
        <w:rPr>
          <w:lang w:val="lt-LT"/>
        </w:rPr>
        <w:t xml:space="preserve">. </w:t>
      </w:r>
    </w:p>
    <w:p w:rsidR="00A826F1" w:rsidRPr="00A826F1" w:rsidRDefault="00307606" w:rsidP="00307606">
      <w:pPr>
        <w:pStyle w:val="Heading5"/>
        <w:rPr>
          <w:lang w:val="lt-LT"/>
        </w:rPr>
      </w:pPr>
      <w:bookmarkStart w:id="78" w:name="_Toc385242652"/>
      <w:bookmarkStart w:id="79" w:name="_Toc385432940"/>
      <w:r>
        <w:t>7</w:t>
      </w:r>
      <w:r w:rsidR="001740B1">
        <w:t xml:space="preserve"> </w:t>
      </w:r>
      <w:r w:rsidR="00A826F1" w:rsidRPr="00A826F1">
        <w:rPr>
          <w:lang w:val="lt-LT"/>
        </w:rPr>
        <w:t>lentelė. Minimalių pajamų apsaugos išmokų finansavimo modeliai</w:t>
      </w:r>
      <w:bookmarkEnd w:id="78"/>
      <w:bookmarkEnd w:id="79"/>
    </w:p>
    <w:tbl>
      <w:tblPr>
        <w:tblStyle w:val="Table3Deffects2"/>
        <w:tblpPr w:leftFromText="180" w:rightFromText="180" w:vertAnchor="text" w:horzAnchor="margin" w:tblpY="170"/>
        <w:tblW w:w="0" w:type="auto"/>
        <w:tblLook w:val="04A0" w:firstRow="1" w:lastRow="0" w:firstColumn="1" w:lastColumn="0" w:noHBand="0" w:noVBand="1"/>
      </w:tblPr>
      <w:tblGrid>
        <w:gridCol w:w="2776"/>
        <w:gridCol w:w="2283"/>
        <w:gridCol w:w="2861"/>
        <w:gridCol w:w="2551"/>
      </w:tblGrid>
      <w:tr w:rsidR="00747C63" w:rsidRPr="007477F7" w:rsidTr="0030760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76" w:type="dxa"/>
          </w:tcPr>
          <w:p w:rsidR="00747C63" w:rsidRPr="007477F7" w:rsidRDefault="00747C63" w:rsidP="00747C63">
            <w:pPr>
              <w:rPr>
                <w:b w:val="0"/>
                <w:i/>
                <w:color w:val="000000" w:themeColor="text1"/>
                <w:sz w:val="20"/>
                <w:szCs w:val="20"/>
                <w:lang w:val="lt-LT"/>
              </w:rPr>
            </w:pPr>
            <w:r w:rsidRPr="007477F7">
              <w:rPr>
                <w:b w:val="0"/>
                <w:i/>
                <w:color w:val="000000" w:themeColor="text1"/>
                <w:sz w:val="20"/>
                <w:szCs w:val="20"/>
                <w:lang w:val="lt-LT"/>
              </w:rPr>
              <w:t>Centrinė valdžia</w:t>
            </w:r>
          </w:p>
        </w:tc>
        <w:tc>
          <w:tcPr>
            <w:tcW w:w="2283" w:type="dxa"/>
          </w:tcPr>
          <w:p w:rsidR="00747C63" w:rsidRPr="007477F7" w:rsidRDefault="00747C63" w:rsidP="00747C63">
            <w:pPr>
              <w:cnfStyle w:val="100000000000" w:firstRow="1" w:lastRow="0" w:firstColumn="0" w:lastColumn="0" w:oddVBand="0" w:evenVBand="0" w:oddHBand="0" w:evenHBand="0" w:firstRowFirstColumn="0" w:firstRowLastColumn="0" w:lastRowFirstColumn="0" w:lastRowLastColumn="0"/>
              <w:rPr>
                <w:b w:val="0"/>
                <w:i/>
                <w:color w:val="000000" w:themeColor="text1"/>
                <w:sz w:val="20"/>
                <w:szCs w:val="20"/>
                <w:lang w:val="lt-LT"/>
              </w:rPr>
            </w:pPr>
            <w:r w:rsidRPr="007477F7">
              <w:rPr>
                <w:b w:val="0"/>
                <w:i/>
                <w:color w:val="000000" w:themeColor="text1"/>
                <w:sz w:val="20"/>
                <w:szCs w:val="20"/>
                <w:lang w:val="lt-LT"/>
              </w:rPr>
              <w:t>Savivaldybės</w:t>
            </w:r>
          </w:p>
        </w:tc>
        <w:tc>
          <w:tcPr>
            <w:tcW w:w="2861" w:type="dxa"/>
          </w:tcPr>
          <w:p w:rsidR="00747C63" w:rsidRPr="007477F7" w:rsidRDefault="00747C63" w:rsidP="00747C63">
            <w:pPr>
              <w:cnfStyle w:val="100000000000" w:firstRow="1" w:lastRow="0" w:firstColumn="0" w:lastColumn="0" w:oddVBand="0" w:evenVBand="0" w:oddHBand="0" w:evenHBand="0" w:firstRowFirstColumn="0" w:firstRowLastColumn="0" w:lastRowFirstColumn="0" w:lastRowLastColumn="0"/>
              <w:rPr>
                <w:b w:val="0"/>
                <w:i/>
                <w:color w:val="000000" w:themeColor="text1"/>
                <w:sz w:val="20"/>
                <w:szCs w:val="20"/>
                <w:lang w:val="lt-LT"/>
              </w:rPr>
            </w:pPr>
            <w:r w:rsidRPr="007477F7">
              <w:rPr>
                <w:b w:val="0"/>
                <w:i/>
                <w:color w:val="000000" w:themeColor="text1"/>
                <w:sz w:val="20"/>
                <w:szCs w:val="20"/>
                <w:lang w:val="lt-LT"/>
              </w:rPr>
              <w:t>Centrinė ir vietinė valdžia</w:t>
            </w:r>
          </w:p>
        </w:tc>
        <w:tc>
          <w:tcPr>
            <w:tcW w:w="2551" w:type="dxa"/>
          </w:tcPr>
          <w:p w:rsidR="00747C63" w:rsidRPr="007477F7" w:rsidRDefault="00747C63" w:rsidP="00747C63">
            <w:pPr>
              <w:cnfStyle w:val="100000000000" w:firstRow="1" w:lastRow="0" w:firstColumn="0" w:lastColumn="0" w:oddVBand="0" w:evenVBand="0" w:oddHBand="0" w:evenHBand="0" w:firstRowFirstColumn="0" w:firstRowLastColumn="0" w:lastRowFirstColumn="0" w:lastRowLastColumn="0"/>
              <w:rPr>
                <w:b w:val="0"/>
                <w:i/>
                <w:color w:val="000000" w:themeColor="text1"/>
                <w:sz w:val="20"/>
                <w:szCs w:val="20"/>
                <w:lang w:val="lt-LT"/>
              </w:rPr>
            </w:pPr>
            <w:r w:rsidRPr="007477F7">
              <w:rPr>
                <w:b w:val="0"/>
                <w:i/>
                <w:color w:val="000000" w:themeColor="text1"/>
                <w:sz w:val="20"/>
                <w:szCs w:val="20"/>
                <w:lang w:val="lt-LT"/>
              </w:rPr>
              <w:t>Kita</w:t>
            </w:r>
          </w:p>
        </w:tc>
      </w:tr>
      <w:tr w:rsidR="00747C63" w:rsidRPr="007477F7" w:rsidTr="003076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76" w:type="dxa"/>
          </w:tcPr>
          <w:p w:rsidR="00747C63" w:rsidRPr="007477F7" w:rsidRDefault="00747C63" w:rsidP="00CC565B">
            <w:pPr>
              <w:pStyle w:val="ListParagraph"/>
              <w:numPr>
                <w:ilvl w:val="0"/>
                <w:numId w:val="14"/>
              </w:numPr>
              <w:rPr>
                <w:sz w:val="20"/>
                <w:szCs w:val="20"/>
              </w:rPr>
            </w:pPr>
            <w:r w:rsidRPr="007477F7">
              <w:rPr>
                <w:sz w:val="20"/>
                <w:szCs w:val="20"/>
              </w:rPr>
              <w:t>Bulgarija</w:t>
            </w:r>
          </w:p>
        </w:tc>
        <w:tc>
          <w:tcPr>
            <w:tcW w:w="2283" w:type="dxa"/>
          </w:tcPr>
          <w:p w:rsidR="00747C63" w:rsidRPr="007477F7" w:rsidRDefault="00747C63" w:rsidP="00747C63">
            <w:pPr>
              <w:cnfStyle w:val="000000100000" w:firstRow="0" w:lastRow="0" w:firstColumn="0" w:lastColumn="0" w:oddVBand="0" w:evenVBand="0" w:oddHBand="1" w:evenHBand="0" w:firstRowFirstColumn="0" w:firstRowLastColumn="0" w:lastRowFirstColumn="0" w:lastRowLastColumn="0"/>
              <w:rPr>
                <w:sz w:val="20"/>
                <w:szCs w:val="20"/>
              </w:rPr>
            </w:pPr>
            <w:r w:rsidRPr="007477F7">
              <w:rPr>
                <w:sz w:val="20"/>
                <w:szCs w:val="20"/>
              </w:rPr>
              <w:t>1.Suomija</w:t>
            </w:r>
          </w:p>
        </w:tc>
        <w:tc>
          <w:tcPr>
            <w:tcW w:w="2861" w:type="dxa"/>
          </w:tcPr>
          <w:p w:rsidR="00747C63" w:rsidRPr="007477F7" w:rsidRDefault="00747C63" w:rsidP="00747C63">
            <w:pPr>
              <w:cnfStyle w:val="000000100000" w:firstRow="0" w:lastRow="0" w:firstColumn="0" w:lastColumn="0" w:oddVBand="0" w:evenVBand="0" w:oddHBand="1" w:evenHBand="0" w:firstRowFirstColumn="0" w:firstRowLastColumn="0" w:lastRowFirstColumn="0" w:lastRowLastColumn="0"/>
              <w:rPr>
                <w:sz w:val="20"/>
                <w:szCs w:val="20"/>
                <w:lang w:val="lt-LT"/>
              </w:rPr>
            </w:pPr>
            <w:r w:rsidRPr="007477F7">
              <w:rPr>
                <w:sz w:val="20"/>
                <w:szCs w:val="20"/>
                <w:lang w:val="lt-LT"/>
              </w:rPr>
              <w:t>1.Danija</w:t>
            </w:r>
          </w:p>
        </w:tc>
        <w:tc>
          <w:tcPr>
            <w:tcW w:w="2551" w:type="dxa"/>
          </w:tcPr>
          <w:p w:rsidR="00747C63" w:rsidRPr="007477F7" w:rsidRDefault="00747C63" w:rsidP="00747C63">
            <w:pPr>
              <w:cnfStyle w:val="000000100000" w:firstRow="0" w:lastRow="0" w:firstColumn="0" w:lastColumn="0" w:oddVBand="0" w:evenVBand="0" w:oddHBand="1" w:evenHBand="0" w:firstRowFirstColumn="0" w:firstRowLastColumn="0" w:lastRowFirstColumn="0" w:lastRowLastColumn="0"/>
              <w:rPr>
                <w:sz w:val="20"/>
                <w:szCs w:val="20"/>
                <w:lang w:val="lt-LT"/>
              </w:rPr>
            </w:pPr>
            <w:r w:rsidRPr="007477F7">
              <w:rPr>
                <w:sz w:val="20"/>
                <w:szCs w:val="20"/>
                <w:lang w:val="lt-LT"/>
              </w:rPr>
              <w:t>1.Prancūzija</w:t>
            </w:r>
          </w:p>
        </w:tc>
      </w:tr>
      <w:tr w:rsidR="00747C63" w:rsidRPr="007477F7" w:rsidTr="00307606">
        <w:tc>
          <w:tcPr>
            <w:cnfStyle w:val="001000000000" w:firstRow="0" w:lastRow="0" w:firstColumn="1" w:lastColumn="0" w:oddVBand="0" w:evenVBand="0" w:oddHBand="0" w:evenHBand="0" w:firstRowFirstColumn="0" w:firstRowLastColumn="0" w:lastRowFirstColumn="0" w:lastRowLastColumn="0"/>
            <w:tcW w:w="2776" w:type="dxa"/>
          </w:tcPr>
          <w:p w:rsidR="00747C63" w:rsidRPr="007477F7" w:rsidRDefault="00747C63" w:rsidP="00CC565B">
            <w:pPr>
              <w:pStyle w:val="ListParagraph"/>
              <w:numPr>
                <w:ilvl w:val="0"/>
                <w:numId w:val="14"/>
              </w:numPr>
              <w:rPr>
                <w:sz w:val="20"/>
                <w:szCs w:val="20"/>
                <w:lang w:val="lt-LT"/>
              </w:rPr>
            </w:pPr>
            <w:r w:rsidRPr="007477F7">
              <w:rPr>
                <w:sz w:val="20"/>
                <w:szCs w:val="20"/>
                <w:lang w:val="lt-LT"/>
              </w:rPr>
              <w:t>Kipras</w:t>
            </w:r>
          </w:p>
        </w:tc>
        <w:tc>
          <w:tcPr>
            <w:tcW w:w="2283" w:type="dxa"/>
          </w:tcPr>
          <w:p w:rsidR="00747C63" w:rsidRPr="007477F7" w:rsidRDefault="00747C63" w:rsidP="00747C63">
            <w:pPr>
              <w:cnfStyle w:val="000000000000" w:firstRow="0" w:lastRow="0" w:firstColumn="0" w:lastColumn="0" w:oddVBand="0" w:evenVBand="0" w:oddHBand="0" w:evenHBand="0" w:firstRowFirstColumn="0" w:firstRowLastColumn="0" w:lastRowFirstColumn="0" w:lastRowLastColumn="0"/>
              <w:rPr>
                <w:sz w:val="20"/>
                <w:szCs w:val="20"/>
                <w:lang w:val="lt-LT"/>
              </w:rPr>
            </w:pPr>
            <w:r w:rsidRPr="007477F7">
              <w:rPr>
                <w:sz w:val="20"/>
                <w:szCs w:val="20"/>
              </w:rPr>
              <w:t xml:space="preserve">2. </w:t>
            </w:r>
            <w:r w:rsidRPr="007477F7">
              <w:rPr>
                <w:sz w:val="20"/>
                <w:szCs w:val="20"/>
                <w:lang w:val="lt-LT"/>
              </w:rPr>
              <w:t>Švedija</w:t>
            </w:r>
          </w:p>
        </w:tc>
        <w:tc>
          <w:tcPr>
            <w:tcW w:w="2861" w:type="dxa"/>
          </w:tcPr>
          <w:p w:rsidR="00747C63" w:rsidRPr="007477F7" w:rsidRDefault="00747C63" w:rsidP="00747C63">
            <w:pPr>
              <w:cnfStyle w:val="000000000000" w:firstRow="0" w:lastRow="0" w:firstColumn="0" w:lastColumn="0" w:oddVBand="0" w:evenVBand="0" w:oddHBand="0" w:evenHBand="0" w:firstRowFirstColumn="0" w:firstRowLastColumn="0" w:lastRowFirstColumn="0" w:lastRowLastColumn="0"/>
              <w:rPr>
                <w:sz w:val="20"/>
                <w:szCs w:val="20"/>
                <w:lang w:val="lt-LT"/>
              </w:rPr>
            </w:pPr>
            <w:r w:rsidRPr="007477F7">
              <w:rPr>
                <w:sz w:val="20"/>
                <w:szCs w:val="20"/>
                <w:lang w:val="lt-LT"/>
              </w:rPr>
              <w:t>2.Norvegija</w:t>
            </w:r>
          </w:p>
        </w:tc>
        <w:tc>
          <w:tcPr>
            <w:tcW w:w="2551" w:type="dxa"/>
          </w:tcPr>
          <w:p w:rsidR="00747C63" w:rsidRPr="007477F7" w:rsidRDefault="00747C63" w:rsidP="00747C63">
            <w:pPr>
              <w:cnfStyle w:val="000000000000" w:firstRow="0" w:lastRow="0" w:firstColumn="0" w:lastColumn="0" w:oddVBand="0" w:evenVBand="0" w:oddHBand="0" w:evenHBand="0" w:firstRowFirstColumn="0" w:firstRowLastColumn="0" w:lastRowFirstColumn="0" w:lastRowLastColumn="0"/>
              <w:rPr>
                <w:sz w:val="20"/>
                <w:szCs w:val="20"/>
                <w:lang w:val="lt-LT"/>
              </w:rPr>
            </w:pPr>
            <w:r w:rsidRPr="007477F7">
              <w:rPr>
                <w:sz w:val="20"/>
                <w:szCs w:val="20"/>
                <w:lang w:val="lt-LT"/>
              </w:rPr>
              <w:t>2.Vokietija</w:t>
            </w:r>
          </w:p>
        </w:tc>
      </w:tr>
      <w:tr w:rsidR="00747C63" w:rsidRPr="007477F7" w:rsidTr="003076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76" w:type="dxa"/>
          </w:tcPr>
          <w:p w:rsidR="00747C63" w:rsidRPr="007477F7" w:rsidRDefault="00747C63" w:rsidP="00CC565B">
            <w:pPr>
              <w:pStyle w:val="ListParagraph"/>
              <w:numPr>
                <w:ilvl w:val="0"/>
                <w:numId w:val="14"/>
              </w:numPr>
              <w:rPr>
                <w:sz w:val="20"/>
                <w:szCs w:val="20"/>
                <w:lang w:val="lt-LT"/>
              </w:rPr>
            </w:pPr>
            <w:r w:rsidRPr="007477F7">
              <w:rPr>
                <w:sz w:val="20"/>
                <w:szCs w:val="20"/>
                <w:lang w:val="lt-LT"/>
              </w:rPr>
              <w:t>Čekija</w:t>
            </w:r>
          </w:p>
        </w:tc>
        <w:tc>
          <w:tcPr>
            <w:tcW w:w="2283" w:type="dxa"/>
          </w:tcPr>
          <w:p w:rsidR="00747C63" w:rsidRPr="007477F7" w:rsidRDefault="00747C63" w:rsidP="00747C63">
            <w:pPr>
              <w:cnfStyle w:val="000000100000" w:firstRow="0" w:lastRow="0" w:firstColumn="0" w:lastColumn="0" w:oddVBand="0" w:evenVBand="0" w:oddHBand="1" w:evenHBand="0" w:firstRowFirstColumn="0" w:firstRowLastColumn="0" w:lastRowFirstColumn="0" w:lastRowLastColumn="0"/>
              <w:rPr>
                <w:sz w:val="20"/>
                <w:szCs w:val="20"/>
                <w:lang w:val="lt-LT"/>
              </w:rPr>
            </w:pPr>
            <w:r w:rsidRPr="007477F7">
              <w:rPr>
                <w:sz w:val="20"/>
                <w:szCs w:val="20"/>
                <w:lang w:val="lt-LT"/>
              </w:rPr>
              <w:t>3.Latvija</w:t>
            </w:r>
          </w:p>
        </w:tc>
        <w:tc>
          <w:tcPr>
            <w:tcW w:w="2861" w:type="dxa"/>
          </w:tcPr>
          <w:p w:rsidR="00747C63" w:rsidRPr="007477F7" w:rsidRDefault="00747C63" w:rsidP="00747C63">
            <w:pPr>
              <w:cnfStyle w:val="000000100000" w:firstRow="0" w:lastRow="0" w:firstColumn="0" w:lastColumn="0" w:oddVBand="0" w:evenVBand="0" w:oddHBand="1" w:evenHBand="0" w:firstRowFirstColumn="0" w:firstRowLastColumn="0" w:lastRowFirstColumn="0" w:lastRowLastColumn="0"/>
              <w:rPr>
                <w:sz w:val="20"/>
                <w:szCs w:val="20"/>
                <w:lang w:val="lt-LT"/>
              </w:rPr>
            </w:pPr>
            <w:r w:rsidRPr="007477F7">
              <w:rPr>
                <w:sz w:val="20"/>
                <w:szCs w:val="20"/>
                <w:lang w:val="lt-LT"/>
              </w:rPr>
              <w:t>3.Vengrija</w:t>
            </w:r>
          </w:p>
        </w:tc>
        <w:tc>
          <w:tcPr>
            <w:tcW w:w="2551" w:type="dxa"/>
          </w:tcPr>
          <w:p w:rsidR="00747C63" w:rsidRPr="007477F7" w:rsidRDefault="00747C63" w:rsidP="00747C63">
            <w:pPr>
              <w:cnfStyle w:val="000000100000" w:firstRow="0" w:lastRow="0" w:firstColumn="0" w:lastColumn="0" w:oddVBand="0" w:evenVBand="0" w:oddHBand="1" w:evenHBand="0" w:firstRowFirstColumn="0" w:firstRowLastColumn="0" w:lastRowFirstColumn="0" w:lastRowLastColumn="0"/>
              <w:rPr>
                <w:sz w:val="20"/>
                <w:szCs w:val="20"/>
                <w:lang w:val="lt-LT"/>
              </w:rPr>
            </w:pPr>
            <w:r w:rsidRPr="007477F7">
              <w:rPr>
                <w:sz w:val="20"/>
                <w:szCs w:val="20"/>
                <w:lang w:val="lt-LT"/>
              </w:rPr>
              <w:t>3.Belgija</w:t>
            </w:r>
          </w:p>
        </w:tc>
      </w:tr>
      <w:tr w:rsidR="00747C63" w:rsidRPr="007477F7" w:rsidTr="00307606">
        <w:tc>
          <w:tcPr>
            <w:cnfStyle w:val="001000000000" w:firstRow="0" w:lastRow="0" w:firstColumn="1" w:lastColumn="0" w:oddVBand="0" w:evenVBand="0" w:oddHBand="0" w:evenHBand="0" w:firstRowFirstColumn="0" w:firstRowLastColumn="0" w:lastRowFirstColumn="0" w:lastRowLastColumn="0"/>
            <w:tcW w:w="2776" w:type="dxa"/>
          </w:tcPr>
          <w:p w:rsidR="00747C63" w:rsidRPr="007477F7" w:rsidRDefault="00747C63" w:rsidP="00CC565B">
            <w:pPr>
              <w:pStyle w:val="ListParagraph"/>
              <w:numPr>
                <w:ilvl w:val="0"/>
                <w:numId w:val="14"/>
              </w:numPr>
              <w:rPr>
                <w:sz w:val="20"/>
                <w:szCs w:val="20"/>
                <w:lang w:val="lt-LT"/>
              </w:rPr>
            </w:pPr>
            <w:r w:rsidRPr="007477F7">
              <w:rPr>
                <w:sz w:val="20"/>
                <w:szCs w:val="20"/>
                <w:lang w:val="lt-LT"/>
              </w:rPr>
              <w:t>Estija</w:t>
            </w:r>
          </w:p>
        </w:tc>
        <w:tc>
          <w:tcPr>
            <w:tcW w:w="2283" w:type="dxa"/>
          </w:tcPr>
          <w:p w:rsidR="00747C63" w:rsidRPr="007477F7" w:rsidRDefault="00747C63" w:rsidP="00747C63">
            <w:pPr>
              <w:cnfStyle w:val="000000000000" w:firstRow="0" w:lastRow="0" w:firstColumn="0" w:lastColumn="0" w:oddVBand="0" w:evenVBand="0" w:oddHBand="0" w:evenHBand="0" w:firstRowFirstColumn="0" w:firstRowLastColumn="0" w:lastRowFirstColumn="0" w:lastRowLastColumn="0"/>
              <w:rPr>
                <w:sz w:val="20"/>
                <w:szCs w:val="20"/>
                <w:lang w:val="lt-LT"/>
              </w:rPr>
            </w:pPr>
            <w:r w:rsidRPr="007477F7">
              <w:rPr>
                <w:sz w:val="20"/>
                <w:szCs w:val="20"/>
                <w:lang w:val="lt-LT"/>
              </w:rPr>
              <w:t>4.Italija</w:t>
            </w:r>
          </w:p>
        </w:tc>
        <w:tc>
          <w:tcPr>
            <w:tcW w:w="2861" w:type="dxa"/>
          </w:tcPr>
          <w:p w:rsidR="00747C63" w:rsidRPr="007477F7" w:rsidRDefault="00747C63" w:rsidP="00747C63">
            <w:pPr>
              <w:cnfStyle w:val="000000000000" w:firstRow="0" w:lastRow="0" w:firstColumn="0" w:lastColumn="0" w:oddVBand="0" w:evenVBand="0" w:oddHBand="0" w:evenHBand="0" w:firstRowFirstColumn="0" w:firstRowLastColumn="0" w:lastRowFirstColumn="0" w:lastRowLastColumn="0"/>
              <w:rPr>
                <w:sz w:val="20"/>
                <w:szCs w:val="20"/>
                <w:lang w:val="lt-LT"/>
              </w:rPr>
            </w:pPr>
            <w:r w:rsidRPr="007477F7">
              <w:rPr>
                <w:sz w:val="20"/>
                <w:szCs w:val="20"/>
                <w:lang w:val="lt-LT"/>
              </w:rPr>
              <w:t>4.Rumunija</w:t>
            </w:r>
          </w:p>
        </w:tc>
        <w:tc>
          <w:tcPr>
            <w:tcW w:w="2551" w:type="dxa"/>
          </w:tcPr>
          <w:p w:rsidR="00747C63" w:rsidRPr="007477F7" w:rsidRDefault="00747C63" w:rsidP="00747C63">
            <w:pPr>
              <w:cnfStyle w:val="000000000000" w:firstRow="0" w:lastRow="0" w:firstColumn="0" w:lastColumn="0" w:oddVBand="0" w:evenVBand="0" w:oddHBand="0" w:evenHBand="0" w:firstRowFirstColumn="0" w:firstRowLastColumn="0" w:lastRowFirstColumn="0" w:lastRowLastColumn="0"/>
              <w:rPr>
                <w:sz w:val="20"/>
                <w:szCs w:val="20"/>
                <w:lang w:val="lt-LT"/>
              </w:rPr>
            </w:pPr>
          </w:p>
        </w:tc>
      </w:tr>
      <w:tr w:rsidR="00747C63" w:rsidRPr="007477F7" w:rsidTr="003076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76" w:type="dxa"/>
          </w:tcPr>
          <w:p w:rsidR="00747C63" w:rsidRPr="007477F7" w:rsidRDefault="00747C63" w:rsidP="00CC565B">
            <w:pPr>
              <w:pStyle w:val="ListParagraph"/>
              <w:numPr>
                <w:ilvl w:val="0"/>
                <w:numId w:val="14"/>
              </w:numPr>
              <w:rPr>
                <w:sz w:val="20"/>
                <w:szCs w:val="20"/>
                <w:lang w:val="lt-LT"/>
              </w:rPr>
            </w:pPr>
            <w:r w:rsidRPr="007477F7">
              <w:rPr>
                <w:sz w:val="20"/>
                <w:szCs w:val="20"/>
                <w:lang w:val="lt-LT"/>
              </w:rPr>
              <w:t>Airija</w:t>
            </w:r>
          </w:p>
        </w:tc>
        <w:tc>
          <w:tcPr>
            <w:tcW w:w="2283" w:type="dxa"/>
          </w:tcPr>
          <w:p w:rsidR="00747C63" w:rsidRPr="007477F7" w:rsidRDefault="00747C63" w:rsidP="00747C63">
            <w:pPr>
              <w:cnfStyle w:val="000000100000" w:firstRow="0" w:lastRow="0" w:firstColumn="0" w:lastColumn="0" w:oddVBand="0" w:evenVBand="0" w:oddHBand="1" w:evenHBand="0" w:firstRowFirstColumn="0" w:firstRowLastColumn="0" w:lastRowFirstColumn="0" w:lastRowLastColumn="0"/>
              <w:rPr>
                <w:sz w:val="20"/>
                <w:szCs w:val="20"/>
                <w:lang w:val="lt-LT"/>
              </w:rPr>
            </w:pPr>
          </w:p>
        </w:tc>
        <w:tc>
          <w:tcPr>
            <w:tcW w:w="2861" w:type="dxa"/>
          </w:tcPr>
          <w:p w:rsidR="00747C63" w:rsidRPr="007477F7" w:rsidRDefault="00747C63" w:rsidP="00747C63">
            <w:pPr>
              <w:cnfStyle w:val="000000100000" w:firstRow="0" w:lastRow="0" w:firstColumn="0" w:lastColumn="0" w:oddVBand="0" w:evenVBand="0" w:oddHBand="1" w:evenHBand="0" w:firstRowFirstColumn="0" w:firstRowLastColumn="0" w:lastRowFirstColumn="0" w:lastRowLastColumn="0"/>
              <w:rPr>
                <w:sz w:val="20"/>
                <w:szCs w:val="20"/>
                <w:lang w:val="lt-LT"/>
              </w:rPr>
            </w:pPr>
            <w:r w:rsidRPr="007477F7">
              <w:rPr>
                <w:sz w:val="20"/>
                <w:szCs w:val="20"/>
                <w:lang w:val="lt-LT"/>
              </w:rPr>
              <w:t>5.Slovakija</w:t>
            </w:r>
          </w:p>
        </w:tc>
        <w:tc>
          <w:tcPr>
            <w:tcW w:w="2551" w:type="dxa"/>
          </w:tcPr>
          <w:p w:rsidR="00747C63" w:rsidRPr="007477F7" w:rsidRDefault="00747C63" w:rsidP="00747C63">
            <w:pPr>
              <w:cnfStyle w:val="000000100000" w:firstRow="0" w:lastRow="0" w:firstColumn="0" w:lastColumn="0" w:oddVBand="0" w:evenVBand="0" w:oddHBand="1" w:evenHBand="0" w:firstRowFirstColumn="0" w:firstRowLastColumn="0" w:lastRowFirstColumn="0" w:lastRowLastColumn="0"/>
              <w:rPr>
                <w:sz w:val="20"/>
                <w:szCs w:val="20"/>
                <w:lang w:val="lt-LT"/>
              </w:rPr>
            </w:pPr>
          </w:p>
        </w:tc>
      </w:tr>
      <w:tr w:rsidR="00747C63" w:rsidRPr="007477F7" w:rsidTr="00307606">
        <w:tc>
          <w:tcPr>
            <w:cnfStyle w:val="001000000000" w:firstRow="0" w:lastRow="0" w:firstColumn="1" w:lastColumn="0" w:oddVBand="0" w:evenVBand="0" w:oddHBand="0" w:evenHBand="0" w:firstRowFirstColumn="0" w:firstRowLastColumn="0" w:lastRowFirstColumn="0" w:lastRowLastColumn="0"/>
            <w:tcW w:w="2776" w:type="dxa"/>
          </w:tcPr>
          <w:p w:rsidR="00747C63" w:rsidRPr="007477F7" w:rsidRDefault="00747C63" w:rsidP="00CC565B">
            <w:pPr>
              <w:pStyle w:val="ListParagraph"/>
              <w:numPr>
                <w:ilvl w:val="0"/>
                <w:numId w:val="14"/>
              </w:numPr>
              <w:rPr>
                <w:sz w:val="20"/>
                <w:szCs w:val="20"/>
                <w:lang w:val="lt-LT"/>
              </w:rPr>
            </w:pPr>
            <w:r w:rsidRPr="007477F7">
              <w:rPr>
                <w:sz w:val="20"/>
                <w:szCs w:val="20"/>
                <w:lang w:val="lt-LT"/>
              </w:rPr>
              <w:t>Lietuva</w:t>
            </w:r>
          </w:p>
        </w:tc>
        <w:tc>
          <w:tcPr>
            <w:tcW w:w="2283" w:type="dxa"/>
          </w:tcPr>
          <w:p w:rsidR="00747C63" w:rsidRPr="007477F7" w:rsidRDefault="00747C63" w:rsidP="00747C63">
            <w:pPr>
              <w:cnfStyle w:val="000000000000" w:firstRow="0" w:lastRow="0" w:firstColumn="0" w:lastColumn="0" w:oddVBand="0" w:evenVBand="0" w:oddHBand="0" w:evenHBand="0" w:firstRowFirstColumn="0" w:firstRowLastColumn="0" w:lastRowFirstColumn="0" w:lastRowLastColumn="0"/>
              <w:rPr>
                <w:sz w:val="20"/>
                <w:szCs w:val="20"/>
                <w:lang w:val="lt-LT"/>
              </w:rPr>
            </w:pPr>
          </w:p>
        </w:tc>
        <w:tc>
          <w:tcPr>
            <w:tcW w:w="2861" w:type="dxa"/>
          </w:tcPr>
          <w:p w:rsidR="00747C63" w:rsidRPr="007477F7" w:rsidRDefault="00747C63" w:rsidP="00747C63">
            <w:pPr>
              <w:cnfStyle w:val="000000000000" w:firstRow="0" w:lastRow="0" w:firstColumn="0" w:lastColumn="0" w:oddVBand="0" w:evenVBand="0" w:oddHBand="0" w:evenHBand="0" w:firstRowFirstColumn="0" w:firstRowLastColumn="0" w:lastRowFirstColumn="0" w:lastRowLastColumn="0"/>
              <w:rPr>
                <w:sz w:val="20"/>
                <w:szCs w:val="20"/>
                <w:lang w:val="lt-LT"/>
              </w:rPr>
            </w:pPr>
            <w:r w:rsidRPr="007477F7">
              <w:rPr>
                <w:sz w:val="20"/>
                <w:szCs w:val="20"/>
                <w:lang w:val="lt-LT"/>
              </w:rPr>
              <w:t>6.Austrija</w:t>
            </w:r>
          </w:p>
        </w:tc>
        <w:tc>
          <w:tcPr>
            <w:tcW w:w="2551" w:type="dxa"/>
          </w:tcPr>
          <w:p w:rsidR="00747C63" w:rsidRPr="007477F7" w:rsidRDefault="00747C63" w:rsidP="00747C63">
            <w:pPr>
              <w:cnfStyle w:val="000000000000" w:firstRow="0" w:lastRow="0" w:firstColumn="0" w:lastColumn="0" w:oddVBand="0" w:evenVBand="0" w:oddHBand="0" w:evenHBand="0" w:firstRowFirstColumn="0" w:firstRowLastColumn="0" w:lastRowFirstColumn="0" w:lastRowLastColumn="0"/>
              <w:rPr>
                <w:sz w:val="20"/>
                <w:szCs w:val="20"/>
                <w:lang w:val="lt-LT"/>
              </w:rPr>
            </w:pPr>
          </w:p>
        </w:tc>
      </w:tr>
      <w:tr w:rsidR="00747C63" w:rsidRPr="007477F7" w:rsidTr="003076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76" w:type="dxa"/>
          </w:tcPr>
          <w:p w:rsidR="00747C63" w:rsidRPr="007477F7" w:rsidRDefault="00747C63" w:rsidP="00CC565B">
            <w:pPr>
              <w:pStyle w:val="ListParagraph"/>
              <w:numPr>
                <w:ilvl w:val="0"/>
                <w:numId w:val="14"/>
              </w:numPr>
              <w:rPr>
                <w:sz w:val="20"/>
                <w:szCs w:val="20"/>
                <w:lang w:val="lt-LT"/>
              </w:rPr>
            </w:pPr>
            <w:r w:rsidRPr="007477F7">
              <w:rPr>
                <w:sz w:val="20"/>
                <w:szCs w:val="20"/>
                <w:lang w:val="lt-LT"/>
              </w:rPr>
              <w:t>Liuksemburgas</w:t>
            </w:r>
          </w:p>
        </w:tc>
        <w:tc>
          <w:tcPr>
            <w:tcW w:w="2283" w:type="dxa"/>
          </w:tcPr>
          <w:p w:rsidR="00747C63" w:rsidRPr="007477F7" w:rsidRDefault="00747C63" w:rsidP="00747C63">
            <w:pPr>
              <w:cnfStyle w:val="000000100000" w:firstRow="0" w:lastRow="0" w:firstColumn="0" w:lastColumn="0" w:oddVBand="0" w:evenVBand="0" w:oddHBand="1" w:evenHBand="0" w:firstRowFirstColumn="0" w:firstRowLastColumn="0" w:lastRowFirstColumn="0" w:lastRowLastColumn="0"/>
              <w:rPr>
                <w:sz w:val="20"/>
                <w:szCs w:val="20"/>
                <w:lang w:val="lt-LT"/>
              </w:rPr>
            </w:pPr>
          </w:p>
        </w:tc>
        <w:tc>
          <w:tcPr>
            <w:tcW w:w="2861" w:type="dxa"/>
          </w:tcPr>
          <w:p w:rsidR="00747C63" w:rsidRPr="007477F7" w:rsidRDefault="00747C63" w:rsidP="00747C63">
            <w:pPr>
              <w:cnfStyle w:val="000000100000" w:firstRow="0" w:lastRow="0" w:firstColumn="0" w:lastColumn="0" w:oddVBand="0" w:evenVBand="0" w:oddHBand="1" w:evenHBand="0" w:firstRowFirstColumn="0" w:firstRowLastColumn="0" w:lastRowFirstColumn="0" w:lastRowLastColumn="0"/>
              <w:rPr>
                <w:sz w:val="20"/>
                <w:szCs w:val="20"/>
                <w:lang w:val="lt-LT"/>
              </w:rPr>
            </w:pPr>
          </w:p>
        </w:tc>
        <w:tc>
          <w:tcPr>
            <w:tcW w:w="2551" w:type="dxa"/>
          </w:tcPr>
          <w:p w:rsidR="00747C63" w:rsidRPr="007477F7" w:rsidRDefault="00747C63" w:rsidP="00747C63">
            <w:pPr>
              <w:cnfStyle w:val="000000100000" w:firstRow="0" w:lastRow="0" w:firstColumn="0" w:lastColumn="0" w:oddVBand="0" w:evenVBand="0" w:oddHBand="1" w:evenHBand="0" w:firstRowFirstColumn="0" w:firstRowLastColumn="0" w:lastRowFirstColumn="0" w:lastRowLastColumn="0"/>
              <w:rPr>
                <w:sz w:val="20"/>
                <w:szCs w:val="20"/>
                <w:lang w:val="lt-LT"/>
              </w:rPr>
            </w:pPr>
          </w:p>
        </w:tc>
      </w:tr>
      <w:tr w:rsidR="00747C63" w:rsidRPr="007477F7" w:rsidTr="00307606">
        <w:tc>
          <w:tcPr>
            <w:cnfStyle w:val="001000000000" w:firstRow="0" w:lastRow="0" w:firstColumn="1" w:lastColumn="0" w:oddVBand="0" w:evenVBand="0" w:oddHBand="0" w:evenHBand="0" w:firstRowFirstColumn="0" w:firstRowLastColumn="0" w:lastRowFirstColumn="0" w:lastRowLastColumn="0"/>
            <w:tcW w:w="2776" w:type="dxa"/>
          </w:tcPr>
          <w:p w:rsidR="00747C63" w:rsidRPr="007477F7" w:rsidRDefault="00747C63" w:rsidP="00CC565B">
            <w:pPr>
              <w:pStyle w:val="ListParagraph"/>
              <w:numPr>
                <w:ilvl w:val="0"/>
                <w:numId w:val="14"/>
              </w:numPr>
              <w:rPr>
                <w:sz w:val="20"/>
                <w:szCs w:val="20"/>
                <w:lang w:val="lt-LT"/>
              </w:rPr>
            </w:pPr>
            <w:r w:rsidRPr="007477F7">
              <w:rPr>
                <w:sz w:val="20"/>
                <w:szCs w:val="20"/>
                <w:lang w:val="lt-LT"/>
              </w:rPr>
              <w:t>Lenkija</w:t>
            </w:r>
          </w:p>
        </w:tc>
        <w:tc>
          <w:tcPr>
            <w:tcW w:w="2283" w:type="dxa"/>
          </w:tcPr>
          <w:p w:rsidR="00747C63" w:rsidRPr="007477F7" w:rsidRDefault="00747C63" w:rsidP="00747C63">
            <w:pPr>
              <w:cnfStyle w:val="000000000000" w:firstRow="0" w:lastRow="0" w:firstColumn="0" w:lastColumn="0" w:oddVBand="0" w:evenVBand="0" w:oddHBand="0" w:evenHBand="0" w:firstRowFirstColumn="0" w:firstRowLastColumn="0" w:lastRowFirstColumn="0" w:lastRowLastColumn="0"/>
              <w:rPr>
                <w:sz w:val="20"/>
                <w:szCs w:val="20"/>
                <w:lang w:val="lt-LT"/>
              </w:rPr>
            </w:pPr>
          </w:p>
        </w:tc>
        <w:tc>
          <w:tcPr>
            <w:tcW w:w="2861" w:type="dxa"/>
          </w:tcPr>
          <w:p w:rsidR="00747C63" w:rsidRPr="007477F7" w:rsidRDefault="00747C63" w:rsidP="00747C63">
            <w:pPr>
              <w:cnfStyle w:val="000000000000" w:firstRow="0" w:lastRow="0" w:firstColumn="0" w:lastColumn="0" w:oddVBand="0" w:evenVBand="0" w:oddHBand="0" w:evenHBand="0" w:firstRowFirstColumn="0" w:firstRowLastColumn="0" w:lastRowFirstColumn="0" w:lastRowLastColumn="0"/>
              <w:rPr>
                <w:sz w:val="20"/>
                <w:szCs w:val="20"/>
                <w:lang w:val="lt-LT"/>
              </w:rPr>
            </w:pPr>
          </w:p>
        </w:tc>
        <w:tc>
          <w:tcPr>
            <w:tcW w:w="2551" w:type="dxa"/>
          </w:tcPr>
          <w:p w:rsidR="00747C63" w:rsidRPr="007477F7" w:rsidRDefault="00747C63" w:rsidP="00747C63">
            <w:pPr>
              <w:cnfStyle w:val="000000000000" w:firstRow="0" w:lastRow="0" w:firstColumn="0" w:lastColumn="0" w:oddVBand="0" w:evenVBand="0" w:oddHBand="0" w:evenHBand="0" w:firstRowFirstColumn="0" w:firstRowLastColumn="0" w:lastRowFirstColumn="0" w:lastRowLastColumn="0"/>
              <w:rPr>
                <w:sz w:val="20"/>
                <w:szCs w:val="20"/>
                <w:lang w:val="lt-LT"/>
              </w:rPr>
            </w:pPr>
          </w:p>
        </w:tc>
      </w:tr>
      <w:tr w:rsidR="00747C63" w:rsidRPr="007477F7" w:rsidTr="003076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76" w:type="dxa"/>
          </w:tcPr>
          <w:p w:rsidR="00747C63" w:rsidRPr="007477F7" w:rsidRDefault="00747C63" w:rsidP="00CC565B">
            <w:pPr>
              <w:pStyle w:val="ListParagraph"/>
              <w:numPr>
                <w:ilvl w:val="0"/>
                <w:numId w:val="14"/>
              </w:numPr>
              <w:rPr>
                <w:sz w:val="20"/>
                <w:szCs w:val="20"/>
                <w:lang w:val="lt-LT"/>
              </w:rPr>
            </w:pPr>
            <w:r w:rsidRPr="007477F7">
              <w:rPr>
                <w:sz w:val="20"/>
                <w:szCs w:val="20"/>
                <w:lang w:val="lt-LT"/>
              </w:rPr>
              <w:t>Portugalija</w:t>
            </w:r>
          </w:p>
        </w:tc>
        <w:tc>
          <w:tcPr>
            <w:tcW w:w="2283" w:type="dxa"/>
          </w:tcPr>
          <w:p w:rsidR="00747C63" w:rsidRPr="007477F7" w:rsidRDefault="00747C63" w:rsidP="00747C63">
            <w:pPr>
              <w:cnfStyle w:val="000000100000" w:firstRow="0" w:lastRow="0" w:firstColumn="0" w:lastColumn="0" w:oddVBand="0" w:evenVBand="0" w:oddHBand="1" w:evenHBand="0" w:firstRowFirstColumn="0" w:firstRowLastColumn="0" w:lastRowFirstColumn="0" w:lastRowLastColumn="0"/>
              <w:rPr>
                <w:sz w:val="20"/>
                <w:szCs w:val="20"/>
                <w:lang w:val="lt-LT"/>
              </w:rPr>
            </w:pPr>
          </w:p>
        </w:tc>
        <w:tc>
          <w:tcPr>
            <w:tcW w:w="2861" w:type="dxa"/>
          </w:tcPr>
          <w:p w:rsidR="00747C63" w:rsidRPr="007477F7" w:rsidRDefault="00747C63" w:rsidP="00747C63">
            <w:pPr>
              <w:cnfStyle w:val="000000100000" w:firstRow="0" w:lastRow="0" w:firstColumn="0" w:lastColumn="0" w:oddVBand="0" w:evenVBand="0" w:oddHBand="1" w:evenHBand="0" w:firstRowFirstColumn="0" w:firstRowLastColumn="0" w:lastRowFirstColumn="0" w:lastRowLastColumn="0"/>
              <w:rPr>
                <w:sz w:val="20"/>
                <w:szCs w:val="20"/>
                <w:lang w:val="lt-LT"/>
              </w:rPr>
            </w:pPr>
          </w:p>
        </w:tc>
        <w:tc>
          <w:tcPr>
            <w:tcW w:w="2551" w:type="dxa"/>
          </w:tcPr>
          <w:p w:rsidR="00747C63" w:rsidRPr="007477F7" w:rsidRDefault="00747C63" w:rsidP="00747C63">
            <w:pPr>
              <w:cnfStyle w:val="000000100000" w:firstRow="0" w:lastRow="0" w:firstColumn="0" w:lastColumn="0" w:oddVBand="0" w:evenVBand="0" w:oddHBand="1" w:evenHBand="0" w:firstRowFirstColumn="0" w:firstRowLastColumn="0" w:lastRowFirstColumn="0" w:lastRowLastColumn="0"/>
              <w:rPr>
                <w:sz w:val="20"/>
                <w:szCs w:val="20"/>
                <w:lang w:val="lt-LT"/>
              </w:rPr>
            </w:pPr>
          </w:p>
        </w:tc>
      </w:tr>
      <w:tr w:rsidR="00747C63" w:rsidRPr="007477F7" w:rsidTr="00307606">
        <w:tc>
          <w:tcPr>
            <w:cnfStyle w:val="001000000000" w:firstRow="0" w:lastRow="0" w:firstColumn="1" w:lastColumn="0" w:oddVBand="0" w:evenVBand="0" w:oddHBand="0" w:evenHBand="0" w:firstRowFirstColumn="0" w:firstRowLastColumn="0" w:lastRowFirstColumn="0" w:lastRowLastColumn="0"/>
            <w:tcW w:w="2776" w:type="dxa"/>
          </w:tcPr>
          <w:p w:rsidR="00747C63" w:rsidRPr="007477F7" w:rsidRDefault="00747C63" w:rsidP="00CC565B">
            <w:pPr>
              <w:pStyle w:val="ListParagraph"/>
              <w:numPr>
                <w:ilvl w:val="0"/>
                <w:numId w:val="14"/>
              </w:numPr>
              <w:rPr>
                <w:sz w:val="20"/>
                <w:szCs w:val="20"/>
                <w:lang w:val="lt-LT"/>
              </w:rPr>
            </w:pPr>
            <w:r w:rsidRPr="007477F7">
              <w:rPr>
                <w:sz w:val="20"/>
                <w:szCs w:val="20"/>
                <w:lang w:val="lt-LT"/>
              </w:rPr>
              <w:t>Slovėnija</w:t>
            </w:r>
          </w:p>
        </w:tc>
        <w:tc>
          <w:tcPr>
            <w:tcW w:w="2283" w:type="dxa"/>
          </w:tcPr>
          <w:p w:rsidR="00747C63" w:rsidRPr="007477F7" w:rsidRDefault="00747C63" w:rsidP="00747C63">
            <w:pPr>
              <w:cnfStyle w:val="000000000000" w:firstRow="0" w:lastRow="0" w:firstColumn="0" w:lastColumn="0" w:oddVBand="0" w:evenVBand="0" w:oddHBand="0" w:evenHBand="0" w:firstRowFirstColumn="0" w:firstRowLastColumn="0" w:lastRowFirstColumn="0" w:lastRowLastColumn="0"/>
              <w:rPr>
                <w:sz w:val="20"/>
                <w:szCs w:val="20"/>
                <w:lang w:val="lt-LT"/>
              </w:rPr>
            </w:pPr>
          </w:p>
        </w:tc>
        <w:tc>
          <w:tcPr>
            <w:tcW w:w="2861" w:type="dxa"/>
          </w:tcPr>
          <w:p w:rsidR="00747C63" w:rsidRPr="007477F7" w:rsidRDefault="00747C63" w:rsidP="00747C63">
            <w:pPr>
              <w:cnfStyle w:val="000000000000" w:firstRow="0" w:lastRow="0" w:firstColumn="0" w:lastColumn="0" w:oddVBand="0" w:evenVBand="0" w:oddHBand="0" w:evenHBand="0" w:firstRowFirstColumn="0" w:firstRowLastColumn="0" w:lastRowFirstColumn="0" w:lastRowLastColumn="0"/>
              <w:rPr>
                <w:sz w:val="20"/>
                <w:szCs w:val="20"/>
                <w:lang w:val="lt-LT"/>
              </w:rPr>
            </w:pPr>
          </w:p>
        </w:tc>
        <w:tc>
          <w:tcPr>
            <w:tcW w:w="2551" w:type="dxa"/>
          </w:tcPr>
          <w:p w:rsidR="00747C63" w:rsidRPr="007477F7" w:rsidRDefault="00747C63" w:rsidP="00747C63">
            <w:pPr>
              <w:cnfStyle w:val="000000000000" w:firstRow="0" w:lastRow="0" w:firstColumn="0" w:lastColumn="0" w:oddVBand="0" w:evenVBand="0" w:oddHBand="0" w:evenHBand="0" w:firstRowFirstColumn="0" w:firstRowLastColumn="0" w:lastRowFirstColumn="0" w:lastRowLastColumn="0"/>
              <w:rPr>
                <w:sz w:val="20"/>
                <w:szCs w:val="20"/>
                <w:lang w:val="lt-LT"/>
              </w:rPr>
            </w:pPr>
          </w:p>
        </w:tc>
      </w:tr>
      <w:tr w:rsidR="00747C63" w:rsidRPr="007477F7" w:rsidTr="003076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76" w:type="dxa"/>
          </w:tcPr>
          <w:p w:rsidR="00747C63" w:rsidRPr="007477F7" w:rsidRDefault="00747C63" w:rsidP="00CC565B">
            <w:pPr>
              <w:pStyle w:val="ListParagraph"/>
              <w:numPr>
                <w:ilvl w:val="0"/>
                <w:numId w:val="14"/>
              </w:numPr>
              <w:rPr>
                <w:sz w:val="20"/>
                <w:szCs w:val="20"/>
              </w:rPr>
            </w:pPr>
            <w:r w:rsidRPr="007477F7">
              <w:rPr>
                <w:sz w:val="20"/>
                <w:szCs w:val="20"/>
              </w:rPr>
              <w:t>Nyderlandai</w:t>
            </w:r>
          </w:p>
        </w:tc>
        <w:tc>
          <w:tcPr>
            <w:tcW w:w="2283" w:type="dxa"/>
          </w:tcPr>
          <w:p w:rsidR="00747C63" w:rsidRPr="007477F7" w:rsidRDefault="00747C63" w:rsidP="00747C63">
            <w:pPr>
              <w:cnfStyle w:val="000000100000" w:firstRow="0" w:lastRow="0" w:firstColumn="0" w:lastColumn="0" w:oddVBand="0" w:evenVBand="0" w:oddHBand="1" w:evenHBand="0" w:firstRowFirstColumn="0" w:firstRowLastColumn="0" w:lastRowFirstColumn="0" w:lastRowLastColumn="0"/>
              <w:rPr>
                <w:sz w:val="20"/>
                <w:szCs w:val="20"/>
                <w:lang w:val="lt-LT"/>
              </w:rPr>
            </w:pPr>
          </w:p>
        </w:tc>
        <w:tc>
          <w:tcPr>
            <w:tcW w:w="2861" w:type="dxa"/>
          </w:tcPr>
          <w:p w:rsidR="00747C63" w:rsidRPr="007477F7" w:rsidRDefault="00747C63" w:rsidP="00747C63">
            <w:pPr>
              <w:cnfStyle w:val="000000100000" w:firstRow="0" w:lastRow="0" w:firstColumn="0" w:lastColumn="0" w:oddVBand="0" w:evenVBand="0" w:oddHBand="1" w:evenHBand="0" w:firstRowFirstColumn="0" w:firstRowLastColumn="0" w:lastRowFirstColumn="0" w:lastRowLastColumn="0"/>
              <w:rPr>
                <w:sz w:val="20"/>
                <w:szCs w:val="20"/>
                <w:lang w:val="lt-LT"/>
              </w:rPr>
            </w:pPr>
          </w:p>
        </w:tc>
        <w:tc>
          <w:tcPr>
            <w:tcW w:w="2551" w:type="dxa"/>
          </w:tcPr>
          <w:p w:rsidR="00747C63" w:rsidRPr="007477F7" w:rsidRDefault="00747C63" w:rsidP="00747C63">
            <w:pPr>
              <w:cnfStyle w:val="000000100000" w:firstRow="0" w:lastRow="0" w:firstColumn="0" w:lastColumn="0" w:oddVBand="0" w:evenVBand="0" w:oddHBand="1" w:evenHBand="0" w:firstRowFirstColumn="0" w:firstRowLastColumn="0" w:lastRowFirstColumn="0" w:lastRowLastColumn="0"/>
              <w:rPr>
                <w:sz w:val="20"/>
                <w:szCs w:val="20"/>
                <w:lang w:val="lt-LT"/>
              </w:rPr>
            </w:pPr>
          </w:p>
        </w:tc>
      </w:tr>
      <w:tr w:rsidR="00747C63" w:rsidRPr="007477F7" w:rsidTr="00307606">
        <w:tc>
          <w:tcPr>
            <w:cnfStyle w:val="001000000000" w:firstRow="0" w:lastRow="0" w:firstColumn="1" w:lastColumn="0" w:oddVBand="0" w:evenVBand="0" w:oddHBand="0" w:evenHBand="0" w:firstRowFirstColumn="0" w:firstRowLastColumn="0" w:lastRowFirstColumn="0" w:lastRowLastColumn="0"/>
            <w:tcW w:w="2776" w:type="dxa"/>
          </w:tcPr>
          <w:p w:rsidR="00747C63" w:rsidRPr="007477F7" w:rsidRDefault="00747C63" w:rsidP="00CC565B">
            <w:pPr>
              <w:pStyle w:val="ListParagraph"/>
              <w:numPr>
                <w:ilvl w:val="0"/>
                <w:numId w:val="14"/>
              </w:numPr>
              <w:rPr>
                <w:sz w:val="20"/>
                <w:szCs w:val="20"/>
                <w:lang w:val="lt-LT"/>
              </w:rPr>
            </w:pPr>
            <w:r w:rsidRPr="007477F7">
              <w:rPr>
                <w:sz w:val="20"/>
                <w:szCs w:val="20"/>
                <w:lang w:val="lt-LT"/>
              </w:rPr>
              <w:t>Jungtinės Karalystės</w:t>
            </w:r>
          </w:p>
        </w:tc>
        <w:tc>
          <w:tcPr>
            <w:tcW w:w="2283" w:type="dxa"/>
          </w:tcPr>
          <w:p w:rsidR="00747C63" w:rsidRPr="007477F7" w:rsidRDefault="00747C63" w:rsidP="00747C63">
            <w:pPr>
              <w:cnfStyle w:val="000000000000" w:firstRow="0" w:lastRow="0" w:firstColumn="0" w:lastColumn="0" w:oddVBand="0" w:evenVBand="0" w:oddHBand="0" w:evenHBand="0" w:firstRowFirstColumn="0" w:firstRowLastColumn="0" w:lastRowFirstColumn="0" w:lastRowLastColumn="0"/>
              <w:rPr>
                <w:sz w:val="20"/>
                <w:szCs w:val="20"/>
                <w:lang w:val="lt-LT"/>
              </w:rPr>
            </w:pPr>
          </w:p>
        </w:tc>
        <w:tc>
          <w:tcPr>
            <w:tcW w:w="2861" w:type="dxa"/>
          </w:tcPr>
          <w:p w:rsidR="00747C63" w:rsidRPr="007477F7" w:rsidRDefault="00747C63" w:rsidP="00747C63">
            <w:pPr>
              <w:cnfStyle w:val="000000000000" w:firstRow="0" w:lastRow="0" w:firstColumn="0" w:lastColumn="0" w:oddVBand="0" w:evenVBand="0" w:oddHBand="0" w:evenHBand="0" w:firstRowFirstColumn="0" w:firstRowLastColumn="0" w:lastRowFirstColumn="0" w:lastRowLastColumn="0"/>
              <w:rPr>
                <w:sz w:val="20"/>
                <w:szCs w:val="20"/>
                <w:lang w:val="lt-LT"/>
              </w:rPr>
            </w:pPr>
          </w:p>
        </w:tc>
        <w:tc>
          <w:tcPr>
            <w:tcW w:w="2551" w:type="dxa"/>
          </w:tcPr>
          <w:p w:rsidR="00747C63" w:rsidRPr="007477F7" w:rsidRDefault="00747C63" w:rsidP="00747C63">
            <w:pPr>
              <w:cnfStyle w:val="000000000000" w:firstRow="0" w:lastRow="0" w:firstColumn="0" w:lastColumn="0" w:oddVBand="0" w:evenVBand="0" w:oddHBand="0" w:evenHBand="0" w:firstRowFirstColumn="0" w:firstRowLastColumn="0" w:lastRowFirstColumn="0" w:lastRowLastColumn="0"/>
              <w:rPr>
                <w:sz w:val="20"/>
                <w:szCs w:val="20"/>
                <w:lang w:val="lt-LT"/>
              </w:rPr>
            </w:pPr>
          </w:p>
        </w:tc>
      </w:tr>
    </w:tbl>
    <w:p w:rsidR="00A826F1" w:rsidRPr="001D1AFC" w:rsidRDefault="00A826F1" w:rsidP="00A826F1">
      <w:pPr>
        <w:rPr>
          <w:sz w:val="20"/>
          <w:lang w:val="lt-LT"/>
        </w:rPr>
      </w:pPr>
      <w:r w:rsidRPr="001D1AFC">
        <w:rPr>
          <w:b/>
          <w:sz w:val="20"/>
          <w:lang w:val="lt-LT"/>
        </w:rPr>
        <w:t>Šaltinis:</w:t>
      </w:r>
      <w:r w:rsidR="00684009">
        <w:rPr>
          <w:b/>
          <w:sz w:val="20"/>
          <w:lang w:val="lt-LT"/>
        </w:rPr>
        <w:t xml:space="preserve"> </w:t>
      </w:r>
      <w:r w:rsidRPr="001D1AFC">
        <w:rPr>
          <w:sz w:val="20"/>
          <w:lang w:val="lt-LT"/>
        </w:rPr>
        <w:t>Lietuvos socialinio tyrimų centro ataskaita</w:t>
      </w:r>
    </w:p>
    <w:p w:rsidR="00FA0A0E" w:rsidRDefault="00FA0A0E" w:rsidP="00FA0A0E">
      <w:pPr>
        <w:rPr>
          <w:lang w:val="lt-LT"/>
        </w:rPr>
      </w:pPr>
    </w:p>
    <w:p w:rsidR="0074761A" w:rsidRDefault="0074761A" w:rsidP="00FA0A0E">
      <w:pPr>
        <w:rPr>
          <w:lang w:val="lt-LT"/>
        </w:rPr>
      </w:pPr>
    </w:p>
    <w:p w:rsidR="0074761A" w:rsidRDefault="0074761A" w:rsidP="00FA0A0E">
      <w:pPr>
        <w:rPr>
          <w:lang w:val="lt-LT"/>
        </w:rPr>
      </w:pPr>
    </w:p>
    <w:p w:rsidR="00E53A4C" w:rsidRDefault="001740B1" w:rsidP="00307606">
      <w:pPr>
        <w:pStyle w:val="Heading5"/>
        <w:rPr>
          <w:lang w:val="lt-LT"/>
        </w:rPr>
      </w:pPr>
      <w:r>
        <w:rPr>
          <w:lang w:val="lt-LT"/>
        </w:rPr>
        <w:tab/>
      </w:r>
      <w:bookmarkStart w:id="80" w:name="_Toc385242653"/>
      <w:bookmarkStart w:id="81" w:name="_Toc385432941"/>
      <w:r w:rsidR="00307606">
        <w:rPr>
          <w:lang w:val="lt-LT"/>
        </w:rPr>
        <w:t>8</w:t>
      </w:r>
      <w:r>
        <w:rPr>
          <w:lang w:val="lt-LT"/>
        </w:rPr>
        <w:t xml:space="preserve"> </w:t>
      </w:r>
      <w:r w:rsidR="0074761A" w:rsidRPr="0074761A">
        <w:rPr>
          <w:lang w:val="lt-LT"/>
        </w:rPr>
        <w:t>lentelė. D</w:t>
      </w:r>
      <w:r w:rsidR="00E53A4C" w:rsidRPr="0074761A">
        <w:rPr>
          <w:lang w:val="lt-LT"/>
        </w:rPr>
        <w:t>ecentralizuotos s</w:t>
      </w:r>
      <w:r w:rsidR="00A826F1" w:rsidRPr="0074761A">
        <w:rPr>
          <w:lang w:val="lt-LT"/>
        </w:rPr>
        <w:t xml:space="preserve">ocialinės paramos </w:t>
      </w:r>
      <w:r w:rsidR="00E53A4C" w:rsidRPr="0074761A">
        <w:rPr>
          <w:lang w:val="lt-LT"/>
        </w:rPr>
        <w:t xml:space="preserve">teikimo </w:t>
      </w:r>
      <w:r w:rsidR="0074761A" w:rsidRPr="0074761A">
        <w:rPr>
          <w:lang w:val="lt-LT"/>
        </w:rPr>
        <w:t>teigiami ir neigiami aspektai</w:t>
      </w:r>
      <w:bookmarkEnd w:id="80"/>
      <w:bookmarkEnd w:id="81"/>
    </w:p>
    <w:p w:rsidR="0074761A" w:rsidRPr="0074761A" w:rsidRDefault="0074761A" w:rsidP="0074761A">
      <w:pPr>
        <w:ind w:firstLine="720"/>
        <w:jc w:val="center"/>
        <w:rPr>
          <w:b/>
          <w:lang w:val="lt-LT"/>
        </w:rPr>
      </w:pPr>
    </w:p>
    <w:tbl>
      <w:tblPr>
        <w:tblStyle w:val="Table3Deffects2"/>
        <w:tblW w:w="0" w:type="auto"/>
        <w:tblLook w:val="04A0" w:firstRow="1" w:lastRow="0" w:firstColumn="1" w:lastColumn="0" w:noHBand="0" w:noVBand="1"/>
      </w:tblPr>
      <w:tblGrid>
        <w:gridCol w:w="5235"/>
        <w:gridCol w:w="5236"/>
      </w:tblGrid>
      <w:tr w:rsidR="00E53A4C" w:rsidRPr="007477F7" w:rsidTr="0030760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35" w:type="dxa"/>
          </w:tcPr>
          <w:p w:rsidR="00E53A4C" w:rsidRPr="007477F7" w:rsidRDefault="00E53A4C" w:rsidP="00E53A4C">
            <w:pPr>
              <w:rPr>
                <w:sz w:val="20"/>
                <w:szCs w:val="20"/>
                <w:lang w:val="lt-LT"/>
              </w:rPr>
            </w:pPr>
            <w:r w:rsidRPr="007477F7">
              <w:rPr>
                <w:sz w:val="20"/>
                <w:szCs w:val="20"/>
                <w:lang w:val="lt-LT"/>
              </w:rPr>
              <w:t>Teigiama</w:t>
            </w:r>
          </w:p>
        </w:tc>
        <w:tc>
          <w:tcPr>
            <w:tcW w:w="5236" w:type="dxa"/>
          </w:tcPr>
          <w:p w:rsidR="00E53A4C" w:rsidRPr="007477F7" w:rsidRDefault="00E53A4C" w:rsidP="00E53A4C">
            <w:pPr>
              <w:cnfStyle w:val="100000000000" w:firstRow="1" w:lastRow="0" w:firstColumn="0" w:lastColumn="0" w:oddVBand="0" w:evenVBand="0" w:oddHBand="0" w:evenHBand="0" w:firstRowFirstColumn="0" w:firstRowLastColumn="0" w:lastRowFirstColumn="0" w:lastRowLastColumn="0"/>
              <w:rPr>
                <w:sz w:val="20"/>
                <w:szCs w:val="20"/>
                <w:lang w:val="lt-LT"/>
              </w:rPr>
            </w:pPr>
            <w:r w:rsidRPr="007477F7">
              <w:rPr>
                <w:sz w:val="20"/>
                <w:szCs w:val="20"/>
                <w:lang w:val="lt-LT"/>
              </w:rPr>
              <w:t>Neigiama</w:t>
            </w:r>
          </w:p>
        </w:tc>
      </w:tr>
      <w:tr w:rsidR="00E53A4C" w:rsidRPr="007477F7" w:rsidTr="003076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35" w:type="dxa"/>
          </w:tcPr>
          <w:p w:rsidR="00E53A4C" w:rsidRPr="007477F7" w:rsidRDefault="00E53A4C" w:rsidP="00E53A4C">
            <w:pPr>
              <w:rPr>
                <w:sz w:val="20"/>
                <w:szCs w:val="20"/>
                <w:lang w:val="lt-LT"/>
              </w:rPr>
            </w:pPr>
            <w:r w:rsidRPr="007477F7">
              <w:rPr>
                <w:sz w:val="20"/>
                <w:szCs w:val="20"/>
                <w:lang w:val="lt-LT"/>
              </w:rPr>
              <w:t>Savivaldybių pasitvirtintuose piniginės socialinės paramos teikimo aprašuose numatomos operatyvus griežtesnių sąlygų sociali</w:t>
            </w:r>
            <w:r w:rsidR="00176AC8" w:rsidRPr="007477F7">
              <w:rPr>
                <w:sz w:val="20"/>
                <w:szCs w:val="20"/>
                <w:lang w:val="lt-LT"/>
              </w:rPr>
              <w:t xml:space="preserve">nei pašalpai </w:t>
            </w:r>
            <w:r w:rsidRPr="007477F7">
              <w:rPr>
                <w:sz w:val="20"/>
                <w:szCs w:val="20"/>
                <w:lang w:val="lt-LT"/>
              </w:rPr>
              <w:t>įgyvendinimas (pvz., pašalpos mažinimas ilgalaikiams gavėjams). Dėka tokių priemonių tikimasi didesnių paramos gavėjų pastangų užsidirbti savarankiškai.</w:t>
            </w:r>
          </w:p>
        </w:tc>
        <w:tc>
          <w:tcPr>
            <w:tcW w:w="5236" w:type="dxa"/>
          </w:tcPr>
          <w:p w:rsidR="00E53A4C" w:rsidRPr="007477F7" w:rsidRDefault="00E53A4C" w:rsidP="00E53A4C">
            <w:pPr>
              <w:cnfStyle w:val="000000100000" w:firstRow="0" w:lastRow="0" w:firstColumn="0" w:lastColumn="0" w:oddVBand="0" w:evenVBand="0" w:oddHBand="1" w:evenHBand="0" w:firstRowFirstColumn="0" w:firstRowLastColumn="0" w:lastRowFirstColumn="0" w:lastRowLastColumn="0"/>
              <w:rPr>
                <w:sz w:val="20"/>
                <w:szCs w:val="20"/>
                <w:lang w:val="lt-LT"/>
              </w:rPr>
            </w:pPr>
            <w:r w:rsidRPr="007477F7">
              <w:rPr>
                <w:sz w:val="20"/>
                <w:szCs w:val="20"/>
                <w:lang w:val="lt-LT"/>
              </w:rPr>
              <w:t>Decentralizuotas socialinės paramos finansavimas sudaro prielaidas didėti regioniniams skirtumams, nes kiekviena savivaldybė skiria išteklius socialinei paramai pagal savo prioritetus, kriterijus bei išteklius.</w:t>
            </w:r>
          </w:p>
        </w:tc>
      </w:tr>
      <w:tr w:rsidR="00E53A4C" w:rsidRPr="007477F7" w:rsidTr="00307606">
        <w:tc>
          <w:tcPr>
            <w:cnfStyle w:val="001000000000" w:firstRow="0" w:lastRow="0" w:firstColumn="1" w:lastColumn="0" w:oddVBand="0" w:evenVBand="0" w:oddHBand="0" w:evenHBand="0" w:firstRowFirstColumn="0" w:firstRowLastColumn="0" w:lastRowFirstColumn="0" w:lastRowLastColumn="0"/>
            <w:tcW w:w="5235" w:type="dxa"/>
          </w:tcPr>
          <w:p w:rsidR="00E53A4C" w:rsidRPr="007477F7" w:rsidRDefault="0074761A" w:rsidP="0074761A">
            <w:pPr>
              <w:tabs>
                <w:tab w:val="left" w:pos="1818"/>
              </w:tabs>
              <w:rPr>
                <w:sz w:val="20"/>
                <w:szCs w:val="20"/>
                <w:lang w:val="lt-LT"/>
              </w:rPr>
            </w:pPr>
            <w:r w:rsidRPr="007477F7">
              <w:rPr>
                <w:sz w:val="20"/>
                <w:szCs w:val="20"/>
                <w:lang w:val="lt-LT"/>
              </w:rPr>
              <w:t>Savivaldybės turi paskatas siekti didesnės socialinės paramos lėšų ekonomijos, nes šios lėšos lieka jų žinioje.</w:t>
            </w:r>
          </w:p>
        </w:tc>
        <w:tc>
          <w:tcPr>
            <w:tcW w:w="5236" w:type="dxa"/>
          </w:tcPr>
          <w:p w:rsidR="00E53A4C" w:rsidRPr="007477F7" w:rsidRDefault="00E53A4C" w:rsidP="00E53A4C">
            <w:pPr>
              <w:cnfStyle w:val="000000000000" w:firstRow="0" w:lastRow="0" w:firstColumn="0" w:lastColumn="0" w:oddVBand="0" w:evenVBand="0" w:oddHBand="0" w:evenHBand="0" w:firstRowFirstColumn="0" w:firstRowLastColumn="0" w:lastRowFirstColumn="0" w:lastRowLastColumn="0"/>
              <w:rPr>
                <w:sz w:val="20"/>
                <w:szCs w:val="20"/>
                <w:lang w:val="lt-LT"/>
              </w:rPr>
            </w:pPr>
            <w:r w:rsidRPr="007477F7">
              <w:rPr>
                <w:sz w:val="20"/>
                <w:szCs w:val="20"/>
                <w:lang w:val="lt-LT"/>
              </w:rPr>
              <w:t>Vertinant piniginės socialinės paramos teikimą į pirmą vietą iškyla išteklių ekonomija, bet ne paramos nepasiturintiems gyventojams suteikimas ir socialinės atskirties sumažinimas, kuris yra galutinis piniginės socialinės paramos tikslas.</w:t>
            </w:r>
          </w:p>
        </w:tc>
      </w:tr>
      <w:tr w:rsidR="00E53A4C" w:rsidRPr="007477F7" w:rsidTr="003076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35" w:type="dxa"/>
          </w:tcPr>
          <w:p w:rsidR="00E53A4C" w:rsidRPr="007477F7" w:rsidRDefault="0074761A" w:rsidP="00E53A4C">
            <w:pPr>
              <w:rPr>
                <w:sz w:val="20"/>
                <w:szCs w:val="20"/>
                <w:lang w:val="lt-LT"/>
              </w:rPr>
            </w:pPr>
            <w:r w:rsidRPr="007477F7">
              <w:rPr>
                <w:sz w:val="20"/>
                <w:szCs w:val="20"/>
                <w:lang w:val="lt-LT"/>
              </w:rPr>
              <w:t>Esant tikslui sumažinti piniginės socialinės paramos naštą viešiesiems finansams, plačiai taikant į paramą pretenduo</w:t>
            </w:r>
            <w:r w:rsidR="00B02B60" w:rsidRPr="007477F7">
              <w:rPr>
                <w:sz w:val="20"/>
                <w:szCs w:val="20"/>
                <w:lang w:val="lt-LT"/>
              </w:rPr>
              <w:t>jančių asmenų</w:t>
            </w:r>
            <w:r w:rsidR="00B02B60" w:rsidRPr="007477F7">
              <w:rPr>
                <w:color w:val="BFBFBF" w:themeColor="background1" w:themeShade="BF"/>
                <w:sz w:val="20"/>
                <w:szCs w:val="20"/>
                <w:lang w:val="lt-LT"/>
              </w:rPr>
              <w:t>_</w:t>
            </w:r>
            <w:r w:rsidRPr="007477F7">
              <w:rPr>
                <w:sz w:val="20"/>
                <w:szCs w:val="20"/>
                <w:lang w:val="lt-LT"/>
              </w:rPr>
              <w:t>gyvenimo sąlygų tikrinimą, buities tyrimo aktus, užtikrinamas didesnis poreikio paramai vertinimo individualumas, pretendentai aktyvuojami rasti išteklių pragyvenimui savarankiškai.</w:t>
            </w:r>
          </w:p>
        </w:tc>
        <w:tc>
          <w:tcPr>
            <w:tcW w:w="5236" w:type="dxa"/>
          </w:tcPr>
          <w:p w:rsidR="00E53A4C" w:rsidRPr="007477F7" w:rsidRDefault="0074761A" w:rsidP="00E53A4C">
            <w:pPr>
              <w:cnfStyle w:val="000000100000" w:firstRow="0" w:lastRow="0" w:firstColumn="0" w:lastColumn="0" w:oddVBand="0" w:evenVBand="0" w:oddHBand="1" w:evenHBand="0" w:firstRowFirstColumn="0" w:firstRowLastColumn="0" w:lastRowFirstColumn="0" w:lastRowLastColumn="0"/>
              <w:rPr>
                <w:sz w:val="20"/>
                <w:szCs w:val="20"/>
                <w:lang w:val="lt-LT"/>
              </w:rPr>
            </w:pPr>
            <w:r w:rsidRPr="007477F7">
              <w:rPr>
                <w:sz w:val="20"/>
                <w:szCs w:val="20"/>
                <w:lang w:val="lt-LT"/>
              </w:rPr>
              <w:t>Esant faktinio lėšų socialinei paramai poreikio nukrypimams nuo planuoto, vienos savivaldybės gali pristigti lėšų socialinei paramai (tuomet gali tekti skolintis), kai kitos tuo pat metu gali turėti lėšų perteklių.</w:t>
            </w:r>
          </w:p>
        </w:tc>
      </w:tr>
      <w:tr w:rsidR="00E53A4C" w:rsidRPr="007477F7" w:rsidTr="00307606">
        <w:tc>
          <w:tcPr>
            <w:cnfStyle w:val="001000000000" w:firstRow="0" w:lastRow="0" w:firstColumn="1" w:lastColumn="0" w:oddVBand="0" w:evenVBand="0" w:oddHBand="0" w:evenHBand="0" w:firstRowFirstColumn="0" w:firstRowLastColumn="0" w:lastRowFirstColumn="0" w:lastRowLastColumn="0"/>
            <w:tcW w:w="5235" w:type="dxa"/>
          </w:tcPr>
          <w:p w:rsidR="00E53A4C" w:rsidRPr="007477F7" w:rsidRDefault="0074761A" w:rsidP="00E53A4C">
            <w:pPr>
              <w:rPr>
                <w:sz w:val="20"/>
                <w:szCs w:val="20"/>
                <w:lang w:val="lt-LT"/>
              </w:rPr>
            </w:pPr>
            <w:r w:rsidRPr="007477F7">
              <w:rPr>
                <w:sz w:val="20"/>
                <w:szCs w:val="20"/>
                <w:lang w:val="lt-LT"/>
              </w:rPr>
              <w:t>Didėja seniūnijų, bendruomenių aktyvumas ir vaidmuo socialinės paramos organizavime.</w:t>
            </w:r>
          </w:p>
        </w:tc>
        <w:tc>
          <w:tcPr>
            <w:tcW w:w="5236" w:type="dxa"/>
          </w:tcPr>
          <w:p w:rsidR="00E53A4C" w:rsidRPr="007477F7" w:rsidRDefault="0074761A" w:rsidP="00E53A4C">
            <w:pPr>
              <w:cnfStyle w:val="000000000000" w:firstRow="0" w:lastRow="0" w:firstColumn="0" w:lastColumn="0" w:oddVBand="0" w:evenVBand="0" w:oddHBand="0" w:evenHBand="0" w:firstRowFirstColumn="0" w:firstRowLastColumn="0" w:lastRowFirstColumn="0" w:lastRowLastColumn="0"/>
              <w:rPr>
                <w:sz w:val="20"/>
                <w:szCs w:val="20"/>
                <w:lang w:val="lt-LT"/>
              </w:rPr>
            </w:pPr>
            <w:r w:rsidRPr="007477F7">
              <w:rPr>
                <w:sz w:val="20"/>
                <w:szCs w:val="20"/>
                <w:lang w:val="lt-LT"/>
              </w:rPr>
              <w:t>Administracijos atstovai neturi pakankamai kompetencijų paramos teikimu</w:t>
            </w:r>
            <w:r w:rsidR="00B02B60" w:rsidRPr="007477F7">
              <w:rPr>
                <w:sz w:val="20"/>
                <w:szCs w:val="20"/>
                <w:lang w:val="lt-LT"/>
              </w:rPr>
              <w:t>i. Tokiu būdu, paramos taiklumo</w:t>
            </w:r>
            <w:r w:rsidR="00B02B60" w:rsidRPr="007477F7">
              <w:rPr>
                <w:color w:val="BFBFBF" w:themeColor="background1" w:themeShade="BF"/>
                <w:sz w:val="20"/>
                <w:szCs w:val="20"/>
                <w:lang w:val="lt-LT"/>
              </w:rPr>
              <w:t>_</w:t>
            </w:r>
            <w:r w:rsidRPr="007477F7">
              <w:rPr>
                <w:sz w:val="20"/>
                <w:szCs w:val="20"/>
                <w:lang w:val="lt-LT"/>
              </w:rPr>
              <w:t>maksimizavimas, sprendimus įtakojant profesinio pasirengimo neturintiems bendruomeninių organizacijų atstovams, didina paramą gaunančių asmenų stigmą bei įtampą bendruomenėje. Pasekmės gali būti mažesnis socialinės paramos prieinamumas</w:t>
            </w:r>
          </w:p>
        </w:tc>
      </w:tr>
      <w:tr w:rsidR="00E53A4C" w:rsidRPr="007477F7" w:rsidTr="003076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35" w:type="dxa"/>
          </w:tcPr>
          <w:p w:rsidR="00E53A4C" w:rsidRPr="007477F7" w:rsidRDefault="0074761A" w:rsidP="00E53A4C">
            <w:pPr>
              <w:rPr>
                <w:sz w:val="20"/>
                <w:szCs w:val="20"/>
                <w:lang w:val="lt-LT"/>
              </w:rPr>
            </w:pPr>
            <w:r w:rsidRPr="007477F7">
              <w:rPr>
                <w:sz w:val="20"/>
                <w:szCs w:val="20"/>
                <w:lang w:val="lt-LT"/>
              </w:rPr>
              <w:t>Pasitelkiant NVO bei bendruomenių atstovus yra sukuriamas papildomas informacijos kanalas, kuriuo galima surasti paramos reikalin</w:t>
            </w:r>
            <w:r w:rsidR="00B02B60" w:rsidRPr="007477F7">
              <w:rPr>
                <w:sz w:val="20"/>
                <w:szCs w:val="20"/>
                <w:lang w:val="lt-LT"/>
              </w:rPr>
              <w:t>gus asmenis bei juos informuoti</w:t>
            </w:r>
            <w:r w:rsidR="00B02B60" w:rsidRPr="007477F7">
              <w:rPr>
                <w:color w:val="BFBFBF" w:themeColor="background1" w:themeShade="BF"/>
                <w:sz w:val="20"/>
                <w:szCs w:val="20"/>
                <w:lang w:val="lt-LT"/>
              </w:rPr>
              <w:t>_</w:t>
            </w:r>
            <w:r w:rsidRPr="007477F7">
              <w:rPr>
                <w:sz w:val="20"/>
                <w:szCs w:val="20"/>
                <w:lang w:val="lt-LT"/>
              </w:rPr>
              <w:t>apie teises į paramą. Tuo būdu gali būti sumažintas paramos negavusių nepasiturinčių gyventojų skaičius.</w:t>
            </w:r>
          </w:p>
        </w:tc>
        <w:tc>
          <w:tcPr>
            <w:tcW w:w="5236" w:type="dxa"/>
          </w:tcPr>
          <w:p w:rsidR="00E53A4C" w:rsidRPr="007477F7" w:rsidRDefault="0074761A" w:rsidP="00E53A4C">
            <w:pPr>
              <w:cnfStyle w:val="000000100000" w:firstRow="0" w:lastRow="0" w:firstColumn="0" w:lastColumn="0" w:oddVBand="0" w:evenVBand="0" w:oddHBand="1" w:evenHBand="0" w:firstRowFirstColumn="0" w:firstRowLastColumn="0" w:lastRowFirstColumn="0" w:lastRowLastColumn="0"/>
              <w:rPr>
                <w:sz w:val="20"/>
                <w:szCs w:val="20"/>
                <w:lang w:val="lt-LT"/>
              </w:rPr>
            </w:pPr>
            <w:r w:rsidRPr="007477F7">
              <w:rPr>
                <w:sz w:val="20"/>
                <w:szCs w:val="20"/>
                <w:lang w:val="lt-LT"/>
              </w:rPr>
              <w:t>Valstybei skiriant lėšas piniginei socialinei paramai savivaldybėse finansuoti, tačiau nereglamentuojant nepanaudotų lėšų naudojimo, sukuriamos paskatos mažinti socialinės paramos išlaidas net ir paramos nepasiturintiems asmenims sąskaita.</w:t>
            </w:r>
          </w:p>
        </w:tc>
      </w:tr>
    </w:tbl>
    <w:p w:rsidR="00E53A4C" w:rsidRPr="00684009" w:rsidRDefault="0074761A" w:rsidP="0074761A">
      <w:pPr>
        <w:rPr>
          <w:sz w:val="20"/>
          <w:lang w:val="lt-LT"/>
        </w:rPr>
      </w:pPr>
      <w:r w:rsidRPr="00684009">
        <w:rPr>
          <w:b/>
          <w:sz w:val="20"/>
          <w:lang w:val="lt-LT"/>
        </w:rPr>
        <w:t>Šaltinis:</w:t>
      </w:r>
      <w:r w:rsidR="00684009">
        <w:rPr>
          <w:b/>
          <w:sz w:val="20"/>
          <w:lang w:val="lt-LT"/>
        </w:rPr>
        <w:t xml:space="preserve"> </w:t>
      </w:r>
      <w:r w:rsidRPr="00684009">
        <w:rPr>
          <w:sz w:val="20"/>
          <w:lang w:val="lt-LT"/>
        </w:rPr>
        <w:t>Lietuvos socialinio tyrimų centro ataskaita</w:t>
      </w:r>
    </w:p>
    <w:p w:rsidR="0074761A" w:rsidRDefault="0074761A" w:rsidP="0074761A">
      <w:pPr>
        <w:rPr>
          <w:lang w:val="lt-LT"/>
        </w:rPr>
      </w:pPr>
    </w:p>
    <w:p w:rsidR="00B02B60" w:rsidRDefault="00B02B60" w:rsidP="001740B1">
      <w:pPr>
        <w:spacing w:line="360" w:lineRule="auto"/>
        <w:ind w:firstLine="720"/>
        <w:jc w:val="both"/>
      </w:pPr>
      <w:r>
        <w:rPr>
          <w:lang w:val="lt-LT"/>
        </w:rPr>
        <w:t>Taigi, socialinės paramos teikimo decentralizavimas turi ir teigiamų, ir neigiamų aspektų. Lyg ir veikia dėsnis „būti arčiau žmogaus“, tačiau tai gali sukelti daug neigiamų pasekmių ateityje ypač dėl korupcijos, skaidrumo nebuvimo ir darbuotojų kompetencijos neturėjimo</w:t>
      </w:r>
      <w:r w:rsidR="00694D7A">
        <w:rPr>
          <w:lang w:val="lt-LT"/>
        </w:rPr>
        <w:t xml:space="preserve"> (Baltušnikienė, </w:t>
      </w:r>
      <w:r w:rsidR="00694D7A">
        <w:t>2009).</w:t>
      </w:r>
    </w:p>
    <w:p w:rsidR="0074761A" w:rsidRPr="001740B1" w:rsidRDefault="001E3E76" w:rsidP="001740B1">
      <w:pPr>
        <w:spacing w:line="360" w:lineRule="auto"/>
        <w:ind w:firstLine="720"/>
      </w:pPr>
      <w:r w:rsidRPr="001E3E76">
        <w:t>Perduodant įgaliojimus regionų ir vietos valdžios institucijoms būtina jas aprūpinti ir finansinėmis priemonėmis, kad jos galėtų įgyvendinti savo uždavinius. Trūkstant lėšų neįmanoma deramai įgyvendinti šias galias.</w:t>
      </w:r>
    </w:p>
    <w:p w:rsidR="00797F97" w:rsidRDefault="00024AD6" w:rsidP="001740B1">
      <w:pPr>
        <w:spacing w:line="360" w:lineRule="auto"/>
        <w:ind w:firstLine="720"/>
        <w:jc w:val="both"/>
        <w:rPr>
          <w:lang w:val="lt-LT"/>
        </w:rPr>
      </w:pPr>
      <w:r>
        <w:rPr>
          <w:lang w:val="lt-LT"/>
        </w:rPr>
        <w:t>Mokslininkai nesutaria dėl fiskalinės decentralizacijos poveikio ekonomikai. Tačiau dauguma sutinka, kad s</w:t>
      </w:r>
      <w:r w:rsidR="00797F97" w:rsidRPr="00797F97">
        <w:rPr>
          <w:lang w:val="lt-LT"/>
        </w:rPr>
        <w:t>ubnacionalinio lygmens valdžios instituci</w:t>
      </w:r>
      <w:r w:rsidR="00914166">
        <w:rPr>
          <w:lang w:val="lt-LT"/>
        </w:rPr>
        <w:t>jos turi daugiau informacijos,</w:t>
      </w:r>
      <w:r w:rsidR="00797F97" w:rsidRPr="00797F97">
        <w:rPr>
          <w:lang w:val="lt-LT"/>
        </w:rPr>
        <w:t xml:space="preserve"> t</w:t>
      </w:r>
      <w:r w:rsidR="00176AC8">
        <w:rPr>
          <w:lang w:val="lt-LT"/>
        </w:rPr>
        <w:t xml:space="preserve">odėl gali geriau </w:t>
      </w:r>
      <w:r w:rsidR="00797F97" w:rsidRPr="00797F97">
        <w:rPr>
          <w:lang w:val="lt-LT"/>
        </w:rPr>
        <w:t>suderinti politiką</w:t>
      </w:r>
      <w:r w:rsidR="00914166">
        <w:rPr>
          <w:lang w:val="lt-LT"/>
        </w:rPr>
        <w:t xml:space="preserve"> ir</w:t>
      </w:r>
      <w:r>
        <w:rPr>
          <w:lang w:val="lt-LT"/>
        </w:rPr>
        <w:t xml:space="preserve"> </w:t>
      </w:r>
      <w:r w:rsidR="00914166">
        <w:rPr>
          <w:lang w:val="lt-LT"/>
        </w:rPr>
        <w:t>piliečių pageidavimus (</w:t>
      </w:r>
      <w:r w:rsidR="00797F97" w:rsidRPr="00797F97">
        <w:rPr>
          <w:lang w:val="lt-LT"/>
        </w:rPr>
        <w:t>Oates</w:t>
      </w:r>
      <w:r w:rsidR="00914166">
        <w:rPr>
          <w:lang w:val="lt-LT"/>
        </w:rPr>
        <w:t xml:space="preserve">, </w:t>
      </w:r>
      <w:r w:rsidR="00797F97" w:rsidRPr="00797F97">
        <w:rPr>
          <w:lang w:val="lt-LT"/>
        </w:rPr>
        <w:t>1972</w:t>
      </w:r>
      <w:r w:rsidR="00914166">
        <w:rPr>
          <w:lang w:val="lt-LT"/>
        </w:rPr>
        <w:t xml:space="preserve"> ir kt.</w:t>
      </w:r>
      <w:r w:rsidR="00797F97" w:rsidRPr="00797F97">
        <w:rPr>
          <w:lang w:val="lt-LT"/>
        </w:rPr>
        <w:t xml:space="preserve"> ). Kitas argumentas </w:t>
      </w:r>
      <w:r w:rsidR="00914166">
        <w:rPr>
          <w:lang w:val="lt-LT"/>
        </w:rPr>
        <w:t xml:space="preserve">fiskalinės decentralizacijos naudai </w:t>
      </w:r>
      <w:r w:rsidR="00797F97" w:rsidRPr="00797F97">
        <w:rPr>
          <w:lang w:val="lt-LT"/>
        </w:rPr>
        <w:t>yra tai, kad tarp jurisdikcijų konkurencija</w:t>
      </w:r>
      <w:r w:rsidR="00914166">
        <w:rPr>
          <w:lang w:val="lt-LT"/>
        </w:rPr>
        <w:t xml:space="preserve"> </w:t>
      </w:r>
      <w:r w:rsidR="00797F97" w:rsidRPr="00797F97">
        <w:rPr>
          <w:lang w:val="lt-LT"/>
        </w:rPr>
        <w:t>riboja vietos moke</w:t>
      </w:r>
      <w:r w:rsidR="00914166">
        <w:rPr>
          <w:lang w:val="lt-LT"/>
        </w:rPr>
        <w:t>sčių naštą ir skatina ekonomiškai</w:t>
      </w:r>
      <w:r w:rsidR="00797F97" w:rsidRPr="00797F97">
        <w:rPr>
          <w:lang w:val="lt-LT"/>
        </w:rPr>
        <w:t xml:space="preserve"> teikti vietines viešąsias prekes</w:t>
      </w:r>
      <w:r w:rsidR="00914166">
        <w:rPr>
          <w:lang w:val="lt-LT"/>
        </w:rPr>
        <w:t xml:space="preserve"> (</w:t>
      </w:r>
      <w:r w:rsidR="00176AC8">
        <w:rPr>
          <w:lang w:val="lt-LT"/>
        </w:rPr>
        <w:t>Brennanas ir Buchanan , 1980</w:t>
      </w:r>
      <w:r w:rsidR="00797F97" w:rsidRPr="00797F97">
        <w:rPr>
          <w:lang w:val="lt-LT"/>
        </w:rPr>
        <w:t>)</w:t>
      </w:r>
      <w:r w:rsidR="00176AC8">
        <w:rPr>
          <w:lang w:val="lt-LT"/>
        </w:rPr>
        <w:t>. Tačiau tyrimų rezultatai fiskalinės decentralizacijos atžvilgiu yra skirtingi</w:t>
      </w:r>
      <w:r w:rsidR="00914166">
        <w:rPr>
          <w:lang w:val="lt-LT"/>
        </w:rPr>
        <w:t>. Rodden (2002</w:t>
      </w:r>
      <w:r w:rsidR="00797F97" w:rsidRPr="00797F97">
        <w:rPr>
          <w:lang w:val="lt-LT"/>
        </w:rPr>
        <w:t xml:space="preserve">) nustato, kad </w:t>
      </w:r>
      <w:r w:rsidR="00914166">
        <w:rPr>
          <w:lang w:val="lt-LT"/>
        </w:rPr>
        <w:t>dėl pajamų decentralizacijos</w:t>
      </w:r>
      <w:r w:rsidR="00797F97" w:rsidRPr="00797F97">
        <w:rPr>
          <w:lang w:val="lt-LT"/>
        </w:rPr>
        <w:t xml:space="preserve"> blogėja</w:t>
      </w:r>
      <w:r w:rsidR="00176AC8">
        <w:rPr>
          <w:lang w:val="lt-LT"/>
        </w:rPr>
        <w:t xml:space="preserve"> </w:t>
      </w:r>
      <w:r w:rsidR="00914166">
        <w:rPr>
          <w:lang w:val="lt-LT"/>
        </w:rPr>
        <w:t>valdžios sektoriaus balansas, o Neyapti (2010</w:t>
      </w:r>
      <w:r w:rsidR="00797F97" w:rsidRPr="00797F97">
        <w:rPr>
          <w:lang w:val="lt-LT"/>
        </w:rPr>
        <w:t xml:space="preserve">) nustato, kad </w:t>
      </w:r>
      <w:r w:rsidR="00914166">
        <w:rPr>
          <w:lang w:val="lt-LT"/>
        </w:rPr>
        <w:t xml:space="preserve">decentralizuotos </w:t>
      </w:r>
      <w:r w:rsidR="00797F97" w:rsidRPr="00797F97">
        <w:rPr>
          <w:lang w:val="lt-LT"/>
        </w:rPr>
        <w:lastRenderedPageBreak/>
        <w:t>pajamos ir išlaidos</w:t>
      </w:r>
      <w:r w:rsidR="00914166">
        <w:rPr>
          <w:lang w:val="lt-LT"/>
        </w:rPr>
        <w:t xml:space="preserve"> – pagerina. Afonso ir Hauptmeier (2009</w:t>
      </w:r>
      <w:r w:rsidR="00797F97" w:rsidRPr="00797F97">
        <w:rPr>
          <w:lang w:val="lt-LT"/>
        </w:rPr>
        <w:t>)</w:t>
      </w:r>
      <w:r w:rsidR="007477F7">
        <w:rPr>
          <w:lang w:val="lt-LT"/>
        </w:rPr>
        <w:t xml:space="preserve"> tuo tarpu </w:t>
      </w:r>
      <w:r w:rsidR="00797F97" w:rsidRPr="00797F97">
        <w:rPr>
          <w:lang w:val="lt-LT"/>
        </w:rPr>
        <w:t>teigia, kad</w:t>
      </w:r>
      <w:r w:rsidR="00914166">
        <w:rPr>
          <w:lang w:val="lt-LT"/>
        </w:rPr>
        <w:t xml:space="preserve"> </w:t>
      </w:r>
      <w:r w:rsidR="00176AC8">
        <w:rPr>
          <w:lang w:val="lt-LT"/>
        </w:rPr>
        <w:t>išlaidų decentralizavimas didina valstybės skolą, o pajamų decentralizacija tam įtakos neturi</w:t>
      </w:r>
      <w:r w:rsidR="00797F97" w:rsidRPr="00797F97">
        <w:rPr>
          <w:lang w:val="lt-LT"/>
        </w:rPr>
        <w:t>. Th</w:t>
      </w:r>
      <w:r w:rsidR="00176AC8">
        <w:rPr>
          <w:lang w:val="lt-LT"/>
        </w:rPr>
        <w:t>ornton (2009) taip pat nustatė</w:t>
      </w:r>
      <w:r w:rsidR="00797F97" w:rsidRPr="00797F97">
        <w:rPr>
          <w:lang w:val="lt-LT"/>
        </w:rPr>
        <w:t>, kad nėra reikšmingos įtakos pajamų</w:t>
      </w:r>
      <w:r w:rsidR="00176AC8">
        <w:rPr>
          <w:lang w:val="lt-LT"/>
        </w:rPr>
        <w:t xml:space="preserve"> decentralizacijai</w:t>
      </w:r>
      <w:r w:rsidR="00797F97" w:rsidRPr="00797F97">
        <w:rPr>
          <w:lang w:val="lt-LT"/>
        </w:rPr>
        <w:t xml:space="preserve">. </w:t>
      </w:r>
      <w:r w:rsidR="00176AC8">
        <w:rPr>
          <w:lang w:val="lt-LT"/>
        </w:rPr>
        <w:t xml:space="preserve"> </w:t>
      </w:r>
      <w:r w:rsidR="00797F97" w:rsidRPr="00797F97">
        <w:rPr>
          <w:lang w:val="lt-LT"/>
        </w:rPr>
        <w:t xml:space="preserve">Baskaran </w:t>
      </w:r>
      <w:r w:rsidR="00176AC8">
        <w:rPr>
          <w:lang w:val="lt-LT"/>
        </w:rPr>
        <w:t xml:space="preserve">( 2010) vertinant </w:t>
      </w:r>
      <w:r w:rsidR="00684009">
        <w:rPr>
          <w:lang w:val="lt-LT"/>
        </w:rPr>
        <w:t xml:space="preserve">įtaką skoloms </w:t>
      </w:r>
      <w:r w:rsidR="00176AC8">
        <w:rPr>
          <w:lang w:val="lt-LT"/>
        </w:rPr>
        <w:t>nustato, kad išlaidų</w:t>
      </w:r>
      <w:r w:rsidRPr="00024AD6">
        <w:rPr>
          <w:lang w:val="lt-LT"/>
        </w:rPr>
        <w:t xml:space="preserve"> decentralizaciją žymiai</w:t>
      </w:r>
      <w:r w:rsidR="00176AC8">
        <w:rPr>
          <w:lang w:val="lt-LT"/>
        </w:rPr>
        <w:t xml:space="preserve"> mažina valstybės įsiskolinimą</w:t>
      </w:r>
      <w:r w:rsidRPr="00024AD6">
        <w:rPr>
          <w:lang w:val="lt-LT"/>
        </w:rPr>
        <w:t>, o</w:t>
      </w:r>
      <w:r w:rsidR="00176AC8">
        <w:rPr>
          <w:lang w:val="lt-LT"/>
        </w:rPr>
        <w:t xml:space="preserve"> </w:t>
      </w:r>
      <w:r w:rsidRPr="00024AD6">
        <w:rPr>
          <w:lang w:val="lt-LT"/>
        </w:rPr>
        <w:t>mokesčių decentralizacijos poveikis yra nereikšmingas.</w:t>
      </w:r>
    </w:p>
    <w:p w:rsidR="00176AC8" w:rsidRDefault="00176AC8" w:rsidP="00024AD6">
      <w:pPr>
        <w:rPr>
          <w:lang w:val="lt-LT"/>
        </w:rPr>
      </w:pPr>
      <w:r>
        <w:rPr>
          <w:lang w:val="lt-LT"/>
        </w:rPr>
        <w:tab/>
      </w:r>
    </w:p>
    <w:p w:rsidR="00797F97" w:rsidRDefault="00797F97" w:rsidP="0074761A">
      <w:pPr>
        <w:rPr>
          <w:lang w:val="lt-LT"/>
        </w:rPr>
      </w:pPr>
    </w:p>
    <w:p w:rsidR="00797F97" w:rsidRDefault="00797F97" w:rsidP="0074761A">
      <w:pPr>
        <w:rPr>
          <w:lang w:val="lt-LT"/>
        </w:rPr>
      </w:pPr>
    </w:p>
    <w:p w:rsidR="00797F97" w:rsidRDefault="00797F97" w:rsidP="0074761A">
      <w:pPr>
        <w:rPr>
          <w:lang w:val="lt-LT"/>
        </w:rPr>
      </w:pPr>
    </w:p>
    <w:p w:rsidR="00797F97" w:rsidRPr="00FA0A0E" w:rsidRDefault="00797F97" w:rsidP="0074761A">
      <w:pPr>
        <w:rPr>
          <w:lang w:val="lt-LT"/>
        </w:rPr>
      </w:pPr>
    </w:p>
    <w:p w:rsidR="009C48D0" w:rsidRDefault="009C48D0" w:rsidP="009C48D0"/>
    <w:p w:rsidR="009C48D0" w:rsidRPr="009C48D0" w:rsidRDefault="009C48D0" w:rsidP="009C48D0">
      <w:r w:rsidRPr="009C48D0">
        <w:t>.</w:t>
      </w:r>
    </w:p>
    <w:p w:rsidR="009C5E85" w:rsidRDefault="009C5E85" w:rsidP="00E4218B">
      <w:pPr>
        <w:pStyle w:val="Heading1"/>
        <w:jc w:val="center"/>
        <w:rPr>
          <w:lang w:val="lt-LT"/>
        </w:rPr>
      </w:pPr>
    </w:p>
    <w:p w:rsidR="009C5E85" w:rsidRDefault="009C5E85" w:rsidP="00E4218B">
      <w:pPr>
        <w:pStyle w:val="Heading1"/>
        <w:jc w:val="center"/>
        <w:rPr>
          <w:lang w:val="lt-LT"/>
        </w:rPr>
      </w:pPr>
    </w:p>
    <w:p w:rsidR="009C5E85" w:rsidRDefault="009C5E85" w:rsidP="00E4218B">
      <w:pPr>
        <w:pStyle w:val="Heading1"/>
        <w:jc w:val="center"/>
        <w:rPr>
          <w:lang w:val="lt-LT"/>
        </w:rPr>
      </w:pPr>
    </w:p>
    <w:p w:rsidR="00C96EB3" w:rsidRDefault="00C96EB3" w:rsidP="00C96EB3">
      <w:pPr>
        <w:rPr>
          <w:lang w:val="lt-LT"/>
        </w:rPr>
      </w:pPr>
    </w:p>
    <w:p w:rsidR="00C96EB3" w:rsidRDefault="00C96EB3" w:rsidP="00C96EB3">
      <w:pPr>
        <w:rPr>
          <w:lang w:val="lt-LT"/>
        </w:rPr>
      </w:pPr>
    </w:p>
    <w:p w:rsidR="00C96EB3" w:rsidRDefault="00C96EB3" w:rsidP="00C96EB3">
      <w:pPr>
        <w:rPr>
          <w:lang w:val="lt-LT"/>
        </w:rPr>
      </w:pPr>
    </w:p>
    <w:p w:rsidR="00C96EB3" w:rsidRDefault="00C96EB3" w:rsidP="00C96EB3">
      <w:pPr>
        <w:rPr>
          <w:lang w:val="lt-LT"/>
        </w:rPr>
      </w:pPr>
    </w:p>
    <w:p w:rsidR="00C96EB3" w:rsidRDefault="00C96EB3" w:rsidP="00C96EB3">
      <w:pPr>
        <w:rPr>
          <w:lang w:val="lt-LT"/>
        </w:rPr>
      </w:pPr>
    </w:p>
    <w:p w:rsidR="00C96EB3" w:rsidRDefault="00C96EB3" w:rsidP="00C96EB3">
      <w:pPr>
        <w:rPr>
          <w:lang w:val="lt-LT"/>
        </w:rPr>
      </w:pPr>
    </w:p>
    <w:p w:rsidR="009C5E85" w:rsidRDefault="009C5E85" w:rsidP="00C96EB3">
      <w:pPr>
        <w:pStyle w:val="Heading1"/>
        <w:rPr>
          <w:rFonts w:cs="Times New Roman"/>
          <w:b w:val="0"/>
          <w:bCs w:val="0"/>
          <w:kern w:val="0"/>
          <w:szCs w:val="24"/>
          <w:lang w:val="lt-LT"/>
        </w:rPr>
      </w:pPr>
    </w:p>
    <w:p w:rsidR="007477F7" w:rsidRDefault="007477F7" w:rsidP="007477F7">
      <w:pPr>
        <w:rPr>
          <w:lang w:val="lt-LT"/>
        </w:rPr>
      </w:pPr>
    </w:p>
    <w:p w:rsidR="007477F7" w:rsidRDefault="007477F7" w:rsidP="007477F7">
      <w:pPr>
        <w:rPr>
          <w:lang w:val="lt-LT"/>
        </w:rPr>
      </w:pPr>
    </w:p>
    <w:p w:rsidR="007477F7" w:rsidRDefault="007477F7" w:rsidP="007477F7">
      <w:pPr>
        <w:rPr>
          <w:lang w:val="lt-LT"/>
        </w:rPr>
      </w:pPr>
    </w:p>
    <w:p w:rsidR="007477F7" w:rsidRDefault="007477F7" w:rsidP="007477F7">
      <w:pPr>
        <w:rPr>
          <w:lang w:val="lt-LT"/>
        </w:rPr>
      </w:pPr>
    </w:p>
    <w:p w:rsidR="007477F7" w:rsidRDefault="007477F7" w:rsidP="007477F7">
      <w:pPr>
        <w:rPr>
          <w:lang w:val="lt-LT"/>
        </w:rPr>
      </w:pPr>
    </w:p>
    <w:p w:rsidR="007477F7" w:rsidRDefault="007477F7" w:rsidP="007477F7">
      <w:pPr>
        <w:rPr>
          <w:lang w:val="lt-LT"/>
        </w:rPr>
      </w:pPr>
    </w:p>
    <w:p w:rsidR="007477F7" w:rsidRDefault="007477F7" w:rsidP="007477F7">
      <w:pPr>
        <w:rPr>
          <w:lang w:val="lt-LT"/>
        </w:rPr>
      </w:pPr>
    </w:p>
    <w:p w:rsidR="007477F7" w:rsidRDefault="007477F7" w:rsidP="007477F7">
      <w:pPr>
        <w:rPr>
          <w:lang w:val="lt-LT"/>
        </w:rPr>
      </w:pPr>
    </w:p>
    <w:p w:rsidR="007477F7" w:rsidRDefault="007477F7" w:rsidP="007477F7">
      <w:pPr>
        <w:rPr>
          <w:lang w:val="lt-LT"/>
        </w:rPr>
      </w:pPr>
    </w:p>
    <w:p w:rsidR="007477F7" w:rsidRDefault="007477F7" w:rsidP="007477F7">
      <w:pPr>
        <w:rPr>
          <w:lang w:val="lt-LT"/>
        </w:rPr>
      </w:pPr>
    </w:p>
    <w:p w:rsidR="007477F7" w:rsidRDefault="007477F7" w:rsidP="007477F7">
      <w:pPr>
        <w:rPr>
          <w:lang w:val="lt-LT"/>
        </w:rPr>
      </w:pPr>
    </w:p>
    <w:p w:rsidR="007477F7" w:rsidRDefault="007477F7" w:rsidP="007477F7">
      <w:pPr>
        <w:rPr>
          <w:lang w:val="lt-LT"/>
        </w:rPr>
      </w:pPr>
    </w:p>
    <w:p w:rsidR="007477F7" w:rsidRDefault="007477F7" w:rsidP="007477F7">
      <w:pPr>
        <w:rPr>
          <w:lang w:val="lt-LT"/>
        </w:rPr>
      </w:pPr>
    </w:p>
    <w:p w:rsidR="007477F7" w:rsidRDefault="007477F7" w:rsidP="007477F7">
      <w:pPr>
        <w:rPr>
          <w:lang w:val="lt-LT"/>
        </w:rPr>
      </w:pPr>
    </w:p>
    <w:p w:rsidR="007477F7" w:rsidRPr="007477F7" w:rsidRDefault="007477F7" w:rsidP="007477F7">
      <w:pPr>
        <w:rPr>
          <w:lang w:val="lt-LT"/>
        </w:rPr>
      </w:pPr>
    </w:p>
    <w:p w:rsidR="00C96EB3" w:rsidRDefault="00C96EB3" w:rsidP="00C96EB3">
      <w:pPr>
        <w:rPr>
          <w:lang w:val="lt-LT"/>
        </w:rPr>
      </w:pPr>
    </w:p>
    <w:p w:rsidR="00C96EB3" w:rsidRDefault="00C96EB3" w:rsidP="00C96EB3">
      <w:pPr>
        <w:rPr>
          <w:lang w:val="lt-LT"/>
        </w:rPr>
      </w:pPr>
    </w:p>
    <w:p w:rsidR="00C96EB3" w:rsidRPr="00C96EB3" w:rsidRDefault="00C96EB3" w:rsidP="00C96EB3">
      <w:pPr>
        <w:rPr>
          <w:lang w:val="lt-LT"/>
        </w:rPr>
      </w:pPr>
    </w:p>
    <w:p w:rsidR="00602C5A" w:rsidRPr="00602C5A" w:rsidRDefault="00602C5A" w:rsidP="00E4218B">
      <w:pPr>
        <w:pStyle w:val="Heading1"/>
        <w:jc w:val="center"/>
        <w:rPr>
          <w:lang w:val="lt-LT"/>
        </w:rPr>
      </w:pPr>
      <w:bookmarkStart w:id="82" w:name="_Toc385249542"/>
      <w:r w:rsidRPr="00602C5A">
        <w:rPr>
          <w:lang w:val="lt-LT"/>
        </w:rPr>
        <w:lastRenderedPageBreak/>
        <w:t>IŠVADOS</w:t>
      </w:r>
      <w:bookmarkEnd w:id="69"/>
      <w:r w:rsidR="00E06981">
        <w:rPr>
          <w:lang w:val="lt-LT"/>
        </w:rPr>
        <w:t xml:space="preserve"> IR SIŪLYMAI</w:t>
      </w:r>
      <w:bookmarkEnd w:id="82"/>
    </w:p>
    <w:p w:rsidR="00602C5A" w:rsidRDefault="00602C5A" w:rsidP="00452D18">
      <w:pPr>
        <w:autoSpaceDE w:val="0"/>
        <w:autoSpaceDN w:val="0"/>
        <w:adjustRightInd w:val="0"/>
        <w:spacing w:line="360" w:lineRule="auto"/>
        <w:jc w:val="both"/>
        <w:rPr>
          <w:lang w:val="lt-LT"/>
        </w:rPr>
      </w:pPr>
    </w:p>
    <w:p w:rsidR="00602C5A" w:rsidRDefault="001460D6" w:rsidP="00CC565B">
      <w:pPr>
        <w:pStyle w:val="ListParagraph"/>
        <w:numPr>
          <w:ilvl w:val="0"/>
          <w:numId w:val="23"/>
        </w:numPr>
        <w:autoSpaceDE w:val="0"/>
        <w:autoSpaceDN w:val="0"/>
        <w:adjustRightInd w:val="0"/>
        <w:spacing w:line="360" w:lineRule="auto"/>
        <w:ind w:left="0" w:firstLine="720"/>
        <w:jc w:val="both"/>
      </w:pPr>
      <w:r w:rsidRPr="001460D6">
        <w:t>Fiskalinė decentralizacija – tai procesas, kurio metu konkrečių valdymo lygių sprendimų priėmimo atsakomybė valstyb</w:t>
      </w:r>
      <w:r>
        <w:t>ės</w:t>
      </w:r>
      <w:r w:rsidRPr="00ED2C8D">
        <w:rPr>
          <w:color w:val="FFFFFF"/>
        </w:rPr>
        <w:t>-</w:t>
      </w:r>
      <w:r w:rsidRPr="001460D6">
        <w:t xml:space="preserve">finansų srityje perskirstoma žemesnių valdymo lygių fiskalinės autonomijos didėjimo link. </w:t>
      </w:r>
      <w:r w:rsidR="00602C5A" w:rsidRPr="001460D6">
        <w:t xml:space="preserve">Fiskalinė decentralizacija susijusi su išlaidų, pajamų perskirstymu, finansiniais pervedimais, skolinimosi galimybėmis, pajamų ir išlaidų bei finansinių poreikių ir pajėgumų </w:t>
      </w:r>
      <w:r w:rsidR="000F3EDF" w:rsidRPr="001460D6">
        <w:t xml:space="preserve">disbalansu </w:t>
      </w:r>
      <w:r w:rsidR="000F3EDF" w:rsidRPr="00ED2C8D">
        <w:rPr>
          <w:color w:val="FFFFFF"/>
        </w:rPr>
        <w:t>.</w:t>
      </w:r>
      <w:r w:rsidR="00602C5A" w:rsidRPr="001460D6">
        <w:t>tarp centrinės ir vietinės valdžios. Jei sprendimų priėmimo atsakomybė valstybės finansų srityje perskirstoma racionaliai, decentralizacija gali smarkiai padidinti valstybės finansų našumą ir efektyvumą. Jei fiskalinė decentralizacija suprojektuojama ir įgyvendinama netinkamai, ji gali duoti priešingus rezultatus.</w:t>
      </w:r>
    </w:p>
    <w:p w:rsidR="00ED2C8D" w:rsidRDefault="004535A6" w:rsidP="00CC565B">
      <w:pPr>
        <w:pStyle w:val="ListParagraph"/>
        <w:numPr>
          <w:ilvl w:val="0"/>
          <w:numId w:val="23"/>
        </w:numPr>
        <w:autoSpaceDE w:val="0"/>
        <w:autoSpaceDN w:val="0"/>
        <w:adjustRightInd w:val="0"/>
        <w:spacing w:line="360" w:lineRule="auto"/>
        <w:ind w:left="0" w:firstLine="720"/>
        <w:jc w:val="both"/>
      </w:pPr>
      <w:r>
        <w:t>Lietuvoje s</w:t>
      </w:r>
      <w:r w:rsidRPr="004535A6">
        <w:t>avivaldybė yra apibrėžiama kaip laisvas ir savarankiškas viešasis juridinis asmuo, kuriam LR Konstitucija sut</w:t>
      </w:r>
      <w:r>
        <w:t xml:space="preserve">eikia savivaldos teisę. Tačiau </w:t>
      </w:r>
      <w:r w:rsidRPr="004535A6">
        <w:t>savivaldybės negali savarankiška</w:t>
      </w:r>
      <w:r>
        <w:t xml:space="preserve">i nustatyti savo kompetencijos. </w:t>
      </w:r>
      <w:r w:rsidRPr="004535A6">
        <w:t>Savivaldos galią minimizuoja LR Vietos savivaldos įstatyme 5 straipsnyje numatytos savivaldybių funkcijos, aiškiai apibrėžiančios ribotą savivaldos laisvę tuo pačiu ribodama fiskalinę decentralizaciją.</w:t>
      </w:r>
    </w:p>
    <w:p w:rsidR="000D1B96" w:rsidRDefault="004535A6" w:rsidP="00CC565B">
      <w:pPr>
        <w:pStyle w:val="ListParagraph"/>
        <w:numPr>
          <w:ilvl w:val="0"/>
          <w:numId w:val="23"/>
        </w:numPr>
        <w:autoSpaceDE w:val="0"/>
        <w:autoSpaceDN w:val="0"/>
        <w:adjustRightInd w:val="0"/>
        <w:spacing w:line="360" w:lineRule="auto"/>
        <w:ind w:left="0" w:firstLine="720"/>
        <w:jc w:val="both"/>
      </w:pPr>
      <w:r w:rsidRPr="00956A0E">
        <w:t>Lietuvoje taikoma dviejų pakopų valdžios finansavimo sistema leidžia savivaldybėms disponuoti savo biudžeto lėšomis:</w:t>
      </w:r>
      <w:r>
        <w:t xml:space="preserve"> </w:t>
      </w:r>
      <w:r w:rsidRPr="00956A0E">
        <w:t xml:space="preserve">jos gali savarankiškai naudotis pajamomis ir išlaidomis, taip pat turi teisę iš valstybės biudžeto gauti tam tikrų finansinių lėšų (dotacijų). Be to , vietinės valdžios organai turi galimybę skolintis, atsižvelgiant į Seimo nustatytus skolos limitus. </w:t>
      </w:r>
    </w:p>
    <w:p w:rsidR="004535A6" w:rsidRDefault="00390FB6" w:rsidP="00CC565B">
      <w:pPr>
        <w:pStyle w:val="ListParagraph"/>
        <w:numPr>
          <w:ilvl w:val="0"/>
          <w:numId w:val="23"/>
        </w:numPr>
        <w:autoSpaceDE w:val="0"/>
        <w:autoSpaceDN w:val="0"/>
        <w:adjustRightInd w:val="0"/>
        <w:spacing w:line="360" w:lineRule="auto"/>
        <w:ind w:left="0" w:firstLine="720"/>
        <w:jc w:val="both"/>
      </w:pPr>
      <w:r>
        <w:t xml:space="preserve">1993 m. stodama į Europos tarybą Lietuva įsipareigojo pasirašyti ir ratifikuoti Europos vietos savivaldos chartiją, kuri įsigaliojo Lietuvoje 1999 m. užimdama deramą vietą Lietuvos teisinėje sistemoje. Jos ratifikavimas įpareigoja suderinti vietos savivaldą reguliuojančius įstatymus su chartijos nuostatomis ir laikytis visų joje įtvirtintų principinių reikalavimų. Chartijos ratifikavimas neabejotinai buvo teigiamas žingsnis plėtojant demokratiją, įgyvendinant decentralizacijos ir subsidarumo principus Lietuvoje. </w:t>
      </w:r>
      <w:r w:rsidR="004535A6" w:rsidRPr="004535A6">
        <w:t>ES aiškiai deklaruoja savo palankumą regionų ar vietos savivaldai</w:t>
      </w:r>
      <w:r>
        <w:t>.</w:t>
      </w:r>
    </w:p>
    <w:p w:rsidR="001A5B7D" w:rsidRDefault="00390FB6" w:rsidP="00CC565B">
      <w:pPr>
        <w:pStyle w:val="ListParagraph"/>
        <w:numPr>
          <w:ilvl w:val="0"/>
          <w:numId w:val="23"/>
        </w:numPr>
        <w:autoSpaceDE w:val="0"/>
        <w:autoSpaceDN w:val="0"/>
        <w:adjustRightInd w:val="0"/>
        <w:spacing w:line="360" w:lineRule="auto"/>
        <w:ind w:left="0" w:firstLine="720"/>
        <w:jc w:val="both"/>
      </w:pPr>
      <w:r>
        <w:t>Vertinant Lietuvos savivaldybių savarankiškumo lygį išlaidų kontekste, Lietuvą galima priskirti prie vidutiniškai decentralizuotų valstybių, kuri turi aiškią funkcijų tarp centrinės ir vietinės valdžios pasiskirstymo sistemą. 2012 m. Lietuvoje labiausiai decentralizuota valstybės funkcija – būstas ir komunalinis ūkis,</w:t>
      </w:r>
      <w:r w:rsidR="00ED0D1D">
        <w:t xml:space="preserve"> o didžiausia savivaldybių išlaidų dalis </w:t>
      </w:r>
      <w:r>
        <w:t>atitenka</w:t>
      </w:r>
      <w:r w:rsidR="00ED0D1D">
        <w:t xml:space="preserve"> socialinei apsaugai, švietimui.</w:t>
      </w:r>
    </w:p>
    <w:p w:rsidR="001A5B7D" w:rsidRDefault="00ED0D1D" w:rsidP="00CC565B">
      <w:pPr>
        <w:pStyle w:val="ListParagraph"/>
        <w:numPr>
          <w:ilvl w:val="0"/>
          <w:numId w:val="23"/>
        </w:numPr>
        <w:autoSpaceDE w:val="0"/>
        <w:autoSpaceDN w:val="0"/>
        <w:adjustRightInd w:val="0"/>
        <w:spacing w:line="360" w:lineRule="auto"/>
        <w:ind w:left="0" w:firstLine="709"/>
        <w:jc w:val="both"/>
      </w:pPr>
      <w:r w:rsidRPr="00ED0D1D">
        <w:t xml:space="preserve">Savi finansiniai ištekliai, kuriais savivaldybės gali laisvai disponuoti, sudaro tik nedidelę dalį jų biudžeto. Didžioji dalis savivaldybių biudžeto yra formuojama iš valstybės dotacijų, skirtų valstybinėms (perduotoms savivaldybėms) funkcijoms atlikti. Esant tokiai fiskalinei sistemai, </w:t>
      </w:r>
      <w:r w:rsidRPr="00ED0D1D">
        <w:lastRenderedPageBreak/>
        <w:t xml:space="preserve">savivaldybės turi labai ribotas galimybes aktyviai dalyvauti savo teritorijos ekonominėje ir socialinėje plėtroje. </w:t>
      </w:r>
      <w:r w:rsidR="001A5B7D">
        <w:t>Pagrindiniai savivaldyb</w:t>
      </w:r>
      <w:r w:rsidR="009A0A55">
        <w:t>ė</w:t>
      </w:r>
      <w:r w:rsidR="001A5B7D">
        <w:t>s finansinio savaranki</w:t>
      </w:r>
      <w:r w:rsidR="0018228E">
        <w:t>š</w:t>
      </w:r>
      <w:r w:rsidR="001A5B7D">
        <w:t>kumo</w:t>
      </w:r>
      <w:r>
        <w:t>.</w:t>
      </w:r>
    </w:p>
    <w:p w:rsidR="00ED0D1D" w:rsidRDefault="00ED0D1D" w:rsidP="00CC565B">
      <w:pPr>
        <w:pStyle w:val="ListParagraph"/>
        <w:numPr>
          <w:ilvl w:val="0"/>
          <w:numId w:val="23"/>
        </w:numPr>
        <w:autoSpaceDE w:val="0"/>
        <w:autoSpaceDN w:val="0"/>
        <w:adjustRightInd w:val="0"/>
        <w:spacing w:line="360" w:lineRule="auto"/>
        <w:ind w:left="0" w:firstLine="720"/>
        <w:jc w:val="both"/>
      </w:pPr>
      <w:r w:rsidRPr="00ED0D1D">
        <w:t xml:space="preserve">Išanalizavus savivaldybių skolinimosi galimybes, </w:t>
      </w:r>
      <w:r w:rsidR="00256E43">
        <w:t>nustatyta</w:t>
      </w:r>
      <w:r w:rsidRPr="00ED0D1D">
        <w:t>, kad Lietuvos centrinė valdžios reguliavimo ir kontroliavimo sistema varžo savarankišką savivaldybių skolinimąsi. Tačiau jeigu to nebūtų, savivaldybės nekontroliuotų skolinimąsi ir galėtų sukelti problemų visai šaliai dėl padidėjusios skolos ir kitų kreditinių įsipareigojimų</w:t>
      </w:r>
      <w:r>
        <w:t>.</w:t>
      </w:r>
    </w:p>
    <w:p w:rsidR="00256E43" w:rsidRDefault="006A754C" w:rsidP="00CC565B">
      <w:pPr>
        <w:pStyle w:val="ListParagraph"/>
        <w:numPr>
          <w:ilvl w:val="0"/>
          <w:numId w:val="23"/>
        </w:numPr>
        <w:autoSpaceDE w:val="0"/>
        <w:autoSpaceDN w:val="0"/>
        <w:adjustRightInd w:val="0"/>
        <w:spacing w:line="360" w:lineRule="auto"/>
        <w:ind w:left="0" w:firstLine="720"/>
        <w:jc w:val="both"/>
      </w:pPr>
      <w:r>
        <w:t xml:space="preserve">Lietuva fiskalinės decentralizacijos atžvilgiu atsilieka </w:t>
      </w:r>
      <w:r w:rsidR="00034927">
        <w:t xml:space="preserve">nuo ES vidurkio: </w:t>
      </w:r>
      <w:r>
        <w:t>vietinės valdžios biudžeto išlaidų</w:t>
      </w:r>
      <w:r w:rsidR="00034927">
        <w:t xml:space="preserve"> dalis</w:t>
      </w:r>
      <w:r>
        <w:t xml:space="preserve"> valdžios sektoriaus išlaidose</w:t>
      </w:r>
      <w:r w:rsidR="00034927">
        <w:t xml:space="preserve"> yra mažesnė 6 proc. punktais u</w:t>
      </w:r>
      <w:r w:rsidR="00034927">
        <w:rPr>
          <w:lang w:val="lt-LT"/>
        </w:rPr>
        <w:t>ž ES vidurkį</w:t>
      </w:r>
      <w:r w:rsidR="00034927">
        <w:t xml:space="preserve">,  o pagal gaunamas dotacijas viršija net 23,3 proc. punkto ES vidurkį. </w:t>
      </w:r>
      <w:r w:rsidR="00B509D1">
        <w:t>Mokestinių pajamų atžvilgiu sunku įvertinti decentralizaciją, nes kiekvienos valstybės mokestinę bazę reikėtų analizuoti atskirai dėl surinktų mokesčių “nuklydimą” centriniame valstybės biudžete.</w:t>
      </w:r>
    </w:p>
    <w:p w:rsidR="00256E43" w:rsidRDefault="00256E43" w:rsidP="00CC565B">
      <w:pPr>
        <w:pStyle w:val="ListParagraph"/>
        <w:numPr>
          <w:ilvl w:val="0"/>
          <w:numId w:val="23"/>
        </w:numPr>
        <w:autoSpaceDE w:val="0"/>
        <w:autoSpaceDN w:val="0"/>
        <w:adjustRightInd w:val="0"/>
        <w:spacing w:line="360" w:lineRule="auto"/>
        <w:ind w:left="0" w:firstLine="720"/>
        <w:jc w:val="both"/>
      </w:pPr>
      <w:r>
        <w:t>Nustatyta</w:t>
      </w:r>
      <w:r w:rsidRPr="00256E43">
        <w:t xml:space="preserve">, kad didesnis </w:t>
      </w:r>
      <w:r w:rsidR="00B509D1">
        <w:t xml:space="preserve">ES </w:t>
      </w:r>
      <w:r w:rsidRPr="00256E43">
        <w:t>subnacionalinio lygmens fiskalinės decentralizacijos lygis lemia jo biudžeto didesnę skolą. Todėl galime teigti, kad Lietuvoje savivaldybėms taikytini skolinimosi limitai neleidžia vietinei valdžiai padidinti esamą skolą ir išvengia papildomų fiskalinių problemų.</w:t>
      </w:r>
    </w:p>
    <w:p w:rsidR="00B509D1" w:rsidRDefault="00B509D1" w:rsidP="00CC565B">
      <w:pPr>
        <w:pStyle w:val="ListParagraph"/>
        <w:numPr>
          <w:ilvl w:val="0"/>
          <w:numId w:val="23"/>
        </w:numPr>
        <w:autoSpaceDE w:val="0"/>
        <w:autoSpaceDN w:val="0"/>
        <w:adjustRightInd w:val="0"/>
        <w:spacing w:line="360" w:lineRule="auto"/>
        <w:ind w:left="0" w:firstLine="720"/>
        <w:jc w:val="both"/>
      </w:pPr>
      <w:r>
        <w:t xml:space="preserve">Lietuvoje vykdytas bandomasis projektas socialinių pašalpų teikimų perdavimo “eksperimentinėms savivaldybėms” padėjo sutaupyti valstybės gautų lėšų pašalpoms. Tačiau tuo pačiu atskleidė daug neigiamų aspektų, galinčių įvykti per ilgesnį pašalpų decentralizavimo laikotarpį. </w:t>
      </w:r>
    </w:p>
    <w:p w:rsidR="00FE00EC" w:rsidRDefault="00E62073" w:rsidP="00CC565B">
      <w:pPr>
        <w:pStyle w:val="ListParagraph"/>
        <w:numPr>
          <w:ilvl w:val="0"/>
          <w:numId w:val="23"/>
        </w:numPr>
        <w:autoSpaceDE w:val="0"/>
        <w:autoSpaceDN w:val="0"/>
        <w:adjustRightInd w:val="0"/>
        <w:spacing w:line="360" w:lineRule="auto"/>
        <w:ind w:left="0" w:firstLine="720"/>
        <w:jc w:val="both"/>
      </w:pPr>
      <w:r>
        <w:t>Tyrimas parodė, jog Lietuvos savivaldybių finansinis savarankiškumas nepakankamas ir atsilieka nuo ES vidurkio, todėl vietos valdžios savarankiškumas turi būti plėtojamas, tačiau atsižvelgiant į daugumą aspektų (kompetencijos stoką, korupciją ir pan.)</w:t>
      </w:r>
      <w:r w:rsidR="00FE00EC">
        <w:t>,  nes per didelė decentralizacija gali skatinti netolygią šalies regionų plėtotę. Atlikus analizę, galima išskirti siūlymus, kurie padidintų fiskalinę decentralizaciją Lietuvoje:</w:t>
      </w:r>
    </w:p>
    <w:p w:rsidR="00FE00EC" w:rsidRDefault="00FE00EC" w:rsidP="00CC565B">
      <w:pPr>
        <w:pStyle w:val="ListParagraph"/>
        <w:numPr>
          <w:ilvl w:val="0"/>
          <w:numId w:val="24"/>
        </w:numPr>
        <w:autoSpaceDE w:val="0"/>
        <w:autoSpaceDN w:val="0"/>
        <w:adjustRightInd w:val="0"/>
        <w:spacing w:line="360" w:lineRule="auto"/>
        <w:jc w:val="both"/>
      </w:pPr>
      <w:r>
        <w:t>savivaldybių skolinimosi galimybių plėtojimas. Kartu turėtų būti numatytas atitinkamas finansinės kontrolės mechanizmas, užtikrinantis racionalų savivaldybių lėšų naudojimą;</w:t>
      </w:r>
    </w:p>
    <w:p w:rsidR="00FE00EC" w:rsidRDefault="00FE00EC" w:rsidP="00CC565B">
      <w:pPr>
        <w:pStyle w:val="ListParagraph"/>
        <w:numPr>
          <w:ilvl w:val="0"/>
          <w:numId w:val="24"/>
        </w:numPr>
        <w:autoSpaceDE w:val="0"/>
        <w:autoSpaceDN w:val="0"/>
        <w:adjustRightInd w:val="0"/>
        <w:spacing w:line="360" w:lineRule="auto"/>
        <w:jc w:val="both"/>
      </w:pPr>
      <w:r>
        <w:t>Lietuvos savivaldybių reformavimas, mažinant jų dydžius;</w:t>
      </w:r>
    </w:p>
    <w:p w:rsidR="007D05A2" w:rsidRDefault="007D05A2" w:rsidP="00CC565B">
      <w:pPr>
        <w:pStyle w:val="ListParagraph"/>
        <w:numPr>
          <w:ilvl w:val="0"/>
          <w:numId w:val="24"/>
        </w:numPr>
        <w:autoSpaceDE w:val="0"/>
        <w:autoSpaceDN w:val="0"/>
        <w:adjustRightInd w:val="0"/>
        <w:spacing w:line="360" w:lineRule="auto"/>
        <w:jc w:val="both"/>
      </w:pPr>
      <w:r>
        <w:t>savivaldybėms perduotų valstybės funkcijų adekvatus finansavimas;</w:t>
      </w:r>
    </w:p>
    <w:p w:rsidR="00602C5A" w:rsidRDefault="007D05A2" w:rsidP="00CC565B">
      <w:pPr>
        <w:pStyle w:val="ListParagraph"/>
        <w:numPr>
          <w:ilvl w:val="0"/>
          <w:numId w:val="24"/>
        </w:numPr>
        <w:autoSpaceDE w:val="0"/>
        <w:autoSpaceDN w:val="0"/>
        <w:adjustRightInd w:val="0"/>
        <w:spacing w:line="360" w:lineRule="auto"/>
        <w:jc w:val="both"/>
      </w:pPr>
      <w:r>
        <w:t>vietinių mokesčių bazės plėtimas.</w:t>
      </w:r>
    </w:p>
    <w:p w:rsidR="00C96EB3" w:rsidRDefault="00C96EB3" w:rsidP="00C96EB3">
      <w:pPr>
        <w:autoSpaceDE w:val="0"/>
        <w:autoSpaceDN w:val="0"/>
        <w:adjustRightInd w:val="0"/>
        <w:spacing w:line="360" w:lineRule="auto"/>
        <w:jc w:val="both"/>
      </w:pPr>
    </w:p>
    <w:p w:rsidR="00C96EB3" w:rsidRDefault="00C96EB3" w:rsidP="00C96EB3">
      <w:pPr>
        <w:autoSpaceDE w:val="0"/>
        <w:autoSpaceDN w:val="0"/>
        <w:adjustRightInd w:val="0"/>
        <w:spacing w:line="360" w:lineRule="auto"/>
        <w:jc w:val="both"/>
      </w:pPr>
    </w:p>
    <w:p w:rsidR="00C96EB3" w:rsidRDefault="00C96EB3" w:rsidP="00C96EB3">
      <w:pPr>
        <w:autoSpaceDE w:val="0"/>
        <w:autoSpaceDN w:val="0"/>
        <w:adjustRightInd w:val="0"/>
        <w:spacing w:line="360" w:lineRule="auto"/>
        <w:jc w:val="both"/>
      </w:pPr>
    </w:p>
    <w:p w:rsidR="000E6FB7" w:rsidRPr="000E6FB7" w:rsidRDefault="007C5682" w:rsidP="000E6FB7">
      <w:pPr>
        <w:pStyle w:val="Heading1"/>
        <w:jc w:val="center"/>
        <w:rPr>
          <w:rFonts w:cs="Times New Roman"/>
          <w:szCs w:val="24"/>
          <w:lang w:val="lt-LT"/>
        </w:rPr>
      </w:pPr>
      <w:bookmarkStart w:id="83" w:name="_Toc345766256"/>
      <w:bookmarkStart w:id="84" w:name="_Toc385249543"/>
      <w:r w:rsidRPr="00AF6090">
        <w:rPr>
          <w:rFonts w:cs="Times New Roman"/>
          <w:szCs w:val="24"/>
        </w:rPr>
        <w:lastRenderedPageBreak/>
        <w:t>LITERAT</w:t>
      </w:r>
      <w:r w:rsidRPr="00AF6090">
        <w:rPr>
          <w:rFonts w:cs="Times New Roman"/>
          <w:szCs w:val="24"/>
          <w:lang w:val="lt-LT"/>
        </w:rPr>
        <w:t>ŪRA</w:t>
      </w:r>
      <w:bookmarkEnd w:id="83"/>
      <w:bookmarkEnd w:id="84"/>
    </w:p>
    <w:p w:rsidR="000E6FB7" w:rsidRDefault="000E6FB7" w:rsidP="00185C89">
      <w:pPr>
        <w:autoSpaceDE w:val="0"/>
        <w:autoSpaceDN w:val="0"/>
        <w:adjustRightInd w:val="0"/>
        <w:spacing w:line="360" w:lineRule="auto"/>
        <w:ind w:left="720"/>
        <w:jc w:val="both"/>
      </w:pPr>
    </w:p>
    <w:p w:rsidR="000E6FB7" w:rsidRDefault="000E6FB7" w:rsidP="00CC565B">
      <w:pPr>
        <w:numPr>
          <w:ilvl w:val="0"/>
          <w:numId w:val="4"/>
        </w:numPr>
        <w:tabs>
          <w:tab w:val="clear" w:pos="720"/>
        </w:tabs>
        <w:autoSpaceDE w:val="0"/>
        <w:autoSpaceDN w:val="0"/>
        <w:adjustRightInd w:val="0"/>
        <w:spacing w:line="360" w:lineRule="auto"/>
        <w:ind w:left="0" w:firstLine="360"/>
        <w:jc w:val="both"/>
      </w:pPr>
      <w:r w:rsidRPr="008F513B">
        <w:rPr>
          <w:b/>
        </w:rPr>
        <w:t>Afonso A., Hauptmeier S.</w:t>
      </w:r>
      <w:r>
        <w:t xml:space="preserve"> Fiscal Behavior in the European Union. Rules, Fiscal Decentralization and Government Indebtedness. - ECB Working Paper Series No. 1054, 2009.- URL:</w:t>
      </w:r>
      <w:r w:rsidRPr="008F513B">
        <w:t xml:space="preserve"> </w:t>
      </w:r>
      <w:hyperlink r:id="rId59" w:history="1">
        <w:r w:rsidRPr="008F513B">
          <w:rPr>
            <w:rStyle w:val="Hyperlink"/>
            <w:color w:val="000000" w:themeColor="text1"/>
            <w:u w:val="none"/>
          </w:rPr>
          <w:t>http://www.ecb.europa.eu/pub/pdf/scpwps/ecbwp1054.pdf</w:t>
        </w:r>
      </w:hyperlink>
      <w:r w:rsidRPr="008F513B">
        <w:rPr>
          <w:color w:val="000000" w:themeColor="text1"/>
        </w:rPr>
        <w:t xml:space="preserve"> </w:t>
      </w:r>
      <w:r>
        <w:t>[žiūrėta 2014 02</w:t>
      </w:r>
      <w:r w:rsidRPr="008F513B">
        <w:t xml:space="preserve"> 20]</w:t>
      </w:r>
    </w:p>
    <w:p w:rsidR="000E6FB7" w:rsidRPr="00185C89" w:rsidRDefault="000E6FB7" w:rsidP="00CC565B">
      <w:pPr>
        <w:numPr>
          <w:ilvl w:val="0"/>
          <w:numId w:val="4"/>
        </w:numPr>
        <w:tabs>
          <w:tab w:val="clear" w:pos="720"/>
          <w:tab w:val="num" w:pos="-142"/>
        </w:tabs>
        <w:autoSpaceDE w:val="0"/>
        <w:autoSpaceDN w:val="0"/>
        <w:adjustRightInd w:val="0"/>
        <w:spacing w:line="360" w:lineRule="auto"/>
        <w:ind w:left="0" w:firstLine="360"/>
        <w:jc w:val="both"/>
      </w:pPr>
      <w:r w:rsidRPr="00185C89">
        <w:rPr>
          <w:b/>
        </w:rPr>
        <w:t>Akrivopoulou C., Dimitropoulos G., Koutnatzis S. I. G.</w:t>
      </w:r>
      <w:r>
        <w:t xml:space="preserve"> The “Kallikratis :The Influence of International and</w:t>
      </w:r>
      <w:r w:rsidRPr="00846A32">
        <w:t xml:space="preserve"> European Policies on the Reforms of Greek Local Government</w:t>
      </w:r>
      <w:r>
        <w:t>, 2012.- URL:</w:t>
      </w:r>
      <w:r w:rsidRPr="00185C89">
        <w:t xml:space="preserve"> </w:t>
      </w:r>
      <w:hyperlink r:id="rId60" w:history="1">
        <w:r w:rsidRPr="00185C89">
          <w:rPr>
            <w:rStyle w:val="Hyperlink"/>
            <w:color w:val="000000" w:themeColor="text1"/>
            <w:u w:val="none"/>
          </w:rPr>
          <w:t>http://www.regione.emilia-romagna.it/affari_ist/Rivista_3_2012/Dimitropoulos.pdf</w:t>
        </w:r>
      </w:hyperlink>
      <w:r>
        <w:rPr>
          <w:color w:val="000000" w:themeColor="text1"/>
        </w:rPr>
        <w:t xml:space="preserve">  [žiūrėta 2014</w:t>
      </w:r>
      <w:r w:rsidRPr="00185C89">
        <w:rPr>
          <w:color w:val="000000" w:themeColor="text1"/>
        </w:rPr>
        <w:t xml:space="preserve"> </w:t>
      </w:r>
      <w:r>
        <w:rPr>
          <w:color w:val="000000" w:themeColor="text1"/>
        </w:rPr>
        <w:t>01 08]</w:t>
      </w:r>
    </w:p>
    <w:p w:rsidR="000E6FB7" w:rsidRPr="00AF6090" w:rsidRDefault="000E6FB7" w:rsidP="00CC565B">
      <w:pPr>
        <w:numPr>
          <w:ilvl w:val="0"/>
          <w:numId w:val="4"/>
        </w:numPr>
        <w:tabs>
          <w:tab w:val="clear" w:pos="720"/>
        </w:tabs>
        <w:autoSpaceDE w:val="0"/>
        <w:autoSpaceDN w:val="0"/>
        <w:adjustRightInd w:val="0"/>
        <w:spacing w:line="360" w:lineRule="auto"/>
        <w:ind w:left="0" w:firstLine="360"/>
        <w:jc w:val="both"/>
      </w:pPr>
      <w:r w:rsidRPr="00AF6090">
        <w:rPr>
          <w:b/>
          <w:bCs/>
        </w:rPr>
        <w:t xml:space="preserve">Astrauskas A. </w:t>
      </w:r>
      <w:r w:rsidRPr="00AF6090">
        <w:t xml:space="preserve">Decentralizacijos vietos savivaldybėje: esmė, turinys ir formos // Viešoji politika ir administravimas. – </w:t>
      </w:r>
      <w:smartTag w:uri="urn:schemas-microsoft-com:office:smarttags" w:element="City">
        <w:smartTag w:uri="urn:schemas-microsoft-com:office:smarttags" w:element="place">
          <w:r w:rsidRPr="00AF6090">
            <w:t>Vilnius</w:t>
          </w:r>
        </w:smartTag>
      </w:smartTag>
      <w:r w:rsidRPr="00AF6090">
        <w:t>, 2007, Nr. 20, p. 9–23. – ISSN 1648-2603</w:t>
      </w:r>
    </w:p>
    <w:p w:rsidR="000E6FB7" w:rsidRPr="00AF6090" w:rsidRDefault="000E6FB7" w:rsidP="00CC565B">
      <w:pPr>
        <w:numPr>
          <w:ilvl w:val="0"/>
          <w:numId w:val="4"/>
        </w:numPr>
        <w:tabs>
          <w:tab w:val="clear" w:pos="720"/>
        </w:tabs>
        <w:autoSpaceDE w:val="0"/>
        <w:autoSpaceDN w:val="0"/>
        <w:adjustRightInd w:val="0"/>
        <w:spacing w:line="360" w:lineRule="auto"/>
        <w:ind w:left="0" w:firstLine="360"/>
        <w:jc w:val="both"/>
      </w:pPr>
      <w:r w:rsidRPr="00AF6090">
        <w:rPr>
          <w:b/>
          <w:bCs/>
        </w:rPr>
        <w:t>Astrauskas A.</w:t>
      </w:r>
      <w:r w:rsidRPr="00AF6090">
        <w:t xml:space="preserve">, </w:t>
      </w:r>
      <w:r w:rsidRPr="00AF6090">
        <w:rPr>
          <w:b/>
          <w:bCs/>
        </w:rPr>
        <w:t xml:space="preserve">Baltrušnikienė J. </w:t>
      </w:r>
      <w:r w:rsidRPr="00AF6090">
        <w:t>Viešojo valdymo institucijų funkcijų ir decentralizavimo</w:t>
      </w:r>
      <w:r>
        <w:t xml:space="preserve"> </w:t>
      </w:r>
      <w:r w:rsidRPr="00AF6090">
        <w:t xml:space="preserve">aspektų analizė / Savivaldos institucijų socialinis politinis veiksmingumas: kolektyvinė monografija.  </w:t>
      </w:r>
      <w:smartTag w:uri="urn:schemas-microsoft-com:office:smarttags" w:element="City">
        <w:smartTag w:uri="urn:schemas-microsoft-com:office:smarttags" w:element="place">
          <w:r w:rsidRPr="00AF6090">
            <w:t>Vilnius</w:t>
          </w:r>
        </w:smartTag>
      </w:smartTag>
      <w:r w:rsidRPr="00AF6090">
        <w:t>: Mykolo Romerio universitetas, 2006, p. 30–38. – ISBN 9955-19-022-1</w:t>
      </w:r>
    </w:p>
    <w:p w:rsidR="000E6FB7" w:rsidRDefault="000E6FB7" w:rsidP="00CC565B">
      <w:pPr>
        <w:numPr>
          <w:ilvl w:val="0"/>
          <w:numId w:val="4"/>
        </w:numPr>
        <w:tabs>
          <w:tab w:val="clear" w:pos="720"/>
        </w:tabs>
        <w:autoSpaceDE w:val="0"/>
        <w:autoSpaceDN w:val="0"/>
        <w:adjustRightInd w:val="0"/>
        <w:spacing w:line="360" w:lineRule="auto"/>
        <w:ind w:left="0" w:firstLine="360"/>
        <w:jc w:val="both"/>
      </w:pPr>
      <w:r>
        <w:rPr>
          <w:b/>
          <w:bCs/>
        </w:rPr>
        <w:t xml:space="preserve"> Balchin </w:t>
      </w:r>
      <w:proofErr w:type="gramStart"/>
      <w:r>
        <w:rPr>
          <w:b/>
          <w:bCs/>
        </w:rPr>
        <w:t>N</w:t>
      </w:r>
      <w:r>
        <w:rPr>
          <w:b/>
        </w:rPr>
        <w:t xml:space="preserve"> </w:t>
      </w:r>
      <w:r>
        <w:t>.</w:t>
      </w:r>
      <w:proofErr w:type="gramEnd"/>
      <w:r>
        <w:t xml:space="preserve"> Regional Policy and Planning in Europe. London, 1999, Routledge.</w:t>
      </w:r>
    </w:p>
    <w:p w:rsidR="000E6FB7" w:rsidRPr="00AF6090" w:rsidRDefault="000E6FB7" w:rsidP="00CC565B">
      <w:pPr>
        <w:numPr>
          <w:ilvl w:val="0"/>
          <w:numId w:val="4"/>
        </w:numPr>
        <w:tabs>
          <w:tab w:val="clear" w:pos="720"/>
        </w:tabs>
        <w:autoSpaceDE w:val="0"/>
        <w:autoSpaceDN w:val="0"/>
        <w:adjustRightInd w:val="0"/>
        <w:spacing w:line="360" w:lineRule="auto"/>
        <w:ind w:left="0" w:firstLine="360"/>
        <w:jc w:val="both"/>
      </w:pPr>
      <w:r w:rsidRPr="00AF6090">
        <w:rPr>
          <w:b/>
          <w:bCs/>
        </w:rPr>
        <w:t xml:space="preserve">Baltušnikienė J. </w:t>
      </w:r>
      <w:r w:rsidRPr="00AF6090">
        <w:t xml:space="preserve">Decentralizacijos sampratų analizė // Ekonomika ir vadyba: aktualijos ir perspektyvos. – </w:t>
      </w:r>
      <w:smartTag w:uri="urn:schemas-microsoft-com:office:smarttags" w:element="City">
        <w:smartTag w:uri="urn:schemas-microsoft-com:office:smarttags" w:element="place">
          <w:r w:rsidRPr="00AF6090">
            <w:t>Vilnius</w:t>
          </w:r>
        </w:smartTag>
      </w:smartTag>
      <w:r w:rsidRPr="00AF6090">
        <w:t>, 2006, Nr. 2 (7), p. 13–20. – ISSN 1648-9098</w:t>
      </w:r>
    </w:p>
    <w:p w:rsidR="000E6FB7" w:rsidRPr="00AF6090" w:rsidRDefault="000E6FB7" w:rsidP="00CC565B">
      <w:pPr>
        <w:numPr>
          <w:ilvl w:val="0"/>
          <w:numId w:val="4"/>
        </w:numPr>
        <w:tabs>
          <w:tab w:val="clear" w:pos="720"/>
        </w:tabs>
        <w:autoSpaceDE w:val="0"/>
        <w:autoSpaceDN w:val="0"/>
        <w:adjustRightInd w:val="0"/>
        <w:spacing w:line="360" w:lineRule="auto"/>
        <w:ind w:left="0" w:firstLine="360"/>
        <w:jc w:val="both"/>
      </w:pPr>
      <w:r w:rsidRPr="00AF6090">
        <w:rPr>
          <w:b/>
          <w:bCs/>
        </w:rPr>
        <w:t xml:space="preserve">Baltušnikienė J. </w:t>
      </w:r>
      <w:r w:rsidRPr="00AF6090">
        <w:t xml:space="preserve">Decentralizacijos vaidmuo sprendžiant ekonomines vietos savivaldos problemas / Savivaldos institucijų socialinis politinis veiksmingumas: kolektyvinė monografija. – </w:t>
      </w:r>
      <w:smartTag w:uri="urn:schemas-microsoft-com:office:smarttags" w:element="City">
        <w:smartTag w:uri="urn:schemas-microsoft-com:office:smarttags" w:element="place">
          <w:r w:rsidRPr="00AF6090">
            <w:t>Vilnius</w:t>
          </w:r>
        </w:smartTag>
      </w:smartTag>
      <w:r w:rsidRPr="00AF6090">
        <w:t>: Mykolo Romerio universitetas, 2006, p. 155–180. – ISBN 9955-19-022-1</w:t>
      </w:r>
    </w:p>
    <w:p w:rsidR="000E6FB7" w:rsidRPr="004B1758" w:rsidRDefault="000E6FB7" w:rsidP="00CC565B">
      <w:pPr>
        <w:numPr>
          <w:ilvl w:val="0"/>
          <w:numId w:val="4"/>
        </w:numPr>
        <w:tabs>
          <w:tab w:val="clear" w:pos="720"/>
        </w:tabs>
        <w:autoSpaceDE w:val="0"/>
        <w:autoSpaceDN w:val="0"/>
        <w:adjustRightInd w:val="0"/>
        <w:spacing w:line="360" w:lineRule="auto"/>
        <w:ind w:left="0" w:firstLine="360"/>
        <w:jc w:val="both"/>
      </w:pPr>
      <w:r w:rsidRPr="00AF6090">
        <w:rPr>
          <w:b/>
          <w:bCs/>
        </w:rPr>
        <w:t xml:space="preserve">Baltušnikienė J. </w:t>
      </w:r>
      <w:r w:rsidRPr="00AF6090">
        <w:t xml:space="preserve">Fiskalinės decentralizacijos teoriniai ir metodologiniai aspektai // Pinigų studijos. – </w:t>
      </w:r>
      <w:smartTag w:uri="urn:schemas-microsoft-com:office:smarttags" w:element="City">
        <w:smartTag w:uri="urn:schemas-microsoft-com:office:smarttags" w:element="place">
          <w:r w:rsidRPr="00AF6090">
            <w:t>Vilnius</w:t>
          </w:r>
        </w:smartTag>
      </w:smartTag>
      <w:r w:rsidRPr="00AF6090">
        <w:t>, 2004, Nr. 1, p. 89–102. – URL:</w:t>
      </w:r>
      <w:r>
        <w:t xml:space="preserve"> </w:t>
      </w:r>
      <w:hyperlink r:id="rId61" w:history="1">
        <w:r w:rsidRPr="004B1758">
          <w:rPr>
            <w:rStyle w:val="Hyperlink"/>
            <w:color w:val="auto"/>
            <w:u w:val="none"/>
          </w:rPr>
          <w:t>http://www.lb.lt/lt/leidiniai/</w:t>
        </w:r>
      </w:hyperlink>
      <w:r w:rsidRPr="004B1758">
        <w:t xml:space="preserve"> pinigu_studijos2004_1/</w:t>
      </w:r>
      <w:r>
        <w:t>baltrusnikiene.pdf [žiūrėta 2012 12</w:t>
      </w:r>
      <w:r w:rsidRPr="004B1758">
        <w:t xml:space="preserve"> 09]</w:t>
      </w:r>
    </w:p>
    <w:p w:rsidR="000E6FB7" w:rsidRPr="00AF6090" w:rsidRDefault="000E6FB7" w:rsidP="00CC565B">
      <w:pPr>
        <w:numPr>
          <w:ilvl w:val="0"/>
          <w:numId w:val="4"/>
        </w:numPr>
        <w:tabs>
          <w:tab w:val="clear" w:pos="720"/>
        </w:tabs>
        <w:autoSpaceDE w:val="0"/>
        <w:autoSpaceDN w:val="0"/>
        <w:adjustRightInd w:val="0"/>
        <w:spacing w:line="360" w:lineRule="auto"/>
        <w:ind w:left="0" w:firstLine="360"/>
        <w:jc w:val="both"/>
      </w:pPr>
      <w:r w:rsidRPr="00AF6090">
        <w:rPr>
          <w:b/>
          <w:bCs/>
        </w:rPr>
        <w:t xml:space="preserve">Baltušnikienė J. </w:t>
      </w:r>
      <w:r w:rsidRPr="00AF6090">
        <w:t xml:space="preserve">Viešojo valdymo sistemos decentralizacija: turinys, pranašumai ir trūkumai // Viešoji politika ir administravimas. – </w:t>
      </w:r>
      <w:smartTag w:uri="urn:schemas-microsoft-com:office:smarttags" w:element="City">
        <w:smartTag w:uri="urn:schemas-microsoft-com:office:smarttags" w:element="place">
          <w:r w:rsidRPr="00AF6090">
            <w:t>Vilnius</w:t>
          </w:r>
        </w:smartTag>
      </w:smartTag>
      <w:r w:rsidRPr="00AF6090">
        <w:t>, 2009, Nr. 27, p. 79–89. – ISSN 1648-2603</w:t>
      </w:r>
    </w:p>
    <w:p w:rsidR="000E6FB7" w:rsidRDefault="000E6FB7" w:rsidP="00CC565B">
      <w:pPr>
        <w:numPr>
          <w:ilvl w:val="0"/>
          <w:numId w:val="4"/>
        </w:numPr>
        <w:tabs>
          <w:tab w:val="clear" w:pos="720"/>
        </w:tabs>
        <w:autoSpaceDE w:val="0"/>
        <w:autoSpaceDN w:val="0"/>
        <w:adjustRightInd w:val="0"/>
        <w:spacing w:line="360" w:lineRule="auto"/>
        <w:ind w:left="0" w:firstLine="349"/>
        <w:jc w:val="both"/>
      </w:pPr>
      <w:r w:rsidRPr="008F513B">
        <w:rPr>
          <w:b/>
        </w:rPr>
        <w:t>Baskaran T</w:t>
      </w:r>
      <w:r>
        <w:t>. On the Link between Fiscal Decentralization and Public Debt. - Public Choice, Vol. 145, p. 351–378, 2010. – URL</w:t>
      </w:r>
      <w:r w:rsidRPr="008F513B">
        <w:rPr>
          <w:color w:val="000000" w:themeColor="text1"/>
        </w:rPr>
        <w:t xml:space="preserve">: </w:t>
      </w:r>
      <w:hyperlink r:id="rId62" w:history="1">
        <w:r w:rsidRPr="008F513B">
          <w:rPr>
            <w:rStyle w:val="Hyperlink"/>
            <w:color w:val="000000" w:themeColor="text1"/>
            <w:u w:val="none"/>
          </w:rPr>
          <w:t>http://mpra.ub.uni-muenchen.de/21599/1/MPRA_paper_21599.pdf</w:t>
        </w:r>
      </w:hyperlink>
      <w:r>
        <w:t xml:space="preserve"> [žiūrėta 2014 02 21</w:t>
      </w:r>
      <w:r w:rsidRPr="008F513B">
        <w:t>]</w:t>
      </w:r>
    </w:p>
    <w:p w:rsidR="000E6FB7" w:rsidRPr="00AF6090" w:rsidRDefault="000E6FB7" w:rsidP="00CC565B">
      <w:pPr>
        <w:numPr>
          <w:ilvl w:val="0"/>
          <w:numId w:val="4"/>
        </w:numPr>
        <w:tabs>
          <w:tab w:val="clear" w:pos="720"/>
        </w:tabs>
        <w:autoSpaceDE w:val="0"/>
        <w:autoSpaceDN w:val="0"/>
        <w:adjustRightInd w:val="0"/>
        <w:spacing w:line="360" w:lineRule="auto"/>
        <w:ind w:left="0" w:firstLine="360"/>
        <w:jc w:val="both"/>
      </w:pPr>
      <w:r w:rsidRPr="00AF6090">
        <w:rPr>
          <w:b/>
          <w:bCs/>
        </w:rPr>
        <w:t xml:space="preserve">Bivainis J., Butkevičius A. </w:t>
      </w:r>
      <w:r w:rsidRPr="00AF6090">
        <w:t xml:space="preserve">Tarpbiudžetinis lėšų perskirstymas // Pinigų studijos. – </w:t>
      </w:r>
      <w:smartTag w:uri="urn:schemas-microsoft-com:office:smarttags" w:element="City">
        <w:smartTag w:uri="urn:schemas-microsoft-com:office:smarttags" w:element="place">
          <w:r w:rsidRPr="00AF6090">
            <w:t>Vilnius</w:t>
          </w:r>
        </w:smartTag>
      </w:smartTag>
      <w:r w:rsidRPr="00AF6090">
        <w:t xml:space="preserve">, 2003, Nr. 3, p. 35–49. – </w:t>
      </w:r>
      <w:r w:rsidRPr="00B36867">
        <w:t xml:space="preserve">URL: </w:t>
      </w:r>
      <w:hyperlink r:id="rId63" w:history="1">
        <w:r w:rsidRPr="00B36867">
          <w:rPr>
            <w:rStyle w:val="Hyperlink"/>
            <w:color w:val="auto"/>
            <w:u w:val="none"/>
          </w:rPr>
          <w:t>http://www.lb.lt/lt/leidiniai/pinigu_studijos2003_3/ bivainis.pdf</w:t>
        </w:r>
      </w:hyperlink>
      <w:r w:rsidRPr="00AF6090">
        <w:t xml:space="preserve"> </w:t>
      </w:r>
      <w:r>
        <w:t>[žiūrėta 2012 12 10</w:t>
      </w:r>
      <w:r w:rsidRPr="00AF6090">
        <w:t>]</w:t>
      </w:r>
    </w:p>
    <w:p w:rsidR="000E6FB7" w:rsidRDefault="000E6FB7" w:rsidP="00CC565B">
      <w:pPr>
        <w:numPr>
          <w:ilvl w:val="0"/>
          <w:numId w:val="4"/>
        </w:numPr>
        <w:tabs>
          <w:tab w:val="clear" w:pos="720"/>
          <w:tab w:val="num" w:pos="-1701"/>
        </w:tabs>
        <w:autoSpaceDE w:val="0"/>
        <w:autoSpaceDN w:val="0"/>
        <w:adjustRightInd w:val="0"/>
        <w:spacing w:line="360" w:lineRule="auto"/>
        <w:ind w:left="0" w:firstLine="360"/>
        <w:jc w:val="both"/>
      </w:pPr>
      <w:r w:rsidRPr="00A859F3">
        <w:rPr>
          <w:b/>
        </w:rPr>
        <w:t>Brennan G., Buchanan J. M</w:t>
      </w:r>
      <w:r>
        <w:t>. The Power to Tax: Analytical Foundations of a Fiscal Constitution . -Cambridge University Press, 1980.- ISBN-13 978-0-521-23329-3.</w:t>
      </w:r>
    </w:p>
    <w:p w:rsidR="000E6FB7" w:rsidRPr="00AF6090" w:rsidRDefault="000E6FB7" w:rsidP="00CC565B">
      <w:pPr>
        <w:numPr>
          <w:ilvl w:val="0"/>
          <w:numId w:val="4"/>
        </w:numPr>
        <w:tabs>
          <w:tab w:val="clear" w:pos="720"/>
        </w:tabs>
        <w:autoSpaceDE w:val="0"/>
        <w:autoSpaceDN w:val="0"/>
        <w:adjustRightInd w:val="0"/>
        <w:spacing w:line="360" w:lineRule="auto"/>
        <w:ind w:left="0" w:firstLine="360"/>
        <w:jc w:val="both"/>
      </w:pPr>
      <w:r>
        <w:rPr>
          <w:b/>
          <w:bCs/>
        </w:rPr>
        <w:lastRenderedPageBreak/>
        <w:t xml:space="preserve">Civinskas R., </w:t>
      </w:r>
      <w:r w:rsidRPr="00AF6090">
        <w:rPr>
          <w:b/>
          <w:bCs/>
        </w:rPr>
        <w:t xml:space="preserve">Tolvaišis L. </w:t>
      </w:r>
      <w:r w:rsidRPr="00AF6090">
        <w:t xml:space="preserve">Tarpbiudžetinis lėšų perskirstymas Lietuvoje: instituciniai interesai ir savivaldybių finansinis savarankiškumas // Viešoji politika ir administravimas. – </w:t>
      </w:r>
      <w:smartTag w:uri="urn:schemas-microsoft-com:office:smarttags" w:element="City">
        <w:smartTag w:uri="urn:schemas-microsoft-com:office:smarttags" w:element="place">
          <w:r w:rsidRPr="00AF6090">
            <w:t>Vilnius</w:t>
          </w:r>
        </w:smartTag>
      </w:smartTag>
      <w:r w:rsidRPr="00AF6090">
        <w:t>, 2006, Nr. 16, p. 87–99. – ISSN 1648-2603</w:t>
      </w:r>
    </w:p>
    <w:p w:rsidR="000E6FB7" w:rsidRPr="00AF6090" w:rsidRDefault="000E6FB7" w:rsidP="00CC565B">
      <w:pPr>
        <w:numPr>
          <w:ilvl w:val="0"/>
          <w:numId w:val="4"/>
        </w:numPr>
        <w:tabs>
          <w:tab w:val="clear" w:pos="720"/>
        </w:tabs>
        <w:autoSpaceDE w:val="0"/>
        <w:autoSpaceDN w:val="0"/>
        <w:adjustRightInd w:val="0"/>
        <w:spacing w:line="360" w:lineRule="auto"/>
        <w:ind w:left="0" w:firstLine="360"/>
        <w:jc w:val="both"/>
      </w:pPr>
      <w:r w:rsidRPr="00AF6090">
        <w:rPr>
          <w:b/>
          <w:bCs/>
        </w:rPr>
        <w:t xml:space="preserve">Daugirdas V., Mačiulytė J. </w:t>
      </w:r>
      <w:r w:rsidRPr="00AF6090">
        <w:t xml:space="preserve">Decentralizacija ir teritorinė savivalda Lietuvoje // Politologija. – </w:t>
      </w:r>
      <w:smartTag w:uri="urn:schemas-microsoft-com:office:smarttags" w:element="City">
        <w:smartTag w:uri="urn:schemas-microsoft-com:office:smarttags" w:element="place">
          <w:r w:rsidRPr="00AF6090">
            <w:t>Vilnius</w:t>
          </w:r>
        </w:smartTag>
      </w:smartTag>
      <w:r w:rsidRPr="00AF6090">
        <w:t>, 2006, Nr. 3 (43), p. 91–110. – ISSN 1392–1681</w:t>
      </w:r>
    </w:p>
    <w:p w:rsidR="000E6FB7" w:rsidRPr="00AF6090" w:rsidRDefault="000E6FB7" w:rsidP="00CC565B">
      <w:pPr>
        <w:numPr>
          <w:ilvl w:val="0"/>
          <w:numId w:val="4"/>
        </w:numPr>
        <w:tabs>
          <w:tab w:val="clear" w:pos="720"/>
        </w:tabs>
        <w:autoSpaceDE w:val="0"/>
        <w:autoSpaceDN w:val="0"/>
        <w:adjustRightInd w:val="0"/>
        <w:spacing w:line="360" w:lineRule="auto"/>
        <w:ind w:left="0" w:firstLine="360"/>
        <w:jc w:val="both"/>
      </w:pPr>
      <w:r w:rsidRPr="00AF6090">
        <w:rPr>
          <w:b/>
          <w:bCs/>
        </w:rPr>
        <w:t xml:space="preserve">Davulis G. </w:t>
      </w:r>
      <w:r w:rsidRPr="00AF6090">
        <w:t>Lietuvos savivaldybi</w:t>
      </w:r>
      <w:r w:rsidRPr="00AF6090">
        <w:rPr>
          <w:lang w:val="lt-LT"/>
        </w:rPr>
        <w:t>ų</w:t>
      </w:r>
      <w:r w:rsidRPr="00AF6090">
        <w:t xml:space="preserve"> finansų analizė fiskalinės decentralizacijos požiūriu //</w:t>
      </w:r>
      <w:r w:rsidRPr="00AF6090">
        <w:rPr>
          <w:lang w:val="pl-PL"/>
        </w:rPr>
        <w:t xml:space="preserve"> Ekonomika ir vadyba: aktualijos ir perspektyvos</w:t>
      </w:r>
      <w:r w:rsidRPr="00AF6090">
        <w:t xml:space="preserve"> – </w:t>
      </w:r>
      <w:smartTag w:uri="urn:schemas-microsoft-com:office:smarttags" w:element="City">
        <w:smartTag w:uri="urn:schemas-microsoft-com:office:smarttags" w:element="place">
          <w:r w:rsidRPr="00AF6090">
            <w:t>Vilnius</w:t>
          </w:r>
        </w:smartTag>
      </w:smartTag>
      <w:r w:rsidRPr="00AF6090">
        <w:t xml:space="preserve">, 2004, p.69-78. -  </w:t>
      </w:r>
      <w:r w:rsidRPr="00AF6090">
        <w:rPr>
          <w:lang w:val="pl-PL"/>
        </w:rPr>
        <w:t>ISSN 1648-9098</w:t>
      </w:r>
    </w:p>
    <w:p w:rsidR="000E6FB7" w:rsidRPr="00AF6090" w:rsidRDefault="000E6FB7" w:rsidP="00CC565B">
      <w:pPr>
        <w:numPr>
          <w:ilvl w:val="0"/>
          <w:numId w:val="4"/>
        </w:numPr>
        <w:tabs>
          <w:tab w:val="clear" w:pos="720"/>
        </w:tabs>
        <w:autoSpaceDE w:val="0"/>
        <w:autoSpaceDN w:val="0"/>
        <w:adjustRightInd w:val="0"/>
        <w:spacing w:line="360" w:lineRule="auto"/>
        <w:ind w:left="0" w:firstLine="360"/>
        <w:jc w:val="both"/>
      </w:pPr>
      <w:r w:rsidRPr="00AF6090">
        <w:rPr>
          <w:b/>
          <w:bCs/>
        </w:rPr>
        <w:t xml:space="preserve">Davulis G. </w:t>
      </w:r>
      <w:r w:rsidRPr="00AF6090">
        <w:t xml:space="preserve">Lietuvos savivaldybių finansų struktūra ir </w:t>
      </w:r>
      <w:proofErr w:type="gramStart"/>
      <w:r w:rsidRPr="00AF6090">
        <w:t>jos</w:t>
      </w:r>
      <w:proofErr w:type="gramEnd"/>
      <w:r w:rsidRPr="00AF6090">
        <w:t xml:space="preserve"> raida // Ekonomika ir vadyba: aktualijos ir perspektyvos. – </w:t>
      </w:r>
      <w:smartTag w:uri="urn:schemas-microsoft-com:office:smarttags" w:element="City">
        <w:smartTag w:uri="urn:schemas-microsoft-com:office:smarttags" w:element="place">
          <w:r w:rsidRPr="00AF6090">
            <w:t>Vilnius</w:t>
          </w:r>
        </w:smartTag>
      </w:smartTag>
      <w:r w:rsidRPr="00AF6090">
        <w:t>, 2006, Nr. 2 (7), p. 40–45. – ISSN 1648-9098</w:t>
      </w:r>
    </w:p>
    <w:p w:rsidR="000E6FB7" w:rsidRPr="00AF6090" w:rsidRDefault="000E6FB7" w:rsidP="00CC565B">
      <w:pPr>
        <w:numPr>
          <w:ilvl w:val="0"/>
          <w:numId w:val="4"/>
        </w:numPr>
        <w:tabs>
          <w:tab w:val="clear" w:pos="720"/>
        </w:tabs>
        <w:autoSpaceDE w:val="0"/>
        <w:autoSpaceDN w:val="0"/>
        <w:adjustRightInd w:val="0"/>
        <w:spacing w:line="360" w:lineRule="auto"/>
        <w:ind w:left="0" w:firstLine="360"/>
        <w:jc w:val="both"/>
      </w:pPr>
      <w:r w:rsidRPr="00AF6090">
        <w:rPr>
          <w:b/>
          <w:bCs/>
        </w:rPr>
        <w:t xml:space="preserve">Davulis G. </w:t>
      </w:r>
      <w:r w:rsidRPr="00AF6090">
        <w:t xml:space="preserve">Lietuvos savivaldybių veiklos ekonominiai ir finansiniais aspektai / Savivaldos institucijų socialinis politinis veiksmingumas: kolektyvinė monografija. – </w:t>
      </w:r>
      <w:smartTag w:uri="urn:schemas-microsoft-com:office:smarttags" w:element="City">
        <w:smartTag w:uri="urn:schemas-microsoft-com:office:smarttags" w:element="place">
          <w:r w:rsidRPr="00AF6090">
            <w:t>Vilnius</w:t>
          </w:r>
        </w:smartTag>
      </w:smartTag>
      <w:r w:rsidRPr="00AF6090">
        <w:t>: Mykolo Romerio universitetas, 2006, p. 128–154. – ISBN 9955-19-022-1</w:t>
      </w:r>
    </w:p>
    <w:p w:rsidR="000E6FB7" w:rsidRPr="00980854" w:rsidRDefault="000E6FB7" w:rsidP="00CC565B">
      <w:pPr>
        <w:numPr>
          <w:ilvl w:val="0"/>
          <w:numId w:val="4"/>
        </w:numPr>
        <w:tabs>
          <w:tab w:val="clear" w:pos="720"/>
        </w:tabs>
        <w:autoSpaceDE w:val="0"/>
        <w:autoSpaceDN w:val="0"/>
        <w:adjustRightInd w:val="0"/>
        <w:spacing w:line="360" w:lineRule="auto"/>
        <w:ind w:left="0" w:firstLine="360"/>
        <w:jc w:val="both"/>
      </w:pPr>
      <w:r w:rsidRPr="00EE094C">
        <w:rPr>
          <w:b/>
        </w:rPr>
        <w:t>De Mello, L.</w:t>
      </w:r>
      <w:r>
        <w:t xml:space="preserve"> Local Government Finances: The Link </w:t>
      </w:r>
      <w:proofErr w:type="gramStart"/>
      <w:r>
        <w:t>Between</w:t>
      </w:r>
      <w:proofErr w:type="gramEnd"/>
      <w:r>
        <w:t xml:space="preserve"> Intergovernmental Transfers and Net Worth. - Economics Department Working Papers No. 581, 2007.- URL: </w:t>
      </w:r>
      <w:hyperlink r:id="rId64" w:history="1">
        <w:r w:rsidRPr="00EE094C">
          <w:rPr>
            <w:rStyle w:val="Hyperlink"/>
            <w:color w:val="000000" w:themeColor="text1"/>
            <w:u w:val="none"/>
          </w:rPr>
          <w:t>http://search.oecd.org/officialdocuments/displaydocumentpdf/?doclanguage=en&amp;cote=eco/wkp%282007%2941</w:t>
        </w:r>
      </w:hyperlink>
      <w:r w:rsidRPr="00EE094C">
        <w:rPr>
          <w:color w:val="000000" w:themeColor="text1"/>
        </w:rPr>
        <w:t xml:space="preserve"> </w:t>
      </w:r>
      <w:r>
        <w:rPr>
          <w:color w:val="000000" w:themeColor="text1"/>
        </w:rPr>
        <w:t>[žiūrėta 2014 02 01</w:t>
      </w:r>
      <w:r w:rsidRPr="00EE094C">
        <w:rPr>
          <w:color w:val="000000" w:themeColor="text1"/>
        </w:rPr>
        <w:t>]</w:t>
      </w:r>
    </w:p>
    <w:p w:rsidR="000E6FB7" w:rsidRDefault="000E6FB7" w:rsidP="00CC565B">
      <w:pPr>
        <w:numPr>
          <w:ilvl w:val="0"/>
          <w:numId w:val="4"/>
        </w:numPr>
        <w:tabs>
          <w:tab w:val="clear" w:pos="720"/>
        </w:tabs>
        <w:autoSpaceDE w:val="0"/>
        <w:autoSpaceDN w:val="0"/>
        <w:adjustRightInd w:val="0"/>
        <w:spacing w:line="360" w:lineRule="auto"/>
        <w:ind w:left="0" w:firstLine="360"/>
        <w:jc w:val="both"/>
      </w:pPr>
      <w:r w:rsidRPr="000731B7">
        <w:rPr>
          <w:b/>
        </w:rPr>
        <w:t>Debrun X., Moulin L., Turrini A., Ayuso-i-Casals J., Kumar M.</w:t>
      </w:r>
      <w:r>
        <w:rPr>
          <w:b/>
        </w:rPr>
        <w:t xml:space="preserve"> </w:t>
      </w:r>
      <w:r>
        <w:t>Tied to the Mast? National Fiscal Rules in the European Union. - Economic Policy, Vol. 23, 2008.</w:t>
      </w:r>
    </w:p>
    <w:p w:rsidR="000E6FB7" w:rsidRDefault="000E6FB7" w:rsidP="00CC565B">
      <w:pPr>
        <w:numPr>
          <w:ilvl w:val="0"/>
          <w:numId w:val="4"/>
        </w:numPr>
        <w:tabs>
          <w:tab w:val="clear" w:pos="720"/>
        </w:tabs>
        <w:autoSpaceDE w:val="0"/>
        <w:autoSpaceDN w:val="0"/>
        <w:adjustRightInd w:val="0"/>
        <w:spacing w:line="360" w:lineRule="auto"/>
        <w:ind w:left="0" w:firstLine="360"/>
        <w:jc w:val="both"/>
      </w:pPr>
      <w:r w:rsidRPr="00714F63">
        <w:rPr>
          <w:b/>
        </w:rPr>
        <w:t>European Commission</w:t>
      </w:r>
      <w:r>
        <w:t>. Report on Public finances in EMU. – European Union, 2012.-</w:t>
      </w:r>
      <w:r w:rsidRPr="00714F63">
        <w:t xml:space="preserve"> </w:t>
      </w:r>
      <w:r>
        <w:t>ISBN 978-92-79-22852-0</w:t>
      </w:r>
    </w:p>
    <w:p w:rsidR="000E6FB7" w:rsidRPr="001B1CC5" w:rsidRDefault="000E6FB7" w:rsidP="00CC565B">
      <w:pPr>
        <w:numPr>
          <w:ilvl w:val="0"/>
          <w:numId w:val="4"/>
        </w:numPr>
        <w:tabs>
          <w:tab w:val="clear" w:pos="720"/>
        </w:tabs>
        <w:autoSpaceDE w:val="0"/>
        <w:autoSpaceDN w:val="0"/>
        <w:adjustRightInd w:val="0"/>
        <w:spacing w:line="360" w:lineRule="auto"/>
        <w:ind w:left="0" w:firstLine="360"/>
        <w:jc w:val="both"/>
        <w:rPr>
          <w:color w:val="000000" w:themeColor="text1"/>
        </w:rPr>
      </w:pPr>
      <w:r>
        <w:rPr>
          <w:b/>
        </w:rPr>
        <w:t>Europos Parlamentas</w:t>
      </w:r>
      <w:r w:rsidRPr="001B1CC5">
        <w:t>.</w:t>
      </w:r>
      <w:r>
        <w:t xml:space="preserve"> Subsidiarumo principas. URL</w:t>
      </w:r>
      <w:r w:rsidRPr="001B1CC5">
        <w:rPr>
          <w:color w:val="000000" w:themeColor="text1"/>
        </w:rPr>
        <w:t xml:space="preserve">: </w:t>
      </w:r>
      <w:hyperlink r:id="rId65" w:history="1">
        <w:r w:rsidRPr="001B1CC5">
          <w:rPr>
            <w:rStyle w:val="Hyperlink"/>
            <w:color w:val="000000" w:themeColor="text1"/>
            <w:u w:val="none"/>
          </w:rPr>
          <w:t>http://www.europarl.europa.eu/ftu/pdf/lt/ FTU_1.2.2.pdf</w:t>
        </w:r>
      </w:hyperlink>
      <w:r w:rsidRPr="001B1CC5">
        <w:rPr>
          <w:color w:val="000000" w:themeColor="text1"/>
        </w:rPr>
        <w:t xml:space="preserve"> [žiūrėta 2014 02 20]</w:t>
      </w:r>
    </w:p>
    <w:p w:rsidR="000E6FB7" w:rsidRDefault="000E6FB7" w:rsidP="000E6FB7">
      <w:pPr>
        <w:numPr>
          <w:ilvl w:val="0"/>
          <w:numId w:val="4"/>
        </w:numPr>
        <w:tabs>
          <w:tab w:val="clear" w:pos="720"/>
          <w:tab w:val="num" w:pos="0"/>
        </w:tabs>
        <w:autoSpaceDE w:val="0"/>
        <w:autoSpaceDN w:val="0"/>
        <w:adjustRightInd w:val="0"/>
        <w:spacing w:line="360" w:lineRule="auto"/>
        <w:ind w:left="0" w:firstLine="360"/>
        <w:jc w:val="both"/>
      </w:pPr>
      <w:r>
        <w:rPr>
          <w:b/>
          <w:bCs/>
        </w:rPr>
        <w:t>Europos S</w:t>
      </w:r>
      <w:r>
        <w:rPr>
          <w:b/>
          <w:bCs/>
          <w:lang w:val="lt-LT"/>
        </w:rPr>
        <w:t>ąjungos portalas.</w:t>
      </w:r>
      <w:r>
        <w:t xml:space="preserve"> URL:</w:t>
      </w:r>
      <w:r w:rsidRPr="000E6FB7">
        <w:t xml:space="preserve"> </w:t>
      </w:r>
      <w:hyperlink r:id="rId66" w:history="1">
        <w:r w:rsidRPr="000E6FB7">
          <w:rPr>
            <w:rStyle w:val="Hyperlink"/>
            <w:color w:val="auto"/>
            <w:u w:val="none"/>
          </w:rPr>
          <w:t>http://europa.eu/about-eu/countries/index_lt.htm</w:t>
        </w:r>
      </w:hyperlink>
      <w:r w:rsidRPr="000E6FB7">
        <w:t xml:space="preserve"> </w:t>
      </w:r>
      <w:r>
        <w:t>[žiūrėta 2013-09-13]</w:t>
      </w:r>
    </w:p>
    <w:p w:rsidR="000E6FB7" w:rsidRDefault="000E6FB7" w:rsidP="00CC565B">
      <w:pPr>
        <w:numPr>
          <w:ilvl w:val="0"/>
          <w:numId w:val="4"/>
        </w:numPr>
        <w:tabs>
          <w:tab w:val="clear" w:pos="720"/>
          <w:tab w:val="num" w:pos="0"/>
        </w:tabs>
        <w:autoSpaceDE w:val="0"/>
        <w:autoSpaceDN w:val="0"/>
        <w:adjustRightInd w:val="0"/>
        <w:spacing w:line="360" w:lineRule="auto"/>
        <w:ind w:left="0" w:firstLine="360"/>
        <w:jc w:val="both"/>
      </w:pPr>
      <w:r w:rsidRPr="00DD1E81">
        <w:rPr>
          <w:b/>
        </w:rPr>
        <w:t>Finansų ministerijos aktualūs valstybės finansų duomenys</w:t>
      </w:r>
      <w:r>
        <w:t xml:space="preserve">. </w:t>
      </w:r>
      <w:hyperlink r:id="rId67" w:history="1">
        <w:r w:rsidRPr="003C6ACD">
          <w:rPr>
            <w:rStyle w:val="Hyperlink"/>
            <w:color w:val="000000" w:themeColor="text1"/>
            <w:u w:val="none"/>
          </w:rPr>
          <w:t>http://finmin.lt/web/</w:t>
        </w:r>
      </w:hyperlink>
      <w:r>
        <w:rPr>
          <w:color w:val="000000" w:themeColor="text1"/>
        </w:rPr>
        <w:t xml:space="preserve"> </w:t>
      </w:r>
      <w:r>
        <w:t>finmin/aktualus_duomenys [žiūrėta 2013 10 30]</w:t>
      </w:r>
    </w:p>
    <w:p w:rsidR="000E6FB7" w:rsidRDefault="000E6FB7" w:rsidP="00CC565B">
      <w:pPr>
        <w:numPr>
          <w:ilvl w:val="0"/>
          <w:numId w:val="4"/>
        </w:numPr>
        <w:tabs>
          <w:tab w:val="clear" w:pos="720"/>
          <w:tab w:val="num" w:pos="-1843"/>
        </w:tabs>
        <w:autoSpaceDE w:val="0"/>
        <w:autoSpaceDN w:val="0"/>
        <w:adjustRightInd w:val="0"/>
        <w:spacing w:line="360" w:lineRule="auto"/>
        <w:ind w:left="0" w:firstLine="360"/>
        <w:jc w:val="both"/>
      </w:pPr>
      <w:r w:rsidRPr="0074745A">
        <w:rPr>
          <w:b/>
        </w:rPr>
        <w:t>Fiscal Decentralization Indicators</w:t>
      </w:r>
      <w:r>
        <w:rPr>
          <w:b/>
        </w:rPr>
        <w:t xml:space="preserve">. </w:t>
      </w:r>
      <w:r w:rsidRPr="0074745A">
        <w:t xml:space="preserve">URL: </w:t>
      </w:r>
      <w:hyperlink r:id="rId68" w:history="1">
        <w:r w:rsidRPr="0074745A">
          <w:rPr>
            <w:rStyle w:val="Hyperlink"/>
            <w:color w:val="000000" w:themeColor="text1"/>
            <w:u w:val="none"/>
          </w:rPr>
          <w:t>http://www1.worldbank.org/publicsector/ decentralization/</w:t>
        </w:r>
      </w:hyperlink>
      <w:r w:rsidRPr="0074745A">
        <w:rPr>
          <w:color w:val="000000" w:themeColor="text1"/>
        </w:rPr>
        <w:t xml:space="preserve">fiscalindicators.htm </w:t>
      </w:r>
      <w:r>
        <w:t>[žiūrėta 2013 09 03</w:t>
      </w:r>
      <w:r w:rsidRPr="0074745A">
        <w:t>]</w:t>
      </w:r>
    </w:p>
    <w:p w:rsidR="000E6FB7" w:rsidRDefault="000E6FB7" w:rsidP="00CC565B">
      <w:pPr>
        <w:numPr>
          <w:ilvl w:val="0"/>
          <w:numId w:val="4"/>
        </w:numPr>
        <w:tabs>
          <w:tab w:val="clear" w:pos="720"/>
          <w:tab w:val="num" w:pos="0"/>
        </w:tabs>
        <w:autoSpaceDE w:val="0"/>
        <w:autoSpaceDN w:val="0"/>
        <w:adjustRightInd w:val="0"/>
        <w:spacing w:line="360" w:lineRule="auto"/>
        <w:ind w:left="0" w:firstLine="360"/>
        <w:jc w:val="both"/>
      </w:pPr>
      <w:r w:rsidRPr="003C6ACD">
        <w:rPr>
          <w:b/>
        </w:rPr>
        <w:t xml:space="preserve">Fiscal design across levels of government year 2000 surveys: </w:t>
      </w:r>
      <w:r w:rsidRPr="003C6ACD">
        <w:t>Contry report: Lithuania</w:t>
      </w:r>
      <w:r w:rsidRPr="003C6ACD">
        <w:rPr>
          <w:b/>
        </w:rPr>
        <w:t>.</w:t>
      </w:r>
      <w:r>
        <w:t xml:space="preserve"> – Directorate for Financial, Fiscal and Enterprise Affairs Centre on Tax Policy and Administration, 2001. – 47 p. – URL: http://www.oecd.org/dataoecd/33/56/1907120.pdf [žiūrėta 2013 12 15]</w:t>
      </w:r>
    </w:p>
    <w:p w:rsidR="000E6FB7" w:rsidRDefault="000E6FB7" w:rsidP="00CC565B">
      <w:pPr>
        <w:numPr>
          <w:ilvl w:val="0"/>
          <w:numId w:val="4"/>
        </w:numPr>
        <w:tabs>
          <w:tab w:val="clear" w:pos="720"/>
          <w:tab w:val="num" w:pos="0"/>
        </w:tabs>
        <w:autoSpaceDE w:val="0"/>
        <w:autoSpaceDN w:val="0"/>
        <w:adjustRightInd w:val="0"/>
        <w:spacing w:line="360" w:lineRule="auto"/>
        <w:ind w:left="0" w:firstLine="360"/>
        <w:jc w:val="both"/>
      </w:pPr>
      <w:r w:rsidRPr="003C6ACD">
        <w:rPr>
          <w:b/>
        </w:rPr>
        <w:t>Gipienė G.</w:t>
      </w:r>
      <w:r>
        <w:t xml:space="preserve"> Savivaldybių biudžetai: formavimas ir perspektyvos / Viešojo administravimo efektyvumas: kolektyvinė monografija. – Kaunas: Technologija, 2001, p. 290–306. – ISBN 9955-09095</w:t>
      </w:r>
    </w:p>
    <w:p w:rsidR="000E6FB7" w:rsidRDefault="000E6FB7" w:rsidP="00CC565B">
      <w:pPr>
        <w:numPr>
          <w:ilvl w:val="0"/>
          <w:numId w:val="4"/>
        </w:numPr>
        <w:tabs>
          <w:tab w:val="clear" w:pos="720"/>
          <w:tab w:val="num" w:pos="0"/>
        </w:tabs>
        <w:autoSpaceDE w:val="0"/>
        <w:autoSpaceDN w:val="0"/>
        <w:adjustRightInd w:val="0"/>
        <w:spacing w:line="360" w:lineRule="auto"/>
        <w:ind w:left="0" w:firstLine="360"/>
        <w:jc w:val="both"/>
      </w:pPr>
      <w:r w:rsidRPr="003C6ACD">
        <w:rPr>
          <w:b/>
        </w:rPr>
        <w:lastRenderedPageBreak/>
        <w:t>Government finance statistics yearbook /</w:t>
      </w:r>
      <w:r>
        <w:t xml:space="preserve"> Adelheid Bürgi-Schmelz, director. – Washington, DC: Manufactured in the United States of America, 2008. – 549 p. – ISBN 978-1-58906-755-4. http://www.imf.org/external/pubs/ft/gfs/yearbook/2008/ gfsy08.pdf [žiūrėta 2013 04 15]</w:t>
      </w:r>
    </w:p>
    <w:p w:rsidR="000E6FB7" w:rsidRDefault="000E6FB7" w:rsidP="00CC565B">
      <w:pPr>
        <w:numPr>
          <w:ilvl w:val="0"/>
          <w:numId w:val="4"/>
        </w:numPr>
        <w:tabs>
          <w:tab w:val="clear" w:pos="720"/>
          <w:tab w:val="num" w:pos="0"/>
        </w:tabs>
        <w:autoSpaceDE w:val="0"/>
        <w:autoSpaceDN w:val="0"/>
        <w:adjustRightInd w:val="0"/>
        <w:spacing w:line="360" w:lineRule="auto"/>
        <w:ind w:left="0" w:firstLine="360"/>
        <w:jc w:val="both"/>
      </w:pPr>
      <w:r>
        <w:rPr>
          <w:b/>
          <w:bCs/>
        </w:rPr>
        <w:t>Hsing</w:t>
      </w:r>
      <w:r>
        <w:t xml:space="preserve"> </w:t>
      </w:r>
      <w:r w:rsidRPr="00C72B04">
        <w:rPr>
          <w:b/>
        </w:rPr>
        <w:t>Y., Hsieh, W.</w:t>
      </w:r>
      <w:r>
        <w:t xml:space="preserve"> Impacts of macroeconomic variables on the stock market index in Poland: new evidence. Journal of Business Economics and Management, 13 (2), 334-343 psl. (2012).</w:t>
      </w:r>
    </w:p>
    <w:p w:rsidR="000E6FB7" w:rsidRDefault="000E6FB7" w:rsidP="00CC565B">
      <w:pPr>
        <w:numPr>
          <w:ilvl w:val="0"/>
          <w:numId w:val="4"/>
        </w:numPr>
        <w:tabs>
          <w:tab w:val="clear" w:pos="720"/>
          <w:tab w:val="num" w:pos="0"/>
        </w:tabs>
        <w:autoSpaceDE w:val="0"/>
        <w:autoSpaceDN w:val="0"/>
        <w:adjustRightInd w:val="0"/>
        <w:spacing w:line="360" w:lineRule="auto"/>
        <w:ind w:left="0" w:firstLine="360"/>
        <w:jc w:val="both"/>
      </w:pPr>
      <w:r>
        <w:rPr>
          <w:b/>
        </w:rPr>
        <w:t>John P.</w:t>
      </w:r>
      <w:r>
        <w:t xml:space="preserve"> The Europeanisation of Sub-national Governance. - Urban Studies, Vol. 37, No 5-6, 877-894, 2000.</w:t>
      </w:r>
    </w:p>
    <w:p w:rsidR="000E6FB7" w:rsidRDefault="000E6FB7" w:rsidP="00CC565B">
      <w:pPr>
        <w:numPr>
          <w:ilvl w:val="0"/>
          <w:numId w:val="4"/>
        </w:numPr>
        <w:tabs>
          <w:tab w:val="clear" w:pos="720"/>
          <w:tab w:val="num" w:pos="0"/>
        </w:tabs>
        <w:autoSpaceDE w:val="0"/>
        <w:autoSpaceDN w:val="0"/>
        <w:adjustRightInd w:val="0"/>
        <w:spacing w:line="360" w:lineRule="auto"/>
        <w:ind w:left="0" w:firstLine="360"/>
        <w:jc w:val="both"/>
      </w:pPr>
      <w:r w:rsidRPr="00DD1E81">
        <w:rPr>
          <w:b/>
        </w:rPr>
        <w:t>Lietuvos Respublikos biudžeto sandaros įstatymas</w:t>
      </w:r>
      <w:r>
        <w:t xml:space="preserve"> // Valstybės žinios, 1990, Nr. 24-596</w:t>
      </w:r>
    </w:p>
    <w:p w:rsidR="000E6FB7" w:rsidRDefault="000E6FB7" w:rsidP="00CC565B">
      <w:pPr>
        <w:numPr>
          <w:ilvl w:val="0"/>
          <w:numId w:val="4"/>
        </w:numPr>
        <w:tabs>
          <w:tab w:val="clear" w:pos="720"/>
          <w:tab w:val="num" w:pos="0"/>
        </w:tabs>
        <w:autoSpaceDE w:val="0"/>
        <w:autoSpaceDN w:val="0"/>
        <w:adjustRightInd w:val="0"/>
        <w:spacing w:line="360" w:lineRule="auto"/>
        <w:ind w:left="0" w:firstLine="360"/>
        <w:jc w:val="both"/>
      </w:pPr>
      <w:r w:rsidRPr="00B22A3D">
        <w:rPr>
          <w:b/>
        </w:rPr>
        <w:t>Lietuvos Respublikos finansų ministro 2010 m. kovo 26 d. Nr. 1K-085 įsakymas</w:t>
      </w:r>
      <w:r>
        <w:t xml:space="preserve"> „Dėl Finansų ministro 2003 m. liepos 3 d. įsakymo Nr. 1k-184 „Dėl Lietuvos Respublikos valstybės ir savivaldybių biudžetų pajamų ir išlaidų klasifikacijos patvirtinimo“ pakeitimo“ // Valstybės žinios, 2010, Nr. 36-1732</w:t>
      </w:r>
    </w:p>
    <w:p w:rsidR="000E6FB7" w:rsidRDefault="000E6FB7" w:rsidP="00CC565B">
      <w:pPr>
        <w:numPr>
          <w:ilvl w:val="0"/>
          <w:numId w:val="4"/>
        </w:numPr>
        <w:tabs>
          <w:tab w:val="clear" w:pos="720"/>
          <w:tab w:val="num" w:pos="0"/>
        </w:tabs>
        <w:autoSpaceDE w:val="0"/>
        <w:autoSpaceDN w:val="0"/>
        <w:adjustRightInd w:val="0"/>
        <w:spacing w:line="360" w:lineRule="auto"/>
        <w:ind w:left="0" w:firstLine="360"/>
        <w:jc w:val="both"/>
      </w:pPr>
      <w:r w:rsidRPr="00DD1E81">
        <w:rPr>
          <w:b/>
        </w:rPr>
        <w:t>Lietuvos Respublikos Konstitucija</w:t>
      </w:r>
      <w:r>
        <w:t xml:space="preserve"> // Valstybės žinios, 1992, Nr. 33-1014</w:t>
      </w:r>
    </w:p>
    <w:p w:rsidR="000E6FB7" w:rsidRDefault="000E6FB7" w:rsidP="00CC565B">
      <w:pPr>
        <w:numPr>
          <w:ilvl w:val="0"/>
          <w:numId w:val="4"/>
        </w:numPr>
        <w:tabs>
          <w:tab w:val="clear" w:pos="720"/>
          <w:tab w:val="num" w:pos="0"/>
        </w:tabs>
        <w:autoSpaceDE w:val="0"/>
        <w:autoSpaceDN w:val="0"/>
        <w:adjustRightInd w:val="0"/>
        <w:spacing w:line="360" w:lineRule="auto"/>
        <w:ind w:left="0" w:firstLine="360"/>
        <w:jc w:val="both"/>
      </w:pPr>
      <w:r w:rsidRPr="003C6ACD">
        <w:rPr>
          <w:b/>
        </w:rPr>
        <w:t>Lietuvos Respublikos savivaldybių biudžetų pajamų nustatymo metodikos įstatymas</w:t>
      </w:r>
      <w:r>
        <w:t xml:space="preserve"> // Valstybės žinios, 1997, Nr. 69-1743</w:t>
      </w:r>
    </w:p>
    <w:p w:rsidR="000E6FB7" w:rsidRDefault="000E6FB7" w:rsidP="00CC565B">
      <w:pPr>
        <w:numPr>
          <w:ilvl w:val="0"/>
          <w:numId w:val="4"/>
        </w:numPr>
        <w:tabs>
          <w:tab w:val="clear" w:pos="720"/>
          <w:tab w:val="num" w:pos="0"/>
        </w:tabs>
        <w:autoSpaceDE w:val="0"/>
        <w:autoSpaceDN w:val="0"/>
        <w:adjustRightInd w:val="0"/>
        <w:spacing w:line="360" w:lineRule="auto"/>
        <w:ind w:left="0" w:firstLine="360"/>
        <w:jc w:val="both"/>
      </w:pPr>
      <w:r w:rsidRPr="003C6ACD">
        <w:rPr>
          <w:b/>
        </w:rPr>
        <w:t>Lietuvos Respublikos vietos savivaldos įstatymas</w:t>
      </w:r>
      <w:r>
        <w:t xml:space="preserve"> // Valstybės žinios, 1994, Nr. 55-1049</w:t>
      </w:r>
    </w:p>
    <w:p w:rsidR="000E6FB7" w:rsidRDefault="000E6FB7" w:rsidP="00CC565B">
      <w:pPr>
        <w:numPr>
          <w:ilvl w:val="0"/>
          <w:numId w:val="4"/>
        </w:numPr>
        <w:tabs>
          <w:tab w:val="clear" w:pos="720"/>
          <w:tab w:val="num" w:pos="0"/>
        </w:tabs>
        <w:autoSpaceDE w:val="0"/>
        <w:autoSpaceDN w:val="0"/>
        <w:adjustRightInd w:val="0"/>
        <w:spacing w:line="360" w:lineRule="auto"/>
        <w:ind w:left="0" w:firstLine="360"/>
        <w:jc w:val="both"/>
      </w:pPr>
      <w:r w:rsidRPr="003C6ACD">
        <w:rPr>
          <w:b/>
        </w:rPr>
        <w:t>Lietuvos Respublikos Vyriausybės 2001 m. gegužės 14 d. nutarimas</w:t>
      </w:r>
      <w:r>
        <w:t xml:space="preserve"> </w:t>
      </w:r>
      <w:r w:rsidRPr="003C6ACD">
        <w:rPr>
          <w:b/>
        </w:rPr>
        <w:t>Nr. 543</w:t>
      </w:r>
      <w:r>
        <w:t xml:space="preserve"> „Dėl Lietuvos Respublikos valstybės biudžeto ir savivaldybių biudžetų sudarymo ir vykdymo taisyklių patvirtinimo“ // Valstybės žinios, 2001, Nr. 42-1455</w:t>
      </w:r>
    </w:p>
    <w:p w:rsidR="000E6FB7" w:rsidRDefault="000E6FB7" w:rsidP="00CC565B">
      <w:pPr>
        <w:numPr>
          <w:ilvl w:val="0"/>
          <w:numId w:val="4"/>
        </w:numPr>
        <w:tabs>
          <w:tab w:val="clear" w:pos="720"/>
          <w:tab w:val="num" w:pos="0"/>
        </w:tabs>
        <w:autoSpaceDE w:val="0"/>
        <w:autoSpaceDN w:val="0"/>
        <w:adjustRightInd w:val="0"/>
        <w:spacing w:line="360" w:lineRule="auto"/>
        <w:ind w:left="0" w:firstLine="360"/>
        <w:jc w:val="both"/>
      </w:pPr>
      <w:r w:rsidRPr="003C6ACD">
        <w:rPr>
          <w:b/>
        </w:rPr>
        <w:t>Lietuvos Respublikos Vyriausybės 2003 m. birželio 25 d. nutarimas</w:t>
      </w:r>
      <w:r>
        <w:t xml:space="preserve"> </w:t>
      </w:r>
      <w:r w:rsidRPr="003C6ACD">
        <w:rPr>
          <w:b/>
        </w:rPr>
        <w:t>Nr. 824</w:t>
      </w:r>
      <w:r>
        <w:t xml:space="preserve"> „Dėl kai kurių centrinio valdymo institucijų vykdomų funkcijų decentralizavimo ir dekoncentravimo koncepcijos patvirtinimo“ // Valstybės žinios, 2003, Nr. 61-2804</w:t>
      </w:r>
    </w:p>
    <w:p w:rsidR="000E6FB7" w:rsidRDefault="000E6FB7" w:rsidP="00CC565B">
      <w:pPr>
        <w:numPr>
          <w:ilvl w:val="0"/>
          <w:numId w:val="4"/>
        </w:numPr>
        <w:tabs>
          <w:tab w:val="clear" w:pos="720"/>
          <w:tab w:val="num" w:pos="0"/>
        </w:tabs>
        <w:autoSpaceDE w:val="0"/>
        <w:autoSpaceDN w:val="0"/>
        <w:adjustRightInd w:val="0"/>
        <w:spacing w:line="360" w:lineRule="auto"/>
        <w:ind w:left="0" w:firstLine="360"/>
        <w:jc w:val="both"/>
      </w:pPr>
      <w:r w:rsidRPr="003C6ACD">
        <w:rPr>
          <w:b/>
        </w:rPr>
        <w:t>Lietuvos Respublikos Vyriausybės 2004 m. kovo 26 d. nutarimas Nr. 345</w:t>
      </w:r>
      <w:r>
        <w:t xml:space="preserve"> „Dėl savivaldybių skolinimosi taisyklių patvirtinimo“ // Valstybės žinios, 2004, Nr. 47-1557</w:t>
      </w:r>
    </w:p>
    <w:p w:rsidR="000E6FB7" w:rsidRPr="009A0A55" w:rsidRDefault="000E6FB7" w:rsidP="00CC565B">
      <w:pPr>
        <w:numPr>
          <w:ilvl w:val="0"/>
          <w:numId w:val="4"/>
        </w:numPr>
        <w:tabs>
          <w:tab w:val="clear" w:pos="720"/>
          <w:tab w:val="num" w:pos="0"/>
        </w:tabs>
        <w:autoSpaceDE w:val="0"/>
        <w:autoSpaceDN w:val="0"/>
        <w:adjustRightInd w:val="0"/>
        <w:spacing w:line="360" w:lineRule="auto"/>
        <w:ind w:left="0" w:firstLine="360"/>
        <w:jc w:val="both"/>
      </w:pPr>
      <w:r>
        <w:rPr>
          <w:b/>
          <w:bCs/>
        </w:rPr>
        <w:t xml:space="preserve">Lietuvos socialinių tyrimų centras. </w:t>
      </w:r>
      <w:r w:rsidRPr="00FE7B35">
        <w:rPr>
          <w:bCs/>
        </w:rPr>
        <w:t>Piniginės socialin</w:t>
      </w:r>
      <w:r w:rsidRPr="00FE7B35">
        <w:rPr>
          <w:bCs/>
          <w:lang w:val="lt-LT"/>
        </w:rPr>
        <w:t>ės paramos nepasiturintiems gyventojams teikimo, vykdant savarankiškąją savivaldybių funkciją, perspektyvos</w:t>
      </w:r>
      <w:r>
        <w:rPr>
          <w:bCs/>
          <w:lang w:val="lt-LT"/>
        </w:rPr>
        <w:t>. – Vilnius, 2013.</w:t>
      </w:r>
    </w:p>
    <w:p w:rsidR="000E6FB7" w:rsidRDefault="000E6FB7" w:rsidP="00CC565B">
      <w:pPr>
        <w:numPr>
          <w:ilvl w:val="0"/>
          <w:numId w:val="4"/>
        </w:numPr>
        <w:tabs>
          <w:tab w:val="clear" w:pos="720"/>
          <w:tab w:val="num" w:pos="0"/>
        </w:tabs>
        <w:autoSpaceDE w:val="0"/>
        <w:autoSpaceDN w:val="0"/>
        <w:adjustRightInd w:val="0"/>
        <w:spacing w:line="360" w:lineRule="auto"/>
        <w:ind w:left="0" w:firstLine="360"/>
        <w:jc w:val="both"/>
      </w:pPr>
      <w:r w:rsidRPr="003C6ACD">
        <w:rPr>
          <w:b/>
        </w:rPr>
        <w:t>Local public finance in Europe.</w:t>
      </w:r>
      <w:r>
        <w:t xml:space="preserve"> Balancin the budget and controling debt / Dafflon B. editor. – Great Britain: Bidles Ltd, 2002. – 302 p. – ISBN 1-84064-878-3</w:t>
      </w:r>
    </w:p>
    <w:p w:rsidR="000E6FB7" w:rsidRPr="004D0C78" w:rsidRDefault="000E6FB7" w:rsidP="00CC565B">
      <w:pPr>
        <w:numPr>
          <w:ilvl w:val="0"/>
          <w:numId w:val="4"/>
        </w:numPr>
        <w:tabs>
          <w:tab w:val="clear" w:pos="720"/>
          <w:tab w:val="num" w:pos="0"/>
        </w:tabs>
        <w:autoSpaceDE w:val="0"/>
        <w:autoSpaceDN w:val="0"/>
        <w:adjustRightInd w:val="0"/>
        <w:spacing w:line="360" w:lineRule="auto"/>
        <w:ind w:left="0" w:firstLine="360"/>
        <w:jc w:val="both"/>
      </w:pPr>
      <w:r w:rsidRPr="004D0C78">
        <w:rPr>
          <w:b/>
        </w:rPr>
        <w:t>Neyapti, B</w:t>
      </w:r>
      <w:r>
        <w:t xml:space="preserve">. Fiscal Decentralization and Deficits: International Evidence. – European Journal of Political Economy, Vol. 26, p. 155–166, 2010. - URL: </w:t>
      </w:r>
      <w:hyperlink r:id="rId69" w:history="1">
        <w:r w:rsidRPr="004D0C78">
          <w:rPr>
            <w:rStyle w:val="Hyperlink"/>
            <w:color w:val="000000" w:themeColor="text1"/>
            <w:u w:val="none"/>
          </w:rPr>
          <w:t>http://yoksis.bilkent.edu.tr/pdf/files/10.1016-j.ejpoleco.2010.01.001.pdf</w:t>
        </w:r>
      </w:hyperlink>
      <w:r w:rsidRPr="004D0C78">
        <w:rPr>
          <w:color w:val="000000" w:themeColor="text1"/>
        </w:rPr>
        <w:t xml:space="preserve"> </w:t>
      </w:r>
      <w:r>
        <w:rPr>
          <w:color w:val="000000" w:themeColor="text1"/>
        </w:rPr>
        <w:t>[žiūrėta 2014 02 20</w:t>
      </w:r>
      <w:r w:rsidRPr="004D0C78">
        <w:rPr>
          <w:color w:val="000000" w:themeColor="text1"/>
        </w:rPr>
        <w:t>]</w:t>
      </w:r>
    </w:p>
    <w:p w:rsidR="000E6FB7" w:rsidRDefault="000E6FB7" w:rsidP="00CC565B">
      <w:pPr>
        <w:numPr>
          <w:ilvl w:val="0"/>
          <w:numId w:val="4"/>
        </w:numPr>
        <w:tabs>
          <w:tab w:val="clear" w:pos="720"/>
          <w:tab w:val="num" w:pos="0"/>
        </w:tabs>
        <w:autoSpaceDE w:val="0"/>
        <w:autoSpaceDN w:val="0"/>
        <w:adjustRightInd w:val="0"/>
        <w:spacing w:line="360" w:lineRule="auto"/>
        <w:ind w:left="0" w:firstLine="360"/>
        <w:jc w:val="both"/>
      </w:pPr>
      <w:r w:rsidRPr="00A859F3">
        <w:rPr>
          <w:b/>
        </w:rPr>
        <w:t>Oates W. E.</w:t>
      </w:r>
      <w:r>
        <w:t xml:space="preserve"> Fiscal Federalism.</w:t>
      </w:r>
      <w:r w:rsidRPr="00A859F3">
        <w:t xml:space="preserve"> New Y</w:t>
      </w:r>
      <w:r>
        <w:t>ork: Hartcourt Brace Jovanovich, 1972</w:t>
      </w:r>
      <w:r w:rsidRPr="00A859F3">
        <w:t>.</w:t>
      </w:r>
      <w:r>
        <w:t xml:space="preserve"> URL: </w:t>
      </w:r>
      <w:hyperlink r:id="rId70" w:history="1">
        <w:r w:rsidRPr="004D0C78">
          <w:rPr>
            <w:rStyle w:val="Hyperlink"/>
            <w:color w:val="000000" w:themeColor="text1"/>
            <w:u w:val="none"/>
          </w:rPr>
          <w:t>http://www.jstor.org/discover/10.2307/4224188?uid=3738480&amp;uid=2129&amp;uid=2134&amp;uid=2&amp;uid=70&amp;uid=4&amp;sid=21103854887847</w:t>
        </w:r>
      </w:hyperlink>
      <w:r>
        <w:t xml:space="preserve"> [žiūrėta 2013 12</w:t>
      </w:r>
      <w:r w:rsidRPr="004D0C78">
        <w:t xml:space="preserve"> 12]</w:t>
      </w:r>
    </w:p>
    <w:p w:rsidR="000E6FB7" w:rsidRPr="00AF6090" w:rsidRDefault="000E6FB7" w:rsidP="00CC565B">
      <w:pPr>
        <w:numPr>
          <w:ilvl w:val="0"/>
          <w:numId w:val="4"/>
        </w:numPr>
        <w:tabs>
          <w:tab w:val="clear" w:pos="720"/>
          <w:tab w:val="num" w:pos="0"/>
        </w:tabs>
        <w:autoSpaceDE w:val="0"/>
        <w:autoSpaceDN w:val="0"/>
        <w:adjustRightInd w:val="0"/>
        <w:spacing w:line="360" w:lineRule="auto"/>
        <w:ind w:left="0" w:firstLine="360"/>
        <w:jc w:val="both"/>
      </w:pPr>
      <w:r w:rsidRPr="005F32AD">
        <w:rPr>
          <w:b/>
        </w:rPr>
        <w:lastRenderedPageBreak/>
        <w:t>Oates W.</w:t>
      </w:r>
      <w:r w:rsidRPr="005F32AD">
        <w:t xml:space="preserve"> </w:t>
      </w:r>
      <w:r w:rsidRPr="00980854">
        <w:rPr>
          <w:b/>
        </w:rPr>
        <w:t>E</w:t>
      </w:r>
      <w:r>
        <w:t xml:space="preserve">. </w:t>
      </w:r>
      <w:r w:rsidRPr="00980854">
        <w:t xml:space="preserve">On </w:t>
      </w:r>
      <w:r>
        <w:t xml:space="preserve">the </w:t>
      </w:r>
      <w:r w:rsidRPr="00980854">
        <w:t>Theory and Prac</w:t>
      </w:r>
      <w:r>
        <w:t>tice of Fiscal Decentralization. –IFIR Working Paper No 2006-05, 2006. URL:</w:t>
      </w:r>
      <w:r w:rsidRPr="00980854">
        <w:t xml:space="preserve"> http://www.ifigr.org/publication/ifir_working_papers/IFIR-WP-2006-05.pdf </w:t>
      </w:r>
      <w:r>
        <w:t>[žiūrėta 2013 12 12</w:t>
      </w:r>
      <w:r w:rsidRPr="005F32AD">
        <w:t>]</w:t>
      </w:r>
    </w:p>
    <w:p w:rsidR="000E6FB7" w:rsidRDefault="000E6FB7" w:rsidP="00CC565B">
      <w:pPr>
        <w:numPr>
          <w:ilvl w:val="0"/>
          <w:numId w:val="4"/>
        </w:numPr>
        <w:tabs>
          <w:tab w:val="clear" w:pos="720"/>
          <w:tab w:val="num" w:pos="0"/>
        </w:tabs>
        <w:autoSpaceDE w:val="0"/>
        <w:autoSpaceDN w:val="0"/>
        <w:adjustRightInd w:val="0"/>
        <w:spacing w:line="360" w:lineRule="auto"/>
        <w:ind w:left="0" w:firstLine="360"/>
        <w:jc w:val="both"/>
      </w:pPr>
      <w:r w:rsidRPr="00AF6090">
        <w:rPr>
          <w:b/>
          <w:bCs/>
        </w:rPr>
        <w:t xml:space="preserve">Oates W. </w:t>
      </w:r>
      <w:r>
        <w:rPr>
          <w:b/>
          <w:bCs/>
        </w:rPr>
        <w:t>E.</w:t>
      </w:r>
      <w:r w:rsidRPr="00AF6090">
        <w:t>The role of fiscal decentralization in economic growth // National Tax Journal. 1993, Vol. XLVI, No. 2, p. 237–242. – URL: http://pdf.usaid.gov/pdf</w:t>
      </w:r>
      <w:r>
        <w:t>_docs/PNABP362.pdf [žiūrėta 2012 11 30</w:t>
      </w:r>
      <w:r w:rsidRPr="00AF6090">
        <w:t>]</w:t>
      </w:r>
    </w:p>
    <w:p w:rsidR="000E6FB7" w:rsidRDefault="000E6FB7" w:rsidP="00CC565B">
      <w:pPr>
        <w:numPr>
          <w:ilvl w:val="0"/>
          <w:numId w:val="4"/>
        </w:numPr>
        <w:tabs>
          <w:tab w:val="clear" w:pos="720"/>
          <w:tab w:val="num" w:pos="0"/>
        </w:tabs>
        <w:autoSpaceDE w:val="0"/>
        <w:autoSpaceDN w:val="0"/>
        <w:adjustRightInd w:val="0"/>
        <w:spacing w:line="360" w:lineRule="auto"/>
        <w:ind w:left="0" w:firstLine="360"/>
        <w:jc w:val="both"/>
      </w:pPr>
      <w:r>
        <w:rPr>
          <w:b/>
          <w:bCs/>
        </w:rPr>
        <w:t xml:space="preserve">Paulikas </w:t>
      </w:r>
      <w:r w:rsidRPr="00233540">
        <w:rPr>
          <w:b/>
          <w:bCs/>
        </w:rPr>
        <w:t>V.</w:t>
      </w:r>
      <w:r w:rsidRPr="00233540">
        <w:rPr>
          <w:b/>
        </w:rPr>
        <w:t>, Adomonis V</w:t>
      </w:r>
      <w:r>
        <w:t>. Vietos savivalda ir sprendim</w:t>
      </w:r>
      <w:r>
        <w:rPr>
          <w:lang w:val="lt-LT"/>
        </w:rPr>
        <w:t xml:space="preserve">ų priėmimas. – Vilnius, </w:t>
      </w:r>
      <w:r>
        <w:t>2003, Nr. 4 – ISSN 1648-2603</w:t>
      </w:r>
    </w:p>
    <w:p w:rsidR="000E6FB7" w:rsidRDefault="000E6FB7" w:rsidP="00CC565B">
      <w:pPr>
        <w:numPr>
          <w:ilvl w:val="0"/>
          <w:numId w:val="4"/>
        </w:numPr>
        <w:tabs>
          <w:tab w:val="clear" w:pos="720"/>
          <w:tab w:val="num" w:pos="0"/>
        </w:tabs>
        <w:autoSpaceDE w:val="0"/>
        <w:autoSpaceDN w:val="0"/>
        <w:adjustRightInd w:val="0"/>
        <w:spacing w:line="360" w:lineRule="auto"/>
        <w:ind w:left="0" w:firstLine="360"/>
        <w:jc w:val="both"/>
      </w:pPr>
      <w:r w:rsidRPr="003C6ACD">
        <w:rPr>
          <w:b/>
        </w:rPr>
        <w:t>Pečkaitis J. S., Mačerinskienė I.</w:t>
      </w:r>
      <w:r>
        <w:t xml:space="preserve"> Magistro baigiamojo darbo rengimo tvarka: mokomoji knyga. – Vilnius: MRU Leidybos centras, 2008. – 80 p. – ISSN 978-9955-19-083-7</w:t>
      </w:r>
    </w:p>
    <w:p w:rsidR="000E6FB7" w:rsidRDefault="000E6FB7" w:rsidP="00CC565B">
      <w:pPr>
        <w:numPr>
          <w:ilvl w:val="0"/>
          <w:numId w:val="4"/>
        </w:numPr>
        <w:tabs>
          <w:tab w:val="clear" w:pos="720"/>
          <w:tab w:val="num" w:pos="0"/>
        </w:tabs>
        <w:autoSpaceDE w:val="0"/>
        <w:autoSpaceDN w:val="0"/>
        <w:adjustRightInd w:val="0"/>
        <w:spacing w:line="360" w:lineRule="auto"/>
        <w:ind w:left="0" w:firstLine="360"/>
        <w:jc w:val="both"/>
      </w:pPr>
      <w:r w:rsidRPr="003C6ACD">
        <w:rPr>
          <w:b/>
        </w:rPr>
        <w:t>Penkioliktosios Lietuvos Respublikos Vyriausybės veiklos programa</w:t>
      </w:r>
      <w:r>
        <w:t>. 2008. http://www.smm.lt/veikla/docs/lrv/15_vyr_programa.pdf [žiūrėta 2013 12 21]</w:t>
      </w:r>
    </w:p>
    <w:p w:rsidR="000E6FB7" w:rsidRDefault="000E6FB7" w:rsidP="00CC565B">
      <w:pPr>
        <w:numPr>
          <w:ilvl w:val="0"/>
          <w:numId w:val="4"/>
        </w:numPr>
        <w:tabs>
          <w:tab w:val="clear" w:pos="720"/>
          <w:tab w:val="num" w:pos="0"/>
        </w:tabs>
        <w:autoSpaceDE w:val="0"/>
        <w:autoSpaceDN w:val="0"/>
        <w:adjustRightInd w:val="0"/>
        <w:spacing w:line="360" w:lineRule="auto"/>
        <w:ind w:left="0" w:firstLine="360"/>
        <w:jc w:val="both"/>
      </w:pPr>
      <w:r w:rsidRPr="003311B2">
        <w:rPr>
          <w:b/>
        </w:rPr>
        <w:t>Plekhanov A., Singh R.</w:t>
      </w:r>
      <w:r>
        <w:t xml:space="preserve"> How Should Subnational Government Borrowing Be Regulated?  Some Cross-Country Empirical Evidence. - IMF Staff Papers, Vol. 53, 2007.-</w:t>
      </w:r>
      <w:r w:rsidRPr="003311B2">
        <w:t xml:space="preserve"> </w:t>
      </w:r>
      <w:r>
        <w:t>URL</w:t>
      </w:r>
      <w:r w:rsidRPr="003311B2">
        <w:rPr>
          <w:color w:val="000000" w:themeColor="text1"/>
        </w:rPr>
        <w:t xml:space="preserve">: </w:t>
      </w:r>
      <w:hyperlink w:history="1">
        <w:r w:rsidRPr="003311B2">
          <w:rPr>
            <w:rStyle w:val="Hyperlink"/>
            <w:color w:val="000000" w:themeColor="text1"/>
            <w:u w:val="none"/>
          </w:rPr>
          <w:t>http:// citeseerx.ist.psu. edu/ viewdoc/download?doi=10.1.1.398.5087&amp;rep=rep1&amp;type=pdf</w:t>
        </w:r>
      </w:hyperlink>
      <w:r w:rsidRPr="003311B2">
        <w:rPr>
          <w:color w:val="000000" w:themeColor="text1"/>
        </w:rPr>
        <w:t xml:space="preserve"> [žiūrėta 2014 03 1</w:t>
      </w:r>
      <w:r>
        <w:t>2</w:t>
      </w:r>
      <w:r w:rsidRPr="003311B2">
        <w:t>]</w:t>
      </w:r>
    </w:p>
    <w:p w:rsidR="000E6FB7" w:rsidRDefault="000E6FB7" w:rsidP="00CC565B">
      <w:pPr>
        <w:numPr>
          <w:ilvl w:val="0"/>
          <w:numId w:val="4"/>
        </w:numPr>
        <w:tabs>
          <w:tab w:val="clear" w:pos="720"/>
          <w:tab w:val="num" w:pos="0"/>
        </w:tabs>
        <w:autoSpaceDE w:val="0"/>
        <w:autoSpaceDN w:val="0"/>
        <w:adjustRightInd w:val="0"/>
        <w:spacing w:line="360" w:lineRule="auto"/>
        <w:ind w:left="0" w:firstLine="360"/>
        <w:jc w:val="both"/>
      </w:pPr>
      <w:r w:rsidRPr="003C6ACD">
        <w:rPr>
          <w:b/>
        </w:rPr>
        <w:t>Pollitt Ch., Boickaert G. Viešojo valdymo reforma: lyginamojo analizė.</w:t>
      </w:r>
      <w:r>
        <w:t xml:space="preserve"> – Vilnius: Algarvė, 2003. – 359 p. – ISBN 9986-856-84-1</w:t>
      </w:r>
    </w:p>
    <w:p w:rsidR="000E6FB7" w:rsidRDefault="000E6FB7" w:rsidP="00CC565B">
      <w:pPr>
        <w:numPr>
          <w:ilvl w:val="0"/>
          <w:numId w:val="4"/>
        </w:numPr>
        <w:tabs>
          <w:tab w:val="clear" w:pos="720"/>
          <w:tab w:val="num" w:pos="0"/>
        </w:tabs>
        <w:autoSpaceDE w:val="0"/>
        <w:autoSpaceDN w:val="0"/>
        <w:adjustRightInd w:val="0"/>
        <w:spacing w:line="360" w:lineRule="auto"/>
        <w:ind w:left="0" w:firstLine="360"/>
        <w:jc w:val="both"/>
      </w:pPr>
      <w:r w:rsidRPr="003C6ACD">
        <w:rPr>
          <w:b/>
        </w:rPr>
        <w:t xml:space="preserve">Prud’homme R. The Dangers of Decentralization / The world bank research. </w:t>
      </w:r>
      <w:r>
        <w:t>– Washington, DC: Manufactured in the United States of America, 1995, p. 201–227. – ISSN 025-3032</w:t>
      </w:r>
    </w:p>
    <w:p w:rsidR="000E6FB7" w:rsidRPr="00AF6090" w:rsidRDefault="000E6FB7" w:rsidP="00CC565B">
      <w:pPr>
        <w:numPr>
          <w:ilvl w:val="0"/>
          <w:numId w:val="4"/>
        </w:numPr>
        <w:tabs>
          <w:tab w:val="clear" w:pos="720"/>
          <w:tab w:val="num" w:pos="0"/>
        </w:tabs>
        <w:autoSpaceDE w:val="0"/>
        <w:autoSpaceDN w:val="0"/>
        <w:adjustRightInd w:val="0"/>
        <w:spacing w:line="360" w:lineRule="auto"/>
        <w:ind w:left="0" w:firstLine="360"/>
        <w:jc w:val="both"/>
      </w:pPr>
      <w:r w:rsidRPr="00AF6090">
        <w:rPr>
          <w:b/>
          <w:bCs/>
        </w:rPr>
        <w:t xml:space="preserve">Raipa A., Backūnaitė R. </w:t>
      </w:r>
      <w:r w:rsidRPr="00AF6090">
        <w:t xml:space="preserve">Decentralizacijos reformų teoriniai ir taikomieji aspektai // Viešoji politika ir administravimas. – </w:t>
      </w:r>
      <w:smartTag w:uri="urn:schemas-microsoft-com:office:smarttags" w:element="City">
        <w:smartTag w:uri="urn:schemas-microsoft-com:office:smarttags" w:element="place">
          <w:r w:rsidRPr="00AF6090">
            <w:t>Vilnius</w:t>
          </w:r>
        </w:smartTag>
      </w:smartTag>
      <w:r w:rsidRPr="00AF6090">
        <w:t>, 2004, Nr. 7, p. 23–32. – ISSN 1648-2603</w:t>
      </w:r>
    </w:p>
    <w:p w:rsidR="000E6FB7" w:rsidRPr="00964D5D" w:rsidRDefault="000E6FB7" w:rsidP="00CC565B">
      <w:pPr>
        <w:numPr>
          <w:ilvl w:val="0"/>
          <w:numId w:val="4"/>
        </w:numPr>
        <w:tabs>
          <w:tab w:val="clear" w:pos="720"/>
          <w:tab w:val="num" w:pos="0"/>
        </w:tabs>
        <w:autoSpaceDE w:val="0"/>
        <w:autoSpaceDN w:val="0"/>
        <w:adjustRightInd w:val="0"/>
        <w:spacing w:line="360" w:lineRule="auto"/>
        <w:ind w:left="0" w:firstLine="360"/>
        <w:jc w:val="both"/>
      </w:pPr>
      <w:r w:rsidRPr="00964D5D">
        <w:rPr>
          <w:b/>
        </w:rPr>
        <w:t>Research Department of Dexia Credit Local</w:t>
      </w:r>
      <w:r>
        <w:rPr>
          <w:b/>
        </w:rPr>
        <w:t xml:space="preserve">. </w:t>
      </w:r>
      <w:r w:rsidRPr="00964D5D">
        <w:t>Subnational public finance in the Euroean Union</w:t>
      </w:r>
      <w:r>
        <w:t xml:space="preserve">. 2012, Summer. – URL: </w:t>
      </w:r>
      <w:hyperlink r:id="rId71" w:history="1">
        <w:r w:rsidRPr="00964D5D">
          <w:rPr>
            <w:rStyle w:val="Hyperlink"/>
            <w:color w:val="000000" w:themeColor="text1"/>
            <w:u w:val="none"/>
          </w:rPr>
          <w:t>http://www.dexia.com/EN/news/in_short/Documents/NDCE_july_2011_EN.pdf</w:t>
        </w:r>
      </w:hyperlink>
      <w:r>
        <w:rPr>
          <w:color w:val="000000" w:themeColor="text1"/>
        </w:rPr>
        <w:t xml:space="preserve"> [žiūrėta 2013 10</w:t>
      </w:r>
      <w:r w:rsidRPr="00964D5D">
        <w:rPr>
          <w:color w:val="000000" w:themeColor="text1"/>
        </w:rPr>
        <w:t xml:space="preserve"> 16]</w:t>
      </w:r>
    </w:p>
    <w:p w:rsidR="000E6FB7" w:rsidRPr="003311B2" w:rsidRDefault="000E6FB7" w:rsidP="00CC565B">
      <w:pPr>
        <w:numPr>
          <w:ilvl w:val="0"/>
          <w:numId w:val="4"/>
        </w:numPr>
        <w:tabs>
          <w:tab w:val="clear" w:pos="720"/>
          <w:tab w:val="num" w:pos="0"/>
        </w:tabs>
        <w:autoSpaceDE w:val="0"/>
        <w:autoSpaceDN w:val="0"/>
        <w:adjustRightInd w:val="0"/>
        <w:spacing w:line="360" w:lineRule="auto"/>
        <w:ind w:left="0" w:firstLine="360"/>
        <w:jc w:val="both"/>
      </w:pPr>
      <w:r w:rsidRPr="003311B2">
        <w:rPr>
          <w:b/>
        </w:rPr>
        <w:t>Rodden, J.</w:t>
      </w:r>
      <w:r>
        <w:t xml:space="preserve"> The Dilemma of Fiscal Federalism: Grants and Fiscal Performance around the World. - American Journal of Political Science, Vol. 46, No. 3, 2002. -URL:</w:t>
      </w:r>
      <w:r w:rsidRPr="003311B2">
        <w:rPr>
          <w:color w:val="000000" w:themeColor="text1"/>
        </w:rPr>
        <w:t xml:space="preserve"> </w:t>
      </w:r>
      <w:hyperlink r:id="rId72" w:history="1">
        <w:r w:rsidRPr="003311B2">
          <w:rPr>
            <w:rStyle w:val="Hyperlink"/>
            <w:color w:val="000000" w:themeColor="text1"/>
            <w:u w:val="none"/>
          </w:rPr>
          <w:t>http://www.stanford.edu/~jrodden</w:t>
        </w:r>
      </w:hyperlink>
      <w:r>
        <w:rPr>
          <w:color w:val="000000" w:themeColor="text1"/>
        </w:rPr>
        <w:t xml:space="preserve"> </w:t>
      </w:r>
      <w:r w:rsidRPr="003311B2">
        <w:rPr>
          <w:color w:val="000000" w:themeColor="text1"/>
        </w:rPr>
        <w:t>/AJPS.2002.pdf</w:t>
      </w:r>
      <w:r>
        <w:rPr>
          <w:color w:val="000000" w:themeColor="text1"/>
        </w:rPr>
        <w:t xml:space="preserve">  </w:t>
      </w:r>
      <w:r w:rsidRPr="003311B2">
        <w:rPr>
          <w:color w:val="000000" w:themeColor="text1"/>
        </w:rPr>
        <w:t>[žiūrėta 2014 02 01]</w:t>
      </w:r>
    </w:p>
    <w:p w:rsidR="000E6FB7" w:rsidRDefault="000E6FB7" w:rsidP="00CC565B">
      <w:pPr>
        <w:numPr>
          <w:ilvl w:val="0"/>
          <w:numId w:val="4"/>
        </w:numPr>
        <w:tabs>
          <w:tab w:val="clear" w:pos="720"/>
          <w:tab w:val="num" w:pos="0"/>
        </w:tabs>
        <w:autoSpaceDE w:val="0"/>
        <w:autoSpaceDN w:val="0"/>
        <w:adjustRightInd w:val="0"/>
        <w:spacing w:line="360" w:lineRule="auto"/>
        <w:ind w:left="0" w:firstLine="360"/>
        <w:jc w:val="both"/>
      </w:pPr>
      <w:r w:rsidRPr="00DD1E81">
        <w:rPr>
          <w:b/>
        </w:rPr>
        <w:t>Statistikos departamento duomenų bazė.</w:t>
      </w:r>
      <w:r>
        <w:t xml:space="preserve"> </w:t>
      </w:r>
      <w:hyperlink r:id="rId73" w:history="1">
        <w:r w:rsidRPr="00DD1E81">
          <w:rPr>
            <w:rStyle w:val="Hyperlink"/>
            <w:color w:val="000000" w:themeColor="text1"/>
            <w:u w:val="none"/>
          </w:rPr>
          <w:t>http://db1.stat.gov.lt/statbank/default.asp?w=1280</w:t>
        </w:r>
      </w:hyperlink>
      <w:r w:rsidRPr="00DD1E81">
        <w:rPr>
          <w:color w:val="000000" w:themeColor="text1"/>
        </w:rPr>
        <w:t xml:space="preserve"> </w:t>
      </w:r>
      <w:r>
        <w:t>[žiūrėta 2013 10 10]</w:t>
      </w:r>
    </w:p>
    <w:p w:rsidR="000E6FB7" w:rsidRDefault="000E6FB7" w:rsidP="00CC565B">
      <w:pPr>
        <w:numPr>
          <w:ilvl w:val="0"/>
          <w:numId w:val="4"/>
        </w:numPr>
        <w:tabs>
          <w:tab w:val="clear" w:pos="720"/>
          <w:tab w:val="num" w:pos="0"/>
        </w:tabs>
        <w:autoSpaceDE w:val="0"/>
        <w:autoSpaceDN w:val="0"/>
        <w:adjustRightInd w:val="0"/>
        <w:spacing w:line="360" w:lineRule="auto"/>
        <w:ind w:left="0" w:firstLine="360"/>
        <w:jc w:val="both"/>
      </w:pPr>
      <w:r>
        <w:rPr>
          <w:b/>
          <w:bCs/>
        </w:rPr>
        <w:t xml:space="preserve">Urmonas A., Novikovas A. </w:t>
      </w:r>
      <w:r w:rsidRPr="00000A6F">
        <w:rPr>
          <w:bCs/>
        </w:rPr>
        <w:t>Europos vietos savivaldos chartijoje į</w:t>
      </w:r>
      <w:r>
        <w:rPr>
          <w:bCs/>
        </w:rPr>
        <w:t xml:space="preserve">tvirtintų principų įgyvendinimo </w:t>
      </w:r>
      <w:r w:rsidRPr="00000A6F">
        <w:rPr>
          <w:bCs/>
        </w:rPr>
        <w:t>vietos savivaldoje ir inkorporavimo nacionalinėje teisės sistemoje ypatumai. – Vilnius, 2011, 18(3) – ISSN 1392-6195</w:t>
      </w:r>
    </w:p>
    <w:p w:rsidR="000E6FB7" w:rsidRDefault="000E6FB7" w:rsidP="00CC565B">
      <w:pPr>
        <w:numPr>
          <w:ilvl w:val="0"/>
          <w:numId w:val="4"/>
        </w:numPr>
        <w:tabs>
          <w:tab w:val="clear" w:pos="720"/>
          <w:tab w:val="num" w:pos="0"/>
        </w:tabs>
        <w:autoSpaceDE w:val="0"/>
        <w:autoSpaceDN w:val="0"/>
        <w:adjustRightInd w:val="0"/>
        <w:spacing w:line="360" w:lineRule="auto"/>
        <w:ind w:left="0" w:firstLine="360"/>
        <w:jc w:val="both"/>
      </w:pPr>
      <w:r w:rsidRPr="00B22A3D">
        <w:rPr>
          <w:b/>
        </w:rPr>
        <w:t>Valstybės tarnybos įstatymo ir su juo susijusių teisės aktų taikymo ir įgyvendinimo 2008 metų ataskaita</w:t>
      </w:r>
      <w:r>
        <w:t>. http://www.vtd.lt/index.php?-2059211288 [žiūrėta 2013 09 16]</w:t>
      </w:r>
    </w:p>
    <w:p w:rsidR="000E6FB7" w:rsidRDefault="000E6FB7" w:rsidP="00CC565B">
      <w:pPr>
        <w:numPr>
          <w:ilvl w:val="0"/>
          <w:numId w:val="4"/>
        </w:numPr>
        <w:tabs>
          <w:tab w:val="clear" w:pos="720"/>
          <w:tab w:val="num" w:pos="0"/>
        </w:tabs>
        <w:autoSpaceDE w:val="0"/>
        <w:autoSpaceDN w:val="0"/>
        <w:adjustRightInd w:val="0"/>
        <w:spacing w:line="360" w:lineRule="auto"/>
        <w:ind w:left="0" w:firstLine="360"/>
        <w:jc w:val="both"/>
      </w:pPr>
      <w:r w:rsidRPr="00DD1E81">
        <w:rPr>
          <w:b/>
        </w:rPr>
        <w:lastRenderedPageBreak/>
        <w:t>Vidrinskaitė S.</w:t>
      </w:r>
      <w:r>
        <w:t xml:space="preserve"> Savivaldos institucijų veiklos ypatumai / Viešojo sektoriaus institucijų administravimas: kolektyvinė monografija. – Vilnius: Lietuvos teisės universitetas, 2002, p. 94 120. ISBN 9955-442-72-7 </w:t>
      </w:r>
    </w:p>
    <w:p w:rsidR="000E6FB7" w:rsidRDefault="000E6FB7" w:rsidP="00CC565B">
      <w:pPr>
        <w:numPr>
          <w:ilvl w:val="0"/>
          <w:numId w:val="4"/>
        </w:numPr>
        <w:tabs>
          <w:tab w:val="clear" w:pos="720"/>
          <w:tab w:val="num" w:pos="0"/>
        </w:tabs>
        <w:autoSpaceDE w:val="0"/>
        <w:autoSpaceDN w:val="0"/>
        <w:adjustRightInd w:val="0"/>
        <w:spacing w:line="360" w:lineRule="auto"/>
        <w:ind w:left="0" w:firstLine="360"/>
        <w:jc w:val="both"/>
      </w:pPr>
      <w:r w:rsidRPr="00223536">
        <w:rPr>
          <w:b/>
        </w:rPr>
        <w:t>Wolman H., Page E.</w:t>
      </w:r>
      <w:r>
        <w:t xml:space="preserve"> </w:t>
      </w:r>
      <w:r w:rsidRPr="00223536">
        <w:t>The Impact of Intergovernmental Grants on Subnational Resource Disparities: A Cross-National Comparison</w:t>
      </w:r>
      <w:r>
        <w:t xml:space="preserve">. - </w:t>
      </w:r>
      <w:r w:rsidRPr="00223536">
        <w:t>DOI: 10.1111/1540-5850.d01-234</w:t>
      </w:r>
    </w:p>
    <w:p w:rsidR="000E6FB7" w:rsidRDefault="000E6FB7" w:rsidP="00CC565B">
      <w:pPr>
        <w:numPr>
          <w:ilvl w:val="0"/>
          <w:numId w:val="4"/>
        </w:numPr>
        <w:tabs>
          <w:tab w:val="clear" w:pos="720"/>
          <w:tab w:val="num" w:pos="0"/>
        </w:tabs>
        <w:autoSpaceDE w:val="0"/>
        <w:autoSpaceDN w:val="0"/>
        <w:adjustRightInd w:val="0"/>
        <w:spacing w:line="360" w:lineRule="auto"/>
        <w:ind w:left="0" w:firstLine="360"/>
        <w:jc w:val="both"/>
      </w:pPr>
      <w:r w:rsidRPr="00AF6090">
        <w:rPr>
          <w:b/>
          <w:bCs/>
        </w:rPr>
        <w:t xml:space="preserve">Žilinskas G. </w:t>
      </w:r>
      <w:r w:rsidRPr="00AF6090">
        <w:t>Vietos savivalda Lietuvos Respublikoje 1999–</w:t>
      </w:r>
      <w:r>
        <w:t xml:space="preserve">2000 </w:t>
      </w:r>
      <w:r w:rsidRPr="00AF6090">
        <w:t>m. / Viešojo administravimo</w:t>
      </w:r>
      <w:r>
        <w:t xml:space="preserve"> </w:t>
      </w:r>
      <w:r w:rsidRPr="00AF6090">
        <w:t>efektyvumas: kolektyvinė monografija. – Kaunas: Technologija, 2001, p. 198–223. – ISBN 9955-09-095-2</w:t>
      </w:r>
      <w:r>
        <w:t xml:space="preserve"> </w:t>
      </w:r>
    </w:p>
    <w:p w:rsidR="00B22A3D" w:rsidRDefault="00B22A3D" w:rsidP="00185C89">
      <w:pPr>
        <w:autoSpaceDE w:val="0"/>
        <w:autoSpaceDN w:val="0"/>
        <w:adjustRightInd w:val="0"/>
        <w:spacing w:line="360" w:lineRule="auto"/>
        <w:ind w:left="720"/>
        <w:jc w:val="both"/>
      </w:pPr>
    </w:p>
    <w:p w:rsidR="00B22A3D" w:rsidRDefault="00B22A3D" w:rsidP="00185C89">
      <w:pPr>
        <w:autoSpaceDE w:val="0"/>
        <w:autoSpaceDN w:val="0"/>
        <w:adjustRightInd w:val="0"/>
        <w:spacing w:line="360" w:lineRule="auto"/>
        <w:ind w:left="720"/>
        <w:jc w:val="both"/>
      </w:pPr>
    </w:p>
    <w:p w:rsidR="00B22A3D" w:rsidRDefault="00B22A3D" w:rsidP="00185C89">
      <w:pPr>
        <w:autoSpaceDE w:val="0"/>
        <w:autoSpaceDN w:val="0"/>
        <w:adjustRightInd w:val="0"/>
        <w:spacing w:line="360" w:lineRule="auto"/>
        <w:ind w:left="720"/>
        <w:jc w:val="both"/>
      </w:pPr>
    </w:p>
    <w:p w:rsidR="00B22A3D" w:rsidRDefault="00B22A3D" w:rsidP="00185C89">
      <w:pPr>
        <w:autoSpaceDE w:val="0"/>
        <w:autoSpaceDN w:val="0"/>
        <w:adjustRightInd w:val="0"/>
        <w:spacing w:line="360" w:lineRule="auto"/>
        <w:ind w:left="720"/>
        <w:jc w:val="both"/>
      </w:pPr>
    </w:p>
    <w:p w:rsidR="00B22A3D" w:rsidRDefault="00B22A3D" w:rsidP="00185C89">
      <w:pPr>
        <w:autoSpaceDE w:val="0"/>
        <w:autoSpaceDN w:val="0"/>
        <w:adjustRightInd w:val="0"/>
        <w:spacing w:line="360" w:lineRule="auto"/>
        <w:ind w:left="720"/>
        <w:jc w:val="both"/>
      </w:pPr>
    </w:p>
    <w:p w:rsidR="00B22A3D" w:rsidRDefault="00B22A3D" w:rsidP="00185C89">
      <w:pPr>
        <w:autoSpaceDE w:val="0"/>
        <w:autoSpaceDN w:val="0"/>
        <w:adjustRightInd w:val="0"/>
        <w:spacing w:line="360" w:lineRule="auto"/>
        <w:ind w:left="720"/>
        <w:jc w:val="both"/>
      </w:pPr>
    </w:p>
    <w:p w:rsidR="00B22A3D" w:rsidRDefault="00B22A3D" w:rsidP="00185C89">
      <w:pPr>
        <w:autoSpaceDE w:val="0"/>
        <w:autoSpaceDN w:val="0"/>
        <w:adjustRightInd w:val="0"/>
        <w:spacing w:line="360" w:lineRule="auto"/>
        <w:ind w:left="720"/>
        <w:jc w:val="both"/>
      </w:pPr>
    </w:p>
    <w:p w:rsidR="00B22A3D" w:rsidRDefault="00B22A3D" w:rsidP="00185C89">
      <w:pPr>
        <w:autoSpaceDE w:val="0"/>
        <w:autoSpaceDN w:val="0"/>
        <w:adjustRightInd w:val="0"/>
        <w:spacing w:line="360" w:lineRule="auto"/>
        <w:ind w:left="720"/>
        <w:jc w:val="both"/>
      </w:pPr>
    </w:p>
    <w:p w:rsidR="00B22A3D" w:rsidRDefault="00B22A3D" w:rsidP="000E6FB7">
      <w:pPr>
        <w:autoSpaceDE w:val="0"/>
        <w:autoSpaceDN w:val="0"/>
        <w:adjustRightInd w:val="0"/>
        <w:spacing w:line="360" w:lineRule="auto"/>
        <w:jc w:val="both"/>
      </w:pPr>
    </w:p>
    <w:p w:rsidR="000E6FB7" w:rsidRDefault="000E6FB7" w:rsidP="000E6FB7">
      <w:pPr>
        <w:autoSpaceDE w:val="0"/>
        <w:autoSpaceDN w:val="0"/>
        <w:adjustRightInd w:val="0"/>
        <w:spacing w:line="360" w:lineRule="auto"/>
        <w:jc w:val="both"/>
      </w:pPr>
    </w:p>
    <w:p w:rsidR="000E6FB7" w:rsidRDefault="000E6FB7" w:rsidP="000E6FB7">
      <w:pPr>
        <w:autoSpaceDE w:val="0"/>
        <w:autoSpaceDN w:val="0"/>
        <w:adjustRightInd w:val="0"/>
        <w:spacing w:line="360" w:lineRule="auto"/>
        <w:jc w:val="both"/>
      </w:pPr>
    </w:p>
    <w:p w:rsidR="000E6FB7" w:rsidRDefault="000E6FB7" w:rsidP="000E6FB7">
      <w:pPr>
        <w:autoSpaceDE w:val="0"/>
        <w:autoSpaceDN w:val="0"/>
        <w:adjustRightInd w:val="0"/>
        <w:spacing w:line="360" w:lineRule="auto"/>
        <w:jc w:val="both"/>
      </w:pPr>
    </w:p>
    <w:p w:rsidR="000E6FB7" w:rsidRDefault="000E6FB7" w:rsidP="000E6FB7">
      <w:pPr>
        <w:autoSpaceDE w:val="0"/>
        <w:autoSpaceDN w:val="0"/>
        <w:adjustRightInd w:val="0"/>
        <w:spacing w:line="360" w:lineRule="auto"/>
        <w:jc w:val="both"/>
      </w:pPr>
    </w:p>
    <w:p w:rsidR="000E6FB7" w:rsidRDefault="000E6FB7" w:rsidP="000E6FB7">
      <w:pPr>
        <w:autoSpaceDE w:val="0"/>
        <w:autoSpaceDN w:val="0"/>
        <w:adjustRightInd w:val="0"/>
        <w:spacing w:line="360" w:lineRule="auto"/>
        <w:jc w:val="both"/>
      </w:pPr>
    </w:p>
    <w:p w:rsidR="000E6FB7" w:rsidRDefault="000E6FB7" w:rsidP="000E6FB7">
      <w:pPr>
        <w:autoSpaceDE w:val="0"/>
        <w:autoSpaceDN w:val="0"/>
        <w:adjustRightInd w:val="0"/>
        <w:spacing w:line="360" w:lineRule="auto"/>
        <w:jc w:val="both"/>
      </w:pPr>
    </w:p>
    <w:p w:rsidR="000E6FB7" w:rsidRDefault="000E6FB7" w:rsidP="000E6FB7">
      <w:pPr>
        <w:autoSpaceDE w:val="0"/>
        <w:autoSpaceDN w:val="0"/>
        <w:adjustRightInd w:val="0"/>
        <w:spacing w:line="360" w:lineRule="auto"/>
        <w:jc w:val="both"/>
      </w:pPr>
    </w:p>
    <w:p w:rsidR="000E6FB7" w:rsidRDefault="000E6FB7" w:rsidP="000E6FB7">
      <w:pPr>
        <w:autoSpaceDE w:val="0"/>
        <w:autoSpaceDN w:val="0"/>
        <w:adjustRightInd w:val="0"/>
        <w:spacing w:line="360" w:lineRule="auto"/>
        <w:jc w:val="both"/>
      </w:pPr>
    </w:p>
    <w:p w:rsidR="000E6FB7" w:rsidRDefault="000E6FB7" w:rsidP="000E6FB7">
      <w:pPr>
        <w:autoSpaceDE w:val="0"/>
        <w:autoSpaceDN w:val="0"/>
        <w:adjustRightInd w:val="0"/>
        <w:spacing w:line="360" w:lineRule="auto"/>
        <w:jc w:val="both"/>
      </w:pPr>
    </w:p>
    <w:p w:rsidR="000E6FB7" w:rsidRDefault="000E6FB7" w:rsidP="000E6FB7">
      <w:pPr>
        <w:autoSpaceDE w:val="0"/>
        <w:autoSpaceDN w:val="0"/>
        <w:adjustRightInd w:val="0"/>
        <w:spacing w:line="360" w:lineRule="auto"/>
        <w:jc w:val="both"/>
      </w:pPr>
    </w:p>
    <w:p w:rsidR="000E6FB7" w:rsidRDefault="000E6FB7" w:rsidP="000E6FB7">
      <w:pPr>
        <w:autoSpaceDE w:val="0"/>
        <w:autoSpaceDN w:val="0"/>
        <w:adjustRightInd w:val="0"/>
        <w:spacing w:line="360" w:lineRule="auto"/>
        <w:jc w:val="both"/>
      </w:pPr>
    </w:p>
    <w:p w:rsidR="000E6FB7" w:rsidRDefault="000E6FB7" w:rsidP="000E6FB7">
      <w:pPr>
        <w:autoSpaceDE w:val="0"/>
        <w:autoSpaceDN w:val="0"/>
        <w:adjustRightInd w:val="0"/>
        <w:spacing w:line="360" w:lineRule="auto"/>
        <w:jc w:val="both"/>
      </w:pPr>
    </w:p>
    <w:p w:rsidR="000E6FB7" w:rsidRDefault="000E6FB7" w:rsidP="000E6FB7">
      <w:pPr>
        <w:autoSpaceDE w:val="0"/>
        <w:autoSpaceDN w:val="0"/>
        <w:adjustRightInd w:val="0"/>
        <w:spacing w:line="360" w:lineRule="auto"/>
        <w:jc w:val="both"/>
      </w:pPr>
    </w:p>
    <w:p w:rsidR="000E6FB7" w:rsidRDefault="000E6FB7" w:rsidP="000E6FB7">
      <w:pPr>
        <w:autoSpaceDE w:val="0"/>
        <w:autoSpaceDN w:val="0"/>
        <w:adjustRightInd w:val="0"/>
        <w:spacing w:line="360" w:lineRule="auto"/>
        <w:jc w:val="both"/>
      </w:pPr>
    </w:p>
    <w:p w:rsidR="000E6FB7" w:rsidRDefault="000E6FB7" w:rsidP="000E6FB7">
      <w:pPr>
        <w:autoSpaceDE w:val="0"/>
        <w:autoSpaceDN w:val="0"/>
        <w:adjustRightInd w:val="0"/>
        <w:spacing w:line="360" w:lineRule="auto"/>
        <w:jc w:val="both"/>
      </w:pPr>
    </w:p>
    <w:p w:rsidR="000E6FB7" w:rsidRDefault="000E6FB7" w:rsidP="000E6FB7">
      <w:pPr>
        <w:autoSpaceDE w:val="0"/>
        <w:autoSpaceDN w:val="0"/>
        <w:adjustRightInd w:val="0"/>
        <w:spacing w:line="360" w:lineRule="auto"/>
        <w:jc w:val="both"/>
      </w:pPr>
    </w:p>
    <w:p w:rsidR="00C96EB3" w:rsidRPr="00EA413F" w:rsidRDefault="00C96EB3" w:rsidP="00F57DE9">
      <w:pPr>
        <w:autoSpaceDE w:val="0"/>
        <w:autoSpaceDN w:val="0"/>
        <w:adjustRightInd w:val="0"/>
        <w:spacing w:line="360" w:lineRule="auto"/>
        <w:jc w:val="both"/>
      </w:pPr>
      <w:proofErr w:type="gramStart"/>
      <w:r w:rsidRPr="00EA413F">
        <w:rPr>
          <w:b/>
          <w:bCs/>
        </w:rPr>
        <w:lastRenderedPageBreak/>
        <w:t>Fedosovait</w:t>
      </w:r>
      <w:r w:rsidRPr="00EA413F">
        <w:rPr>
          <w:b/>
          <w:bCs/>
          <w:lang w:val="lt-LT"/>
        </w:rPr>
        <w:t>ė S</w:t>
      </w:r>
      <w:r w:rsidRPr="00EA413F">
        <w:rPr>
          <w:b/>
          <w:bCs/>
        </w:rPr>
        <w:t xml:space="preserve">. </w:t>
      </w:r>
      <w:r w:rsidRPr="00EA413F">
        <w:t>Fiskalinė</w:t>
      </w:r>
      <w:r w:rsidR="00EA413F" w:rsidRPr="00EA413F">
        <w:t>s</w:t>
      </w:r>
      <w:r w:rsidRPr="00EA413F">
        <w:t xml:space="preserve"> decentralizacijos </w:t>
      </w:r>
      <w:r w:rsidR="00EA413F" w:rsidRPr="00EA413F">
        <w:t xml:space="preserve">plėtotė </w:t>
      </w:r>
      <w:r w:rsidRPr="00EA413F">
        <w:t xml:space="preserve">ES </w:t>
      </w:r>
      <w:r w:rsidR="00EA413F" w:rsidRPr="00EA413F">
        <w:t>kontekste</w:t>
      </w:r>
      <w:r w:rsidRPr="00EA413F">
        <w:t xml:space="preserve">/ </w:t>
      </w:r>
      <w:r w:rsidR="00EA413F" w:rsidRPr="00EA413F">
        <w:t>Finansų valdymo</w:t>
      </w:r>
      <w:r w:rsidR="00F57DE9">
        <w:t xml:space="preserve"> </w:t>
      </w:r>
      <w:r w:rsidRPr="00EA413F">
        <w:t>magi</w:t>
      </w:r>
      <w:r w:rsidR="003A187A">
        <w:t>stro baigiamasis darbas.</w:t>
      </w:r>
      <w:proofErr w:type="gramEnd"/>
      <w:r w:rsidR="003A187A">
        <w:t xml:space="preserve"> </w:t>
      </w:r>
      <w:proofErr w:type="gramStart"/>
      <w:r w:rsidR="003A187A">
        <w:t>Vadov</w:t>
      </w:r>
      <w:r w:rsidR="003A187A">
        <w:rPr>
          <w:lang w:val="lt-LT"/>
        </w:rPr>
        <w:t>ė</w:t>
      </w:r>
      <w:r w:rsidRPr="00EA413F">
        <w:t xml:space="preserve"> prof. habil.</w:t>
      </w:r>
      <w:proofErr w:type="gramEnd"/>
      <w:r w:rsidRPr="00EA413F">
        <w:t xml:space="preserve"> </w:t>
      </w:r>
      <w:proofErr w:type="gramStart"/>
      <w:r w:rsidRPr="00EA413F">
        <w:t>dr</w:t>
      </w:r>
      <w:proofErr w:type="gramEnd"/>
      <w:r w:rsidRPr="00EA413F">
        <w:t xml:space="preserve">. </w:t>
      </w:r>
      <w:r w:rsidR="003A187A" w:rsidRPr="003A187A">
        <w:t>O. G. Rakauskienė</w:t>
      </w:r>
      <w:r w:rsidRPr="00EA413F">
        <w:t>. – Vilnius: Mykolo Romerio</w:t>
      </w:r>
      <w:r w:rsidR="00F57DE9">
        <w:t xml:space="preserve"> </w:t>
      </w:r>
      <w:r w:rsidRPr="00EA413F">
        <w:t>universitetas, Ekonomikos ir finansų</w:t>
      </w:r>
      <w:r w:rsidR="00EA413F" w:rsidRPr="00EA413F">
        <w:t xml:space="preserve"> valdymo fakultetas, 2014</w:t>
      </w:r>
      <w:r w:rsidR="00382EA4">
        <w:t>. – 90</w:t>
      </w:r>
      <w:r w:rsidRPr="00EA413F">
        <w:t xml:space="preserve"> p.</w:t>
      </w:r>
    </w:p>
    <w:p w:rsidR="00EA413F" w:rsidRPr="00EA413F" w:rsidRDefault="00EA413F" w:rsidP="00EA413F">
      <w:pPr>
        <w:autoSpaceDE w:val="0"/>
        <w:autoSpaceDN w:val="0"/>
        <w:adjustRightInd w:val="0"/>
        <w:spacing w:line="360" w:lineRule="auto"/>
        <w:rPr>
          <w:b/>
          <w:bCs/>
        </w:rPr>
      </w:pPr>
    </w:p>
    <w:p w:rsidR="00EA413F" w:rsidRPr="00EA413F" w:rsidRDefault="00EA413F" w:rsidP="00EA413F">
      <w:pPr>
        <w:autoSpaceDE w:val="0"/>
        <w:autoSpaceDN w:val="0"/>
        <w:adjustRightInd w:val="0"/>
        <w:spacing w:line="360" w:lineRule="auto"/>
        <w:rPr>
          <w:b/>
          <w:bCs/>
        </w:rPr>
      </w:pPr>
    </w:p>
    <w:p w:rsidR="00EA413F" w:rsidRPr="00EA413F" w:rsidRDefault="00EA413F" w:rsidP="00EA413F">
      <w:pPr>
        <w:autoSpaceDE w:val="0"/>
        <w:autoSpaceDN w:val="0"/>
        <w:adjustRightInd w:val="0"/>
        <w:spacing w:line="360" w:lineRule="auto"/>
        <w:rPr>
          <w:b/>
          <w:bCs/>
        </w:rPr>
      </w:pPr>
    </w:p>
    <w:p w:rsidR="00EA413F" w:rsidRPr="00EA413F" w:rsidRDefault="00EA413F" w:rsidP="00EA413F">
      <w:pPr>
        <w:autoSpaceDE w:val="0"/>
        <w:autoSpaceDN w:val="0"/>
        <w:adjustRightInd w:val="0"/>
        <w:spacing w:line="360" w:lineRule="auto"/>
        <w:rPr>
          <w:b/>
          <w:bCs/>
        </w:rPr>
      </w:pPr>
    </w:p>
    <w:p w:rsidR="00C96EB3" w:rsidRPr="00EA413F" w:rsidRDefault="00C96EB3" w:rsidP="00B22A3D">
      <w:pPr>
        <w:pStyle w:val="Heading1"/>
        <w:jc w:val="center"/>
      </w:pPr>
      <w:bookmarkStart w:id="85" w:name="_Toc385249544"/>
      <w:r w:rsidRPr="00EA413F">
        <w:t>ANOTACIJA</w:t>
      </w:r>
      <w:bookmarkEnd w:id="85"/>
    </w:p>
    <w:p w:rsidR="00EA413F" w:rsidRPr="00EA413F" w:rsidRDefault="00EA413F" w:rsidP="00EA413F">
      <w:pPr>
        <w:autoSpaceDE w:val="0"/>
        <w:autoSpaceDN w:val="0"/>
        <w:adjustRightInd w:val="0"/>
        <w:spacing w:line="360" w:lineRule="auto"/>
        <w:jc w:val="center"/>
        <w:rPr>
          <w:b/>
          <w:bCs/>
        </w:rPr>
      </w:pPr>
    </w:p>
    <w:p w:rsidR="00EA413F" w:rsidRPr="00EA413F" w:rsidRDefault="00EA413F" w:rsidP="00EA413F">
      <w:pPr>
        <w:autoSpaceDE w:val="0"/>
        <w:autoSpaceDN w:val="0"/>
        <w:adjustRightInd w:val="0"/>
        <w:spacing w:line="360" w:lineRule="auto"/>
        <w:rPr>
          <w:b/>
          <w:bCs/>
        </w:rPr>
      </w:pPr>
    </w:p>
    <w:p w:rsidR="00C96EB3" w:rsidRPr="00EA413F" w:rsidRDefault="00C96EB3" w:rsidP="00EA413F">
      <w:pPr>
        <w:autoSpaceDE w:val="0"/>
        <w:autoSpaceDN w:val="0"/>
        <w:adjustRightInd w:val="0"/>
        <w:spacing w:line="360" w:lineRule="auto"/>
        <w:ind w:firstLine="720"/>
        <w:jc w:val="both"/>
      </w:pPr>
      <w:r w:rsidRPr="00EA413F">
        <w:t>Šiame magistro baigiamajame darbe išanalizuota ir į</w:t>
      </w:r>
      <w:r w:rsidR="00EA413F" w:rsidRPr="00EA413F">
        <w:t>vertinta 2008</w:t>
      </w:r>
      <w:r w:rsidRPr="00EA413F">
        <w:t>–</w:t>
      </w:r>
      <w:r w:rsidR="00EA413F" w:rsidRPr="00EA413F">
        <w:t>2012</w:t>
      </w:r>
      <w:r w:rsidRPr="00EA413F">
        <w:t xml:space="preserve"> m. fiskalinė</w:t>
      </w:r>
      <w:r w:rsidR="00EA413F" w:rsidRPr="00EA413F">
        <w:t xml:space="preserve"> </w:t>
      </w:r>
      <w:r w:rsidRPr="00EA413F">
        <w:t>decentralizacija Lietuvoje. Pirmoje darbo dalyje, išanalizavus mokslinę literatūrą, apibendrinta</w:t>
      </w:r>
      <w:r w:rsidR="00EA413F" w:rsidRPr="00EA413F">
        <w:t xml:space="preserve"> </w:t>
      </w:r>
      <w:r w:rsidRPr="00EA413F">
        <w:t>fiskalinės decentralizacijos samprata, jos principai ir rūšys. Antroje darbo dalyje nagrinėjami Lietuvos</w:t>
      </w:r>
      <w:r w:rsidR="00EA413F" w:rsidRPr="00EA413F">
        <w:t xml:space="preserve"> </w:t>
      </w:r>
      <w:r w:rsidRPr="00EA413F">
        <w:t>savivaldybių raidos aspektai, aptariamas fiskalinės decentralizaci</w:t>
      </w:r>
      <w:r w:rsidR="00EA413F" w:rsidRPr="00EA413F">
        <w:t xml:space="preserve">jos teisinis reglamentavimas, </w:t>
      </w:r>
      <w:r w:rsidRPr="00EA413F">
        <w:t>savivaldybių finansų sistema</w:t>
      </w:r>
      <w:r w:rsidR="00EA413F" w:rsidRPr="00EA413F">
        <w:t xml:space="preserve"> bei fiskalin</w:t>
      </w:r>
      <w:r w:rsidR="00EA413F" w:rsidRPr="00EA413F">
        <w:rPr>
          <w:lang w:val="lt-LT"/>
        </w:rPr>
        <w:t>ės decentralizacijos vieta Europos Sąjungoje</w:t>
      </w:r>
      <w:r w:rsidRPr="00EA413F">
        <w:t>. Paskutiniame darbo skyriuje į</w:t>
      </w:r>
      <w:r w:rsidR="00EA413F" w:rsidRPr="00EA413F">
        <w:t>vertintas 2008</w:t>
      </w:r>
      <w:r w:rsidRPr="00EA413F">
        <w:t>–</w:t>
      </w:r>
      <w:r w:rsidR="00EA413F" w:rsidRPr="00EA413F">
        <w:t>2012</w:t>
      </w:r>
      <w:r w:rsidRPr="00EA413F">
        <w:t xml:space="preserve"> m. fiskalinės</w:t>
      </w:r>
      <w:r w:rsidR="00EA413F" w:rsidRPr="00EA413F">
        <w:t xml:space="preserve"> </w:t>
      </w:r>
      <w:r w:rsidRPr="00EA413F">
        <w:t>decentralizacijos lygis remiantis išlaidų, pajamų, finansinių pervedimų i</w:t>
      </w:r>
      <w:r w:rsidR="00EA413F" w:rsidRPr="00EA413F">
        <w:t>r skolinimosi dedamosiomis bei Lietuvos fiskalinė decentralizacija palyginta su Europos Sąjungos šalimis narėmis.</w:t>
      </w:r>
      <w:r w:rsidRPr="00EA413F">
        <w:t xml:space="preserve"> Baigiamojo</w:t>
      </w:r>
      <w:r w:rsidR="00EA413F" w:rsidRPr="00EA413F">
        <w:t xml:space="preserve"> </w:t>
      </w:r>
      <w:r w:rsidRPr="00EA413F">
        <w:t>darbo pabaigoje pateikiamos išvados ir siū</w:t>
      </w:r>
      <w:r w:rsidR="00EA413F" w:rsidRPr="00EA413F">
        <w:t xml:space="preserve">lymai, </w:t>
      </w:r>
      <w:r w:rsidRPr="00EA413F">
        <w:t>paremti atlikto tyrimo rezultatais.</w:t>
      </w:r>
    </w:p>
    <w:p w:rsidR="00EA413F" w:rsidRPr="00EA413F" w:rsidRDefault="00EA413F" w:rsidP="00EA413F">
      <w:pPr>
        <w:autoSpaceDE w:val="0"/>
        <w:autoSpaceDN w:val="0"/>
        <w:adjustRightInd w:val="0"/>
        <w:spacing w:line="360" w:lineRule="auto"/>
        <w:ind w:firstLine="720"/>
        <w:jc w:val="both"/>
      </w:pPr>
    </w:p>
    <w:p w:rsidR="00EA413F" w:rsidRPr="00EA413F" w:rsidRDefault="00EA413F" w:rsidP="00EA413F">
      <w:pPr>
        <w:autoSpaceDE w:val="0"/>
        <w:autoSpaceDN w:val="0"/>
        <w:adjustRightInd w:val="0"/>
        <w:spacing w:line="360" w:lineRule="auto"/>
        <w:ind w:firstLine="720"/>
        <w:jc w:val="both"/>
      </w:pPr>
    </w:p>
    <w:p w:rsidR="00EA413F" w:rsidRPr="00EA413F" w:rsidRDefault="00EA413F" w:rsidP="00EA413F">
      <w:pPr>
        <w:autoSpaceDE w:val="0"/>
        <w:autoSpaceDN w:val="0"/>
        <w:adjustRightInd w:val="0"/>
        <w:spacing w:line="360" w:lineRule="auto"/>
        <w:ind w:firstLine="720"/>
        <w:jc w:val="both"/>
      </w:pPr>
    </w:p>
    <w:p w:rsidR="00EA413F" w:rsidRPr="00EA413F" w:rsidRDefault="00EA413F" w:rsidP="00EA413F">
      <w:pPr>
        <w:autoSpaceDE w:val="0"/>
        <w:autoSpaceDN w:val="0"/>
        <w:adjustRightInd w:val="0"/>
        <w:spacing w:line="360" w:lineRule="auto"/>
        <w:ind w:firstLine="720"/>
        <w:jc w:val="both"/>
      </w:pPr>
    </w:p>
    <w:p w:rsidR="008F513B" w:rsidRPr="00EA413F" w:rsidRDefault="00C96EB3" w:rsidP="000A5691">
      <w:pPr>
        <w:autoSpaceDE w:val="0"/>
        <w:autoSpaceDN w:val="0"/>
        <w:adjustRightInd w:val="0"/>
        <w:spacing w:line="360" w:lineRule="auto"/>
        <w:ind w:firstLine="720"/>
        <w:jc w:val="both"/>
      </w:pPr>
      <w:r w:rsidRPr="00EA413F">
        <w:rPr>
          <w:b/>
          <w:bCs/>
        </w:rPr>
        <w:t xml:space="preserve">Pagrindiniai žodžiai: </w:t>
      </w:r>
      <w:r w:rsidRPr="00B51233">
        <w:t>fiskalinė decentralizacija, vietos savivalda, savivaldybės</w:t>
      </w:r>
      <w:r w:rsidR="000A5691">
        <w:t xml:space="preserve"> </w:t>
      </w:r>
      <w:r w:rsidR="00EA413F" w:rsidRPr="00B51233">
        <w:t>finansų sistema, Europos</w:t>
      </w:r>
      <w:r w:rsidR="00D03B02" w:rsidRPr="00B51233">
        <w:t xml:space="preserve"> vietos</w:t>
      </w:r>
      <w:r w:rsidR="00EA413F" w:rsidRPr="00B51233">
        <w:t xml:space="preserve"> savivaldos chartija, subnacionalinės valdžios institucijos</w:t>
      </w:r>
      <w:r w:rsidR="00D03B02">
        <w:t>.</w:t>
      </w:r>
    </w:p>
    <w:p w:rsidR="00694D7A" w:rsidRDefault="00694D7A" w:rsidP="00EA413F">
      <w:pPr>
        <w:autoSpaceDE w:val="0"/>
        <w:autoSpaceDN w:val="0"/>
        <w:adjustRightInd w:val="0"/>
        <w:spacing w:line="360" w:lineRule="auto"/>
        <w:jc w:val="both"/>
        <w:rPr>
          <w:b/>
          <w:bCs/>
        </w:rPr>
      </w:pPr>
    </w:p>
    <w:p w:rsidR="00694D7A" w:rsidRDefault="00694D7A" w:rsidP="00694D7A">
      <w:pPr>
        <w:autoSpaceDE w:val="0"/>
        <w:autoSpaceDN w:val="0"/>
        <w:adjustRightInd w:val="0"/>
        <w:spacing w:line="360" w:lineRule="auto"/>
        <w:jc w:val="both"/>
        <w:rPr>
          <w:b/>
          <w:bCs/>
        </w:rPr>
      </w:pPr>
    </w:p>
    <w:p w:rsidR="00DC5BAB" w:rsidRDefault="00DC5BAB" w:rsidP="00694D7A">
      <w:pPr>
        <w:autoSpaceDE w:val="0"/>
        <w:autoSpaceDN w:val="0"/>
        <w:adjustRightInd w:val="0"/>
        <w:spacing w:line="360" w:lineRule="auto"/>
        <w:jc w:val="both"/>
        <w:rPr>
          <w:b/>
          <w:bCs/>
        </w:rPr>
      </w:pPr>
    </w:p>
    <w:p w:rsidR="00E059D5" w:rsidRDefault="00E059D5" w:rsidP="00694D7A">
      <w:pPr>
        <w:autoSpaceDE w:val="0"/>
        <w:autoSpaceDN w:val="0"/>
        <w:adjustRightInd w:val="0"/>
        <w:spacing w:line="360" w:lineRule="auto"/>
        <w:jc w:val="both"/>
        <w:rPr>
          <w:b/>
          <w:bCs/>
        </w:rPr>
      </w:pPr>
    </w:p>
    <w:p w:rsidR="00EA413F" w:rsidRDefault="00EA413F" w:rsidP="00694D7A">
      <w:pPr>
        <w:autoSpaceDE w:val="0"/>
        <w:autoSpaceDN w:val="0"/>
        <w:adjustRightInd w:val="0"/>
        <w:spacing w:line="360" w:lineRule="auto"/>
        <w:jc w:val="both"/>
        <w:rPr>
          <w:b/>
          <w:bCs/>
        </w:rPr>
      </w:pPr>
    </w:p>
    <w:p w:rsidR="00EA413F" w:rsidRDefault="00EA413F" w:rsidP="00694D7A">
      <w:pPr>
        <w:autoSpaceDE w:val="0"/>
        <w:autoSpaceDN w:val="0"/>
        <w:adjustRightInd w:val="0"/>
        <w:spacing w:line="360" w:lineRule="auto"/>
        <w:jc w:val="both"/>
        <w:rPr>
          <w:b/>
          <w:bCs/>
        </w:rPr>
      </w:pPr>
    </w:p>
    <w:p w:rsidR="00EA413F" w:rsidRDefault="00EA413F" w:rsidP="00694D7A">
      <w:pPr>
        <w:autoSpaceDE w:val="0"/>
        <w:autoSpaceDN w:val="0"/>
        <w:adjustRightInd w:val="0"/>
        <w:spacing w:line="360" w:lineRule="auto"/>
        <w:jc w:val="both"/>
        <w:rPr>
          <w:b/>
          <w:bCs/>
        </w:rPr>
      </w:pPr>
    </w:p>
    <w:p w:rsidR="00DC5BAB" w:rsidRDefault="00DC5BAB" w:rsidP="00694D7A">
      <w:pPr>
        <w:autoSpaceDE w:val="0"/>
        <w:autoSpaceDN w:val="0"/>
        <w:adjustRightInd w:val="0"/>
        <w:spacing w:line="360" w:lineRule="auto"/>
        <w:jc w:val="both"/>
        <w:rPr>
          <w:b/>
          <w:bCs/>
        </w:rPr>
      </w:pPr>
    </w:p>
    <w:p w:rsidR="00DC5BAB" w:rsidRPr="00DC5BAB" w:rsidRDefault="00D03B02" w:rsidP="002A4977">
      <w:pPr>
        <w:autoSpaceDE w:val="0"/>
        <w:autoSpaceDN w:val="0"/>
        <w:adjustRightInd w:val="0"/>
        <w:spacing w:line="360" w:lineRule="auto"/>
        <w:jc w:val="both"/>
        <w:rPr>
          <w:bCs/>
        </w:rPr>
      </w:pPr>
      <w:bookmarkStart w:id="86" w:name="_Toc345766257"/>
      <w:r w:rsidRPr="00DC5BAB">
        <w:rPr>
          <w:b/>
          <w:bCs/>
        </w:rPr>
        <w:lastRenderedPageBreak/>
        <w:t>Fedosovaitė S</w:t>
      </w:r>
      <w:r w:rsidR="00EA413F" w:rsidRPr="00DC5BAB">
        <w:rPr>
          <w:b/>
          <w:bCs/>
        </w:rPr>
        <w:t xml:space="preserve">. </w:t>
      </w:r>
      <w:proofErr w:type="gramStart"/>
      <w:r w:rsidR="00DC5BAB" w:rsidRPr="00DC5BAB">
        <w:rPr>
          <w:bCs/>
        </w:rPr>
        <w:t>The development of the fiscal decentralization in the EU context/Financial Management Master thesis paper.</w:t>
      </w:r>
      <w:proofErr w:type="gramEnd"/>
      <w:r w:rsidR="00DC5BAB" w:rsidRPr="00DC5BAB">
        <w:rPr>
          <w:bCs/>
        </w:rPr>
        <w:t xml:space="preserve"> </w:t>
      </w:r>
      <w:proofErr w:type="gramStart"/>
      <w:r w:rsidR="00DC5BAB" w:rsidRPr="00DC5BAB">
        <w:rPr>
          <w:bCs/>
        </w:rPr>
        <w:t>Supervisor assoc. prof. habil.</w:t>
      </w:r>
      <w:proofErr w:type="gramEnd"/>
      <w:r w:rsidR="00DC5BAB" w:rsidRPr="00DC5BAB">
        <w:rPr>
          <w:bCs/>
        </w:rPr>
        <w:t xml:space="preserve"> </w:t>
      </w:r>
      <w:proofErr w:type="gramStart"/>
      <w:r w:rsidR="00DC5BAB" w:rsidRPr="00DC5BAB">
        <w:rPr>
          <w:bCs/>
        </w:rPr>
        <w:t>dr</w:t>
      </w:r>
      <w:proofErr w:type="gramEnd"/>
      <w:r w:rsidR="00DC5BAB" w:rsidRPr="00DC5BAB">
        <w:rPr>
          <w:bCs/>
        </w:rPr>
        <w:t xml:space="preserve">. </w:t>
      </w:r>
      <w:r w:rsidR="003A187A" w:rsidRPr="003A187A">
        <w:rPr>
          <w:bCs/>
        </w:rPr>
        <w:t>O. G. Rakauskienė</w:t>
      </w:r>
      <w:r w:rsidR="00DC5BAB" w:rsidRPr="00DC5BAB">
        <w:rPr>
          <w:bCs/>
        </w:rPr>
        <w:t>. – Vilnius: Faculty of Economics and Finance Management, Mykola</w:t>
      </w:r>
      <w:r w:rsidR="00382EA4">
        <w:rPr>
          <w:bCs/>
        </w:rPr>
        <w:t>s Romeris University, 2014. – 90</w:t>
      </w:r>
      <w:r w:rsidR="00DC5BAB" w:rsidRPr="00DC5BAB">
        <w:rPr>
          <w:bCs/>
        </w:rPr>
        <w:t xml:space="preserve"> p.</w:t>
      </w:r>
    </w:p>
    <w:p w:rsidR="00EA413F" w:rsidRPr="00DC5BAB" w:rsidRDefault="00EA413F" w:rsidP="002A4977">
      <w:pPr>
        <w:autoSpaceDE w:val="0"/>
        <w:autoSpaceDN w:val="0"/>
        <w:adjustRightInd w:val="0"/>
        <w:spacing w:line="360" w:lineRule="auto"/>
        <w:rPr>
          <w:bCs/>
        </w:rPr>
      </w:pPr>
    </w:p>
    <w:p w:rsidR="00EA413F" w:rsidRDefault="00EA413F" w:rsidP="000D1B96">
      <w:pPr>
        <w:pStyle w:val="Heading1"/>
        <w:jc w:val="center"/>
        <w:rPr>
          <w:bCs w:val="0"/>
        </w:rPr>
      </w:pPr>
    </w:p>
    <w:p w:rsidR="00EA413F" w:rsidRDefault="00EA413F" w:rsidP="000D1B96">
      <w:pPr>
        <w:pStyle w:val="Heading1"/>
        <w:jc w:val="center"/>
        <w:rPr>
          <w:bCs w:val="0"/>
        </w:rPr>
      </w:pPr>
    </w:p>
    <w:p w:rsidR="00EA413F" w:rsidRDefault="00D03B02" w:rsidP="000D1B96">
      <w:pPr>
        <w:pStyle w:val="Heading1"/>
        <w:jc w:val="center"/>
        <w:rPr>
          <w:bCs w:val="0"/>
        </w:rPr>
      </w:pPr>
      <w:bookmarkStart w:id="87" w:name="_Toc385249545"/>
      <w:r>
        <w:rPr>
          <w:bCs w:val="0"/>
        </w:rPr>
        <w:t>ANNOTATION</w:t>
      </w:r>
      <w:bookmarkEnd w:id="87"/>
    </w:p>
    <w:p w:rsidR="002A4977" w:rsidRDefault="002A4977" w:rsidP="002A4977"/>
    <w:p w:rsidR="002A4977" w:rsidRDefault="002A4977" w:rsidP="002A4977"/>
    <w:p w:rsidR="002A4977" w:rsidRPr="002A4977" w:rsidRDefault="002A4977" w:rsidP="002A4977">
      <w:pPr>
        <w:spacing w:line="360" w:lineRule="auto"/>
        <w:ind w:firstLine="720"/>
        <w:jc w:val="both"/>
      </w:pPr>
      <w:r w:rsidRPr="002A4977">
        <w:t>This Master thesis paper contains the analysis and evaluation of the fiscal decentralization in Lithuania in the years 2008-2012. The conception, principles and types of the fiscal decentralization in Lithuania is summarized in the first part of the work. The development aspects of Lithuanian municipalities are covered in the second part of the work, where the legal regulations of fiscal decentralization, financial system of municipalities and the position of the fiscal decentralization in the European Union are overviewed. The last part of the paper includes the fiscal decentralization level evaluation of the years 2008-2012 based on expenses, revenues, financial transactions and the borrowing components as well as the comparison of Lithuanian fiscal decentralization to the Member States of the European Union. The conclusion and proposals, based on the results of the research analysis, are provided at the end of the paper.</w:t>
      </w:r>
    </w:p>
    <w:p w:rsidR="00EA413F" w:rsidRDefault="00EA413F" w:rsidP="000D1B96">
      <w:pPr>
        <w:pStyle w:val="Heading1"/>
        <w:jc w:val="center"/>
        <w:rPr>
          <w:bCs w:val="0"/>
        </w:rPr>
      </w:pPr>
    </w:p>
    <w:p w:rsidR="00D03B02" w:rsidRDefault="00D03B02" w:rsidP="00D03B02"/>
    <w:p w:rsidR="00D03B02" w:rsidRDefault="00D03B02" w:rsidP="00D03B02"/>
    <w:p w:rsidR="00D03B02" w:rsidRDefault="00D03B02" w:rsidP="00D03B02"/>
    <w:p w:rsidR="00D03B02" w:rsidRDefault="00D03B02" w:rsidP="00D03B02"/>
    <w:p w:rsidR="00D03B02" w:rsidRDefault="00D03B02" w:rsidP="00D03B02"/>
    <w:p w:rsidR="00D03B02" w:rsidRDefault="00D03B02" w:rsidP="00D03B02"/>
    <w:p w:rsidR="00D03B02" w:rsidRDefault="00D03B02" w:rsidP="00D03B02"/>
    <w:p w:rsidR="00D03B02" w:rsidRDefault="00D03B02" w:rsidP="000A5691">
      <w:pPr>
        <w:spacing w:line="360" w:lineRule="auto"/>
        <w:ind w:firstLine="720"/>
        <w:jc w:val="both"/>
      </w:pPr>
      <w:r w:rsidRPr="00D03B02">
        <w:rPr>
          <w:b/>
        </w:rPr>
        <w:t xml:space="preserve">Key words: </w:t>
      </w:r>
      <w:bookmarkStart w:id="88" w:name="_GoBack"/>
      <w:r>
        <w:t xml:space="preserve">fiscal decentralization, local government, </w:t>
      </w:r>
      <w:proofErr w:type="gramStart"/>
      <w:r w:rsidR="002C5D47">
        <w:t>municipalities</w:t>
      </w:r>
      <w:proofErr w:type="gramEnd"/>
      <w:r w:rsidR="002C5D47">
        <w:t xml:space="preserve"> fiscal system, </w:t>
      </w:r>
      <w:r w:rsidRPr="00D03B02">
        <w:t>European Charter of Local Self</w:t>
      </w:r>
      <w:r w:rsidR="002C5D47">
        <w:t xml:space="preserve"> Governance, subnational governments institutions.</w:t>
      </w:r>
      <w:bookmarkEnd w:id="88"/>
    </w:p>
    <w:p w:rsidR="00D03B02" w:rsidRDefault="00D03B02" w:rsidP="000E6FB7">
      <w:pPr>
        <w:spacing w:line="360" w:lineRule="auto"/>
      </w:pPr>
    </w:p>
    <w:p w:rsidR="00D03B02" w:rsidRDefault="00D03B02" w:rsidP="00D03B02"/>
    <w:p w:rsidR="00D03B02" w:rsidRDefault="00D03B02" w:rsidP="00D03B02"/>
    <w:p w:rsidR="00D03B02" w:rsidRDefault="00D03B02" w:rsidP="00D03B02"/>
    <w:p w:rsidR="00D03B02" w:rsidRDefault="00D03B02" w:rsidP="00D03B02"/>
    <w:p w:rsidR="00D03B02" w:rsidRDefault="00D03B02" w:rsidP="00D03B02"/>
    <w:p w:rsidR="00D03B02" w:rsidRDefault="00D03B02" w:rsidP="00D03B02"/>
    <w:p w:rsidR="00D03B02" w:rsidRPr="00F92ECC" w:rsidRDefault="00D03B02" w:rsidP="00F92ECC">
      <w:pPr>
        <w:autoSpaceDE w:val="0"/>
        <w:autoSpaceDN w:val="0"/>
        <w:adjustRightInd w:val="0"/>
        <w:spacing w:line="360" w:lineRule="auto"/>
      </w:pPr>
      <w:r w:rsidRPr="00F92ECC">
        <w:rPr>
          <w:b/>
          <w:bCs/>
        </w:rPr>
        <w:lastRenderedPageBreak/>
        <w:t>Fedosovait</w:t>
      </w:r>
      <w:r w:rsidRPr="00F92ECC">
        <w:rPr>
          <w:b/>
          <w:bCs/>
          <w:lang w:val="lt-LT"/>
        </w:rPr>
        <w:t>ė S</w:t>
      </w:r>
      <w:r w:rsidRPr="00F92ECC">
        <w:rPr>
          <w:b/>
          <w:bCs/>
        </w:rPr>
        <w:t xml:space="preserve">. </w:t>
      </w:r>
      <w:r w:rsidRPr="00F92ECC">
        <w:t>Fiskalinės decentralizacijos plėtotė ES kontekste/ Finansų valdymo</w:t>
      </w:r>
    </w:p>
    <w:p w:rsidR="00D03B02" w:rsidRPr="00F92ECC" w:rsidRDefault="00D03B02" w:rsidP="00F92ECC">
      <w:pPr>
        <w:autoSpaceDE w:val="0"/>
        <w:autoSpaceDN w:val="0"/>
        <w:adjustRightInd w:val="0"/>
        <w:spacing w:line="360" w:lineRule="auto"/>
      </w:pPr>
      <w:r w:rsidRPr="00F92ECC">
        <w:t xml:space="preserve">magistro baigiamasis </w:t>
      </w:r>
      <w:r w:rsidR="003A187A">
        <w:t xml:space="preserve">darbas. </w:t>
      </w:r>
      <w:proofErr w:type="gramStart"/>
      <w:r w:rsidR="003A187A">
        <w:t>Vadovė</w:t>
      </w:r>
      <w:r w:rsidRPr="00F92ECC">
        <w:t xml:space="preserve"> prof. habil.</w:t>
      </w:r>
      <w:proofErr w:type="gramEnd"/>
      <w:r w:rsidRPr="00F92ECC">
        <w:t xml:space="preserve"> </w:t>
      </w:r>
      <w:proofErr w:type="gramStart"/>
      <w:r w:rsidRPr="00F92ECC">
        <w:t>dr</w:t>
      </w:r>
      <w:proofErr w:type="gramEnd"/>
      <w:r w:rsidRPr="00F92ECC">
        <w:t xml:space="preserve">. </w:t>
      </w:r>
      <w:r w:rsidR="003A187A" w:rsidRPr="003A187A">
        <w:t>O. G. Rakauskienė</w:t>
      </w:r>
      <w:r w:rsidRPr="00F92ECC">
        <w:t>. – Vilnius: Mykolo Romerio</w:t>
      </w:r>
    </w:p>
    <w:p w:rsidR="00D03B02" w:rsidRPr="00F92ECC" w:rsidRDefault="00D03B02" w:rsidP="00F92ECC">
      <w:pPr>
        <w:autoSpaceDE w:val="0"/>
        <w:autoSpaceDN w:val="0"/>
        <w:adjustRightInd w:val="0"/>
        <w:spacing w:line="360" w:lineRule="auto"/>
      </w:pPr>
      <w:r w:rsidRPr="00F92ECC">
        <w:t>universitetas, Ekonomikos ir finans</w:t>
      </w:r>
      <w:r w:rsidR="00382EA4">
        <w:t>ų valdymo fakultetas, 2014. – 90</w:t>
      </w:r>
      <w:r w:rsidRPr="00F92ECC">
        <w:t xml:space="preserve"> p.</w:t>
      </w:r>
    </w:p>
    <w:p w:rsidR="00D03B02" w:rsidRPr="00F92ECC" w:rsidRDefault="00D03B02" w:rsidP="00F92ECC">
      <w:pPr>
        <w:autoSpaceDE w:val="0"/>
        <w:autoSpaceDN w:val="0"/>
        <w:adjustRightInd w:val="0"/>
        <w:spacing w:line="360" w:lineRule="auto"/>
        <w:rPr>
          <w:b/>
          <w:bCs/>
        </w:rPr>
      </w:pPr>
    </w:p>
    <w:p w:rsidR="00D03B02" w:rsidRPr="00F92ECC" w:rsidRDefault="00D03B02" w:rsidP="00F92ECC">
      <w:pPr>
        <w:autoSpaceDE w:val="0"/>
        <w:autoSpaceDN w:val="0"/>
        <w:adjustRightInd w:val="0"/>
        <w:spacing w:line="360" w:lineRule="auto"/>
        <w:rPr>
          <w:b/>
          <w:bCs/>
        </w:rPr>
      </w:pPr>
    </w:p>
    <w:p w:rsidR="00D03B02" w:rsidRDefault="00D03B02" w:rsidP="00B22A3D">
      <w:pPr>
        <w:pStyle w:val="Heading1"/>
        <w:jc w:val="center"/>
      </w:pPr>
      <w:bookmarkStart w:id="89" w:name="_Toc385249546"/>
      <w:r w:rsidRPr="00F92ECC">
        <w:t>SANTRAUKA</w:t>
      </w:r>
      <w:bookmarkEnd w:id="89"/>
    </w:p>
    <w:p w:rsidR="00F92ECC" w:rsidRPr="00F92ECC" w:rsidRDefault="00F92ECC" w:rsidP="00F92ECC">
      <w:pPr>
        <w:autoSpaceDE w:val="0"/>
        <w:autoSpaceDN w:val="0"/>
        <w:adjustRightInd w:val="0"/>
        <w:spacing w:line="360" w:lineRule="auto"/>
        <w:rPr>
          <w:b/>
          <w:bCs/>
        </w:rPr>
      </w:pPr>
    </w:p>
    <w:p w:rsidR="00D03B02" w:rsidRPr="00F92ECC" w:rsidRDefault="00F92ECC" w:rsidP="002E1BF3">
      <w:pPr>
        <w:autoSpaceDE w:val="0"/>
        <w:autoSpaceDN w:val="0"/>
        <w:adjustRightInd w:val="0"/>
        <w:spacing w:line="360" w:lineRule="auto"/>
        <w:ind w:firstLine="720"/>
        <w:jc w:val="both"/>
      </w:pPr>
      <w:r>
        <w:t>Finansų valdymo</w:t>
      </w:r>
      <w:r w:rsidR="00D03B02" w:rsidRPr="00F92ECC">
        <w:t xml:space="preserve"> magistro baigiamojo darbo tema yra aktuali, kadangi </w:t>
      </w:r>
      <w:r w:rsidR="00807BE8" w:rsidRPr="00807BE8">
        <w:t>stodama į Europos tarybą Lietuva įsipareigojo pasirašyti ir ratifikuoti Europos vietos savivaldos chartiją,</w:t>
      </w:r>
      <w:r w:rsidR="00807BE8">
        <w:t xml:space="preserve"> kuri remiasi subsidiarumo principu. </w:t>
      </w:r>
      <w:r w:rsidR="00807BE8" w:rsidRPr="00807BE8">
        <w:t xml:space="preserve">Chartijos ratifikavimas neabejotinai buvo teigiamas žingsnis plėtojant demokratiją, įgyvendinant decentralizacijos ir subsidarumo principus Lietuvoje. </w:t>
      </w:r>
      <w:r w:rsidR="00D03B02" w:rsidRPr="00F92ECC">
        <w:t>Todėl</w:t>
      </w:r>
      <w:r w:rsidR="00807BE8">
        <w:t xml:space="preserve"> </w:t>
      </w:r>
      <w:r w:rsidR="00D03B02" w:rsidRPr="00F92ECC">
        <w:t>kyla poreikis įvertinti ir išanalizuoti fiskalinė</w:t>
      </w:r>
      <w:r w:rsidR="00807BE8">
        <w:t xml:space="preserve">s decentralizacijos lygį šalyje bei palyginti su kitomis Europos Sąjungos šalimis. </w:t>
      </w:r>
      <w:r w:rsidR="00D03B02" w:rsidRPr="00F92ECC">
        <w:t>Šio darbo problema – koks</w:t>
      </w:r>
      <w:r w:rsidR="00807BE8">
        <w:t xml:space="preserve"> </w:t>
      </w:r>
      <w:r w:rsidR="00D03B02" w:rsidRPr="00F92ECC">
        <w:t xml:space="preserve">Lietuvos fiskalinės decentralizacijos lygis </w:t>
      </w:r>
      <w:r w:rsidR="00807BE8">
        <w:t>ES kontekste</w:t>
      </w:r>
      <w:r w:rsidR="00D03B02" w:rsidRPr="00F92ECC">
        <w:t>. Darbo objektas –</w:t>
      </w:r>
      <w:r w:rsidR="00807BE8">
        <w:t xml:space="preserve"> </w:t>
      </w:r>
      <w:r w:rsidR="00D03B02" w:rsidRPr="00F92ECC">
        <w:t>fiskalinė decentraliza</w:t>
      </w:r>
      <w:r w:rsidR="00807BE8">
        <w:t xml:space="preserve">cija, o tikslas – </w:t>
      </w:r>
      <w:r w:rsidR="002E1BF3">
        <w:t>nustatyti fiskalinės decentralizacijos lygį</w:t>
      </w:r>
      <w:r w:rsidR="00D03B02" w:rsidRPr="00F92ECC">
        <w:t xml:space="preserve"> Lietuvoje</w:t>
      </w:r>
      <w:r w:rsidR="00807BE8">
        <w:t xml:space="preserve"> ir palyginti su ES</w:t>
      </w:r>
      <w:r w:rsidR="00D03B02" w:rsidRPr="00F92ECC">
        <w:t>. Šiam</w:t>
      </w:r>
      <w:r w:rsidR="002E1BF3">
        <w:t xml:space="preserve"> </w:t>
      </w:r>
      <w:r w:rsidR="00D03B02" w:rsidRPr="00F92ECC">
        <w:t xml:space="preserve">tikslui pasiekti buvo iškelti tokie uždaviniai: </w:t>
      </w:r>
      <w:r w:rsidR="002E1BF3">
        <w:t>apibrėžti fiskalinės decentralizacijos sampratą, apžvelgti fiskalinės decentralizacijos teisinį reglamentavimą Lietuvoje, išanalizuoti fiskalinės decentralizacijos lygį Lietuvoje, lyginant su kitomis ES šalimis, pateikti išvadas ir siūlymus dėl fiskalinės decentralizacijos Lietuvoje.</w:t>
      </w:r>
    </w:p>
    <w:p w:rsidR="00D03B02" w:rsidRPr="00E06981" w:rsidRDefault="00F92ECC" w:rsidP="00E06981">
      <w:pPr>
        <w:spacing w:line="360" w:lineRule="auto"/>
        <w:ind w:firstLine="720"/>
        <w:jc w:val="both"/>
        <w:rPr>
          <w:lang w:val="lt-LT"/>
        </w:rPr>
      </w:pPr>
      <w:r w:rsidRPr="00F92ECC">
        <w:t xml:space="preserve">Rengiant magistro darbą buvo naudojami </w:t>
      </w:r>
      <w:r w:rsidR="002E1BF3">
        <w:t xml:space="preserve">tokie mokslinio tyrimo metodai: mokslinės literatūros analyzė, teisinių aktų analyzė, statistinių duomenų analyzė, lyginamoji analizė. </w:t>
      </w:r>
      <w:r w:rsidRPr="00F92ECC">
        <w:t>Gauti tyrimo rezultatai parodė, kad fiskalinės decentralizacijos lygis Lietuvoje, atsižvelgus į</w:t>
      </w:r>
      <w:r w:rsidR="002E1BF3">
        <w:t xml:space="preserve"> </w:t>
      </w:r>
      <w:r w:rsidRPr="00F92ECC">
        <w:t xml:space="preserve">fiskalinės decentralizacijos dedamąsias, yra </w:t>
      </w:r>
      <w:r w:rsidR="002E1BF3">
        <w:t>vidutinis</w:t>
      </w:r>
      <w:r w:rsidRPr="00F92ECC">
        <w:t xml:space="preserve">. </w:t>
      </w:r>
      <w:r w:rsidR="002E1BF3">
        <w:t>Fiskalinės decentralizacijos atžvilgiu Lietuva tarp ES narių yra per vidurį, tačiau atsilieka nuo ES vidurkio. Darbe pastebėti ir neigiami fiskalinės decentralizacijos aspektai</w:t>
      </w:r>
      <w:r w:rsidR="00E06981">
        <w:t xml:space="preserve"> (kompetencijos stoka, korupcija, region netolygus vystymasis ir kt.)</w:t>
      </w:r>
      <w:r w:rsidR="002E1BF3">
        <w:t>.</w:t>
      </w:r>
      <w:r w:rsidRPr="00F92ECC">
        <w:t xml:space="preserve"> </w:t>
      </w:r>
      <w:r w:rsidR="00E06981">
        <w:t>Todėl atsižvelgus į juos b</w:t>
      </w:r>
      <w:r w:rsidR="00E06981">
        <w:rPr>
          <w:lang w:val="lt-LT"/>
        </w:rPr>
        <w:t>ūtina plėsti fiskalinę decentralizaciją Lietuvoje, nes ji yra demokratijos pagrindas.</w:t>
      </w:r>
    </w:p>
    <w:p w:rsidR="00D03B02" w:rsidRDefault="00D03B02" w:rsidP="00D03B02"/>
    <w:p w:rsidR="00D03B02" w:rsidRDefault="00D03B02" w:rsidP="00D03B02"/>
    <w:p w:rsidR="00D03B02" w:rsidRDefault="00D03B02" w:rsidP="00D03B02"/>
    <w:p w:rsidR="00D03B02" w:rsidRDefault="00D03B02" w:rsidP="00D03B02"/>
    <w:p w:rsidR="00D03B02" w:rsidRDefault="00D03B02" w:rsidP="00D03B02"/>
    <w:p w:rsidR="00D03B02" w:rsidRDefault="00D03B02" w:rsidP="00D03B02"/>
    <w:p w:rsidR="00E06981" w:rsidRDefault="00E06981" w:rsidP="00D03B02"/>
    <w:p w:rsidR="00D03B02" w:rsidRDefault="00D03B02" w:rsidP="00D03B02"/>
    <w:p w:rsidR="00D03B02" w:rsidRDefault="00D03B02" w:rsidP="00D03B02"/>
    <w:p w:rsidR="00D03B02" w:rsidRDefault="00D03B02" w:rsidP="00D03B02"/>
    <w:p w:rsidR="00D03B02" w:rsidRPr="00D03B02" w:rsidRDefault="00D03B02" w:rsidP="00D03B02"/>
    <w:p w:rsidR="00E06981" w:rsidRDefault="00E06981" w:rsidP="000D1B96">
      <w:pPr>
        <w:pStyle w:val="Heading1"/>
        <w:jc w:val="center"/>
        <w:rPr>
          <w:bCs w:val="0"/>
        </w:rPr>
      </w:pPr>
    </w:p>
    <w:p w:rsidR="00E06981" w:rsidRPr="002A4977" w:rsidRDefault="002A4977" w:rsidP="002A4977">
      <w:pPr>
        <w:pStyle w:val="Heading1"/>
        <w:spacing w:before="0" w:after="0" w:line="360" w:lineRule="auto"/>
        <w:jc w:val="both"/>
        <w:rPr>
          <w:b w:val="0"/>
          <w:bCs w:val="0"/>
        </w:rPr>
      </w:pPr>
      <w:r w:rsidRPr="002A4977">
        <w:rPr>
          <w:bCs w:val="0"/>
        </w:rPr>
        <w:t>Fedosovaitė S.</w:t>
      </w:r>
      <w:r w:rsidRPr="002A4977">
        <w:rPr>
          <w:b w:val="0"/>
          <w:bCs w:val="0"/>
        </w:rPr>
        <w:t xml:space="preserve"> </w:t>
      </w:r>
      <w:proofErr w:type="gramStart"/>
      <w:r w:rsidRPr="002A4977">
        <w:rPr>
          <w:b w:val="0"/>
          <w:bCs w:val="0"/>
        </w:rPr>
        <w:t>The development of the fiscal decentralization in the EU context/Financial Management Master thesis paper.</w:t>
      </w:r>
      <w:proofErr w:type="gramEnd"/>
      <w:r w:rsidRPr="002A4977">
        <w:rPr>
          <w:b w:val="0"/>
          <w:bCs w:val="0"/>
        </w:rPr>
        <w:t xml:space="preserve"> </w:t>
      </w:r>
      <w:proofErr w:type="gramStart"/>
      <w:r w:rsidRPr="002A4977">
        <w:rPr>
          <w:b w:val="0"/>
          <w:bCs w:val="0"/>
        </w:rPr>
        <w:t>Supervisor assoc. prof. habil.</w:t>
      </w:r>
      <w:proofErr w:type="gramEnd"/>
      <w:r w:rsidRPr="002A4977">
        <w:rPr>
          <w:b w:val="0"/>
          <w:bCs w:val="0"/>
        </w:rPr>
        <w:t xml:space="preserve"> </w:t>
      </w:r>
      <w:proofErr w:type="gramStart"/>
      <w:r w:rsidRPr="002A4977">
        <w:rPr>
          <w:b w:val="0"/>
          <w:bCs w:val="0"/>
        </w:rPr>
        <w:t>dr</w:t>
      </w:r>
      <w:proofErr w:type="gramEnd"/>
      <w:r w:rsidRPr="002A4977">
        <w:rPr>
          <w:b w:val="0"/>
          <w:bCs w:val="0"/>
        </w:rPr>
        <w:t xml:space="preserve">. </w:t>
      </w:r>
      <w:r w:rsidR="003A187A" w:rsidRPr="003A187A">
        <w:rPr>
          <w:b w:val="0"/>
          <w:bCs w:val="0"/>
        </w:rPr>
        <w:t>O. G. Rakauskienė</w:t>
      </w:r>
      <w:r w:rsidRPr="002A4977">
        <w:rPr>
          <w:b w:val="0"/>
          <w:bCs w:val="0"/>
        </w:rPr>
        <w:t>. – Vilnius: Faculty of Economics and Finance Management, Mykolas Romeris University, 2014</w:t>
      </w:r>
      <w:r w:rsidR="00382EA4">
        <w:rPr>
          <w:b w:val="0"/>
          <w:bCs w:val="0"/>
        </w:rPr>
        <w:t>. – 90</w:t>
      </w:r>
      <w:r w:rsidRPr="002A4977">
        <w:rPr>
          <w:b w:val="0"/>
          <w:bCs w:val="0"/>
        </w:rPr>
        <w:t xml:space="preserve"> p.</w:t>
      </w:r>
    </w:p>
    <w:p w:rsidR="002A4977" w:rsidRDefault="002A4977" w:rsidP="00DC5BAB"/>
    <w:p w:rsidR="002A4977" w:rsidRDefault="002A4977" w:rsidP="00DC5BAB"/>
    <w:p w:rsidR="002A4977" w:rsidRPr="00DC5BAB" w:rsidRDefault="002A4977" w:rsidP="00DC5BAB"/>
    <w:p w:rsidR="002A4977" w:rsidRDefault="00DC5BAB" w:rsidP="002A4977">
      <w:pPr>
        <w:pStyle w:val="Heading1"/>
        <w:tabs>
          <w:tab w:val="center" w:pos="5127"/>
        </w:tabs>
        <w:spacing w:before="0" w:after="0" w:line="360" w:lineRule="auto"/>
        <w:jc w:val="center"/>
        <w:rPr>
          <w:bCs w:val="0"/>
        </w:rPr>
      </w:pPr>
      <w:r>
        <w:rPr>
          <w:bCs w:val="0"/>
        </w:rPr>
        <w:t>SUMMARY</w:t>
      </w:r>
    </w:p>
    <w:p w:rsidR="002A4977" w:rsidRPr="002A4977" w:rsidRDefault="002A4977" w:rsidP="002A4977">
      <w:pPr>
        <w:spacing w:line="360" w:lineRule="auto"/>
      </w:pPr>
    </w:p>
    <w:p w:rsidR="002A4977" w:rsidRDefault="00DC5BAB" w:rsidP="002A4977">
      <w:pPr>
        <w:pStyle w:val="Heading1"/>
        <w:spacing w:before="0" w:after="0" w:line="360" w:lineRule="auto"/>
        <w:ind w:firstLine="720"/>
        <w:jc w:val="both"/>
        <w:rPr>
          <w:bCs w:val="0"/>
        </w:rPr>
      </w:pPr>
      <w:r w:rsidRPr="00DC5BAB">
        <w:rPr>
          <w:b w:val="0"/>
          <w:bCs w:val="0"/>
        </w:rPr>
        <w:t xml:space="preserve">Financial Management Master's thesis topic is relevant, since Lithuania entering the European Council committed to ratify the European Charter of Local Self-Government, which is based on the principle of subsidiarity. The ratification of the Charter was undoubtedly a positive action reinforcing the development of democracy, implementing decentralization and the principles of subsidiarity in Lithuania. This is the reason demanding to analyze and evaluate the level of fiscal decentralization in the country and to compare to other European Union member countries. The problem raised in the thesis is to define the level of the Lithuanian fiscal decentralization in the context of the EU. </w:t>
      </w:r>
      <w:proofErr w:type="gramStart"/>
      <w:r w:rsidRPr="00DC5BAB">
        <w:rPr>
          <w:b w:val="0"/>
          <w:bCs w:val="0"/>
        </w:rPr>
        <w:t>The objective of the thesis – fiscal decentralization, and aim – to define the level of fiscal decentralization in Lithuania and to compare with EU.</w:t>
      </w:r>
      <w:proofErr w:type="gramEnd"/>
      <w:r w:rsidRPr="00DC5BAB">
        <w:rPr>
          <w:b w:val="0"/>
          <w:bCs w:val="0"/>
        </w:rPr>
        <w:t xml:space="preserve"> In order to meet the aim the following tasks where determined: to define the conception of the fiscal decentralization, to overview the legal regulation of the fiscal decentralization in Lithuania, to analyze the level of the fiscal decentralization in Lithuania comparing to another EU countries, to provide the conclusions and recommendations for the fiscal decentralization in Lithuania.</w:t>
      </w:r>
    </w:p>
    <w:p w:rsidR="00E06981" w:rsidRPr="002A4977" w:rsidRDefault="00DC5BAB" w:rsidP="002A4977">
      <w:pPr>
        <w:pStyle w:val="Heading1"/>
        <w:spacing w:before="0" w:after="0" w:line="360" w:lineRule="auto"/>
        <w:ind w:firstLine="720"/>
        <w:jc w:val="both"/>
        <w:rPr>
          <w:bCs w:val="0"/>
        </w:rPr>
      </w:pPr>
      <w:r w:rsidRPr="00DC5BAB">
        <w:rPr>
          <w:b w:val="0"/>
          <w:bCs w:val="0"/>
        </w:rPr>
        <w:t xml:space="preserve">In order to establish this Master thesis the following methods of research analysis were used: the analysis of scientific literature, the analysis of legal regulations, the analysis of statistical data, </w:t>
      </w:r>
      <w:proofErr w:type="gramStart"/>
      <w:r w:rsidRPr="00DC5BAB">
        <w:rPr>
          <w:b w:val="0"/>
          <w:bCs w:val="0"/>
        </w:rPr>
        <w:t>the</w:t>
      </w:r>
      <w:proofErr w:type="gramEnd"/>
      <w:r w:rsidRPr="00DC5BAB">
        <w:rPr>
          <w:b w:val="0"/>
          <w:bCs w:val="0"/>
        </w:rPr>
        <w:t xml:space="preserve"> comparative analysis. The obtained results showed that the level of fiscal decentralization in Lithuania is average, taking into account the components of the fiscal decentralization. In respect of fiscal decentralization Lithuania is in the middle among other EU member states, but lags behind the EU average. The thesis paper disclosed some negative aspects of fiscal decentralization too (lack of competence, corruption, unbalanced regional development and similar). Taking them into consideration it is important to promote fiscal decentralization as it is the core for the democracy.</w:t>
      </w:r>
    </w:p>
    <w:p w:rsidR="00E06981" w:rsidRDefault="00E06981" w:rsidP="002A4977">
      <w:pPr>
        <w:pStyle w:val="Heading1"/>
        <w:spacing w:before="0" w:after="0" w:line="360" w:lineRule="auto"/>
        <w:jc w:val="center"/>
        <w:rPr>
          <w:bCs w:val="0"/>
        </w:rPr>
      </w:pPr>
    </w:p>
    <w:p w:rsidR="00E06981" w:rsidRDefault="00E06981" w:rsidP="002A4977">
      <w:pPr>
        <w:pStyle w:val="Heading1"/>
        <w:spacing w:before="0" w:after="0" w:line="360" w:lineRule="auto"/>
        <w:jc w:val="center"/>
        <w:rPr>
          <w:bCs w:val="0"/>
        </w:rPr>
      </w:pPr>
    </w:p>
    <w:p w:rsidR="00E06981" w:rsidRDefault="00E06981" w:rsidP="002A4977">
      <w:pPr>
        <w:pStyle w:val="Heading1"/>
        <w:spacing w:before="0" w:after="0" w:line="360" w:lineRule="auto"/>
        <w:jc w:val="center"/>
        <w:rPr>
          <w:bCs w:val="0"/>
        </w:rPr>
      </w:pPr>
    </w:p>
    <w:p w:rsidR="00E06981" w:rsidRDefault="00E06981" w:rsidP="002A4977">
      <w:pPr>
        <w:pStyle w:val="Heading1"/>
        <w:spacing w:before="0" w:after="0" w:line="360" w:lineRule="auto"/>
        <w:jc w:val="center"/>
        <w:rPr>
          <w:bCs w:val="0"/>
        </w:rPr>
      </w:pPr>
    </w:p>
    <w:p w:rsidR="00E06981" w:rsidRDefault="00E06981" w:rsidP="002A4977">
      <w:pPr>
        <w:spacing w:line="360" w:lineRule="auto"/>
      </w:pPr>
    </w:p>
    <w:p w:rsidR="00E06981" w:rsidRDefault="00E06981" w:rsidP="002A4977">
      <w:pPr>
        <w:spacing w:line="360" w:lineRule="auto"/>
      </w:pPr>
    </w:p>
    <w:p w:rsidR="00E06981" w:rsidRDefault="00E06981" w:rsidP="00E06981"/>
    <w:p w:rsidR="002A4977" w:rsidRDefault="002A4977" w:rsidP="00E06981"/>
    <w:p w:rsidR="002A4977" w:rsidRDefault="002A4977" w:rsidP="00E06981"/>
    <w:p w:rsidR="002A4977" w:rsidRDefault="002A4977" w:rsidP="00E06981"/>
    <w:p w:rsidR="002A4977" w:rsidRDefault="002A4977" w:rsidP="00E06981"/>
    <w:p w:rsidR="002A4977" w:rsidRDefault="002A4977" w:rsidP="00E06981"/>
    <w:p w:rsidR="002A4977" w:rsidRPr="00E06981" w:rsidRDefault="002A4977" w:rsidP="00E06981"/>
    <w:p w:rsidR="00E06981" w:rsidRDefault="00E06981" w:rsidP="000D1B96">
      <w:pPr>
        <w:pStyle w:val="Heading1"/>
        <w:jc w:val="center"/>
        <w:rPr>
          <w:bCs w:val="0"/>
        </w:rPr>
      </w:pPr>
    </w:p>
    <w:p w:rsidR="00E06981" w:rsidRDefault="00E06981" w:rsidP="000D1B96">
      <w:pPr>
        <w:pStyle w:val="Heading1"/>
        <w:jc w:val="center"/>
        <w:rPr>
          <w:bCs w:val="0"/>
        </w:rPr>
      </w:pPr>
    </w:p>
    <w:p w:rsidR="00E06981" w:rsidRDefault="00E06981" w:rsidP="000D1B96">
      <w:pPr>
        <w:pStyle w:val="Heading1"/>
        <w:jc w:val="center"/>
        <w:rPr>
          <w:bCs w:val="0"/>
        </w:rPr>
      </w:pPr>
    </w:p>
    <w:p w:rsidR="00E06981" w:rsidRDefault="00E06981" w:rsidP="000D1B96">
      <w:pPr>
        <w:pStyle w:val="Heading1"/>
        <w:jc w:val="center"/>
        <w:rPr>
          <w:bCs w:val="0"/>
        </w:rPr>
      </w:pPr>
    </w:p>
    <w:p w:rsidR="00E06981" w:rsidRDefault="00E06981" w:rsidP="00B22A3D">
      <w:pPr>
        <w:pStyle w:val="Heading1"/>
        <w:rPr>
          <w:bCs w:val="0"/>
        </w:rPr>
      </w:pPr>
    </w:p>
    <w:p w:rsidR="00E06981" w:rsidRDefault="00E06981" w:rsidP="000D1B96">
      <w:pPr>
        <w:pStyle w:val="Heading1"/>
        <w:jc w:val="center"/>
        <w:rPr>
          <w:bCs w:val="0"/>
        </w:rPr>
      </w:pPr>
    </w:p>
    <w:p w:rsidR="00E06981" w:rsidRDefault="00E06981" w:rsidP="000D1B96">
      <w:pPr>
        <w:pStyle w:val="Heading1"/>
        <w:jc w:val="center"/>
        <w:rPr>
          <w:bCs w:val="0"/>
        </w:rPr>
      </w:pPr>
    </w:p>
    <w:p w:rsidR="005A5CD3" w:rsidRPr="000D1B96" w:rsidRDefault="004B1758" w:rsidP="000D1B96">
      <w:pPr>
        <w:pStyle w:val="Heading1"/>
        <w:jc w:val="center"/>
        <w:rPr>
          <w:bCs w:val="0"/>
        </w:rPr>
      </w:pPr>
      <w:bookmarkStart w:id="90" w:name="_Toc385249548"/>
      <w:r w:rsidRPr="004B1758">
        <w:rPr>
          <w:bCs w:val="0"/>
        </w:rPr>
        <w:t>PRIEDA</w:t>
      </w:r>
      <w:bookmarkEnd w:id="86"/>
      <w:r w:rsidR="000D1B96">
        <w:rPr>
          <w:bCs w:val="0"/>
        </w:rPr>
        <w:t>I</w:t>
      </w:r>
      <w:bookmarkEnd w:id="90"/>
    </w:p>
    <w:p w:rsidR="005A5CD3" w:rsidRDefault="005A5CD3" w:rsidP="007C3B56">
      <w:pPr>
        <w:spacing w:line="360" w:lineRule="auto"/>
      </w:pPr>
    </w:p>
    <w:p w:rsidR="005A5CD3" w:rsidRDefault="005A5CD3" w:rsidP="007C3B56">
      <w:pPr>
        <w:spacing w:line="360" w:lineRule="auto"/>
      </w:pPr>
    </w:p>
    <w:p w:rsidR="005A5CD3" w:rsidRDefault="005A5CD3" w:rsidP="007C3B56">
      <w:pPr>
        <w:spacing w:line="360" w:lineRule="auto"/>
      </w:pPr>
    </w:p>
    <w:p w:rsidR="005A5CD3" w:rsidRDefault="005A5CD3" w:rsidP="007C3B56">
      <w:pPr>
        <w:spacing w:line="360" w:lineRule="auto"/>
      </w:pPr>
    </w:p>
    <w:p w:rsidR="005A5CD3" w:rsidRDefault="005A5CD3" w:rsidP="007C3B56">
      <w:pPr>
        <w:spacing w:line="360" w:lineRule="auto"/>
      </w:pPr>
    </w:p>
    <w:p w:rsidR="005A5CD3" w:rsidRDefault="005A5CD3" w:rsidP="007C3B56">
      <w:pPr>
        <w:spacing w:line="360" w:lineRule="auto"/>
      </w:pPr>
    </w:p>
    <w:p w:rsidR="005A5CD3" w:rsidRDefault="005A5CD3" w:rsidP="007C3B56">
      <w:pPr>
        <w:spacing w:line="360" w:lineRule="auto"/>
      </w:pPr>
    </w:p>
    <w:p w:rsidR="005A5CD3" w:rsidRDefault="005A5CD3" w:rsidP="007C3B56">
      <w:pPr>
        <w:spacing w:line="360" w:lineRule="auto"/>
      </w:pPr>
    </w:p>
    <w:p w:rsidR="005A5CD3" w:rsidRDefault="005A5CD3" w:rsidP="007C3B56">
      <w:pPr>
        <w:spacing w:line="360" w:lineRule="auto"/>
      </w:pPr>
    </w:p>
    <w:p w:rsidR="005A5CD3" w:rsidRDefault="005A5CD3" w:rsidP="007C3B56">
      <w:pPr>
        <w:spacing w:line="360" w:lineRule="auto"/>
      </w:pPr>
    </w:p>
    <w:p w:rsidR="005A5CD3" w:rsidRDefault="005A5CD3" w:rsidP="007C3B56">
      <w:pPr>
        <w:spacing w:line="360" w:lineRule="auto"/>
      </w:pPr>
    </w:p>
    <w:p w:rsidR="005A5CD3" w:rsidRDefault="005A5CD3" w:rsidP="007C3B56">
      <w:pPr>
        <w:spacing w:line="360" w:lineRule="auto"/>
      </w:pPr>
    </w:p>
    <w:p w:rsidR="005A5CD3" w:rsidRDefault="005A5CD3" w:rsidP="007C3B56">
      <w:pPr>
        <w:spacing w:line="360" w:lineRule="auto"/>
      </w:pPr>
    </w:p>
    <w:p w:rsidR="005A5CD3" w:rsidRDefault="005A5CD3" w:rsidP="007C3B56">
      <w:pPr>
        <w:spacing w:line="360" w:lineRule="auto"/>
      </w:pPr>
    </w:p>
    <w:p w:rsidR="005A5CD3" w:rsidRDefault="005A5CD3" w:rsidP="007C3B56">
      <w:pPr>
        <w:spacing w:line="360" w:lineRule="auto"/>
        <w:sectPr w:rsidR="005A5CD3" w:rsidSect="00F40AF8">
          <w:headerReference w:type="default" r:id="rId74"/>
          <w:pgSz w:w="12240" w:h="15840"/>
          <w:pgMar w:top="1134" w:right="567" w:bottom="1134" w:left="1418" w:header="709" w:footer="709" w:gutter="0"/>
          <w:cols w:space="708"/>
          <w:titlePg/>
          <w:docGrid w:linePitch="360"/>
        </w:sectPr>
      </w:pPr>
    </w:p>
    <w:p w:rsidR="005A5CD3" w:rsidRDefault="005A5CD3" w:rsidP="007C3B56">
      <w:pPr>
        <w:spacing w:line="360" w:lineRule="auto"/>
      </w:pPr>
    </w:p>
    <w:p w:rsidR="005A5CD3" w:rsidRPr="005A5CD3" w:rsidRDefault="005A5CD3" w:rsidP="005A5CD3">
      <w:pPr>
        <w:spacing w:line="360" w:lineRule="auto"/>
        <w:jc w:val="right"/>
        <w:rPr>
          <w:b/>
        </w:rPr>
      </w:pPr>
      <w:r w:rsidRPr="005A5CD3">
        <w:rPr>
          <w:b/>
        </w:rPr>
        <w:t>1 PRIEDAS</w:t>
      </w:r>
    </w:p>
    <w:p w:rsidR="005A5CD3" w:rsidRDefault="005A5CD3" w:rsidP="000E6FB7">
      <w:pPr>
        <w:spacing w:line="360" w:lineRule="auto"/>
        <w:jc w:val="center"/>
      </w:pPr>
    </w:p>
    <w:p w:rsidR="005A5CD3" w:rsidRPr="007024FA" w:rsidRDefault="005A5CD3" w:rsidP="00C62571">
      <w:pPr>
        <w:pStyle w:val="Heading4"/>
      </w:pPr>
      <w:bookmarkStart w:id="91" w:name="_Toc385241714"/>
      <w:bookmarkStart w:id="92" w:name="_Toc385241835"/>
      <w:r w:rsidRPr="007024FA">
        <w:t>VALSTYBĖS IR SAVIVALDYBIŲ BIUDŽETŲ IŠLAIDŲ STRUKTŪRA PAGAL FUNKCINĘ KLASIFIKACIJĄ,</w:t>
      </w:r>
      <w:bookmarkEnd w:id="91"/>
      <w:bookmarkEnd w:id="92"/>
    </w:p>
    <w:p w:rsidR="005A5CD3" w:rsidRPr="007024FA" w:rsidRDefault="005A5CD3" w:rsidP="00C62571">
      <w:pPr>
        <w:pStyle w:val="Heading4"/>
        <w:rPr>
          <w:sz w:val="28"/>
        </w:rPr>
      </w:pPr>
      <w:bookmarkStart w:id="93" w:name="_Toc385241715"/>
      <w:bookmarkStart w:id="94" w:name="_Toc385241836"/>
      <w:r w:rsidRPr="007024FA">
        <w:t>TŪKST. LT. IR PROC.</w:t>
      </w:r>
      <w:bookmarkEnd w:id="93"/>
      <w:bookmarkEnd w:id="94"/>
    </w:p>
    <w:tbl>
      <w:tblPr>
        <w:tblW w:w="14100" w:type="dxa"/>
        <w:tblLayout w:type="fixed"/>
        <w:tblLook w:val="04A0" w:firstRow="1" w:lastRow="0" w:firstColumn="1" w:lastColumn="0" w:noHBand="0" w:noVBand="1"/>
      </w:tblPr>
      <w:tblGrid>
        <w:gridCol w:w="956"/>
        <w:gridCol w:w="793"/>
        <w:gridCol w:w="509"/>
        <w:gridCol w:w="849"/>
        <w:gridCol w:w="509"/>
        <w:gridCol w:w="796"/>
        <w:gridCol w:w="510"/>
        <w:gridCol w:w="850"/>
        <w:gridCol w:w="474"/>
        <w:gridCol w:w="6"/>
        <w:gridCol w:w="788"/>
        <w:gridCol w:w="474"/>
        <w:gridCol w:w="850"/>
        <w:gridCol w:w="479"/>
        <w:gridCol w:w="794"/>
        <w:gridCol w:w="474"/>
        <w:gridCol w:w="850"/>
        <w:gridCol w:w="474"/>
        <w:gridCol w:w="780"/>
        <w:gridCol w:w="14"/>
        <w:gridCol w:w="460"/>
        <w:gridCol w:w="14"/>
        <w:gridCol w:w="898"/>
        <w:gridCol w:w="9"/>
        <w:gridCol w:w="467"/>
        <w:gridCol w:w="9"/>
        <w:gridCol w:w="14"/>
      </w:tblGrid>
      <w:tr w:rsidR="005A5CD3" w:rsidRPr="005A5CD3" w:rsidTr="00737B66">
        <w:tc>
          <w:tcPr>
            <w:tcW w:w="956" w:type="dxa"/>
            <w:vMerge w:val="restart"/>
            <w:tcBorders>
              <w:top w:val="single" w:sz="12" w:space="0" w:color="auto"/>
              <w:left w:val="single" w:sz="12" w:space="0" w:color="auto"/>
              <w:bottom w:val="single" w:sz="6" w:space="0" w:color="auto"/>
              <w:right w:val="single" w:sz="12" w:space="0" w:color="auto"/>
            </w:tcBorders>
            <w:vAlign w:val="center"/>
          </w:tcPr>
          <w:p w:rsidR="005A5CD3" w:rsidRPr="005A5CD3" w:rsidRDefault="005A5CD3" w:rsidP="005A5CD3">
            <w:pPr>
              <w:jc w:val="center"/>
              <w:rPr>
                <w:sz w:val="14"/>
                <w:szCs w:val="16"/>
                <w:lang w:val="lt-LT"/>
              </w:rPr>
            </w:pPr>
            <w:r w:rsidRPr="005A5CD3">
              <w:rPr>
                <w:sz w:val="14"/>
                <w:szCs w:val="16"/>
              </w:rPr>
              <w:t>Valstyb</w:t>
            </w:r>
            <w:r w:rsidRPr="005A5CD3">
              <w:rPr>
                <w:sz w:val="14"/>
                <w:szCs w:val="16"/>
                <w:lang w:val="lt-LT"/>
              </w:rPr>
              <w:t>ės, savivaldybių funkcijos</w:t>
            </w:r>
          </w:p>
        </w:tc>
        <w:tc>
          <w:tcPr>
            <w:tcW w:w="2660" w:type="dxa"/>
            <w:gridSpan w:val="4"/>
            <w:tcBorders>
              <w:top w:val="single" w:sz="12" w:space="0" w:color="auto"/>
              <w:left w:val="single" w:sz="12" w:space="0" w:color="auto"/>
              <w:bottom w:val="single" w:sz="6" w:space="0" w:color="auto"/>
              <w:right w:val="single" w:sz="12" w:space="0" w:color="auto"/>
            </w:tcBorders>
            <w:vAlign w:val="center"/>
          </w:tcPr>
          <w:p w:rsidR="005A5CD3" w:rsidRPr="005A5CD3" w:rsidRDefault="005A5CD3" w:rsidP="005A5CD3">
            <w:pPr>
              <w:jc w:val="center"/>
              <w:rPr>
                <w:sz w:val="14"/>
                <w:szCs w:val="16"/>
              </w:rPr>
            </w:pPr>
            <w:r w:rsidRPr="005A5CD3">
              <w:rPr>
                <w:sz w:val="14"/>
                <w:szCs w:val="16"/>
              </w:rPr>
              <w:t>2008 m.</w:t>
            </w:r>
          </w:p>
        </w:tc>
        <w:tc>
          <w:tcPr>
            <w:tcW w:w="2636" w:type="dxa"/>
            <w:gridSpan w:val="5"/>
            <w:tcBorders>
              <w:top w:val="single" w:sz="12" w:space="0" w:color="auto"/>
              <w:left w:val="single" w:sz="12" w:space="0" w:color="auto"/>
              <w:bottom w:val="single" w:sz="6" w:space="0" w:color="auto"/>
              <w:right w:val="single" w:sz="12" w:space="0" w:color="auto"/>
            </w:tcBorders>
            <w:vAlign w:val="center"/>
          </w:tcPr>
          <w:p w:rsidR="005A5CD3" w:rsidRPr="005A5CD3" w:rsidRDefault="005A5CD3" w:rsidP="005A5CD3">
            <w:pPr>
              <w:jc w:val="center"/>
              <w:rPr>
                <w:sz w:val="14"/>
                <w:szCs w:val="16"/>
              </w:rPr>
            </w:pPr>
            <w:r w:rsidRPr="005A5CD3">
              <w:rPr>
                <w:sz w:val="14"/>
                <w:szCs w:val="16"/>
              </w:rPr>
              <w:t>2009 m.</w:t>
            </w:r>
          </w:p>
        </w:tc>
        <w:tc>
          <w:tcPr>
            <w:tcW w:w="2591" w:type="dxa"/>
            <w:gridSpan w:val="4"/>
            <w:tcBorders>
              <w:top w:val="single" w:sz="12" w:space="0" w:color="auto"/>
              <w:left w:val="single" w:sz="12" w:space="0" w:color="auto"/>
              <w:bottom w:val="single" w:sz="6" w:space="0" w:color="auto"/>
              <w:right w:val="single" w:sz="12" w:space="0" w:color="auto"/>
            </w:tcBorders>
            <w:vAlign w:val="center"/>
          </w:tcPr>
          <w:p w:rsidR="005A5CD3" w:rsidRPr="005A5CD3" w:rsidRDefault="005A5CD3" w:rsidP="005A5CD3">
            <w:pPr>
              <w:jc w:val="center"/>
              <w:rPr>
                <w:sz w:val="14"/>
                <w:szCs w:val="16"/>
              </w:rPr>
            </w:pPr>
            <w:r w:rsidRPr="005A5CD3">
              <w:rPr>
                <w:sz w:val="14"/>
                <w:szCs w:val="16"/>
              </w:rPr>
              <w:t>2010 m.</w:t>
            </w:r>
          </w:p>
        </w:tc>
        <w:tc>
          <w:tcPr>
            <w:tcW w:w="2592" w:type="dxa"/>
            <w:gridSpan w:val="4"/>
            <w:tcBorders>
              <w:top w:val="single" w:sz="12" w:space="0" w:color="auto"/>
              <w:left w:val="single" w:sz="12" w:space="0" w:color="auto"/>
              <w:bottom w:val="single" w:sz="6" w:space="0" w:color="auto"/>
              <w:right w:val="single" w:sz="12" w:space="0" w:color="auto"/>
            </w:tcBorders>
            <w:vAlign w:val="center"/>
          </w:tcPr>
          <w:p w:rsidR="005A5CD3" w:rsidRPr="005A5CD3" w:rsidRDefault="005A5CD3" w:rsidP="005A5CD3">
            <w:pPr>
              <w:jc w:val="center"/>
              <w:rPr>
                <w:sz w:val="14"/>
                <w:szCs w:val="16"/>
              </w:rPr>
            </w:pPr>
            <w:r w:rsidRPr="005A5CD3">
              <w:rPr>
                <w:sz w:val="14"/>
                <w:szCs w:val="16"/>
              </w:rPr>
              <w:t>2011 m.</w:t>
            </w:r>
          </w:p>
        </w:tc>
        <w:tc>
          <w:tcPr>
            <w:tcW w:w="2665" w:type="dxa"/>
            <w:gridSpan w:val="9"/>
            <w:tcBorders>
              <w:top w:val="single" w:sz="12" w:space="0" w:color="auto"/>
              <w:left w:val="single" w:sz="12" w:space="0" w:color="auto"/>
              <w:bottom w:val="single" w:sz="6" w:space="0" w:color="auto"/>
              <w:right w:val="single" w:sz="12" w:space="0" w:color="auto"/>
            </w:tcBorders>
            <w:vAlign w:val="center"/>
          </w:tcPr>
          <w:p w:rsidR="005A5CD3" w:rsidRPr="005A5CD3" w:rsidRDefault="005A5CD3" w:rsidP="005A5CD3">
            <w:pPr>
              <w:jc w:val="center"/>
              <w:rPr>
                <w:sz w:val="14"/>
                <w:szCs w:val="16"/>
              </w:rPr>
            </w:pPr>
            <w:r w:rsidRPr="005A5CD3">
              <w:rPr>
                <w:sz w:val="14"/>
                <w:szCs w:val="16"/>
              </w:rPr>
              <w:t>2012 m.</w:t>
            </w:r>
          </w:p>
        </w:tc>
      </w:tr>
      <w:tr w:rsidR="005A5CD3" w:rsidRPr="005A5CD3" w:rsidTr="00737B66">
        <w:trPr>
          <w:gridAfter w:val="2"/>
          <w:wAfter w:w="23" w:type="dxa"/>
          <w:cantSplit/>
          <w:trHeight w:val="1412"/>
        </w:trPr>
        <w:tc>
          <w:tcPr>
            <w:tcW w:w="956" w:type="dxa"/>
            <w:vMerge/>
            <w:tcBorders>
              <w:top w:val="single" w:sz="6" w:space="0" w:color="auto"/>
              <w:left w:val="single" w:sz="12" w:space="0" w:color="auto"/>
              <w:bottom w:val="single" w:sz="6" w:space="0" w:color="auto"/>
              <w:right w:val="single" w:sz="12" w:space="0" w:color="auto"/>
            </w:tcBorders>
            <w:vAlign w:val="center"/>
          </w:tcPr>
          <w:p w:rsidR="005A5CD3" w:rsidRPr="005A5CD3" w:rsidRDefault="005A5CD3" w:rsidP="005A5CD3">
            <w:pPr>
              <w:jc w:val="center"/>
              <w:rPr>
                <w:sz w:val="14"/>
                <w:szCs w:val="16"/>
              </w:rPr>
            </w:pPr>
          </w:p>
        </w:tc>
        <w:tc>
          <w:tcPr>
            <w:tcW w:w="793" w:type="dxa"/>
            <w:tcBorders>
              <w:top w:val="single" w:sz="6" w:space="0" w:color="auto"/>
              <w:left w:val="single" w:sz="12" w:space="0" w:color="auto"/>
              <w:bottom w:val="single" w:sz="6" w:space="0" w:color="auto"/>
              <w:right w:val="single" w:sz="6" w:space="0" w:color="auto"/>
            </w:tcBorders>
            <w:textDirection w:val="tbRl"/>
            <w:vAlign w:val="center"/>
          </w:tcPr>
          <w:p w:rsidR="005A5CD3" w:rsidRPr="005A5CD3" w:rsidRDefault="005A5CD3" w:rsidP="005A5CD3">
            <w:pPr>
              <w:ind w:right="113"/>
              <w:jc w:val="center"/>
              <w:rPr>
                <w:sz w:val="14"/>
                <w:szCs w:val="16"/>
              </w:rPr>
            </w:pPr>
            <w:r w:rsidRPr="005A5CD3">
              <w:rPr>
                <w:sz w:val="14"/>
                <w:szCs w:val="16"/>
              </w:rPr>
              <w:t>Valstybės biudžetas</w:t>
            </w:r>
          </w:p>
        </w:tc>
        <w:tc>
          <w:tcPr>
            <w:tcW w:w="509" w:type="dxa"/>
            <w:tcBorders>
              <w:top w:val="single" w:sz="6" w:space="0" w:color="auto"/>
              <w:left w:val="single" w:sz="6" w:space="0" w:color="auto"/>
              <w:bottom w:val="single" w:sz="6" w:space="0" w:color="auto"/>
              <w:right w:val="single" w:sz="6" w:space="0" w:color="auto"/>
            </w:tcBorders>
            <w:vAlign w:val="center"/>
          </w:tcPr>
          <w:p w:rsidR="005A5CD3" w:rsidRPr="005A5CD3" w:rsidRDefault="005A5CD3" w:rsidP="005A5CD3">
            <w:pPr>
              <w:jc w:val="center"/>
              <w:rPr>
                <w:sz w:val="14"/>
                <w:szCs w:val="16"/>
              </w:rPr>
            </w:pPr>
            <w:r w:rsidRPr="005A5CD3">
              <w:rPr>
                <w:sz w:val="14"/>
                <w:szCs w:val="16"/>
              </w:rPr>
              <w:t>proc.</w:t>
            </w:r>
          </w:p>
        </w:tc>
        <w:tc>
          <w:tcPr>
            <w:tcW w:w="849" w:type="dxa"/>
            <w:tcBorders>
              <w:top w:val="single" w:sz="6" w:space="0" w:color="auto"/>
              <w:left w:val="single" w:sz="6" w:space="0" w:color="auto"/>
              <w:bottom w:val="single" w:sz="6" w:space="0" w:color="auto"/>
              <w:right w:val="single" w:sz="6" w:space="0" w:color="auto"/>
            </w:tcBorders>
            <w:textDirection w:val="tbRl"/>
            <w:vAlign w:val="center"/>
          </w:tcPr>
          <w:p w:rsidR="005A5CD3" w:rsidRPr="005A5CD3" w:rsidRDefault="005A5CD3" w:rsidP="005A5CD3">
            <w:pPr>
              <w:ind w:right="113"/>
              <w:jc w:val="center"/>
              <w:rPr>
                <w:sz w:val="14"/>
                <w:szCs w:val="16"/>
              </w:rPr>
            </w:pPr>
            <w:r w:rsidRPr="005A5CD3">
              <w:rPr>
                <w:sz w:val="14"/>
                <w:szCs w:val="16"/>
              </w:rPr>
              <w:t>Savivaldybių biudžetas</w:t>
            </w:r>
          </w:p>
        </w:tc>
        <w:tc>
          <w:tcPr>
            <w:tcW w:w="509" w:type="dxa"/>
            <w:tcBorders>
              <w:top w:val="single" w:sz="6" w:space="0" w:color="auto"/>
              <w:left w:val="single" w:sz="6" w:space="0" w:color="auto"/>
              <w:bottom w:val="single" w:sz="6" w:space="0" w:color="auto"/>
              <w:right w:val="single" w:sz="12" w:space="0" w:color="auto"/>
            </w:tcBorders>
            <w:vAlign w:val="center"/>
          </w:tcPr>
          <w:p w:rsidR="005A5CD3" w:rsidRPr="005A5CD3" w:rsidRDefault="005A5CD3" w:rsidP="005A5CD3">
            <w:pPr>
              <w:jc w:val="center"/>
              <w:rPr>
                <w:sz w:val="14"/>
                <w:szCs w:val="16"/>
              </w:rPr>
            </w:pPr>
            <w:r w:rsidRPr="005A5CD3">
              <w:rPr>
                <w:sz w:val="14"/>
                <w:szCs w:val="16"/>
              </w:rPr>
              <w:t>proc.</w:t>
            </w:r>
          </w:p>
        </w:tc>
        <w:tc>
          <w:tcPr>
            <w:tcW w:w="796" w:type="dxa"/>
            <w:tcBorders>
              <w:top w:val="single" w:sz="6" w:space="0" w:color="auto"/>
              <w:left w:val="single" w:sz="12" w:space="0" w:color="auto"/>
              <w:bottom w:val="single" w:sz="6" w:space="0" w:color="auto"/>
              <w:right w:val="single" w:sz="6" w:space="0" w:color="auto"/>
            </w:tcBorders>
            <w:textDirection w:val="tbRl"/>
            <w:vAlign w:val="center"/>
          </w:tcPr>
          <w:p w:rsidR="005A5CD3" w:rsidRPr="005A5CD3" w:rsidRDefault="005A5CD3" w:rsidP="005A5CD3">
            <w:pPr>
              <w:ind w:right="113"/>
              <w:jc w:val="center"/>
              <w:rPr>
                <w:sz w:val="14"/>
                <w:szCs w:val="16"/>
              </w:rPr>
            </w:pPr>
            <w:r w:rsidRPr="005A5CD3">
              <w:rPr>
                <w:sz w:val="14"/>
                <w:szCs w:val="16"/>
              </w:rPr>
              <w:t>Valstybės biudžetas</w:t>
            </w:r>
          </w:p>
        </w:tc>
        <w:tc>
          <w:tcPr>
            <w:tcW w:w="510" w:type="dxa"/>
            <w:tcBorders>
              <w:top w:val="single" w:sz="6" w:space="0" w:color="auto"/>
              <w:left w:val="single" w:sz="6" w:space="0" w:color="auto"/>
              <w:bottom w:val="single" w:sz="6" w:space="0" w:color="auto"/>
              <w:right w:val="single" w:sz="6" w:space="0" w:color="auto"/>
            </w:tcBorders>
            <w:vAlign w:val="center"/>
          </w:tcPr>
          <w:p w:rsidR="005A5CD3" w:rsidRPr="005A5CD3" w:rsidRDefault="005A5CD3" w:rsidP="005A5CD3">
            <w:pPr>
              <w:jc w:val="center"/>
              <w:rPr>
                <w:sz w:val="14"/>
                <w:szCs w:val="16"/>
              </w:rPr>
            </w:pPr>
            <w:r w:rsidRPr="005A5CD3">
              <w:rPr>
                <w:sz w:val="14"/>
                <w:szCs w:val="16"/>
              </w:rPr>
              <w:t>proc.</w:t>
            </w:r>
          </w:p>
        </w:tc>
        <w:tc>
          <w:tcPr>
            <w:tcW w:w="850" w:type="dxa"/>
            <w:tcBorders>
              <w:top w:val="single" w:sz="6" w:space="0" w:color="auto"/>
              <w:left w:val="single" w:sz="6" w:space="0" w:color="auto"/>
              <w:bottom w:val="single" w:sz="6" w:space="0" w:color="auto"/>
              <w:right w:val="single" w:sz="6" w:space="0" w:color="auto"/>
            </w:tcBorders>
            <w:textDirection w:val="tbRl"/>
            <w:vAlign w:val="center"/>
          </w:tcPr>
          <w:p w:rsidR="005A5CD3" w:rsidRPr="005A5CD3" w:rsidRDefault="005A5CD3" w:rsidP="005A5CD3">
            <w:pPr>
              <w:ind w:right="113"/>
              <w:jc w:val="center"/>
              <w:rPr>
                <w:sz w:val="14"/>
                <w:szCs w:val="16"/>
              </w:rPr>
            </w:pPr>
            <w:r w:rsidRPr="005A5CD3">
              <w:rPr>
                <w:sz w:val="14"/>
                <w:szCs w:val="16"/>
              </w:rPr>
              <w:t>Savivaldybių biudžetas</w:t>
            </w:r>
          </w:p>
        </w:tc>
        <w:tc>
          <w:tcPr>
            <w:tcW w:w="474" w:type="dxa"/>
            <w:tcBorders>
              <w:top w:val="single" w:sz="6" w:space="0" w:color="auto"/>
              <w:left w:val="single" w:sz="6" w:space="0" w:color="auto"/>
              <w:bottom w:val="single" w:sz="6" w:space="0" w:color="auto"/>
              <w:right w:val="single" w:sz="12" w:space="0" w:color="auto"/>
            </w:tcBorders>
            <w:vAlign w:val="center"/>
          </w:tcPr>
          <w:p w:rsidR="005A5CD3" w:rsidRPr="005A5CD3" w:rsidRDefault="005A5CD3" w:rsidP="005A5CD3">
            <w:pPr>
              <w:jc w:val="center"/>
              <w:rPr>
                <w:sz w:val="14"/>
                <w:szCs w:val="16"/>
              </w:rPr>
            </w:pPr>
            <w:r w:rsidRPr="005A5CD3">
              <w:rPr>
                <w:sz w:val="14"/>
                <w:szCs w:val="16"/>
              </w:rPr>
              <w:t>proc.</w:t>
            </w:r>
          </w:p>
        </w:tc>
        <w:tc>
          <w:tcPr>
            <w:tcW w:w="794" w:type="dxa"/>
            <w:gridSpan w:val="2"/>
            <w:tcBorders>
              <w:top w:val="single" w:sz="6" w:space="0" w:color="auto"/>
              <w:left w:val="single" w:sz="12" w:space="0" w:color="auto"/>
              <w:bottom w:val="single" w:sz="6" w:space="0" w:color="auto"/>
              <w:right w:val="single" w:sz="6" w:space="0" w:color="auto"/>
            </w:tcBorders>
            <w:textDirection w:val="tbRl"/>
            <w:vAlign w:val="center"/>
          </w:tcPr>
          <w:p w:rsidR="005A5CD3" w:rsidRPr="005A5CD3" w:rsidRDefault="005A5CD3" w:rsidP="005A5CD3">
            <w:pPr>
              <w:ind w:right="113"/>
              <w:jc w:val="center"/>
              <w:rPr>
                <w:sz w:val="14"/>
                <w:szCs w:val="16"/>
              </w:rPr>
            </w:pPr>
            <w:r w:rsidRPr="005A5CD3">
              <w:rPr>
                <w:sz w:val="14"/>
                <w:szCs w:val="16"/>
              </w:rPr>
              <w:t>Valstybės biudžetas</w:t>
            </w:r>
          </w:p>
        </w:tc>
        <w:tc>
          <w:tcPr>
            <w:tcW w:w="474" w:type="dxa"/>
            <w:tcBorders>
              <w:top w:val="single" w:sz="6" w:space="0" w:color="auto"/>
              <w:left w:val="single" w:sz="6" w:space="0" w:color="auto"/>
              <w:bottom w:val="single" w:sz="6" w:space="0" w:color="auto"/>
              <w:right w:val="single" w:sz="6" w:space="0" w:color="auto"/>
            </w:tcBorders>
            <w:vAlign w:val="center"/>
          </w:tcPr>
          <w:p w:rsidR="005A5CD3" w:rsidRPr="005A5CD3" w:rsidRDefault="005A5CD3" w:rsidP="005A5CD3">
            <w:pPr>
              <w:jc w:val="center"/>
              <w:rPr>
                <w:sz w:val="14"/>
                <w:szCs w:val="16"/>
              </w:rPr>
            </w:pPr>
            <w:r w:rsidRPr="005A5CD3">
              <w:rPr>
                <w:sz w:val="14"/>
                <w:szCs w:val="16"/>
              </w:rPr>
              <w:t>proc.</w:t>
            </w:r>
          </w:p>
        </w:tc>
        <w:tc>
          <w:tcPr>
            <w:tcW w:w="850" w:type="dxa"/>
            <w:tcBorders>
              <w:top w:val="single" w:sz="6" w:space="0" w:color="auto"/>
              <w:left w:val="single" w:sz="6" w:space="0" w:color="auto"/>
              <w:bottom w:val="single" w:sz="6" w:space="0" w:color="auto"/>
              <w:right w:val="single" w:sz="6" w:space="0" w:color="auto"/>
            </w:tcBorders>
            <w:textDirection w:val="tbRl"/>
            <w:vAlign w:val="center"/>
          </w:tcPr>
          <w:p w:rsidR="005A5CD3" w:rsidRPr="005A5CD3" w:rsidRDefault="005A5CD3" w:rsidP="005A5CD3">
            <w:pPr>
              <w:ind w:right="113"/>
              <w:jc w:val="center"/>
              <w:rPr>
                <w:sz w:val="14"/>
                <w:szCs w:val="16"/>
              </w:rPr>
            </w:pPr>
            <w:r w:rsidRPr="005A5CD3">
              <w:rPr>
                <w:sz w:val="14"/>
                <w:szCs w:val="16"/>
              </w:rPr>
              <w:t>Savivaldybių biudžetas</w:t>
            </w:r>
          </w:p>
        </w:tc>
        <w:tc>
          <w:tcPr>
            <w:tcW w:w="479" w:type="dxa"/>
            <w:tcBorders>
              <w:top w:val="single" w:sz="6" w:space="0" w:color="auto"/>
              <w:left w:val="single" w:sz="6" w:space="0" w:color="auto"/>
              <w:bottom w:val="single" w:sz="6" w:space="0" w:color="auto"/>
              <w:right w:val="single" w:sz="12" w:space="0" w:color="auto"/>
            </w:tcBorders>
            <w:vAlign w:val="center"/>
          </w:tcPr>
          <w:p w:rsidR="005A5CD3" w:rsidRPr="005A5CD3" w:rsidRDefault="005A5CD3" w:rsidP="005A5CD3">
            <w:pPr>
              <w:jc w:val="center"/>
              <w:rPr>
                <w:sz w:val="14"/>
                <w:szCs w:val="16"/>
              </w:rPr>
            </w:pPr>
            <w:r w:rsidRPr="005A5CD3">
              <w:rPr>
                <w:sz w:val="14"/>
                <w:szCs w:val="16"/>
              </w:rPr>
              <w:t>proc.</w:t>
            </w:r>
          </w:p>
        </w:tc>
        <w:tc>
          <w:tcPr>
            <w:tcW w:w="794" w:type="dxa"/>
            <w:tcBorders>
              <w:top w:val="single" w:sz="6" w:space="0" w:color="auto"/>
              <w:left w:val="single" w:sz="12" w:space="0" w:color="auto"/>
              <w:bottom w:val="single" w:sz="6" w:space="0" w:color="auto"/>
              <w:right w:val="single" w:sz="6" w:space="0" w:color="auto"/>
            </w:tcBorders>
            <w:textDirection w:val="tbRl"/>
            <w:vAlign w:val="center"/>
          </w:tcPr>
          <w:p w:rsidR="005A5CD3" w:rsidRPr="005A5CD3" w:rsidRDefault="005A5CD3" w:rsidP="005A5CD3">
            <w:pPr>
              <w:ind w:right="113"/>
              <w:jc w:val="center"/>
              <w:rPr>
                <w:sz w:val="14"/>
                <w:szCs w:val="16"/>
              </w:rPr>
            </w:pPr>
            <w:r w:rsidRPr="005A5CD3">
              <w:rPr>
                <w:sz w:val="14"/>
                <w:szCs w:val="16"/>
              </w:rPr>
              <w:t>Valstybės biudžetas</w:t>
            </w:r>
          </w:p>
        </w:tc>
        <w:tc>
          <w:tcPr>
            <w:tcW w:w="474" w:type="dxa"/>
            <w:tcBorders>
              <w:top w:val="single" w:sz="6" w:space="0" w:color="auto"/>
              <w:left w:val="single" w:sz="6" w:space="0" w:color="auto"/>
              <w:bottom w:val="single" w:sz="6" w:space="0" w:color="auto"/>
              <w:right w:val="single" w:sz="6" w:space="0" w:color="auto"/>
            </w:tcBorders>
            <w:vAlign w:val="center"/>
          </w:tcPr>
          <w:p w:rsidR="005A5CD3" w:rsidRPr="005A5CD3" w:rsidRDefault="005A5CD3" w:rsidP="005A5CD3">
            <w:pPr>
              <w:jc w:val="center"/>
              <w:rPr>
                <w:sz w:val="14"/>
                <w:szCs w:val="16"/>
              </w:rPr>
            </w:pPr>
            <w:r w:rsidRPr="005A5CD3">
              <w:rPr>
                <w:sz w:val="14"/>
                <w:szCs w:val="16"/>
              </w:rPr>
              <w:t>proc.</w:t>
            </w:r>
          </w:p>
        </w:tc>
        <w:tc>
          <w:tcPr>
            <w:tcW w:w="850" w:type="dxa"/>
            <w:tcBorders>
              <w:top w:val="single" w:sz="6" w:space="0" w:color="auto"/>
              <w:left w:val="single" w:sz="6" w:space="0" w:color="auto"/>
              <w:bottom w:val="single" w:sz="6" w:space="0" w:color="auto"/>
              <w:right w:val="single" w:sz="6" w:space="0" w:color="auto"/>
            </w:tcBorders>
            <w:textDirection w:val="tbRl"/>
            <w:vAlign w:val="center"/>
          </w:tcPr>
          <w:p w:rsidR="005A5CD3" w:rsidRPr="005A5CD3" w:rsidRDefault="005A5CD3" w:rsidP="005A5CD3">
            <w:pPr>
              <w:ind w:right="113"/>
              <w:jc w:val="center"/>
              <w:rPr>
                <w:sz w:val="14"/>
                <w:szCs w:val="16"/>
              </w:rPr>
            </w:pPr>
            <w:r w:rsidRPr="005A5CD3">
              <w:rPr>
                <w:sz w:val="14"/>
                <w:szCs w:val="16"/>
              </w:rPr>
              <w:t>Savivaldybių biudžetas</w:t>
            </w:r>
          </w:p>
        </w:tc>
        <w:tc>
          <w:tcPr>
            <w:tcW w:w="474" w:type="dxa"/>
            <w:tcBorders>
              <w:top w:val="single" w:sz="6" w:space="0" w:color="auto"/>
              <w:left w:val="single" w:sz="6" w:space="0" w:color="auto"/>
              <w:bottom w:val="single" w:sz="6" w:space="0" w:color="auto"/>
              <w:right w:val="single" w:sz="12" w:space="0" w:color="auto"/>
            </w:tcBorders>
            <w:vAlign w:val="center"/>
          </w:tcPr>
          <w:p w:rsidR="005A5CD3" w:rsidRPr="005A5CD3" w:rsidRDefault="005A5CD3" w:rsidP="005A5CD3">
            <w:pPr>
              <w:jc w:val="center"/>
              <w:rPr>
                <w:sz w:val="14"/>
                <w:szCs w:val="16"/>
              </w:rPr>
            </w:pPr>
            <w:r w:rsidRPr="005A5CD3">
              <w:rPr>
                <w:sz w:val="14"/>
                <w:szCs w:val="16"/>
              </w:rPr>
              <w:t>proc.</w:t>
            </w:r>
          </w:p>
        </w:tc>
        <w:tc>
          <w:tcPr>
            <w:tcW w:w="780" w:type="dxa"/>
            <w:tcBorders>
              <w:top w:val="single" w:sz="6" w:space="0" w:color="auto"/>
              <w:left w:val="single" w:sz="12" w:space="0" w:color="auto"/>
              <w:bottom w:val="single" w:sz="6" w:space="0" w:color="auto"/>
              <w:right w:val="single" w:sz="6" w:space="0" w:color="auto"/>
            </w:tcBorders>
            <w:textDirection w:val="tbRl"/>
            <w:vAlign w:val="center"/>
          </w:tcPr>
          <w:p w:rsidR="005A5CD3" w:rsidRPr="005A5CD3" w:rsidRDefault="005A5CD3" w:rsidP="005A5CD3">
            <w:pPr>
              <w:ind w:right="113"/>
              <w:jc w:val="center"/>
              <w:rPr>
                <w:sz w:val="14"/>
                <w:szCs w:val="16"/>
              </w:rPr>
            </w:pPr>
            <w:r w:rsidRPr="005A5CD3">
              <w:rPr>
                <w:sz w:val="14"/>
                <w:szCs w:val="16"/>
              </w:rPr>
              <w:t>Valstybės biudžetas</w:t>
            </w:r>
          </w:p>
        </w:tc>
        <w:tc>
          <w:tcPr>
            <w:tcW w:w="474" w:type="dxa"/>
            <w:gridSpan w:val="2"/>
            <w:tcBorders>
              <w:top w:val="single" w:sz="6" w:space="0" w:color="auto"/>
              <w:left w:val="single" w:sz="6" w:space="0" w:color="auto"/>
              <w:bottom w:val="single" w:sz="6" w:space="0" w:color="auto"/>
              <w:right w:val="single" w:sz="6" w:space="0" w:color="auto"/>
            </w:tcBorders>
            <w:vAlign w:val="center"/>
          </w:tcPr>
          <w:p w:rsidR="005A5CD3" w:rsidRPr="005A5CD3" w:rsidRDefault="005A5CD3" w:rsidP="005A5CD3">
            <w:pPr>
              <w:jc w:val="center"/>
              <w:rPr>
                <w:sz w:val="14"/>
                <w:szCs w:val="16"/>
              </w:rPr>
            </w:pPr>
            <w:r w:rsidRPr="005A5CD3">
              <w:rPr>
                <w:sz w:val="14"/>
                <w:szCs w:val="16"/>
              </w:rPr>
              <w:t>proc.</w:t>
            </w:r>
          </w:p>
        </w:tc>
        <w:tc>
          <w:tcPr>
            <w:tcW w:w="912" w:type="dxa"/>
            <w:gridSpan w:val="2"/>
            <w:tcBorders>
              <w:top w:val="single" w:sz="6" w:space="0" w:color="auto"/>
              <w:left w:val="single" w:sz="6" w:space="0" w:color="auto"/>
              <w:bottom w:val="single" w:sz="6" w:space="0" w:color="auto"/>
              <w:right w:val="single" w:sz="6" w:space="0" w:color="auto"/>
            </w:tcBorders>
            <w:textDirection w:val="tbRl"/>
            <w:vAlign w:val="center"/>
          </w:tcPr>
          <w:p w:rsidR="005A5CD3" w:rsidRPr="005A5CD3" w:rsidRDefault="005A5CD3" w:rsidP="005A5CD3">
            <w:pPr>
              <w:ind w:right="113"/>
              <w:jc w:val="center"/>
              <w:rPr>
                <w:sz w:val="14"/>
                <w:szCs w:val="16"/>
              </w:rPr>
            </w:pPr>
            <w:r w:rsidRPr="005A5CD3">
              <w:rPr>
                <w:sz w:val="14"/>
                <w:szCs w:val="16"/>
              </w:rPr>
              <w:t>Savivaldybių biudžetas</w:t>
            </w:r>
          </w:p>
        </w:tc>
        <w:tc>
          <w:tcPr>
            <w:tcW w:w="476" w:type="dxa"/>
            <w:gridSpan w:val="2"/>
            <w:tcBorders>
              <w:top w:val="single" w:sz="6" w:space="0" w:color="auto"/>
              <w:left w:val="single" w:sz="6" w:space="0" w:color="auto"/>
              <w:bottom w:val="single" w:sz="6" w:space="0" w:color="auto"/>
              <w:right w:val="single" w:sz="12" w:space="0" w:color="auto"/>
            </w:tcBorders>
            <w:vAlign w:val="center"/>
          </w:tcPr>
          <w:p w:rsidR="005A5CD3" w:rsidRPr="005A5CD3" w:rsidRDefault="005A5CD3" w:rsidP="005A5CD3">
            <w:pPr>
              <w:jc w:val="center"/>
              <w:rPr>
                <w:sz w:val="14"/>
                <w:szCs w:val="16"/>
              </w:rPr>
            </w:pPr>
            <w:r w:rsidRPr="005A5CD3">
              <w:rPr>
                <w:sz w:val="14"/>
                <w:szCs w:val="16"/>
              </w:rPr>
              <w:t>proc.</w:t>
            </w:r>
          </w:p>
        </w:tc>
      </w:tr>
      <w:tr w:rsidR="005A5CD3" w:rsidRPr="005A5CD3" w:rsidTr="00737B66">
        <w:trPr>
          <w:gridAfter w:val="1"/>
          <w:wAfter w:w="14" w:type="dxa"/>
        </w:trPr>
        <w:tc>
          <w:tcPr>
            <w:tcW w:w="956" w:type="dxa"/>
            <w:tcBorders>
              <w:top w:val="single" w:sz="6" w:space="0" w:color="auto"/>
              <w:left w:val="single" w:sz="12" w:space="0" w:color="auto"/>
              <w:bottom w:val="single" w:sz="6" w:space="0" w:color="auto"/>
              <w:right w:val="single" w:sz="12" w:space="0" w:color="auto"/>
            </w:tcBorders>
            <w:vAlign w:val="center"/>
          </w:tcPr>
          <w:p w:rsidR="005A5CD3" w:rsidRPr="005A5CD3" w:rsidRDefault="005A5CD3" w:rsidP="005A5CD3">
            <w:pPr>
              <w:jc w:val="center"/>
              <w:rPr>
                <w:sz w:val="14"/>
                <w:szCs w:val="16"/>
                <w:lang w:val="lt-LT"/>
              </w:rPr>
            </w:pPr>
            <w:r w:rsidRPr="005A5CD3">
              <w:rPr>
                <w:sz w:val="14"/>
                <w:szCs w:val="16"/>
              </w:rPr>
              <w:t>Bendros valstybės paslaugos</w:t>
            </w:r>
          </w:p>
        </w:tc>
        <w:tc>
          <w:tcPr>
            <w:tcW w:w="793" w:type="dxa"/>
            <w:tcBorders>
              <w:top w:val="single" w:sz="6" w:space="0" w:color="auto"/>
              <w:left w:val="single" w:sz="12" w:space="0" w:color="auto"/>
              <w:bottom w:val="single" w:sz="6" w:space="0" w:color="auto"/>
              <w:right w:val="single" w:sz="6" w:space="0" w:color="auto"/>
            </w:tcBorders>
            <w:vAlign w:val="center"/>
          </w:tcPr>
          <w:p w:rsidR="005A5CD3" w:rsidRPr="005A5CD3" w:rsidRDefault="005A5CD3" w:rsidP="005A5CD3">
            <w:pPr>
              <w:jc w:val="center"/>
              <w:rPr>
                <w:sz w:val="14"/>
                <w:szCs w:val="16"/>
              </w:rPr>
            </w:pPr>
            <w:r w:rsidRPr="005A5CD3">
              <w:rPr>
                <w:sz w:val="14"/>
                <w:szCs w:val="16"/>
              </w:rPr>
              <w:t>6328000</w:t>
            </w:r>
          </w:p>
        </w:tc>
        <w:tc>
          <w:tcPr>
            <w:tcW w:w="509" w:type="dxa"/>
            <w:tcBorders>
              <w:top w:val="single" w:sz="6" w:space="0" w:color="auto"/>
              <w:left w:val="single" w:sz="6" w:space="0" w:color="auto"/>
              <w:bottom w:val="single" w:sz="6" w:space="0" w:color="auto"/>
              <w:right w:val="single" w:sz="6" w:space="0" w:color="auto"/>
            </w:tcBorders>
            <w:vAlign w:val="center"/>
          </w:tcPr>
          <w:p w:rsidR="005A5CD3" w:rsidRPr="005A5CD3" w:rsidRDefault="005A5CD3" w:rsidP="005A5CD3">
            <w:pPr>
              <w:jc w:val="center"/>
              <w:rPr>
                <w:sz w:val="14"/>
                <w:szCs w:val="16"/>
              </w:rPr>
            </w:pPr>
            <w:r w:rsidRPr="005A5CD3">
              <w:rPr>
                <w:sz w:val="14"/>
                <w:szCs w:val="16"/>
              </w:rPr>
              <w:t>25,8</w:t>
            </w:r>
          </w:p>
        </w:tc>
        <w:tc>
          <w:tcPr>
            <w:tcW w:w="849" w:type="dxa"/>
            <w:tcBorders>
              <w:top w:val="single" w:sz="6" w:space="0" w:color="auto"/>
              <w:left w:val="single" w:sz="6" w:space="0" w:color="auto"/>
              <w:bottom w:val="single" w:sz="6" w:space="0" w:color="auto"/>
              <w:right w:val="single" w:sz="6" w:space="0" w:color="auto"/>
            </w:tcBorders>
            <w:vAlign w:val="center"/>
          </w:tcPr>
          <w:p w:rsidR="005A5CD3" w:rsidRPr="005A5CD3" w:rsidRDefault="005A5CD3" w:rsidP="005A5CD3">
            <w:pPr>
              <w:jc w:val="center"/>
              <w:rPr>
                <w:sz w:val="14"/>
                <w:szCs w:val="16"/>
              </w:rPr>
            </w:pPr>
            <w:r w:rsidRPr="005A5CD3">
              <w:rPr>
                <w:sz w:val="14"/>
                <w:szCs w:val="16"/>
              </w:rPr>
              <w:t>1262599</w:t>
            </w:r>
          </w:p>
        </w:tc>
        <w:tc>
          <w:tcPr>
            <w:tcW w:w="509" w:type="dxa"/>
            <w:tcBorders>
              <w:top w:val="single" w:sz="6" w:space="0" w:color="auto"/>
              <w:left w:val="single" w:sz="6" w:space="0" w:color="auto"/>
              <w:bottom w:val="single" w:sz="6" w:space="0" w:color="auto"/>
              <w:right w:val="single" w:sz="12" w:space="0" w:color="auto"/>
            </w:tcBorders>
            <w:vAlign w:val="center"/>
          </w:tcPr>
          <w:p w:rsidR="005A5CD3" w:rsidRPr="005A5CD3" w:rsidRDefault="005A5CD3" w:rsidP="005A5CD3">
            <w:pPr>
              <w:jc w:val="center"/>
              <w:rPr>
                <w:sz w:val="14"/>
                <w:szCs w:val="16"/>
              </w:rPr>
            </w:pPr>
            <w:r w:rsidRPr="005A5CD3">
              <w:rPr>
                <w:sz w:val="14"/>
                <w:szCs w:val="16"/>
              </w:rPr>
              <w:t>17,8</w:t>
            </w:r>
          </w:p>
        </w:tc>
        <w:tc>
          <w:tcPr>
            <w:tcW w:w="796" w:type="dxa"/>
            <w:tcBorders>
              <w:top w:val="single" w:sz="6" w:space="0" w:color="auto"/>
              <w:left w:val="single" w:sz="12" w:space="0" w:color="auto"/>
              <w:bottom w:val="single" w:sz="6" w:space="0" w:color="auto"/>
              <w:right w:val="single" w:sz="6" w:space="0" w:color="auto"/>
            </w:tcBorders>
            <w:vAlign w:val="center"/>
          </w:tcPr>
          <w:p w:rsidR="005A5CD3" w:rsidRPr="005A5CD3" w:rsidRDefault="005A5CD3" w:rsidP="005A5CD3">
            <w:pPr>
              <w:jc w:val="center"/>
              <w:rPr>
                <w:sz w:val="14"/>
                <w:szCs w:val="16"/>
              </w:rPr>
            </w:pPr>
            <w:r w:rsidRPr="005A5CD3">
              <w:rPr>
                <w:sz w:val="14"/>
                <w:szCs w:val="16"/>
              </w:rPr>
              <w:t>6328313</w:t>
            </w:r>
          </w:p>
        </w:tc>
        <w:tc>
          <w:tcPr>
            <w:tcW w:w="510" w:type="dxa"/>
            <w:tcBorders>
              <w:top w:val="single" w:sz="6" w:space="0" w:color="auto"/>
              <w:left w:val="single" w:sz="6" w:space="0" w:color="auto"/>
              <w:bottom w:val="single" w:sz="6" w:space="0" w:color="auto"/>
              <w:right w:val="single" w:sz="6" w:space="0" w:color="auto"/>
            </w:tcBorders>
            <w:vAlign w:val="center"/>
          </w:tcPr>
          <w:p w:rsidR="005A5CD3" w:rsidRPr="005A5CD3" w:rsidRDefault="005A5CD3" w:rsidP="005A5CD3">
            <w:pPr>
              <w:jc w:val="center"/>
              <w:rPr>
                <w:sz w:val="14"/>
                <w:szCs w:val="16"/>
              </w:rPr>
            </w:pPr>
            <w:r w:rsidRPr="005A5CD3">
              <w:rPr>
                <w:sz w:val="14"/>
                <w:szCs w:val="16"/>
              </w:rPr>
              <w:t>25,7</w:t>
            </w:r>
          </w:p>
        </w:tc>
        <w:tc>
          <w:tcPr>
            <w:tcW w:w="850" w:type="dxa"/>
            <w:tcBorders>
              <w:top w:val="single" w:sz="6" w:space="0" w:color="auto"/>
              <w:left w:val="single" w:sz="6" w:space="0" w:color="auto"/>
              <w:bottom w:val="single" w:sz="6" w:space="0" w:color="auto"/>
              <w:right w:val="single" w:sz="6" w:space="0" w:color="auto"/>
            </w:tcBorders>
            <w:vAlign w:val="center"/>
          </w:tcPr>
          <w:p w:rsidR="005A5CD3" w:rsidRPr="005A5CD3" w:rsidRDefault="005A5CD3" w:rsidP="005A5CD3">
            <w:pPr>
              <w:jc w:val="center"/>
              <w:rPr>
                <w:sz w:val="14"/>
                <w:szCs w:val="16"/>
              </w:rPr>
            </w:pPr>
            <w:r w:rsidRPr="005A5CD3">
              <w:rPr>
                <w:sz w:val="14"/>
                <w:szCs w:val="16"/>
              </w:rPr>
              <w:t>849224,8</w:t>
            </w:r>
          </w:p>
        </w:tc>
        <w:tc>
          <w:tcPr>
            <w:tcW w:w="474" w:type="dxa"/>
            <w:tcBorders>
              <w:top w:val="single" w:sz="6" w:space="0" w:color="auto"/>
              <w:left w:val="single" w:sz="6" w:space="0" w:color="auto"/>
              <w:bottom w:val="single" w:sz="6" w:space="0" w:color="auto"/>
              <w:right w:val="single" w:sz="12" w:space="0" w:color="auto"/>
            </w:tcBorders>
            <w:vAlign w:val="center"/>
          </w:tcPr>
          <w:p w:rsidR="005A5CD3" w:rsidRPr="005A5CD3" w:rsidRDefault="005A5CD3" w:rsidP="005A5CD3">
            <w:pPr>
              <w:jc w:val="center"/>
              <w:rPr>
                <w:sz w:val="14"/>
                <w:szCs w:val="16"/>
              </w:rPr>
            </w:pPr>
            <w:r w:rsidRPr="005A5CD3">
              <w:rPr>
                <w:sz w:val="14"/>
                <w:szCs w:val="16"/>
              </w:rPr>
              <w:t>12,4</w:t>
            </w:r>
          </w:p>
        </w:tc>
        <w:tc>
          <w:tcPr>
            <w:tcW w:w="794" w:type="dxa"/>
            <w:gridSpan w:val="2"/>
            <w:tcBorders>
              <w:top w:val="single" w:sz="6" w:space="0" w:color="auto"/>
              <w:left w:val="single" w:sz="12" w:space="0" w:color="auto"/>
              <w:bottom w:val="single" w:sz="6" w:space="0" w:color="auto"/>
              <w:right w:val="single" w:sz="6" w:space="0" w:color="auto"/>
            </w:tcBorders>
            <w:vAlign w:val="center"/>
          </w:tcPr>
          <w:p w:rsidR="005A5CD3" w:rsidRPr="005A5CD3" w:rsidRDefault="005A5CD3" w:rsidP="005A5CD3">
            <w:pPr>
              <w:jc w:val="center"/>
              <w:rPr>
                <w:sz w:val="14"/>
                <w:szCs w:val="16"/>
              </w:rPr>
            </w:pPr>
            <w:r w:rsidRPr="005A5CD3">
              <w:rPr>
                <w:sz w:val="14"/>
                <w:szCs w:val="16"/>
              </w:rPr>
              <w:t>6851418</w:t>
            </w:r>
          </w:p>
        </w:tc>
        <w:tc>
          <w:tcPr>
            <w:tcW w:w="474" w:type="dxa"/>
            <w:tcBorders>
              <w:top w:val="single" w:sz="6" w:space="0" w:color="auto"/>
              <w:left w:val="single" w:sz="6" w:space="0" w:color="auto"/>
              <w:bottom w:val="single" w:sz="6" w:space="0" w:color="auto"/>
              <w:right w:val="single" w:sz="6" w:space="0" w:color="auto"/>
            </w:tcBorders>
            <w:vAlign w:val="center"/>
          </w:tcPr>
          <w:p w:rsidR="005A5CD3" w:rsidRPr="005A5CD3" w:rsidRDefault="005A5CD3" w:rsidP="005A5CD3">
            <w:pPr>
              <w:jc w:val="center"/>
              <w:rPr>
                <w:sz w:val="14"/>
                <w:szCs w:val="16"/>
              </w:rPr>
            </w:pPr>
            <w:r w:rsidRPr="005A5CD3">
              <w:rPr>
                <w:sz w:val="14"/>
                <w:szCs w:val="16"/>
              </w:rPr>
              <w:t>27,9</w:t>
            </w:r>
          </w:p>
        </w:tc>
        <w:tc>
          <w:tcPr>
            <w:tcW w:w="850" w:type="dxa"/>
            <w:tcBorders>
              <w:top w:val="single" w:sz="6" w:space="0" w:color="auto"/>
              <w:left w:val="single" w:sz="6" w:space="0" w:color="auto"/>
              <w:bottom w:val="single" w:sz="6" w:space="0" w:color="auto"/>
              <w:right w:val="single" w:sz="6" w:space="0" w:color="auto"/>
            </w:tcBorders>
            <w:vAlign w:val="center"/>
          </w:tcPr>
          <w:p w:rsidR="005A5CD3" w:rsidRPr="005A5CD3" w:rsidRDefault="005A5CD3" w:rsidP="005A5CD3">
            <w:pPr>
              <w:jc w:val="center"/>
              <w:rPr>
                <w:sz w:val="14"/>
                <w:szCs w:val="16"/>
              </w:rPr>
            </w:pPr>
            <w:r w:rsidRPr="005A5CD3">
              <w:rPr>
                <w:sz w:val="14"/>
                <w:szCs w:val="16"/>
              </w:rPr>
              <w:t>831983,1</w:t>
            </w:r>
          </w:p>
        </w:tc>
        <w:tc>
          <w:tcPr>
            <w:tcW w:w="479" w:type="dxa"/>
            <w:tcBorders>
              <w:top w:val="single" w:sz="6" w:space="0" w:color="auto"/>
              <w:left w:val="single" w:sz="6" w:space="0" w:color="auto"/>
              <w:bottom w:val="single" w:sz="6" w:space="0" w:color="auto"/>
              <w:right w:val="single" w:sz="12" w:space="0" w:color="auto"/>
            </w:tcBorders>
            <w:vAlign w:val="center"/>
          </w:tcPr>
          <w:p w:rsidR="005A5CD3" w:rsidRPr="005A5CD3" w:rsidRDefault="005A5CD3" w:rsidP="005A5CD3">
            <w:pPr>
              <w:jc w:val="center"/>
              <w:rPr>
                <w:sz w:val="14"/>
                <w:szCs w:val="16"/>
              </w:rPr>
            </w:pPr>
            <w:r w:rsidRPr="005A5CD3">
              <w:rPr>
                <w:sz w:val="14"/>
                <w:szCs w:val="16"/>
              </w:rPr>
              <w:t>12,2</w:t>
            </w:r>
          </w:p>
        </w:tc>
        <w:tc>
          <w:tcPr>
            <w:tcW w:w="794" w:type="dxa"/>
            <w:tcBorders>
              <w:top w:val="single" w:sz="6" w:space="0" w:color="auto"/>
              <w:left w:val="single" w:sz="12" w:space="0" w:color="auto"/>
              <w:bottom w:val="single" w:sz="6" w:space="0" w:color="auto"/>
              <w:right w:val="single" w:sz="6" w:space="0" w:color="auto"/>
            </w:tcBorders>
            <w:vAlign w:val="center"/>
          </w:tcPr>
          <w:p w:rsidR="005A5CD3" w:rsidRPr="005A5CD3" w:rsidRDefault="005A5CD3" w:rsidP="005A5CD3">
            <w:pPr>
              <w:jc w:val="center"/>
              <w:rPr>
                <w:sz w:val="14"/>
                <w:szCs w:val="16"/>
              </w:rPr>
            </w:pPr>
            <w:r w:rsidRPr="005A5CD3">
              <w:rPr>
                <w:sz w:val="14"/>
                <w:szCs w:val="16"/>
              </w:rPr>
              <w:t>7502939</w:t>
            </w:r>
          </w:p>
        </w:tc>
        <w:tc>
          <w:tcPr>
            <w:tcW w:w="474" w:type="dxa"/>
            <w:tcBorders>
              <w:top w:val="single" w:sz="6" w:space="0" w:color="auto"/>
              <w:left w:val="single" w:sz="6" w:space="0" w:color="auto"/>
              <w:bottom w:val="single" w:sz="6" w:space="0" w:color="auto"/>
              <w:right w:val="single" w:sz="6" w:space="0" w:color="auto"/>
            </w:tcBorders>
            <w:vAlign w:val="center"/>
          </w:tcPr>
          <w:p w:rsidR="005A5CD3" w:rsidRPr="005A5CD3" w:rsidRDefault="005A5CD3" w:rsidP="005A5CD3">
            <w:pPr>
              <w:jc w:val="center"/>
              <w:rPr>
                <w:sz w:val="14"/>
                <w:szCs w:val="16"/>
              </w:rPr>
            </w:pPr>
            <w:r w:rsidRPr="005A5CD3">
              <w:rPr>
                <w:sz w:val="14"/>
                <w:szCs w:val="16"/>
              </w:rPr>
              <w:t>29,9</w:t>
            </w:r>
          </w:p>
        </w:tc>
        <w:tc>
          <w:tcPr>
            <w:tcW w:w="850" w:type="dxa"/>
            <w:tcBorders>
              <w:top w:val="single" w:sz="6" w:space="0" w:color="auto"/>
              <w:left w:val="single" w:sz="6" w:space="0" w:color="auto"/>
              <w:bottom w:val="single" w:sz="6" w:space="0" w:color="auto"/>
              <w:right w:val="single" w:sz="6" w:space="0" w:color="auto"/>
            </w:tcBorders>
            <w:vAlign w:val="center"/>
          </w:tcPr>
          <w:p w:rsidR="005A5CD3" w:rsidRPr="005A5CD3" w:rsidRDefault="005A5CD3" w:rsidP="005A5CD3">
            <w:pPr>
              <w:jc w:val="center"/>
              <w:rPr>
                <w:sz w:val="14"/>
                <w:szCs w:val="16"/>
              </w:rPr>
            </w:pPr>
            <w:r w:rsidRPr="005A5CD3">
              <w:rPr>
                <w:sz w:val="14"/>
                <w:szCs w:val="16"/>
              </w:rPr>
              <w:t>825277,7</w:t>
            </w:r>
          </w:p>
        </w:tc>
        <w:tc>
          <w:tcPr>
            <w:tcW w:w="474" w:type="dxa"/>
            <w:tcBorders>
              <w:top w:val="single" w:sz="6" w:space="0" w:color="auto"/>
              <w:left w:val="single" w:sz="6" w:space="0" w:color="auto"/>
              <w:bottom w:val="single" w:sz="6" w:space="0" w:color="auto"/>
              <w:right w:val="single" w:sz="12" w:space="0" w:color="auto"/>
            </w:tcBorders>
            <w:vAlign w:val="center"/>
          </w:tcPr>
          <w:p w:rsidR="005A5CD3" w:rsidRPr="005A5CD3" w:rsidRDefault="005A5CD3" w:rsidP="005A5CD3">
            <w:pPr>
              <w:jc w:val="center"/>
              <w:rPr>
                <w:sz w:val="14"/>
                <w:szCs w:val="16"/>
              </w:rPr>
            </w:pPr>
            <w:r w:rsidRPr="005A5CD3">
              <w:rPr>
                <w:sz w:val="14"/>
                <w:szCs w:val="16"/>
              </w:rPr>
              <w:t>11,2</w:t>
            </w:r>
          </w:p>
        </w:tc>
        <w:tc>
          <w:tcPr>
            <w:tcW w:w="794" w:type="dxa"/>
            <w:gridSpan w:val="2"/>
            <w:tcBorders>
              <w:top w:val="single" w:sz="6" w:space="0" w:color="auto"/>
              <w:left w:val="single" w:sz="12" w:space="0" w:color="auto"/>
              <w:bottom w:val="single" w:sz="6" w:space="0" w:color="auto"/>
              <w:right w:val="single" w:sz="6" w:space="0" w:color="auto"/>
            </w:tcBorders>
            <w:vAlign w:val="center"/>
          </w:tcPr>
          <w:p w:rsidR="005A5CD3" w:rsidRPr="005A5CD3" w:rsidRDefault="005A5CD3" w:rsidP="005A5CD3">
            <w:pPr>
              <w:jc w:val="center"/>
              <w:rPr>
                <w:sz w:val="14"/>
                <w:szCs w:val="16"/>
              </w:rPr>
            </w:pPr>
            <w:r w:rsidRPr="005A5CD3">
              <w:rPr>
                <w:sz w:val="14"/>
                <w:szCs w:val="16"/>
              </w:rPr>
              <w:t>4431597</w:t>
            </w:r>
          </w:p>
        </w:tc>
        <w:tc>
          <w:tcPr>
            <w:tcW w:w="474" w:type="dxa"/>
            <w:gridSpan w:val="2"/>
            <w:tcBorders>
              <w:top w:val="single" w:sz="6" w:space="0" w:color="auto"/>
              <w:left w:val="single" w:sz="6" w:space="0" w:color="auto"/>
              <w:bottom w:val="single" w:sz="6" w:space="0" w:color="auto"/>
              <w:right w:val="single" w:sz="6" w:space="0" w:color="auto"/>
            </w:tcBorders>
            <w:vAlign w:val="center"/>
          </w:tcPr>
          <w:p w:rsidR="005A5CD3" w:rsidRPr="005A5CD3" w:rsidRDefault="005A5CD3" w:rsidP="005A5CD3">
            <w:pPr>
              <w:jc w:val="center"/>
              <w:rPr>
                <w:sz w:val="14"/>
                <w:szCs w:val="16"/>
              </w:rPr>
            </w:pPr>
            <w:r w:rsidRPr="005A5CD3">
              <w:rPr>
                <w:sz w:val="14"/>
                <w:szCs w:val="16"/>
              </w:rPr>
              <w:t>18,2</w:t>
            </w:r>
          </w:p>
        </w:tc>
        <w:tc>
          <w:tcPr>
            <w:tcW w:w="907" w:type="dxa"/>
            <w:gridSpan w:val="2"/>
            <w:tcBorders>
              <w:top w:val="single" w:sz="6" w:space="0" w:color="auto"/>
              <w:left w:val="single" w:sz="6" w:space="0" w:color="auto"/>
              <w:bottom w:val="single" w:sz="6" w:space="0" w:color="auto"/>
              <w:right w:val="single" w:sz="6" w:space="0" w:color="auto"/>
            </w:tcBorders>
            <w:vAlign w:val="center"/>
          </w:tcPr>
          <w:p w:rsidR="005A5CD3" w:rsidRPr="005A5CD3" w:rsidRDefault="005A5CD3" w:rsidP="005A5CD3">
            <w:pPr>
              <w:jc w:val="center"/>
              <w:rPr>
                <w:sz w:val="14"/>
                <w:szCs w:val="16"/>
              </w:rPr>
            </w:pPr>
            <w:r w:rsidRPr="005A5CD3">
              <w:rPr>
                <w:sz w:val="14"/>
                <w:szCs w:val="16"/>
              </w:rPr>
              <w:t>824108,6</w:t>
            </w:r>
          </w:p>
        </w:tc>
        <w:tc>
          <w:tcPr>
            <w:tcW w:w="476" w:type="dxa"/>
            <w:gridSpan w:val="2"/>
            <w:tcBorders>
              <w:top w:val="single" w:sz="6" w:space="0" w:color="auto"/>
              <w:left w:val="single" w:sz="6" w:space="0" w:color="auto"/>
              <w:bottom w:val="single" w:sz="6" w:space="0" w:color="auto"/>
              <w:right w:val="single" w:sz="12" w:space="0" w:color="auto"/>
            </w:tcBorders>
            <w:vAlign w:val="center"/>
          </w:tcPr>
          <w:p w:rsidR="005A5CD3" w:rsidRPr="005A5CD3" w:rsidRDefault="005A5CD3" w:rsidP="005A5CD3">
            <w:pPr>
              <w:jc w:val="center"/>
              <w:rPr>
                <w:sz w:val="14"/>
                <w:szCs w:val="16"/>
              </w:rPr>
            </w:pPr>
            <w:r w:rsidRPr="005A5CD3">
              <w:rPr>
                <w:sz w:val="14"/>
                <w:szCs w:val="16"/>
              </w:rPr>
              <w:t>11,2</w:t>
            </w:r>
          </w:p>
        </w:tc>
      </w:tr>
      <w:tr w:rsidR="005A5CD3" w:rsidRPr="005A5CD3" w:rsidTr="00737B66">
        <w:trPr>
          <w:gridAfter w:val="1"/>
          <w:wAfter w:w="14" w:type="dxa"/>
          <w:trHeight w:val="303"/>
        </w:trPr>
        <w:tc>
          <w:tcPr>
            <w:tcW w:w="956" w:type="dxa"/>
            <w:tcBorders>
              <w:top w:val="single" w:sz="6" w:space="0" w:color="auto"/>
              <w:left w:val="single" w:sz="12" w:space="0" w:color="auto"/>
              <w:bottom w:val="single" w:sz="6" w:space="0" w:color="auto"/>
              <w:right w:val="single" w:sz="12" w:space="0" w:color="auto"/>
            </w:tcBorders>
            <w:vAlign w:val="center"/>
          </w:tcPr>
          <w:p w:rsidR="005A5CD3" w:rsidRPr="005A5CD3" w:rsidRDefault="005A5CD3" w:rsidP="005A5CD3">
            <w:pPr>
              <w:jc w:val="center"/>
              <w:rPr>
                <w:sz w:val="14"/>
                <w:szCs w:val="16"/>
              </w:rPr>
            </w:pPr>
            <w:r w:rsidRPr="005A5CD3">
              <w:rPr>
                <w:sz w:val="14"/>
                <w:szCs w:val="16"/>
              </w:rPr>
              <w:t>Gynyba</w:t>
            </w:r>
          </w:p>
        </w:tc>
        <w:tc>
          <w:tcPr>
            <w:tcW w:w="793" w:type="dxa"/>
            <w:tcBorders>
              <w:top w:val="single" w:sz="6" w:space="0" w:color="auto"/>
              <w:left w:val="single" w:sz="12" w:space="0" w:color="auto"/>
              <w:bottom w:val="single" w:sz="6" w:space="0" w:color="auto"/>
              <w:right w:val="single" w:sz="6" w:space="0" w:color="auto"/>
            </w:tcBorders>
            <w:vAlign w:val="center"/>
          </w:tcPr>
          <w:p w:rsidR="005A5CD3" w:rsidRPr="005A5CD3" w:rsidRDefault="005A5CD3" w:rsidP="005A5CD3">
            <w:pPr>
              <w:jc w:val="center"/>
              <w:rPr>
                <w:sz w:val="14"/>
                <w:szCs w:val="16"/>
              </w:rPr>
            </w:pPr>
            <w:r w:rsidRPr="005A5CD3">
              <w:rPr>
                <w:sz w:val="14"/>
                <w:szCs w:val="16"/>
              </w:rPr>
              <w:t>1470115</w:t>
            </w:r>
          </w:p>
        </w:tc>
        <w:tc>
          <w:tcPr>
            <w:tcW w:w="509" w:type="dxa"/>
            <w:tcBorders>
              <w:top w:val="single" w:sz="6" w:space="0" w:color="auto"/>
              <w:left w:val="single" w:sz="6" w:space="0" w:color="auto"/>
              <w:bottom w:val="single" w:sz="6" w:space="0" w:color="auto"/>
              <w:right w:val="single" w:sz="6" w:space="0" w:color="auto"/>
            </w:tcBorders>
            <w:vAlign w:val="center"/>
          </w:tcPr>
          <w:p w:rsidR="005A5CD3" w:rsidRPr="005A5CD3" w:rsidRDefault="005A5CD3" w:rsidP="005A5CD3">
            <w:pPr>
              <w:jc w:val="center"/>
              <w:rPr>
                <w:sz w:val="14"/>
                <w:szCs w:val="16"/>
              </w:rPr>
            </w:pPr>
            <w:r w:rsidRPr="005A5CD3">
              <w:rPr>
                <w:sz w:val="14"/>
                <w:szCs w:val="16"/>
              </w:rPr>
              <w:t>6</w:t>
            </w:r>
          </w:p>
        </w:tc>
        <w:tc>
          <w:tcPr>
            <w:tcW w:w="849" w:type="dxa"/>
            <w:tcBorders>
              <w:top w:val="single" w:sz="6" w:space="0" w:color="auto"/>
              <w:left w:val="single" w:sz="6" w:space="0" w:color="auto"/>
              <w:bottom w:val="single" w:sz="6" w:space="0" w:color="auto"/>
              <w:right w:val="single" w:sz="6" w:space="0" w:color="auto"/>
            </w:tcBorders>
            <w:vAlign w:val="center"/>
          </w:tcPr>
          <w:p w:rsidR="005A5CD3" w:rsidRPr="005A5CD3" w:rsidRDefault="005A5CD3" w:rsidP="005A5CD3">
            <w:pPr>
              <w:jc w:val="center"/>
              <w:rPr>
                <w:sz w:val="14"/>
                <w:szCs w:val="16"/>
              </w:rPr>
            </w:pPr>
            <w:r w:rsidRPr="005A5CD3">
              <w:rPr>
                <w:sz w:val="14"/>
                <w:szCs w:val="16"/>
              </w:rPr>
              <w:t>10544,2</w:t>
            </w:r>
          </w:p>
        </w:tc>
        <w:tc>
          <w:tcPr>
            <w:tcW w:w="509" w:type="dxa"/>
            <w:tcBorders>
              <w:top w:val="single" w:sz="6" w:space="0" w:color="auto"/>
              <w:left w:val="single" w:sz="6" w:space="0" w:color="auto"/>
              <w:bottom w:val="single" w:sz="6" w:space="0" w:color="auto"/>
              <w:right w:val="single" w:sz="12" w:space="0" w:color="auto"/>
            </w:tcBorders>
            <w:vAlign w:val="center"/>
          </w:tcPr>
          <w:p w:rsidR="005A5CD3" w:rsidRPr="005A5CD3" w:rsidRDefault="005A5CD3" w:rsidP="005A5CD3">
            <w:pPr>
              <w:jc w:val="center"/>
              <w:rPr>
                <w:sz w:val="14"/>
                <w:szCs w:val="16"/>
              </w:rPr>
            </w:pPr>
            <w:r w:rsidRPr="005A5CD3">
              <w:rPr>
                <w:sz w:val="14"/>
                <w:szCs w:val="16"/>
              </w:rPr>
              <w:t>0,1</w:t>
            </w:r>
          </w:p>
        </w:tc>
        <w:tc>
          <w:tcPr>
            <w:tcW w:w="796" w:type="dxa"/>
            <w:tcBorders>
              <w:top w:val="single" w:sz="6" w:space="0" w:color="auto"/>
              <w:left w:val="single" w:sz="12" w:space="0" w:color="auto"/>
              <w:bottom w:val="single" w:sz="6" w:space="0" w:color="auto"/>
              <w:right w:val="single" w:sz="6" w:space="0" w:color="auto"/>
            </w:tcBorders>
            <w:vAlign w:val="center"/>
          </w:tcPr>
          <w:p w:rsidR="005A5CD3" w:rsidRPr="005A5CD3" w:rsidRDefault="005A5CD3" w:rsidP="005A5CD3">
            <w:pPr>
              <w:jc w:val="center"/>
              <w:rPr>
                <w:sz w:val="14"/>
                <w:szCs w:val="16"/>
              </w:rPr>
            </w:pPr>
            <w:r w:rsidRPr="005A5CD3">
              <w:rPr>
                <w:sz w:val="14"/>
                <w:szCs w:val="16"/>
              </w:rPr>
              <w:t>1163559</w:t>
            </w:r>
          </w:p>
        </w:tc>
        <w:tc>
          <w:tcPr>
            <w:tcW w:w="510" w:type="dxa"/>
            <w:tcBorders>
              <w:top w:val="single" w:sz="6" w:space="0" w:color="auto"/>
              <w:left w:val="single" w:sz="6" w:space="0" w:color="auto"/>
              <w:bottom w:val="single" w:sz="6" w:space="0" w:color="auto"/>
              <w:right w:val="single" w:sz="6" w:space="0" w:color="auto"/>
            </w:tcBorders>
            <w:vAlign w:val="center"/>
          </w:tcPr>
          <w:p w:rsidR="005A5CD3" w:rsidRPr="005A5CD3" w:rsidRDefault="005A5CD3" w:rsidP="005A5CD3">
            <w:pPr>
              <w:jc w:val="center"/>
              <w:rPr>
                <w:sz w:val="14"/>
                <w:szCs w:val="16"/>
              </w:rPr>
            </w:pPr>
            <w:r w:rsidRPr="005A5CD3">
              <w:rPr>
                <w:sz w:val="14"/>
                <w:szCs w:val="16"/>
              </w:rPr>
              <w:t>4,7</w:t>
            </w:r>
          </w:p>
        </w:tc>
        <w:tc>
          <w:tcPr>
            <w:tcW w:w="850" w:type="dxa"/>
            <w:tcBorders>
              <w:top w:val="single" w:sz="6" w:space="0" w:color="auto"/>
              <w:left w:val="single" w:sz="6" w:space="0" w:color="auto"/>
              <w:bottom w:val="single" w:sz="6" w:space="0" w:color="auto"/>
              <w:right w:val="single" w:sz="6" w:space="0" w:color="auto"/>
            </w:tcBorders>
            <w:vAlign w:val="center"/>
          </w:tcPr>
          <w:p w:rsidR="005A5CD3" w:rsidRPr="005A5CD3" w:rsidRDefault="005A5CD3" w:rsidP="005A5CD3">
            <w:pPr>
              <w:jc w:val="center"/>
              <w:rPr>
                <w:sz w:val="14"/>
                <w:szCs w:val="16"/>
              </w:rPr>
            </w:pPr>
            <w:r w:rsidRPr="005A5CD3">
              <w:rPr>
                <w:sz w:val="14"/>
                <w:szCs w:val="16"/>
              </w:rPr>
              <w:t>8375,5</w:t>
            </w:r>
          </w:p>
        </w:tc>
        <w:tc>
          <w:tcPr>
            <w:tcW w:w="474" w:type="dxa"/>
            <w:tcBorders>
              <w:top w:val="single" w:sz="6" w:space="0" w:color="auto"/>
              <w:left w:val="single" w:sz="6" w:space="0" w:color="auto"/>
              <w:bottom w:val="single" w:sz="6" w:space="0" w:color="auto"/>
              <w:right w:val="single" w:sz="12" w:space="0" w:color="auto"/>
            </w:tcBorders>
            <w:vAlign w:val="center"/>
          </w:tcPr>
          <w:p w:rsidR="005A5CD3" w:rsidRPr="005A5CD3" w:rsidRDefault="005A5CD3" w:rsidP="005A5CD3">
            <w:pPr>
              <w:jc w:val="center"/>
              <w:rPr>
                <w:sz w:val="14"/>
                <w:szCs w:val="16"/>
              </w:rPr>
            </w:pPr>
            <w:r w:rsidRPr="005A5CD3">
              <w:rPr>
                <w:sz w:val="14"/>
                <w:szCs w:val="16"/>
              </w:rPr>
              <w:t>0,1</w:t>
            </w:r>
          </w:p>
        </w:tc>
        <w:tc>
          <w:tcPr>
            <w:tcW w:w="794" w:type="dxa"/>
            <w:gridSpan w:val="2"/>
            <w:tcBorders>
              <w:top w:val="single" w:sz="6" w:space="0" w:color="auto"/>
              <w:left w:val="single" w:sz="12" w:space="0" w:color="auto"/>
              <w:bottom w:val="single" w:sz="6" w:space="0" w:color="auto"/>
              <w:right w:val="single" w:sz="6" w:space="0" w:color="auto"/>
            </w:tcBorders>
            <w:vAlign w:val="center"/>
          </w:tcPr>
          <w:p w:rsidR="005A5CD3" w:rsidRPr="005A5CD3" w:rsidRDefault="005A5CD3" w:rsidP="005A5CD3">
            <w:pPr>
              <w:jc w:val="center"/>
              <w:rPr>
                <w:sz w:val="14"/>
                <w:szCs w:val="16"/>
              </w:rPr>
            </w:pPr>
            <w:r w:rsidRPr="005A5CD3">
              <w:rPr>
                <w:sz w:val="14"/>
                <w:szCs w:val="16"/>
              </w:rPr>
              <w:t>986751</w:t>
            </w:r>
          </w:p>
        </w:tc>
        <w:tc>
          <w:tcPr>
            <w:tcW w:w="474" w:type="dxa"/>
            <w:tcBorders>
              <w:top w:val="single" w:sz="6" w:space="0" w:color="auto"/>
              <w:left w:val="single" w:sz="6" w:space="0" w:color="auto"/>
              <w:bottom w:val="single" w:sz="6" w:space="0" w:color="auto"/>
              <w:right w:val="single" w:sz="6" w:space="0" w:color="auto"/>
            </w:tcBorders>
            <w:vAlign w:val="center"/>
          </w:tcPr>
          <w:p w:rsidR="005A5CD3" w:rsidRPr="005A5CD3" w:rsidRDefault="005A5CD3" w:rsidP="005A5CD3">
            <w:pPr>
              <w:jc w:val="center"/>
              <w:rPr>
                <w:sz w:val="14"/>
                <w:szCs w:val="16"/>
              </w:rPr>
            </w:pPr>
            <w:r w:rsidRPr="005A5CD3">
              <w:rPr>
                <w:sz w:val="14"/>
                <w:szCs w:val="16"/>
              </w:rPr>
              <w:t>4</w:t>
            </w:r>
          </w:p>
        </w:tc>
        <w:tc>
          <w:tcPr>
            <w:tcW w:w="850" w:type="dxa"/>
            <w:tcBorders>
              <w:top w:val="single" w:sz="6" w:space="0" w:color="auto"/>
              <w:left w:val="single" w:sz="6" w:space="0" w:color="auto"/>
              <w:bottom w:val="single" w:sz="6" w:space="0" w:color="auto"/>
              <w:right w:val="single" w:sz="6" w:space="0" w:color="auto"/>
            </w:tcBorders>
            <w:vAlign w:val="center"/>
          </w:tcPr>
          <w:p w:rsidR="005A5CD3" w:rsidRPr="005A5CD3" w:rsidRDefault="005A5CD3" w:rsidP="005A5CD3">
            <w:pPr>
              <w:jc w:val="center"/>
              <w:rPr>
                <w:sz w:val="14"/>
                <w:szCs w:val="16"/>
              </w:rPr>
            </w:pPr>
            <w:r w:rsidRPr="005A5CD3">
              <w:rPr>
                <w:sz w:val="14"/>
                <w:szCs w:val="16"/>
              </w:rPr>
              <w:t>7340,3</w:t>
            </w:r>
          </w:p>
        </w:tc>
        <w:tc>
          <w:tcPr>
            <w:tcW w:w="479" w:type="dxa"/>
            <w:tcBorders>
              <w:top w:val="single" w:sz="6" w:space="0" w:color="auto"/>
              <w:left w:val="single" w:sz="6" w:space="0" w:color="auto"/>
              <w:bottom w:val="single" w:sz="6" w:space="0" w:color="auto"/>
              <w:right w:val="single" w:sz="12" w:space="0" w:color="auto"/>
            </w:tcBorders>
            <w:vAlign w:val="center"/>
          </w:tcPr>
          <w:p w:rsidR="005A5CD3" w:rsidRPr="005A5CD3" w:rsidRDefault="005A5CD3" w:rsidP="005A5CD3">
            <w:pPr>
              <w:jc w:val="center"/>
              <w:rPr>
                <w:sz w:val="14"/>
                <w:szCs w:val="16"/>
              </w:rPr>
            </w:pPr>
            <w:r w:rsidRPr="005A5CD3">
              <w:rPr>
                <w:sz w:val="14"/>
                <w:szCs w:val="16"/>
              </w:rPr>
              <w:t>0,1</w:t>
            </w:r>
          </w:p>
        </w:tc>
        <w:tc>
          <w:tcPr>
            <w:tcW w:w="794" w:type="dxa"/>
            <w:tcBorders>
              <w:top w:val="single" w:sz="6" w:space="0" w:color="auto"/>
              <w:left w:val="single" w:sz="12" w:space="0" w:color="auto"/>
              <w:bottom w:val="single" w:sz="6" w:space="0" w:color="auto"/>
              <w:right w:val="single" w:sz="6" w:space="0" w:color="auto"/>
            </w:tcBorders>
            <w:vAlign w:val="center"/>
          </w:tcPr>
          <w:p w:rsidR="005A5CD3" w:rsidRPr="005A5CD3" w:rsidRDefault="005A5CD3" w:rsidP="005A5CD3">
            <w:pPr>
              <w:jc w:val="center"/>
              <w:rPr>
                <w:sz w:val="14"/>
                <w:szCs w:val="16"/>
              </w:rPr>
            </w:pPr>
            <w:r w:rsidRPr="005A5CD3">
              <w:rPr>
                <w:sz w:val="14"/>
                <w:szCs w:val="16"/>
              </w:rPr>
              <w:t>1039097</w:t>
            </w:r>
          </w:p>
        </w:tc>
        <w:tc>
          <w:tcPr>
            <w:tcW w:w="474" w:type="dxa"/>
            <w:tcBorders>
              <w:top w:val="single" w:sz="6" w:space="0" w:color="auto"/>
              <w:left w:val="single" w:sz="6" w:space="0" w:color="auto"/>
              <w:bottom w:val="single" w:sz="6" w:space="0" w:color="auto"/>
              <w:right w:val="single" w:sz="6" w:space="0" w:color="auto"/>
            </w:tcBorders>
            <w:vAlign w:val="center"/>
          </w:tcPr>
          <w:p w:rsidR="005A5CD3" w:rsidRPr="005A5CD3" w:rsidRDefault="005A5CD3" w:rsidP="005A5CD3">
            <w:pPr>
              <w:jc w:val="center"/>
              <w:rPr>
                <w:sz w:val="14"/>
                <w:szCs w:val="16"/>
              </w:rPr>
            </w:pPr>
            <w:r w:rsidRPr="005A5CD3">
              <w:rPr>
                <w:sz w:val="14"/>
                <w:szCs w:val="16"/>
              </w:rPr>
              <w:t>4,1</w:t>
            </w:r>
          </w:p>
        </w:tc>
        <w:tc>
          <w:tcPr>
            <w:tcW w:w="850" w:type="dxa"/>
            <w:tcBorders>
              <w:top w:val="single" w:sz="6" w:space="0" w:color="auto"/>
              <w:left w:val="single" w:sz="6" w:space="0" w:color="auto"/>
              <w:bottom w:val="single" w:sz="6" w:space="0" w:color="auto"/>
              <w:right w:val="single" w:sz="6" w:space="0" w:color="auto"/>
            </w:tcBorders>
            <w:vAlign w:val="center"/>
          </w:tcPr>
          <w:p w:rsidR="005A5CD3" w:rsidRPr="005A5CD3" w:rsidRDefault="005A5CD3" w:rsidP="005A5CD3">
            <w:pPr>
              <w:jc w:val="center"/>
              <w:rPr>
                <w:sz w:val="14"/>
                <w:szCs w:val="16"/>
              </w:rPr>
            </w:pPr>
            <w:r w:rsidRPr="005A5CD3">
              <w:rPr>
                <w:sz w:val="14"/>
                <w:szCs w:val="16"/>
              </w:rPr>
              <w:t>5899,7</w:t>
            </w:r>
          </w:p>
        </w:tc>
        <w:tc>
          <w:tcPr>
            <w:tcW w:w="474" w:type="dxa"/>
            <w:tcBorders>
              <w:top w:val="single" w:sz="6" w:space="0" w:color="auto"/>
              <w:left w:val="single" w:sz="6" w:space="0" w:color="auto"/>
              <w:bottom w:val="single" w:sz="6" w:space="0" w:color="auto"/>
              <w:right w:val="single" w:sz="12" w:space="0" w:color="auto"/>
            </w:tcBorders>
            <w:vAlign w:val="center"/>
          </w:tcPr>
          <w:p w:rsidR="005A5CD3" w:rsidRPr="005A5CD3" w:rsidRDefault="005A5CD3" w:rsidP="005A5CD3">
            <w:pPr>
              <w:jc w:val="center"/>
              <w:rPr>
                <w:sz w:val="14"/>
                <w:szCs w:val="16"/>
              </w:rPr>
            </w:pPr>
            <w:r w:rsidRPr="005A5CD3">
              <w:rPr>
                <w:sz w:val="14"/>
                <w:szCs w:val="16"/>
              </w:rPr>
              <w:t>0,1</w:t>
            </w:r>
          </w:p>
        </w:tc>
        <w:tc>
          <w:tcPr>
            <w:tcW w:w="794" w:type="dxa"/>
            <w:gridSpan w:val="2"/>
            <w:tcBorders>
              <w:top w:val="single" w:sz="6" w:space="0" w:color="auto"/>
              <w:left w:val="single" w:sz="12" w:space="0" w:color="auto"/>
              <w:bottom w:val="single" w:sz="6" w:space="0" w:color="auto"/>
              <w:right w:val="single" w:sz="6" w:space="0" w:color="auto"/>
            </w:tcBorders>
            <w:vAlign w:val="center"/>
          </w:tcPr>
          <w:p w:rsidR="005A5CD3" w:rsidRPr="005A5CD3" w:rsidRDefault="005A5CD3" w:rsidP="005A5CD3">
            <w:pPr>
              <w:jc w:val="center"/>
              <w:rPr>
                <w:sz w:val="14"/>
                <w:szCs w:val="16"/>
              </w:rPr>
            </w:pPr>
            <w:r w:rsidRPr="005A5CD3">
              <w:rPr>
                <w:sz w:val="14"/>
                <w:szCs w:val="16"/>
              </w:rPr>
              <w:t>1084850</w:t>
            </w:r>
          </w:p>
        </w:tc>
        <w:tc>
          <w:tcPr>
            <w:tcW w:w="474" w:type="dxa"/>
            <w:gridSpan w:val="2"/>
            <w:tcBorders>
              <w:top w:val="single" w:sz="6" w:space="0" w:color="auto"/>
              <w:left w:val="single" w:sz="6" w:space="0" w:color="auto"/>
              <w:bottom w:val="single" w:sz="6" w:space="0" w:color="auto"/>
              <w:right w:val="single" w:sz="6" w:space="0" w:color="auto"/>
            </w:tcBorders>
            <w:vAlign w:val="center"/>
          </w:tcPr>
          <w:p w:rsidR="005A5CD3" w:rsidRPr="005A5CD3" w:rsidRDefault="005A5CD3" w:rsidP="005A5CD3">
            <w:pPr>
              <w:jc w:val="center"/>
              <w:rPr>
                <w:sz w:val="14"/>
                <w:szCs w:val="16"/>
              </w:rPr>
            </w:pPr>
            <w:r w:rsidRPr="005A5CD3">
              <w:rPr>
                <w:sz w:val="14"/>
                <w:szCs w:val="16"/>
              </w:rPr>
              <w:t>4,5</w:t>
            </w:r>
          </w:p>
        </w:tc>
        <w:tc>
          <w:tcPr>
            <w:tcW w:w="907" w:type="dxa"/>
            <w:gridSpan w:val="2"/>
            <w:tcBorders>
              <w:top w:val="single" w:sz="6" w:space="0" w:color="auto"/>
              <w:left w:val="single" w:sz="6" w:space="0" w:color="auto"/>
              <w:bottom w:val="single" w:sz="6" w:space="0" w:color="auto"/>
              <w:right w:val="single" w:sz="6" w:space="0" w:color="auto"/>
            </w:tcBorders>
            <w:vAlign w:val="center"/>
          </w:tcPr>
          <w:p w:rsidR="005A5CD3" w:rsidRPr="005A5CD3" w:rsidRDefault="005A5CD3" w:rsidP="005A5CD3">
            <w:pPr>
              <w:jc w:val="center"/>
              <w:rPr>
                <w:sz w:val="14"/>
                <w:szCs w:val="16"/>
              </w:rPr>
            </w:pPr>
            <w:r w:rsidRPr="005A5CD3">
              <w:rPr>
                <w:sz w:val="14"/>
                <w:szCs w:val="16"/>
              </w:rPr>
              <w:t>5315,5</w:t>
            </w:r>
          </w:p>
        </w:tc>
        <w:tc>
          <w:tcPr>
            <w:tcW w:w="476" w:type="dxa"/>
            <w:gridSpan w:val="2"/>
            <w:tcBorders>
              <w:top w:val="single" w:sz="6" w:space="0" w:color="auto"/>
              <w:left w:val="single" w:sz="6" w:space="0" w:color="auto"/>
              <w:bottom w:val="single" w:sz="6" w:space="0" w:color="auto"/>
              <w:right w:val="single" w:sz="12" w:space="0" w:color="auto"/>
            </w:tcBorders>
            <w:vAlign w:val="center"/>
          </w:tcPr>
          <w:p w:rsidR="005A5CD3" w:rsidRPr="005A5CD3" w:rsidRDefault="005A5CD3" w:rsidP="005A5CD3">
            <w:pPr>
              <w:jc w:val="center"/>
              <w:rPr>
                <w:sz w:val="14"/>
                <w:szCs w:val="16"/>
              </w:rPr>
            </w:pPr>
            <w:r w:rsidRPr="005A5CD3">
              <w:rPr>
                <w:sz w:val="14"/>
                <w:szCs w:val="16"/>
              </w:rPr>
              <w:t>0,1</w:t>
            </w:r>
          </w:p>
        </w:tc>
      </w:tr>
      <w:tr w:rsidR="005A5CD3" w:rsidRPr="005A5CD3" w:rsidTr="00737B66">
        <w:trPr>
          <w:gridAfter w:val="1"/>
          <w:wAfter w:w="14" w:type="dxa"/>
        </w:trPr>
        <w:tc>
          <w:tcPr>
            <w:tcW w:w="956" w:type="dxa"/>
            <w:tcBorders>
              <w:top w:val="single" w:sz="6" w:space="0" w:color="auto"/>
              <w:left w:val="single" w:sz="12" w:space="0" w:color="auto"/>
              <w:bottom w:val="single" w:sz="6" w:space="0" w:color="auto"/>
              <w:right w:val="single" w:sz="12" w:space="0" w:color="auto"/>
            </w:tcBorders>
            <w:vAlign w:val="center"/>
          </w:tcPr>
          <w:p w:rsidR="005A5CD3" w:rsidRPr="005A5CD3" w:rsidRDefault="005A5CD3" w:rsidP="005A5CD3">
            <w:pPr>
              <w:jc w:val="center"/>
              <w:rPr>
                <w:sz w:val="14"/>
                <w:szCs w:val="16"/>
              </w:rPr>
            </w:pPr>
            <w:r w:rsidRPr="005A5CD3">
              <w:rPr>
                <w:sz w:val="14"/>
                <w:szCs w:val="16"/>
              </w:rPr>
              <w:t>Viešoji tvarka ir visuomenės apsauga</w:t>
            </w:r>
          </w:p>
        </w:tc>
        <w:tc>
          <w:tcPr>
            <w:tcW w:w="793" w:type="dxa"/>
            <w:tcBorders>
              <w:top w:val="single" w:sz="6" w:space="0" w:color="auto"/>
              <w:left w:val="single" w:sz="12" w:space="0" w:color="auto"/>
              <w:bottom w:val="single" w:sz="6" w:space="0" w:color="auto"/>
              <w:right w:val="single" w:sz="6" w:space="0" w:color="auto"/>
            </w:tcBorders>
            <w:vAlign w:val="center"/>
          </w:tcPr>
          <w:p w:rsidR="005A5CD3" w:rsidRPr="005A5CD3" w:rsidRDefault="005A5CD3" w:rsidP="005A5CD3">
            <w:pPr>
              <w:jc w:val="center"/>
              <w:rPr>
                <w:sz w:val="14"/>
                <w:szCs w:val="16"/>
              </w:rPr>
            </w:pPr>
            <w:r w:rsidRPr="005A5CD3">
              <w:rPr>
                <w:sz w:val="14"/>
                <w:szCs w:val="16"/>
              </w:rPr>
              <w:t>2015922</w:t>
            </w:r>
          </w:p>
        </w:tc>
        <w:tc>
          <w:tcPr>
            <w:tcW w:w="509" w:type="dxa"/>
            <w:tcBorders>
              <w:top w:val="single" w:sz="6" w:space="0" w:color="auto"/>
              <w:left w:val="single" w:sz="6" w:space="0" w:color="auto"/>
              <w:bottom w:val="single" w:sz="6" w:space="0" w:color="auto"/>
              <w:right w:val="single" w:sz="6" w:space="0" w:color="auto"/>
            </w:tcBorders>
            <w:vAlign w:val="center"/>
          </w:tcPr>
          <w:p w:rsidR="005A5CD3" w:rsidRPr="005A5CD3" w:rsidRDefault="005A5CD3" w:rsidP="005A5CD3">
            <w:pPr>
              <w:jc w:val="center"/>
              <w:rPr>
                <w:sz w:val="14"/>
                <w:szCs w:val="16"/>
              </w:rPr>
            </w:pPr>
            <w:r w:rsidRPr="005A5CD3">
              <w:rPr>
                <w:sz w:val="14"/>
                <w:szCs w:val="16"/>
              </w:rPr>
              <w:t>8,2</w:t>
            </w:r>
          </w:p>
        </w:tc>
        <w:tc>
          <w:tcPr>
            <w:tcW w:w="849" w:type="dxa"/>
            <w:tcBorders>
              <w:top w:val="single" w:sz="6" w:space="0" w:color="auto"/>
              <w:left w:val="single" w:sz="6" w:space="0" w:color="auto"/>
              <w:bottom w:val="single" w:sz="6" w:space="0" w:color="auto"/>
              <w:right w:val="single" w:sz="6" w:space="0" w:color="auto"/>
            </w:tcBorders>
            <w:vAlign w:val="center"/>
          </w:tcPr>
          <w:p w:rsidR="005A5CD3" w:rsidRPr="005A5CD3" w:rsidRDefault="005A5CD3" w:rsidP="005A5CD3">
            <w:pPr>
              <w:jc w:val="center"/>
              <w:rPr>
                <w:sz w:val="14"/>
                <w:szCs w:val="16"/>
              </w:rPr>
            </w:pPr>
            <w:r w:rsidRPr="005A5CD3">
              <w:rPr>
                <w:sz w:val="14"/>
                <w:szCs w:val="16"/>
              </w:rPr>
              <w:t>66107,4</w:t>
            </w:r>
          </w:p>
        </w:tc>
        <w:tc>
          <w:tcPr>
            <w:tcW w:w="509" w:type="dxa"/>
            <w:tcBorders>
              <w:top w:val="single" w:sz="6" w:space="0" w:color="auto"/>
              <w:left w:val="single" w:sz="6" w:space="0" w:color="auto"/>
              <w:bottom w:val="single" w:sz="6" w:space="0" w:color="auto"/>
              <w:right w:val="single" w:sz="12" w:space="0" w:color="auto"/>
            </w:tcBorders>
            <w:vAlign w:val="center"/>
          </w:tcPr>
          <w:p w:rsidR="005A5CD3" w:rsidRPr="005A5CD3" w:rsidRDefault="005A5CD3" w:rsidP="005A5CD3">
            <w:pPr>
              <w:jc w:val="center"/>
              <w:rPr>
                <w:sz w:val="14"/>
                <w:szCs w:val="16"/>
              </w:rPr>
            </w:pPr>
            <w:r w:rsidRPr="005A5CD3">
              <w:rPr>
                <w:sz w:val="14"/>
                <w:szCs w:val="16"/>
              </w:rPr>
              <w:t>0,9</w:t>
            </w:r>
          </w:p>
        </w:tc>
        <w:tc>
          <w:tcPr>
            <w:tcW w:w="796" w:type="dxa"/>
            <w:tcBorders>
              <w:top w:val="single" w:sz="6" w:space="0" w:color="auto"/>
              <w:left w:val="single" w:sz="12" w:space="0" w:color="auto"/>
              <w:bottom w:val="single" w:sz="6" w:space="0" w:color="auto"/>
              <w:right w:val="single" w:sz="6" w:space="0" w:color="auto"/>
            </w:tcBorders>
            <w:vAlign w:val="center"/>
          </w:tcPr>
          <w:p w:rsidR="005A5CD3" w:rsidRPr="005A5CD3" w:rsidRDefault="005A5CD3" w:rsidP="005A5CD3">
            <w:pPr>
              <w:jc w:val="center"/>
              <w:rPr>
                <w:sz w:val="14"/>
                <w:szCs w:val="16"/>
              </w:rPr>
            </w:pPr>
            <w:r w:rsidRPr="005A5CD3">
              <w:rPr>
                <w:sz w:val="14"/>
                <w:szCs w:val="16"/>
              </w:rPr>
              <w:t>1709316</w:t>
            </w:r>
          </w:p>
        </w:tc>
        <w:tc>
          <w:tcPr>
            <w:tcW w:w="510" w:type="dxa"/>
            <w:tcBorders>
              <w:top w:val="single" w:sz="6" w:space="0" w:color="auto"/>
              <w:left w:val="single" w:sz="6" w:space="0" w:color="auto"/>
              <w:bottom w:val="single" w:sz="6" w:space="0" w:color="auto"/>
              <w:right w:val="single" w:sz="6" w:space="0" w:color="auto"/>
            </w:tcBorders>
            <w:vAlign w:val="center"/>
          </w:tcPr>
          <w:p w:rsidR="005A5CD3" w:rsidRPr="005A5CD3" w:rsidRDefault="005A5CD3" w:rsidP="005A5CD3">
            <w:pPr>
              <w:jc w:val="center"/>
              <w:rPr>
                <w:sz w:val="14"/>
                <w:szCs w:val="16"/>
              </w:rPr>
            </w:pPr>
            <w:r w:rsidRPr="005A5CD3">
              <w:rPr>
                <w:sz w:val="14"/>
                <w:szCs w:val="16"/>
              </w:rPr>
              <w:t>6,9</w:t>
            </w:r>
          </w:p>
        </w:tc>
        <w:tc>
          <w:tcPr>
            <w:tcW w:w="850" w:type="dxa"/>
            <w:tcBorders>
              <w:top w:val="single" w:sz="6" w:space="0" w:color="auto"/>
              <w:left w:val="single" w:sz="6" w:space="0" w:color="auto"/>
              <w:bottom w:val="single" w:sz="6" w:space="0" w:color="auto"/>
              <w:right w:val="single" w:sz="6" w:space="0" w:color="auto"/>
            </w:tcBorders>
            <w:vAlign w:val="center"/>
          </w:tcPr>
          <w:p w:rsidR="005A5CD3" w:rsidRPr="005A5CD3" w:rsidRDefault="005A5CD3" w:rsidP="005A5CD3">
            <w:pPr>
              <w:jc w:val="center"/>
              <w:rPr>
                <w:sz w:val="14"/>
                <w:szCs w:val="16"/>
              </w:rPr>
            </w:pPr>
            <w:r w:rsidRPr="005A5CD3">
              <w:rPr>
                <w:sz w:val="14"/>
                <w:szCs w:val="16"/>
              </w:rPr>
              <w:t>55709,9</w:t>
            </w:r>
          </w:p>
        </w:tc>
        <w:tc>
          <w:tcPr>
            <w:tcW w:w="474" w:type="dxa"/>
            <w:tcBorders>
              <w:top w:val="single" w:sz="6" w:space="0" w:color="auto"/>
              <w:left w:val="single" w:sz="6" w:space="0" w:color="auto"/>
              <w:bottom w:val="single" w:sz="6" w:space="0" w:color="auto"/>
              <w:right w:val="single" w:sz="12" w:space="0" w:color="auto"/>
            </w:tcBorders>
            <w:vAlign w:val="center"/>
          </w:tcPr>
          <w:p w:rsidR="005A5CD3" w:rsidRPr="005A5CD3" w:rsidRDefault="005A5CD3" w:rsidP="005A5CD3">
            <w:pPr>
              <w:jc w:val="center"/>
              <w:rPr>
                <w:sz w:val="14"/>
                <w:szCs w:val="16"/>
              </w:rPr>
            </w:pPr>
            <w:r w:rsidRPr="005A5CD3">
              <w:rPr>
                <w:sz w:val="14"/>
                <w:szCs w:val="16"/>
              </w:rPr>
              <w:t>0,8</w:t>
            </w:r>
          </w:p>
        </w:tc>
        <w:tc>
          <w:tcPr>
            <w:tcW w:w="794" w:type="dxa"/>
            <w:gridSpan w:val="2"/>
            <w:tcBorders>
              <w:top w:val="single" w:sz="6" w:space="0" w:color="auto"/>
              <w:left w:val="single" w:sz="12" w:space="0" w:color="auto"/>
              <w:bottom w:val="single" w:sz="6" w:space="0" w:color="auto"/>
              <w:right w:val="single" w:sz="6" w:space="0" w:color="auto"/>
            </w:tcBorders>
            <w:vAlign w:val="center"/>
          </w:tcPr>
          <w:p w:rsidR="005A5CD3" w:rsidRPr="005A5CD3" w:rsidRDefault="005A5CD3" w:rsidP="005A5CD3">
            <w:pPr>
              <w:jc w:val="center"/>
              <w:rPr>
                <w:sz w:val="14"/>
                <w:szCs w:val="16"/>
              </w:rPr>
            </w:pPr>
            <w:r w:rsidRPr="005A5CD3">
              <w:rPr>
                <w:sz w:val="14"/>
                <w:szCs w:val="16"/>
              </w:rPr>
              <w:t>1818261</w:t>
            </w:r>
          </w:p>
        </w:tc>
        <w:tc>
          <w:tcPr>
            <w:tcW w:w="474" w:type="dxa"/>
            <w:tcBorders>
              <w:top w:val="single" w:sz="6" w:space="0" w:color="auto"/>
              <w:left w:val="single" w:sz="6" w:space="0" w:color="auto"/>
              <w:bottom w:val="single" w:sz="6" w:space="0" w:color="auto"/>
              <w:right w:val="single" w:sz="6" w:space="0" w:color="auto"/>
            </w:tcBorders>
            <w:vAlign w:val="center"/>
          </w:tcPr>
          <w:p w:rsidR="005A5CD3" w:rsidRPr="005A5CD3" w:rsidRDefault="005A5CD3" w:rsidP="005A5CD3">
            <w:pPr>
              <w:jc w:val="center"/>
              <w:rPr>
                <w:sz w:val="14"/>
                <w:szCs w:val="16"/>
              </w:rPr>
            </w:pPr>
            <w:r w:rsidRPr="005A5CD3">
              <w:rPr>
                <w:sz w:val="14"/>
                <w:szCs w:val="16"/>
              </w:rPr>
              <w:t>7,4</w:t>
            </w:r>
          </w:p>
        </w:tc>
        <w:tc>
          <w:tcPr>
            <w:tcW w:w="850" w:type="dxa"/>
            <w:tcBorders>
              <w:top w:val="single" w:sz="6" w:space="0" w:color="auto"/>
              <w:left w:val="single" w:sz="6" w:space="0" w:color="auto"/>
              <w:bottom w:val="single" w:sz="6" w:space="0" w:color="auto"/>
              <w:right w:val="single" w:sz="6" w:space="0" w:color="auto"/>
            </w:tcBorders>
            <w:vAlign w:val="center"/>
          </w:tcPr>
          <w:p w:rsidR="005A5CD3" w:rsidRPr="005A5CD3" w:rsidRDefault="005A5CD3" w:rsidP="005A5CD3">
            <w:pPr>
              <w:jc w:val="center"/>
              <w:rPr>
                <w:sz w:val="14"/>
                <w:szCs w:val="16"/>
              </w:rPr>
            </w:pPr>
            <w:r w:rsidRPr="005A5CD3">
              <w:rPr>
                <w:sz w:val="14"/>
                <w:szCs w:val="16"/>
              </w:rPr>
              <w:t>56751,1</w:t>
            </w:r>
          </w:p>
        </w:tc>
        <w:tc>
          <w:tcPr>
            <w:tcW w:w="479" w:type="dxa"/>
            <w:tcBorders>
              <w:top w:val="single" w:sz="6" w:space="0" w:color="auto"/>
              <w:left w:val="single" w:sz="6" w:space="0" w:color="auto"/>
              <w:bottom w:val="single" w:sz="6" w:space="0" w:color="auto"/>
              <w:right w:val="single" w:sz="12" w:space="0" w:color="auto"/>
            </w:tcBorders>
            <w:vAlign w:val="center"/>
          </w:tcPr>
          <w:p w:rsidR="005A5CD3" w:rsidRPr="005A5CD3" w:rsidRDefault="005A5CD3" w:rsidP="005A5CD3">
            <w:pPr>
              <w:jc w:val="center"/>
              <w:rPr>
                <w:sz w:val="14"/>
                <w:szCs w:val="16"/>
              </w:rPr>
            </w:pPr>
            <w:r w:rsidRPr="005A5CD3">
              <w:rPr>
                <w:sz w:val="14"/>
                <w:szCs w:val="16"/>
              </w:rPr>
              <w:t>0,8</w:t>
            </w:r>
          </w:p>
        </w:tc>
        <w:tc>
          <w:tcPr>
            <w:tcW w:w="794" w:type="dxa"/>
            <w:tcBorders>
              <w:top w:val="single" w:sz="6" w:space="0" w:color="auto"/>
              <w:left w:val="single" w:sz="12" w:space="0" w:color="auto"/>
              <w:bottom w:val="single" w:sz="6" w:space="0" w:color="auto"/>
              <w:right w:val="single" w:sz="6" w:space="0" w:color="auto"/>
            </w:tcBorders>
            <w:vAlign w:val="center"/>
          </w:tcPr>
          <w:p w:rsidR="005A5CD3" w:rsidRPr="005A5CD3" w:rsidRDefault="005A5CD3" w:rsidP="005A5CD3">
            <w:pPr>
              <w:jc w:val="center"/>
              <w:rPr>
                <w:sz w:val="14"/>
                <w:szCs w:val="16"/>
              </w:rPr>
            </w:pPr>
            <w:r w:rsidRPr="005A5CD3">
              <w:rPr>
                <w:sz w:val="14"/>
                <w:szCs w:val="16"/>
              </w:rPr>
              <w:t>2010782</w:t>
            </w:r>
          </w:p>
        </w:tc>
        <w:tc>
          <w:tcPr>
            <w:tcW w:w="474" w:type="dxa"/>
            <w:tcBorders>
              <w:top w:val="single" w:sz="6" w:space="0" w:color="auto"/>
              <w:left w:val="single" w:sz="6" w:space="0" w:color="auto"/>
              <w:bottom w:val="single" w:sz="6" w:space="0" w:color="auto"/>
              <w:right w:val="single" w:sz="6" w:space="0" w:color="auto"/>
            </w:tcBorders>
            <w:vAlign w:val="center"/>
          </w:tcPr>
          <w:p w:rsidR="005A5CD3" w:rsidRPr="005A5CD3" w:rsidRDefault="005A5CD3" w:rsidP="005A5CD3">
            <w:pPr>
              <w:jc w:val="center"/>
              <w:rPr>
                <w:sz w:val="14"/>
                <w:szCs w:val="16"/>
              </w:rPr>
            </w:pPr>
            <w:r w:rsidRPr="005A5CD3">
              <w:rPr>
                <w:sz w:val="14"/>
                <w:szCs w:val="16"/>
              </w:rPr>
              <w:t>8</w:t>
            </w:r>
          </w:p>
        </w:tc>
        <w:tc>
          <w:tcPr>
            <w:tcW w:w="850" w:type="dxa"/>
            <w:tcBorders>
              <w:top w:val="single" w:sz="6" w:space="0" w:color="auto"/>
              <w:left w:val="single" w:sz="6" w:space="0" w:color="auto"/>
              <w:bottom w:val="single" w:sz="6" w:space="0" w:color="auto"/>
              <w:right w:val="single" w:sz="6" w:space="0" w:color="auto"/>
            </w:tcBorders>
            <w:vAlign w:val="center"/>
          </w:tcPr>
          <w:p w:rsidR="005A5CD3" w:rsidRPr="005A5CD3" w:rsidRDefault="005A5CD3" w:rsidP="005A5CD3">
            <w:pPr>
              <w:jc w:val="center"/>
              <w:rPr>
                <w:sz w:val="14"/>
                <w:szCs w:val="16"/>
              </w:rPr>
            </w:pPr>
            <w:r w:rsidRPr="005A5CD3">
              <w:rPr>
                <w:sz w:val="14"/>
                <w:szCs w:val="16"/>
              </w:rPr>
              <w:t>58264,5</w:t>
            </w:r>
          </w:p>
        </w:tc>
        <w:tc>
          <w:tcPr>
            <w:tcW w:w="474" w:type="dxa"/>
            <w:tcBorders>
              <w:top w:val="single" w:sz="6" w:space="0" w:color="auto"/>
              <w:left w:val="single" w:sz="6" w:space="0" w:color="auto"/>
              <w:bottom w:val="single" w:sz="6" w:space="0" w:color="auto"/>
              <w:right w:val="single" w:sz="12" w:space="0" w:color="auto"/>
            </w:tcBorders>
            <w:vAlign w:val="center"/>
          </w:tcPr>
          <w:p w:rsidR="005A5CD3" w:rsidRPr="005A5CD3" w:rsidRDefault="005A5CD3" w:rsidP="005A5CD3">
            <w:pPr>
              <w:jc w:val="center"/>
              <w:rPr>
                <w:sz w:val="14"/>
                <w:szCs w:val="16"/>
              </w:rPr>
            </w:pPr>
            <w:r w:rsidRPr="005A5CD3">
              <w:rPr>
                <w:sz w:val="14"/>
                <w:szCs w:val="16"/>
              </w:rPr>
              <w:t>0,8</w:t>
            </w:r>
          </w:p>
        </w:tc>
        <w:tc>
          <w:tcPr>
            <w:tcW w:w="794" w:type="dxa"/>
            <w:gridSpan w:val="2"/>
            <w:tcBorders>
              <w:top w:val="single" w:sz="6" w:space="0" w:color="auto"/>
              <w:left w:val="single" w:sz="12" w:space="0" w:color="auto"/>
              <w:bottom w:val="single" w:sz="6" w:space="0" w:color="auto"/>
              <w:right w:val="single" w:sz="6" w:space="0" w:color="auto"/>
            </w:tcBorders>
            <w:vAlign w:val="center"/>
          </w:tcPr>
          <w:p w:rsidR="005A5CD3" w:rsidRPr="005A5CD3" w:rsidRDefault="005A5CD3" w:rsidP="005A5CD3">
            <w:pPr>
              <w:jc w:val="center"/>
              <w:rPr>
                <w:sz w:val="14"/>
                <w:szCs w:val="16"/>
              </w:rPr>
            </w:pPr>
            <w:r w:rsidRPr="005A5CD3">
              <w:rPr>
                <w:sz w:val="14"/>
                <w:szCs w:val="16"/>
              </w:rPr>
              <w:t>2058664</w:t>
            </w:r>
          </w:p>
        </w:tc>
        <w:tc>
          <w:tcPr>
            <w:tcW w:w="474" w:type="dxa"/>
            <w:gridSpan w:val="2"/>
            <w:tcBorders>
              <w:top w:val="single" w:sz="6" w:space="0" w:color="auto"/>
              <w:left w:val="single" w:sz="6" w:space="0" w:color="auto"/>
              <w:bottom w:val="single" w:sz="6" w:space="0" w:color="auto"/>
              <w:right w:val="single" w:sz="6" w:space="0" w:color="auto"/>
            </w:tcBorders>
            <w:vAlign w:val="center"/>
          </w:tcPr>
          <w:p w:rsidR="005A5CD3" w:rsidRPr="005A5CD3" w:rsidRDefault="005A5CD3" w:rsidP="005A5CD3">
            <w:pPr>
              <w:jc w:val="center"/>
              <w:rPr>
                <w:sz w:val="14"/>
                <w:szCs w:val="16"/>
              </w:rPr>
            </w:pPr>
            <w:r w:rsidRPr="005A5CD3">
              <w:rPr>
                <w:sz w:val="14"/>
                <w:szCs w:val="16"/>
              </w:rPr>
              <w:t>8,4</w:t>
            </w:r>
          </w:p>
        </w:tc>
        <w:tc>
          <w:tcPr>
            <w:tcW w:w="907" w:type="dxa"/>
            <w:gridSpan w:val="2"/>
            <w:tcBorders>
              <w:top w:val="single" w:sz="6" w:space="0" w:color="auto"/>
              <w:left w:val="single" w:sz="6" w:space="0" w:color="auto"/>
              <w:bottom w:val="single" w:sz="6" w:space="0" w:color="auto"/>
              <w:right w:val="single" w:sz="6" w:space="0" w:color="auto"/>
            </w:tcBorders>
            <w:vAlign w:val="center"/>
          </w:tcPr>
          <w:p w:rsidR="005A5CD3" w:rsidRPr="005A5CD3" w:rsidRDefault="005A5CD3" w:rsidP="005A5CD3">
            <w:pPr>
              <w:jc w:val="center"/>
              <w:rPr>
                <w:sz w:val="14"/>
                <w:szCs w:val="16"/>
              </w:rPr>
            </w:pPr>
            <w:r w:rsidRPr="005A5CD3">
              <w:rPr>
                <w:sz w:val="14"/>
                <w:szCs w:val="16"/>
              </w:rPr>
              <w:t>66003,4</w:t>
            </w:r>
          </w:p>
        </w:tc>
        <w:tc>
          <w:tcPr>
            <w:tcW w:w="476" w:type="dxa"/>
            <w:gridSpan w:val="2"/>
            <w:tcBorders>
              <w:top w:val="single" w:sz="6" w:space="0" w:color="auto"/>
              <w:left w:val="single" w:sz="6" w:space="0" w:color="auto"/>
              <w:bottom w:val="single" w:sz="6" w:space="0" w:color="auto"/>
              <w:right w:val="single" w:sz="12" w:space="0" w:color="auto"/>
            </w:tcBorders>
            <w:vAlign w:val="center"/>
          </w:tcPr>
          <w:p w:rsidR="005A5CD3" w:rsidRPr="005A5CD3" w:rsidRDefault="005A5CD3" w:rsidP="005A5CD3">
            <w:pPr>
              <w:jc w:val="center"/>
              <w:rPr>
                <w:sz w:val="14"/>
                <w:szCs w:val="16"/>
              </w:rPr>
            </w:pPr>
            <w:r w:rsidRPr="005A5CD3">
              <w:rPr>
                <w:sz w:val="14"/>
                <w:szCs w:val="16"/>
              </w:rPr>
              <w:t>0,9</w:t>
            </w:r>
          </w:p>
        </w:tc>
      </w:tr>
      <w:tr w:rsidR="005A5CD3" w:rsidRPr="005A5CD3" w:rsidTr="00737B66">
        <w:trPr>
          <w:gridAfter w:val="1"/>
          <w:wAfter w:w="14" w:type="dxa"/>
          <w:trHeight w:val="343"/>
        </w:trPr>
        <w:tc>
          <w:tcPr>
            <w:tcW w:w="956" w:type="dxa"/>
            <w:tcBorders>
              <w:top w:val="single" w:sz="6" w:space="0" w:color="auto"/>
              <w:left w:val="single" w:sz="12" w:space="0" w:color="auto"/>
              <w:bottom w:val="single" w:sz="6" w:space="0" w:color="auto"/>
              <w:right w:val="single" w:sz="12" w:space="0" w:color="auto"/>
            </w:tcBorders>
            <w:vAlign w:val="center"/>
          </w:tcPr>
          <w:p w:rsidR="005A5CD3" w:rsidRPr="005A5CD3" w:rsidRDefault="005A5CD3" w:rsidP="005A5CD3">
            <w:pPr>
              <w:jc w:val="center"/>
              <w:rPr>
                <w:sz w:val="14"/>
                <w:szCs w:val="16"/>
              </w:rPr>
            </w:pPr>
            <w:r w:rsidRPr="005A5CD3">
              <w:rPr>
                <w:sz w:val="14"/>
                <w:szCs w:val="16"/>
              </w:rPr>
              <w:t>Ekonomika</w:t>
            </w:r>
          </w:p>
        </w:tc>
        <w:tc>
          <w:tcPr>
            <w:tcW w:w="793" w:type="dxa"/>
            <w:tcBorders>
              <w:top w:val="single" w:sz="6" w:space="0" w:color="auto"/>
              <w:left w:val="single" w:sz="12" w:space="0" w:color="auto"/>
              <w:bottom w:val="single" w:sz="6" w:space="0" w:color="auto"/>
              <w:right w:val="single" w:sz="6" w:space="0" w:color="auto"/>
            </w:tcBorders>
            <w:vAlign w:val="center"/>
          </w:tcPr>
          <w:p w:rsidR="005A5CD3" w:rsidRPr="005A5CD3" w:rsidRDefault="005A5CD3" w:rsidP="005A5CD3">
            <w:pPr>
              <w:jc w:val="center"/>
              <w:rPr>
                <w:sz w:val="14"/>
                <w:szCs w:val="16"/>
              </w:rPr>
            </w:pPr>
            <w:r w:rsidRPr="005A5CD3">
              <w:rPr>
                <w:sz w:val="14"/>
                <w:szCs w:val="16"/>
              </w:rPr>
              <w:t>6137081</w:t>
            </w:r>
          </w:p>
        </w:tc>
        <w:tc>
          <w:tcPr>
            <w:tcW w:w="509" w:type="dxa"/>
            <w:tcBorders>
              <w:top w:val="single" w:sz="6" w:space="0" w:color="auto"/>
              <w:left w:val="single" w:sz="6" w:space="0" w:color="auto"/>
              <w:bottom w:val="single" w:sz="6" w:space="0" w:color="auto"/>
              <w:right w:val="single" w:sz="6" w:space="0" w:color="auto"/>
            </w:tcBorders>
            <w:vAlign w:val="center"/>
          </w:tcPr>
          <w:p w:rsidR="005A5CD3" w:rsidRPr="005A5CD3" w:rsidRDefault="005A5CD3" w:rsidP="005A5CD3">
            <w:pPr>
              <w:jc w:val="center"/>
              <w:rPr>
                <w:sz w:val="14"/>
                <w:szCs w:val="16"/>
              </w:rPr>
            </w:pPr>
            <w:r w:rsidRPr="005A5CD3">
              <w:rPr>
                <w:sz w:val="14"/>
                <w:szCs w:val="16"/>
              </w:rPr>
              <w:t>25</w:t>
            </w:r>
          </w:p>
        </w:tc>
        <w:tc>
          <w:tcPr>
            <w:tcW w:w="849" w:type="dxa"/>
            <w:tcBorders>
              <w:top w:val="single" w:sz="6" w:space="0" w:color="auto"/>
              <w:left w:val="single" w:sz="6" w:space="0" w:color="auto"/>
              <w:bottom w:val="single" w:sz="6" w:space="0" w:color="auto"/>
              <w:right w:val="single" w:sz="6" w:space="0" w:color="auto"/>
            </w:tcBorders>
            <w:vAlign w:val="center"/>
          </w:tcPr>
          <w:p w:rsidR="005A5CD3" w:rsidRPr="005A5CD3" w:rsidRDefault="005A5CD3" w:rsidP="005A5CD3">
            <w:pPr>
              <w:jc w:val="center"/>
              <w:rPr>
                <w:sz w:val="14"/>
                <w:szCs w:val="16"/>
              </w:rPr>
            </w:pPr>
            <w:r w:rsidRPr="005A5CD3">
              <w:rPr>
                <w:sz w:val="14"/>
                <w:szCs w:val="16"/>
              </w:rPr>
              <w:t>381753,4</w:t>
            </w:r>
          </w:p>
        </w:tc>
        <w:tc>
          <w:tcPr>
            <w:tcW w:w="509" w:type="dxa"/>
            <w:tcBorders>
              <w:top w:val="single" w:sz="6" w:space="0" w:color="auto"/>
              <w:left w:val="single" w:sz="6" w:space="0" w:color="auto"/>
              <w:bottom w:val="single" w:sz="6" w:space="0" w:color="auto"/>
              <w:right w:val="single" w:sz="12" w:space="0" w:color="auto"/>
            </w:tcBorders>
            <w:vAlign w:val="center"/>
          </w:tcPr>
          <w:p w:rsidR="005A5CD3" w:rsidRPr="005A5CD3" w:rsidRDefault="005A5CD3" w:rsidP="005A5CD3">
            <w:pPr>
              <w:jc w:val="center"/>
              <w:rPr>
                <w:sz w:val="14"/>
                <w:szCs w:val="16"/>
              </w:rPr>
            </w:pPr>
            <w:r w:rsidRPr="005A5CD3">
              <w:rPr>
                <w:sz w:val="14"/>
                <w:szCs w:val="16"/>
              </w:rPr>
              <w:t>5,4</w:t>
            </w:r>
          </w:p>
        </w:tc>
        <w:tc>
          <w:tcPr>
            <w:tcW w:w="796" w:type="dxa"/>
            <w:tcBorders>
              <w:top w:val="single" w:sz="6" w:space="0" w:color="auto"/>
              <w:left w:val="single" w:sz="12" w:space="0" w:color="auto"/>
              <w:bottom w:val="single" w:sz="6" w:space="0" w:color="auto"/>
              <w:right w:val="single" w:sz="6" w:space="0" w:color="auto"/>
            </w:tcBorders>
            <w:vAlign w:val="center"/>
          </w:tcPr>
          <w:p w:rsidR="005A5CD3" w:rsidRPr="005A5CD3" w:rsidRDefault="005A5CD3" w:rsidP="005A5CD3">
            <w:pPr>
              <w:jc w:val="center"/>
              <w:rPr>
                <w:sz w:val="14"/>
                <w:szCs w:val="16"/>
              </w:rPr>
            </w:pPr>
            <w:r w:rsidRPr="005A5CD3">
              <w:rPr>
                <w:sz w:val="14"/>
                <w:szCs w:val="16"/>
              </w:rPr>
              <w:t>6309411</w:t>
            </w:r>
          </w:p>
        </w:tc>
        <w:tc>
          <w:tcPr>
            <w:tcW w:w="510" w:type="dxa"/>
            <w:tcBorders>
              <w:top w:val="single" w:sz="6" w:space="0" w:color="auto"/>
              <w:left w:val="single" w:sz="6" w:space="0" w:color="auto"/>
              <w:bottom w:val="single" w:sz="6" w:space="0" w:color="auto"/>
              <w:right w:val="single" w:sz="6" w:space="0" w:color="auto"/>
            </w:tcBorders>
            <w:vAlign w:val="center"/>
          </w:tcPr>
          <w:p w:rsidR="005A5CD3" w:rsidRPr="005A5CD3" w:rsidRDefault="005A5CD3" w:rsidP="005A5CD3">
            <w:pPr>
              <w:jc w:val="center"/>
              <w:rPr>
                <w:sz w:val="14"/>
                <w:szCs w:val="16"/>
              </w:rPr>
            </w:pPr>
            <w:r w:rsidRPr="005A5CD3">
              <w:rPr>
                <w:sz w:val="14"/>
                <w:szCs w:val="16"/>
              </w:rPr>
              <w:t>25,6</w:t>
            </w:r>
          </w:p>
        </w:tc>
        <w:tc>
          <w:tcPr>
            <w:tcW w:w="850" w:type="dxa"/>
            <w:tcBorders>
              <w:top w:val="single" w:sz="6" w:space="0" w:color="auto"/>
              <w:left w:val="single" w:sz="6" w:space="0" w:color="auto"/>
              <w:bottom w:val="single" w:sz="6" w:space="0" w:color="auto"/>
              <w:right w:val="single" w:sz="6" w:space="0" w:color="auto"/>
            </w:tcBorders>
            <w:vAlign w:val="center"/>
          </w:tcPr>
          <w:p w:rsidR="005A5CD3" w:rsidRPr="005A5CD3" w:rsidRDefault="005A5CD3" w:rsidP="005A5CD3">
            <w:pPr>
              <w:jc w:val="center"/>
              <w:rPr>
                <w:sz w:val="14"/>
                <w:szCs w:val="16"/>
              </w:rPr>
            </w:pPr>
            <w:r w:rsidRPr="005A5CD3">
              <w:rPr>
                <w:sz w:val="14"/>
                <w:szCs w:val="16"/>
              </w:rPr>
              <w:t>285084,9</w:t>
            </w:r>
          </w:p>
        </w:tc>
        <w:tc>
          <w:tcPr>
            <w:tcW w:w="474" w:type="dxa"/>
            <w:tcBorders>
              <w:top w:val="single" w:sz="6" w:space="0" w:color="auto"/>
              <w:left w:val="single" w:sz="6" w:space="0" w:color="auto"/>
              <w:bottom w:val="single" w:sz="6" w:space="0" w:color="auto"/>
              <w:right w:val="single" w:sz="12" w:space="0" w:color="auto"/>
            </w:tcBorders>
            <w:vAlign w:val="center"/>
          </w:tcPr>
          <w:p w:rsidR="005A5CD3" w:rsidRPr="005A5CD3" w:rsidRDefault="005A5CD3" w:rsidP="005A5CD3">
            <w:pPr>
              <w:jc w:val="center"/>
              <w:rPr>
                <w:sz w:val="14"/>
                <w:szCs w:val="16"/>
              </w:rPr>
            </w:pPr>
            <w:r w:rsidRPr="005A5CD3">
              <w:rPr>
                <w:sz w:val="14"/>
                <w:szCs w:val="16"/>
              </w:rPr>
              <w:t>4,2</w:t>
            </w:r>
          </w:p>
        </w:tc>
        <w:tc>
          <w:tcPr>
            <w:tcW w:w="794" w:type="dxa"/>
            <w:gridSpan w:val="2"/>
            <w:tcBorders>
              <w:top w:val="single" w:sz="6" w:space="0" w:color="auto"/>
              <w:left w:val="single" w:sz="12" w:space="0" w:color="auto"/>
              <w:bottom w:val="single" w:sz="6" w:space="0" w:color="auto"/>
              <w:right w:val="single" w:sz="6" w:space="0" w:color="auto"/>
            </w:tcBorders>
            <w:vAlign w:val="center"/>
          </w:tcPr>
          <w:p w:rsidR="005A5CD3" w:rsidRPr="005A5CD3" w:rsidRDefault="005A5CD3" w:rsidP="005A5CD3">
            <w:pPr>
              <w:jc w:val="center"/>
              <w:rPr>
                <w:sz w:val="14"/>
                <w:szCs w:val="16"/>
              </w:rPr>
            </w:pPr>
            <w:r w:rsidRPr="005A5CD3">
              <w:rPr>
                <w:sz w:val="14"/>
                <w:szCs w:val="16"/>
              </w:rPr>
              <w:t>6180734</w:t>
            </w:r>
          </w:p>
        </w:tc>
        <w:tc>
          <w:tcPr>
            <w:tcW w:w="474" w:type="dxa"/>
            <w:tcBorders>
              <w:top w:val="single" w:sz="6" w:space="0" w:color="auto"/>
              <w:left w:val="single" w:sz="6" w:space="0" w:color="auto"/>
              <w:bottom w:val="single" w:sz="6" w:space="0" w:color="auto"/>
              <w:right w:val="single" w:sz="6" w:space="0" w:color="auto"/>
            </w:tcBorders>
            <w:vAlign w:val="center"/>
          </w:tcPr>
          <w:p w:rsidR="005A5CD3" w:rsidRPr="005A5CD3" w:rsidRDefault="005A5CD3" w:rsidP="005A5CD3">
            <w:pPr>
              <w:jc w:val="center"/>
              <w:rPr>
                <w:sz w:val="14"/>
                <w:szCs w:val="16"/>
              </w:rPr>
            </w:pPr>
            <w:r w:rsidRPr="005A5CD3">
              <w:rPr>
                <w:sz w:val="14"/>
                <w:szCs w:val="16"/>
              </w:rPr>
              <w:t>25,2</w:t>
            </w:r>
          </w:p>
        </w:tc>
        <w:tc>
          <w:tcPr>
            <w:tcW w:w="850" w:type="dxa"/>
            <w:tcBorders>
              <w:top w:val="single" w:sz="6" w:space="0" w:color="auto"/>
              <w:left w:val="single" w:sz="6" w:space="0" w:color="auto"/>
              <w:bottom w:val="single" w:sz="6" w:space="0" w:color="auto"/>
              <w:right w:val="single" w:sz="6" w:space="0" w:color="auto"/>
            </w:tcBorders>
            <w:vAlign w:val="center"/>
          </w:tcPr>
          <w:p w:rsidR="005A5CD3" w:rsidRPr="005A5CD3" w:rsidRDefault="005A5CD3" w:rsidP="005A5CD3">
            <w:pPr>
              <w:jc w:val="center"/>
              <w:rPr>
                <w:sz w:val="14"/>
                <w:szCs w:val="16"/>
              </w:rPr>
            </w:pPr>
            <w:r w:rsidRPr="005A5CD3">
              <w:rPr>
                <w:sz w:val="14"/>
                <w:szCs w:val="16"/>
              </w:rPr>
              <w:t>248808,8</w:t>
            </w:r>
          </w:p>
        </w:tc>
        <w:tc>
          <w:tcPr>
            <w:tcW w:w="479" w:type="dxa"/>
            <w:tcBorders>
              <w:top w:val="single" w:sz="6" w:space="0" w:color="auto"/>
              <w:left w:val="single" w:sz="6" w:space="0" w:color="auto"/>
              <w:bottom w:val="single" w:sz="6" w:space="0" w:color="auto"/>
              <w:right w:val="single" w:sz="12" w:space="0" w:color="auto"/>
            </w:tcBorders>
            <w:vAlign w:val="center"/>
          </w:tcPr>
          <w:p w:rsidR="005A5CD3" w:rsidRPr="005A5CD3" w:rsidRDefault="005A5CD3" w:rsidP="005A5CD3">
            <w:pPr>
              <w:jc w:val="center"/>
              <w:rPr>
                <w:sz w:val="14"/>
                <w:szCs w:val="16"/>
              </w:rPr>
            </w:pPr>
            <w:r w:rsidRPr="005A5CD3">
              <w:rPr>
                <w:sz w:val="14"/>
                <w:szCs w:val="16"/>
              </w:rPr>
              <w:t>3,7</w:t>
            </w:r>
          </w:p>
        </w:tc>
        <w:tc>
          <w:tcPr>
            <w:tcW w:w="794" w:type="dxa"/>
            <w:tcBorders>
              <w:top w:val="single" w:sz="6" w:space="0" w:color="auto"/>
              <w:left w:val="single" w:sz="12" w:space="0" w:color="auto"/>
              <w:bottom w:val="single" w:sz="6" w:space="0" w:color="auto"/>
              <w:right w:val="single" w:sz="6" w:space="0" w:color="auto"/>
            </w:tcBorders>
            <w:vAlign w:val="center"/>
          </w:tcPr>
          <w:p w:rsidR="005A5CD3" w:rsidRPr="005A5CD3" w:rsidRDefault="005A5CD3" w:rsidP="005A5CD3">
            <w:pPr>
              <w:jc w:val="center"/>
              <w:rPr>
                <w:sz w:val="14"/>
                <w:szCs w:val="16"/>
              </w:rPr>
            </w:pPr>
            <w:r w:rsidRPr="005A5CD3">
              <w:rPr>
                <w:sz w:val="14"/>
                <w:szCs w:val="16"/>
              </w:rPr>
              <w:t>6140488</w:t>
            </w:r>
          </w:p>
        </w:tc>
        <w:tc>
          <w:tcPr>
            <w:tcW w:w="474" w:type="dxa"/>
            <w:tcBorders>
              <w:top w:val="single" w:sz="6" w:space="0" w:color="auto"/>
              <w:left w:val="single" w:sz="6" w:space="0" w:color="auto"/>
              <w:bottom w:val="single" w:sz="6" w:space="0" w:color="auto"/>
              <w:right w:val="single" w:sz="6" w:space="0" w:color="auto"/>
            </w:tcBorders>
            <w:vAlign w:val="center"/>
          </w:tcPr>
          <w:p w:rsidR="005A5CD3" w:rsidRPr="005A5CD3" w:rsidRDefault="005A5CD3" w:rsidP="005A5CD3">
            <w:pPr>
              <w:jc w:val="center"/>
              <w:rPr>
                <w:sz w:val="14"/>
                <w:szCs w:val="16"/>
              </w:rPr>
            </w:pPr>
            <w:r w:rsidRPr="005A5CD3">
              <w:rPr>
                <w:sz w:val="14"/>
                <w:szCs w:val="16"/>
              </w:rPr>
              <w:t>24,5</w:t>
            </w:r>
          </w:p>
        </w:tc>
        <w:tc>
          <w:tcPr>
            <w:tcW w:w="850" w:type="dxa"/>
            <w:tcBorders>
              <w:top w:val="single" w:sz="6" w:space="0" w:color="auto"/>
              <w:left w:val="single" w:sz="6" w:space="0" w:color="auto"/>
              <w:bottom w:val="single" w:sz="6" w:space="0" w:color="auto"/>
              <w:right w:val="single" w:sz="6" w:space="0" w:color="auto"/>
            </w:tcBorders>
            <w:vAlign w:val="center"/>
          </w:tcPr>
          <w:p w:rsidR="005A5CD3" w:rsidRPr="005A5CD3" w:rsidRDefault="005A5CD3" w:rsidP="005A5CD3">
            <w:pPr>
              <w:jc w:val="center"/>
              <w:rPr>
                <w:sz w:val="14"/>
                <w:szCs w:val="16"/>
              </w:rPr>
            </w:pPr>
            <w:r w:rsidRPr="005A5CD3">
              <w:rPr>
                <w:sz w:val="14"/>
                <w:szCs w:val="16"/>
              </w:rPr>
              <w:t>320503,5</w:t>
            </w:r>
          </w:p>
        </w:tc>
        <w:tc>
          <w:tcPr>
            <w:tcW w:w="474" w:type="dxa"/>
            <w:tcBorders>
              <w:top w:val="single" w:sz="6" w:space="0" w:color="auto"/>
              <w:left w:val="single" w:sz="6" w:space="0" w:color="auto"/>
              <w:bottom w:val="single" w:sz="6" w:space="0" w:color="auto"/>
              <w:right w:val="single" w:sz="12" w:space="0" w:color="auto"/>
            </w:tcBorders>
            <w:vAlign w:val="center"/>
          </w:tcPr>
          <w:p w:rsidR="005A5CD3" w:rsidRPr="005A5CD3" w:rsidRDefault="005A5CD3" w:rsidP="005A5CD3">
            <w:pPr>
              <w:jc w:val="center"/>
              <w:rPr>
                <w:sz w:val="14"/>
                <w:szCs w:val="16"/>
              </w:rPr>
            </w:pPr>
            <w:r w:rsidRPr="005A5CD3">
              <w:rPr>
                <w:sz w:val="14"/>
                <w:szCs w:val="16"/>
              </w:rPr>
              <w:t>4,3</w:t>
            </w:r>
          </w:p>
        </w:tc>
        <w:tc>
          <w:tcPr>
            <w:tcW w:w="794" w:type="dxa"/>
            <w:gridSpan w:val="2"/>
            <w:tcBorders>
              <w:top w:val="single" w:sz="6" w:space="0" w:color="auto"/>
              <w:left w:val="single" w:sz="12" w:space="0" w:color="auto"/>
              <w:bottom w:val="single" w:sz="6" w:space="0" w:color="auto"/>
              <w:right w:val="single" w:sz="6" w:space="0" w:color="auto"/>
            </w:tcBorders>
            <w:vAlign w:val="center"/>
          </w:tcPr>
          <w:p w:rsidR="005A5CD3" w:rsidRPr="005A5CD3" w:rsidRDefault="005A5CD3" w:rsidP="005A5CD3">
            <w:pPr>
              <w:jc w:val="center"/>
              <w:rPr>
                <w:sz w:val="14"/>
                <w:szCs w:val="16"/>
              </w:rPr>
            </w:pPr>
            <w:r w:rsidRPr="005A5CD3">
              <w:rPr>
                <w:sz w:val="14"/>
                <w:szCs w:val="16"/>
              </w:rPr>
              <w:t>5993592</w:t>
            </w:r>
          </w:p>
        </w:tc>
        <w:tc>
          <w:tcPr>
            <w:tcW w:w="474" w:type="dxa"/>
            <w:gridSpan w:val="2"/>
            <w:tcBorders>
              <w:top w:val="single" w:sz="6" w:space="0" w:color="auto"/>
              <w:left w:val="single" w:sz="6" w:space="0" w:color="auto"/>
              <w:bottom w:val="single" w:sz="6" w:space="0" w:color="auto"/>
              <w:right w:val="single" w:sz="6" w:space="0" w:color="auto"/>
            </w:tcBorders>
            <w:vAlign w:val="center"/>
          </w:tcPr>
          <w:p w:rsidR="005A5CD3" w:rsidRPr="005A5CD3" w:rsidRDefault="005A5CD3" w:rsidP="005A5CD3">
            <w:pPr>
              <w:jc w:val="center"/>
              <w:rPr>
                <w:sz w:val="14"/>
                <w:szCs w:val="16"/>
              </w:rPr>
            </w:pPr>
            <w:r w:rsidRPr="005A5CD3">
              <w:rPr>
                <w:sz w:val="14"/>
                <w:szCs w:val="16"/>
              </w:rPr>
              <w:t>24,6</w:t>
            </w:r>
          </w:p>
        </w:tc>
        <w:tc>
          <w:tcPr>
            <w:tcW w:w="907" w:type="dxa"/>
            <w:gridSpan w:val="2"/>
            <w:tcBorders>
              <w:top w:val="single" w:sz="6" w:space="0" w:color="auto"/>
              <w:left w:val="single" w:sz="6" w:space="0" w:color="auto"/>
              <w:bottom w:val="single" w:sz="6" w:space="0" w:color="auto"/>
              <w:right w:val="single" w:sz="6" w:space="0" w:color="auto"/>
            </w:tcBorders>
            <w:vAlign w:val="center"/>
          </w:tcPr>
          <w:p w:rsidR="005A5CD3" w:rsidRPr="005A5CD3" w:rsidRDefault="005A5CD3" w:rsidP="005A5CD3">
            <w:pPr>
              <w:jc w:val="center"/>
              <w:rPr>
                <w:sz w:val="14"/>
                <w:szCs w:val="16"/>
              </w:rPr>
            </w:pPr>
            <w:r w:rsidRPr="005A5CD3">
              <w:rPr>
                <w:sz w:val="14"/>
                <w:szCs w:val="16"/>
              </w:rPr>
              <w:t>405590,4</w:t>
            </w:r>
          </w:p>
        </w:tc>
        <w:tc>
          <w:tcPr>
            <w:tcW w:w="476" w:type="dxa"/>
            <w:gridSpan w:val="2"/>
            <w:tcBorders>
              <w:top w:val="single" w:sz="6" w:space="0" w:color="auto"/>
              <w:left w:val="single" w:sz="6" w:space="0" w:color="auto"/>
              <w:bottom w:val="single" w:sz="6" w:space="0" w:color="auto"/>
              <w:right w:val="single" w:sz="12" w:space="0" w:color="auto"/>
            </w:tcBorders>
            <w:vAlign w:val="center"/>
          </w:tcPr>
          <w:p w:rsidR="005A5CD3" w:rsidRPr="005A5CD3" w:rsidRDefault="005A5CD3" w:rsidP="005A5CD3">
            <w:pPr>
              <w:jc w:val="center"/>
              <w:rPr>
                <w:sz w:val="14"/>
                <w:szCs w:val="16"/>
              </w:rPr>
            </w:pPr>
            <w:r w:rsidRPr="005A5CD3">
              <w:rPr>
                <w:sz w:val="14"/>
                <w:szCs w:val="16"/>
              </w:rPr>
              <w:t>5,5</w:t>
            </w:r>
          </w:p>
        </w:tc>
      </w:tr>
      <w:tr w:rsidR="005A5CD3" w:rsidRPr="005A5CD3" w:rsidTr="00737B66">
        <w:trPr>
          <w:gridAfter w:val="1"/>
          <w:wAfter w:w="14" w:type="dxa"/>
        </w:trPr>
        <w:tc>
          <w:tcPr>
            <w:tcW w:w="956" w:type="dxa"/>
            <w:tcBorders>
              <w:top w:val="single" w:sz="6" w:space="0" w:color="auto"/>
              <w:left w:val="single" w:sz="12" w:space="0" w:color="auto"/>
              <w:bottom w:val="single" w:sz="6" w:space="0" w:color="auto"/>
              <w:right w:val="single" w:sz="12" w:space="0" w:color="auto"/>
            </w:tcBorders>
            <w:vAlign w:val="center"/>
          </w:tcPr>
          <w:p w:rsidR="005A5CD3" w:rsidRPr="005A5CD3" w:rsidRDefault="005A5CD3" w:rsidP="005A5CD3">
            <w:pPr>
              <w:jc w:val="center"/>
              <w:rPr>
                <w:sz w:val="14"/>
                <w:szCs w:val="16"/>
              </w:rPr>
            </w:pPr>
            <w:r w:rsidRPr="005A5CD3">
              <w:rPr>
                <w:sz w:val="14"/>
                <w:szCs w:val="16"/>
              </w:rPr>
              <w:t>Aplinkos apsauga</w:t>
            </w:r>
          </w:p>
        </w:tc>
        <w:tc>
          <w:tcPr>
            <w:tcW w:w="793" w:type="dxa"/>
            <w:tcBorders>
              <w:top w:val="single" w:sz="6" w:space="0" w:color="auto"/>
              <w:left w:val="single" w:sz="12" w:space="0" w:color="auto"/>
              <w:bottom w:val="single" w:sz="6" w:space="0" w:color="auto"/>
              <w:right w:val="single" w:sz="6" w:space="0" w:color="auto"/>
            </w:tcBorders>
            <w:vAlign w:val="center"/>
          </w:tcPr>
          <w:p w:rsidR="005A5CD3" w:rsidRPr="005A5CD3" w:rsidRDefault="005A5CD3" w:rsidP="005A5CD3">
            <w:pPr>
              <w:jc w:val="center"/>
              <w:rPr>
                <w:sz w:val="14"/>
                <w:szCs w:val="16"/>
              </w:rPr>
            </w:pPr>
            <w:r w:rsidRPr="005A5CD3">
              <w:rPr>
                <w:sz w:val="14"/>
                <w:szCs w:val="16"/>
              </w:rPr>
              <w:t>735358</w:t>
            </w:r>
          </w:p>
        </w:tc>
        <w:tc>
          <w:tcPr>
            <w:tcW w:w="509" w:type="dxa"/>
            <w:tcBorders>
              <w:top w:val="single" w:sz="6" w:space="0" w:color="auto"/>
              <w:left w:val="single" w:sz="6" w:space="0" w:color="auto"/>
              <w:bottom w:val="single" w:sz="6" w:space="0" w:color="auto"/>
              <w:right w:val="single" w:sz="6" w:space="0" w:color="auto"/>
            </w:tcBorders>
            <w:vAlign w:val="center"/>
          </w:tcPr>
          <w:p w:rsidR="005A5CD3" w:rsidRPr="005A5CD3" w:rsidRDefault="005A5CD3" w:rsidP="005A5CD3">
            <w:pPr>
              <w:jc w:val="center"/>
              <w:rPr>
                <w:sz w:val="14"/>
                <w:szCs w:val="16"/>
              </w:rPr>
            </w:pPr>
            <w:r w:rsidRPr="005A5CD3">
              <w:rPr>
                <w:sz w:val="14"/>
                <w:szCs w:val="16"/>
              </w:rPr>
              <w:t>3</w:t>
            </w:r>
          </w:p>
        </w:tc>
        <w:tc>
          <w:tcPr>
            <w:tcW w:w="849" w:type="dxa"/>
            <w:tcBorders>
              <w:top w:val="single" w:sz="6" w:space="0" w:color="auto"/>
              <w:left w:val="single" w:sz="6" w:space="0" w:color="auto"/>
              <w:bottom w:val="single" w:sz="6" w:space="0" w:color="auto"/>
              <w:right w:val="single" w:sz="6" w:space="0" w:color="auto"/>
            </w:tcBorders>
            <w:vAlign w:val="center"/>
          </w:tcPr>
          <w:p w:rsidR="005A5CD3" w:rsidRPr="005A5CD3" w:rsidRDefault="005A5CD3" w:rsidP="005A5CD3">
            <w:pPr>
              <w:jc w:val="center"/>
              <w:rPr>
                <w:sz w:val="14"/>
                <w:szCs w:val="16"/>
              </w:rPr>
            </w:pPr>
            <w:r w:rsidRPr="005A5CD3">
              <w:rPr>
                <w:sz w:val="14"/>
                <w:szCs w:val="16"/>
              </w:rPr>
              <w:t>217142</w:t>
            </w:r>
          </w:p>
        </w:tc>
        <w:tc>
          <w:tcPr>
            <w:tcW w:w="509" w:type="dxa"/>
            <w:tcBorders>
              <w:top w:val="single" w:sz="6" w:space="0" w:color="auto"/>
              <w:left w:val="single" w:sz="6" w:space="0" w:color="auto"/>
              <w:bottom w:val="single" w:sz="6" w:space="0" w:color="auto"/>
              <w:right w:val="single" w:sz="12" w:space="0" w:color="auto"/>
            </w:tcBorders>
            <w:vAlign w:val="center"/>
          </w:tcPr>
          <w:p w:rsidR="005A5CD3" w:rsidRPr="005A5CD3" w:rsidRDefault="005A5CD3" w:rsidP="005A5CD3">
            <w:pPr>
              <w:jc w:val="center"/>
              <w:rPr>
                <w:sz w:val="14"/>
                <w:szCs w:val="16"/>
              </w:rPr>
            </w:pPr>
            <w:r w:rsidRPr="005A5CD3">
              <w:rPr>
                <w:sz w:val="14"/>
                <w:szCs w:val="16"/>
              </w:rPr>
              <w:t>3,1</w:t>
            </w:r>
          </w:p>
        </w:tc>
        <w:tc>
          <w:tcPr>
            <w:tcW w:w="796" w:type="dxa"/>
            <w:tcBorders>
              <w:top w:val="single" w:sz="6" w:space="0" w:color="auto"/>
              <w:left w:val="single" w:sz="12" w:space="0" w:color="auto"/>
              <w:bottom w:val="single" w:sz="6" w:space="0" w:color="auto"/>
              <w:right w:val="single" w:sz="6" w:space="0" w:color="auto"/>
            </w:tcBorders>
            <w:vAlign w:val="center"/>
          </w:tcPr>
          <w:p w:rsidR="005A5CD3" w:rsidRPr="005A5CD3" w:rsidRDefault="005A5CD3" w:rsidP="005A5CD3">
            <w:pPr>
              <w:jc w:val="center"/>
              <w:rPr>
                <w:sz w:val="14"/>
                <w:szCs w:val="16"/>
              </w:rPr>
            </w:pPr>
            <w:r w:rsidRPr="005A5CD3">
              <w:rPr>
                <w:sz w:val="14"/>
                <w:szCs w:val="16"/>
              </w:rPr>
              <w:t>870610</w:t>
            </w:r>
          </w:p>
        </w:tc>
        <w:tc>
          <w:tcPr>
            <w:tcW w:w="510" w:type="dxa"/>
            <w:tcBorders>
              <w:top w:val="single" w:sz="6" w:space="0" w:color="auto"/>
              <w:left w:val="single" w:sz="6" w:space="0" w:color="auto"/>
              <w:bottom w:val="single" w:sz="6" w:space="0" w:color="auto"/>
              <w:right w:val="single" w:sz="6" w:space="0" w:color="auto"/>
            </w:tcBorders>
            <w:vAlign w:val="center"/>
          </w:tcPr>
          <w:p w:rsidR="005A5CD3" w:rsidRPr="005A5CD3" w:rsidRDefault="005A5CD3" w:rsidP="005A5CD3">
            <w:pPr>
              <w:jc w:val="center"/>
              <w:rPr>
                <w:sz w:val="14"/>
                <w:szCs w:val="16"/>
              </w:rPr>
            </w:pPr>
            <w:r w:rsidRPr="005A5CD3">
              <w:rPr>
                <w:sz w:val="14"/>
                <w:szCs w:val="16"/>
              </w:rPr>
              <w:t>3,5</w:t>
            </w:r>
          </w:p>
        </w:tc>
        <w:tc>
          <w:tcPr>
            <w:tcW w:w="850" w:type="dxa"/>
            <w:tcBorders>
              <w:top w:val="single" w:sz="6" w:space="0" w:color="auto"/>
              <w:left w:val="single" w:sz="6" w:space="0" w:color="auto"/>
              <w:bottom w:val="single" w:sz="6" w:space="0" w:color="auto"/>
              <w:right w:val="single" w:sz="6" w:space="0" w:color="auto"/>
            </w:tcBorders>
            <w:vAlign w:val="center"/>
          </w:tcPr>
          <w:p w:rsidR="005A5CD3" w:rsidRPr="005A5CD3" w:rsidRDefault="005A5CD3" w:rsidP="005A5CD3">
            <w:pPr>
              <w:jc w:val="center"/>
              <w:rPr>
                <w:sz w:val="14"/>
                <w:szCs w:val="16"/>
              </w:rPr>
            </w:pPr>
            <w:r w:rsidRPr="005A5CD3">
              <w:rPr>
                <w:sz w:val="14"/>
                <w:szCs w:val="16"/>
              </w:rPr>
              <w:t>202614,8</w:t>
            </w:r>
          </w:p>
        </w:tc>
        <w:tc>
          <w:tcPr>
            <w:tcW w:w="474" w:type="dxa"/>
            <w:tcBorders>
              <w:top w:val="single" w:sz="6" w:space="0" w:color="auto"/>
              <w:left w:val="single" w:sz="6" w:space="0" w:color="auto"/>
              <w:bottom w:val="single" w:sz="6" w:space="0" w:color="auto"/>
              <w:right w:val="single" w:sz="12" w:space="0" w:color="auto"/>
            </w:tcBorders>
            <w:vAlign w:val="center"/>
          </w:tcPr>
          <w:p w:rsidR="005A5CD3" w:rsidRPr="005A5CD3" w:rsidRDefault="005A5CD3" w:rsidP="005A5CD3">
            <w:pPr>
              <w:jc w:val="center"/>
              <w:rPr>
                <w:sz w:val="14"/>
                <w:szCs w:val="16"/>
              </w:rPr>
            </w:pPr>
            <w:r w:rsidRPr="005A5CD3">
              <w:rPr>
                <w:sz w:val="14"/>
                <w:szCs w:val="16"/>
              </w:rPr>
              <w:t>3</w:t>
            </w:r>
          </w:p>
        </w:tc>
        <w:tc>
          <w:tcPr>
            <w:tcW w:w="794" w:type="dxa"/>
            <w:gridSpan w:val="2"/>
            <w:tcBorders>
              <w:top w:val="single" w:sz="6" w:space="0" w:color="auto"/>
              <w:left w:val="single" w:sz="12" w:space="0" w:color="auto"/>
              <w:bottom w:val="single" w:sz="6" w:space="0" w:color="auto"/>
              <w:right w:val="single" w:sz="6" w:space="0" w:color="auto"/>
            </w:tcBorders>
            <w:vAlign w:val="center"/>
          </w:tcPr>
          <w:p w:rsidR="005A5CD3" w:rsidRPr="005A5CD3" w:rsidRDefault="005A5CD3" w:rsidP="005A5CD3">
            <w:pPr>
              <w:jc w:val="center"/>
              <w:rPr>
                <w:sz w:val="14"/>
                <w:szCs w:val="16"/>
              </w:rPr>
            </w:pPr>
            <w:r w:rsidRPr="005A5CD3">
              <w:rPr>
                <w:sz w:val="14"/>
                <w:szCs w:val="16"/>
              </w:rPr>
              <w:t>1063725</w:t>
            </w:r>
          </w:p>
        </w:tc>
        <w:tc>
          <w:tcPr>
            <w:tcW w:w="474" w:type="dxa"/>
            <w:tcBorders>
              <w:top w:val="single" w:sz="6" w:space="0" w:color="auto"/>
              <w:left w:val="single" w:sz="6" w:space="0" w:color="auto"/>
              <w:bottom w:val="single" w:sz="6" w:space="0" w:color="auto"/>
              <w:right w:val="single" w:sz="6" w:space="0" w:color="auto"/>
            </w:tcBorders>
            <w:vAlign w:val="center"/>
          </w:tcPr>
          <w:p w:rsidR="005A5CD3" w:rsidRPr="005A5CD3" w:rsidRDefault="005A5CD3" w:rsidP="005A5CD3">
            <w:pPr>
              <w:jc w:val="center"/>
              <w:rPr>
                <w:sz w:val="14"/>
                <w:szCs w:val="16"/>
              </w:rPr>
            </w:pPr>
            <w:r w:rsidRPr="005A5CD3">
              <w:rPr>
                <w:sz w:val="14"/>
                <w:szCs w:val="16"/>
              </w:rPr>
              <w:t>4,3</w:t>
            </w:r>
          </w:p>
        </w:tc>
        <w:tc>
          <w:tcPr>
            <w:tcW w:w="850" w:type="dxa"/>
            <w:tcBorders>
              <w:top w:val="single" w:sz="6" w:space="0" w:color="auto"/>
              <w:left w:val="single" w:sz="6" w:space="0" w:color="auto"/>
              <w:bottom w:val="single" w:sz="6" w:space="0" w:color="auto"/>
              <w:right w:val="single" w:sz="6" w:space="0" w:color="auto"/>
            </w:tcBorders>
            <w:vAlign w:val="center"/>
          </w:tcPr>
          <w:p w:rsidR="005A5CD3" w:rsidRPr="005A5CD3" w:rsidRDefault="005A5CD3" w:rsidP="005A5CD3">
            <w:pPr>
              <w:jc w:val="center"/>
              <w:rPr>
                <w:sz w:val="14"/>
                <w:szCs w:val="16"/>
              </w:rPr>
            </w:pPr>
            <w:r w:rsidRPr="005A5CD3">
              <w:rPr>
                <w:sz w:val="14"/>
                <w:szCs w:val="16"/>
              </w:rPr>
              <w:t>225422,1</w:t>
            </w:r>
          </w:p>
        </w:tc>
        <w:tc>
          <w:tcPr>
            <w:tcW w:w="479" w:type="dxa"/>
            <w:tcBorders>
              <w:top w:val="single" w:sz="6" w:space="0" w:color="auto"/>
              <w:left w:val="single" w:sz="6" w:space="0" w:color="auto"/>
              <w:bottom w:val="single" w:sz="6" w:space="0" w:color="auto"/>
              <w:right w:val="single" w:sz="12" w:space="0" w:color="auto"/>
            </w:tcBorders>
            <w:vAlign w:val="center"/>
          </w:tcPr>
          <w:p w:rsidR="005A5CD3" w:rsidRPr="005A5CD3" w:rsidRDefault="005A5CD3" w:rsidP="005A5CD3">
            <w:pPr>
              <w:jc w:val="center"/>
              <w:rPr>
                <w:sz w:val="14"/>
                <w:szCs w:val="16"/>
              </w:rPr>
            </w:pPr>
            <w:r w:rsidRPr="005A5CD3">
              <w:rPr>
                <w:sz w:val="14"/>
                <w:szCs w:val="16"/>
              </w:rPr>
              <w:t>3,3</w:t>
            </w:r>
          </w:p>
        </w:tc>
        <w:tc>
          <w:tcPr>
            <w:tcW w:w="794" w:type="dxa"/>
            <w:tcBorders>
              <w:top w:val="single" w:sz="6" w:space="0" w:color="auto"/>
              <w:left w:val="single" w:sz="12" w:space="0" w:color="auto"/>
              <w:bottom w:val="single" w:sz="6" w:space="0" w:color="auto"/>
              <w:right w:val="single" w:sz="6" w:space="0" w:color="auto"/>
            </w:tcBorders>
            <w:vAlign w:val="center"/>
          </w:tcPr>
          <w:p w:rsidR="005A5CD3" w:rsidRPr="005A5CD3" w:rsidRDefault="005A5CD3" w:rsidP="005A5CD3">
            <w:pPr>
              <w:jc w:val="center"/>
              <w:rPr>
                <w:sz w:val="14"/>
                <w:szCs w:val="16"/>
              </w:rPr>
            </w:pPr>
            <w:r w:rsidRPr="005A5CD3">
              <w:rPr>
                <w:sz w:val="14"/>
                <w:szCs w:val="16"/>
              </w:rPr>
              <w:t>757371</w:t>
            </w:r>
          </w:p>
        </w:tc>
        <w:tc>
          <w:tcPr>
            <w:tcW w:w="474" w:type="dxa"/>
            <w:tcBorders>
              <w:top w:val="single" w:sz="6" w:space="0" w:color="auto"/>
              <w:left w:val="single" w:sz="6" w:space="0" w:color="auto"/>
              <w:bottom w:val="single" w:sz="6" w:space="0" w:color="auto"/>
              <w:right w:val="single" w:sz="6" w:space="0" w:color="auto"/>
            </w:tcBorders>
            <w:vAlign w:val="center"/>
          </w:tcPr>
          <w:p w:rsidR="005A5CD3" w:rsidRPr="005A5CD3" w:rsidRDefault="005A5CD3" w:rsidP="005A5CD3">
            <w:pPr>
              <w:jc w:val="center"/>
              <w:rPr>
                <w:sz w:val="14"/>
                <w:szCs w:val="16"/>
              </w:rPr>
            </w:pPr>
            <w:r w:rsidRPr="005A5CD3">
              <w:rPr>
                <w:sz w:val="14"/>
                <w:szCs w:val="16"/>
              </w:rPr>
              <w:t>3</w:t>
            </w:r>
          </w:p>
        </w:tc>
        <w:tc>
          <w:tcPr>
            <w:tcW w:w="850" w:type="dxa"/>
            <w:tcBorders>
              <w:top w:val="single" w:sz="6" w:space="0" w:color="auto"/>
              <w:left w:val="single" w:sz="6" w:space="0" w:color="auto"/>
              <w:bottom w:val="single" w:sz="6" w:space="0" w:color="auto"/>
              <w:right w:val="single" w:sz="6" w:space="0" w:color="auto"/>
            </w:tcBorders>
            <w:vAlign w:val="center"/>
          </w:tcPr>
          <w:p w:rsidR="005A5CD3" w:rsidRPr="005A5CD3" w:rsidRDefault="005A5CD3" w:rsidP="005A5CD3">
            <w:pPr>
              <w:jc w:val="center"/>
              <w:rPr>
                <w:sz w:val="14"/>
                <w:szCs w:val="16"/>
              </w:rPr>
            </w:pPr>
            <w:r w:rsidRPr="005A5CD3">
              <w:rPr>
                <w:sz w:val="14"/>
                <w:szCs w:val="16"/>
              </w:rPr>
              <w:t>246722,8</w:t>
            </w:r>
          </w:p>
        </w:tc>
        <w:tc>
          <w:tcPr>
            <w:tcW w:w="474" w:type="dxa"/>
            <w:tcBorders>
              <w:top w:val="single" w:sz="6" w:space="0" w:color="auto"/>
              <w:left w:val="single" w:sz="6" w:space="0" w:color="auto"/>
              <w:bottom w:val="single" w:sz="6" w:space="0" w:color="auto"/>
              <w:right w:val="single" w:sz="12" w:space="0" w:color="auto"/>
            </w:tcBorders>
            <w:vAlign w:val="center"/>
          </w:tcPr>
          <w:p w:rsidR="005A5CD3" w:rsidRPr="005A5CD3" w:rsidRDefault="005A5CD3" w:rsidP="005A5CD3">
            <w:pPr>
              <w:jc w:val="center"/>
              <w:rPr>
                <w:sz w:val="14"/>
                <w:szCs w:val="16"/>
              </w:rPr>
            </w:pPr>
            <w:r w:rsidRPr="005A5CD3">
              <w:rPr>
                <w:sz w:val="14"/>
                <w:szCs w:val="16"/>
              </w:rPr>
              <w:t>3,3</w:t>
            </w:r>
          </w:p>
        </w:tc>
        <w:tc>
          <w:tcPr>
            <w:tcW w:w="794" w:type="dxa"/>
            <w:gridSpan w:val="2"/>
            <w:tcBorders>
              <w:top w:val="single" w:sz="6" w:space="0" w:color="auto"/>
              <w:left w:val="single" w:sz="12" w:space="0" w:color="auto"/>
              <w:bottom w:val="single" w:sz="6" w:space="0" w:color="auto"/>
              <w:right w:val="single" w:sz="6" w:space="0" w:color="auto"/>
            </w:tcBorders>
            <w:vAlign w:val="center"/>
          </w:tcPr>
          <w:p w:rsidR="005A5CD3" w:rsidRPr="005A5CD3" w:rsidRDefault="005A5CD3" w:rsidP="005A5CD3">
            <w:pPr>
              <w:jc w:val="center"/>
              <w:rPr>
                <w:sz w:val="14"/>
                <w:szCs w:val="16"/>
              </w:rPr>
            </w:pPr>
            <w:r w:rsidRPr="005A5CD3">
              <w:rPr>
                <w:sz w:val="14"/>
                <w:szCs w:val="16"/>
              </w:rPr>
              <w:t>770460</w:t>
            </w:r>
          </w:p>
        </w:tc>
        <w:tc>
          <w:tcPr>
            <w:tcW w:w="474" w:type="dxa"/>
            <w:gridSpan w:val="2"/>
            <w:tcBorders>
              <w:top w:val="single" w:sz="6" w:space="0" w:color="auto"/>
              <w:left w:val="single" w:sz="6" w:space="0" w:color="auto"/>
              <w:bottom w:val="single" w:sz="6" w:space="0" w:color="auto"/>
              <w:right w:val="single" w:sz="6" w:space="0" w:color="auto"/>
            </w:tcBorders>
            <w:vAlign w:val="center"/>
          </w:tcPr>
          <w:p w:rsidR="005A5CD3" w:rsidRPr="005A5CD3" w:rsidRDefault="005A5CD3" w:rsidP="005A5CD3">
            <w:pPr>
              <w:jc w:val="center"/>
              <w:rPr>
                <w:sz w:val="14"/>
                <w:szCs w:val="16"/>
              </w:rPr>
            </w:pPr>
            <w:r w:rsidRPr="005A5CD3">
              <w:rPr>
                <w:sz w:val="14"/>
                <w:szCs w:val="16"/>
              </w:rPr>
              <w:t>3,2</w:t>
            </w:r>
          </w:p>
        </w:tc>
        <w:tc>
          <w:tcPr>
            <w:tcW w:w="907" w:type="dxa"/>
            <w:gridSpan w:val="2"/>
            <w:tcBorders>
              <w:top w:val="single" w:sz="6" w:space="0" w:color="auto"/>
              <w:left w:val="single" w:sz="6" w:space="0" w:color="auto"/>
              <w:bottom w:val="single" w:sz="6" w:space="0" w:color="auto"/>
              <w:right w:val="single" w:sz="6" w:space="0" w:color="auto"/>
            </w:tcBorders>
            <w:vAlign w:val="center"/>
          </w:tcPr>
          <w:p w:rsidR="005A5CD3" w:rsidRPr="005A5CD3" w:rsidRDefault="005A5CD3" w:rsidP="005A5CD3">
            <w:pPr>
              <w:jc w:val="center"/>
              <w:rPr>
                <w:sz w:val="14"/>
                <w:szCs w:val="16"/>
              </w:rPr>
            </w:pPr>
            <w:r w:rsidRPr="005A5CD3">
              <w:rPr>
                <w:sz w:val="14"/>
                <w:szCs w:val="16"/>
              </w:rPr>
              <w:t>253126,7</w:t>
            </w:r>
          </w:p>
        </w:tc>
        <w:tc>
          <w:tcPr>
            <w:tcW w:w="476" w:type="dxa"/>
            <w:gridSpan w:val="2"/>
            <w:tcBorders>
              <w:top w:val="single" w:sz="6" w:space="0" w:color="auto"/>
              <w:left w:val="single" w:sz="6" w:space="0" w:color="auto"/>
              <w:bottom w:val="single" w:sz="6" w:space="0" w:color="auto"/>
              <w:right w:val="single" w:sz="12" w:space="0" w:color="auto"/>
            </w:tcBorders>
            <w:vAlign w:val="center"/>
          </w:tcPr>
          <w:p w:rsidR="005A5CD3" w:rsidRPr="005A5CD3" w:rsidRDefault="005A5CD3" w:rsidP="005A5CD3">
            <w:pPr>
              <w:jc w:val="center"/>
              <w:rPr>
                <w:sz w:val="14"/>
                <w:szCs w:val="16"/>
              </w:rPr>
            </w:pPr>
            <w:r w:rsidRPr="005A5CD3">
              <w:rPr>
                <w:sz w:val="14"/>
                <w:szCs w:val="16"/>
              </w:rPr>
              <w:t>3,5</w:t>
            </w:r>
          </w:p>
        </w:tc>
      </w:tr>
      <w:tr w:rsidR="005A5CD3" w:rsidRPr="005A5CD3" w:rsidTr="00737B66">
        <w:trPr>
          <w:gridAfter w:val="1"/>
          <w:wAfter w:w="14" w:type="dxa"/>
        </w:trPr>
        <w:tc>
          <w:tcPr>
            <w:tcW w:w="956" w:type="dxa"/>
            <w:tcBorders>
              <w:top w:val="single" w:sz="6" w:space="0" w:color="auto"/>
              <w:left w:val="single" w:sz="12" w:space="0" w:color="auto"/>
              <w:bottom w:val="single" w:sz="6" w:space="0" w:color="auto"/>
              <w:right w:val="single" w:sz="12" w:space="0" w:color="auto"/>
            </w:tcBorders>
            <w:vAlign w:val="center"/>
          </w:tcPr>
          <w:p w:rsidR="005A5CD3" w:rsidRPr="005A5CD3" w:rsidRDefault="005A5CD3" w:rsidP="005A5CD3">
            <w:pPr>
              <w:jc w:val="center"/>
              <w:rPr>
                <w:sz w:val="14"/>
                <w:szCs w:val="16"/>
              </w:rPr>
            </w:pPr>
            <w:r w:rsidRPr="005A5CD3">
              <w:rPr>
                <w:sz w:val="14"/>
                <w:szCs w:val="16"/>
              </w:rPr>
              <w:t>Būstas ir komunalinis ūkis</w:t>
            </w:r>
          </w:p>
        </w:tc>
        <w:tc>
          <w:tcPr>
            <w:tcW w:w="793" w:type="dxa"/>
            <w:tcBorders>
              <w:top w:val="single" w:sz="6" w:space="0" w:color="auto"/>
              <w:left w:val="single" w:sz="12" w:space="0" w:color="auto"/>
              <w:bottom w:val="single" w:sz="6" w:space="0" w:color="auto"/>
              <w:right w:val="single" w:sz="6" w:space="0" w:color="auto"/>
            </w:tcBorders>
            <w:vAlign w:val="center"/>
          </w:tcPr>
          <w:p w:rsidR="005A5CD3" w:rsidRPr="005A5CD3" w:rsidRDefault="005A5CD3" w:rsidP="005A5CD3">
            <w:pPr>
              <w:jc w:val="center"/>
              <w:rPr>
                <w:sz w:val="14"/>
                <w:szCs w:val="16"/>
              </w:rPr>
            </w:pPr>
            <w:r w:rsidRPr="005A5CD3">
              <w:rPr>
                <w:sz w:val="14"/>
                <w:szCs w:val="16"/>
              </w:rPr>
              <w:t>41626</w:t>
            </w:r>
          </w:p>
        </w:tc>
        <w:tc>
          <w:tcPr>
            <w:tcW w:w="509" w:type="dxa"/>
            <w:tcBorders>
              <w:top w:val="single" w:sz="6" w:space="0" w:color="auto"/>
              <w:left w:val="single" w:sz="6" w:space="0" w:color="auto"/>
              <w:bottom w:val="single" w:sz="6" w:space="0" w:color="auto"/>
              <w:right w:val="single" w:sz="6" w:space="0" w:color="auto"/>
            </w:tcBorders>
            <w:vAlign w:val="center"/>
          </w:tcPr>
          <w:p w:rsidR="005A5CD3" w:rsidRPr="005A5CD3" w:rsidRDefault="005A5CD3" w:rsidP="005A5CD3">
            <w:pPr>
              <w:jc w:val="center"/>
              <w:rPr>
                <w:sz w:val="14"/>
                <w:szCs w:val="16"/>
              </w:rPr>
            </w:pPr>
            <w:r w:rsidRPr="005A5CD3">
              <w:rPr>
                <w:sz w:val="14"/>
                <w:szCs w:val="16"/>
              </w:rPr>
              <w:t>0,2</w:t>
            </w:r>
          </w:p>
        </w:tc>
        <w:tc>
          <w:tcPr>
            <w:tcW w:w="849" w:type="dxa"/>
            <w:tcBorders>
              <w:top w:val="single" w:sz="6" w:space="0" w:color="auto"/>
              <w:left w:val="single" w:sz="6" w:space="0" w:color="auto"/>
              <w:bottom w:val="single" w:sz="6" w:space="0" w:color="auto"/>
              <w:right w:val="single" w:sz="6" w:space="0" w:color="auto"/>
            </w:tcBorders>
            <w:vAlign w:val="center"/>
          </w:tcPr>
          <w:p w:rsidR="005A5CD3" w:rsidRPr="005A5CD3" w:rsidRDefault="005A5CD3" w:rsidP="005A5CD3">
            <w:pPr>
              <w:jc w:val="center"/>
              <w:rPr>
                <w:sz w:val="14"/>
                <w:szCs w:val="16"/>
              </w:rPr>
            </w:pPr>
            <w:r w:rsidRPr="005A5CD3">
              <w:rPr>
                <w:sz w:val="14"/>
                <w:szCs w:val="16"/>
              </w:rPr>
              <w:t>301987,7</w:t>
            </w:r>
          </w:p>
        </w:tc>
        <w:tc>
          <w:tcPr>
            <w:tcW w:w="509" w:type="dxa"/>
            <w:tcBorders>
              <w:top w:val="single" w:sz="6" w:space="0" w:color="auto"/>
              <w:left w:val="single" w:sz="6" w:space="0" w:color="auto"/>
              <w:bottom w:val="single" w:sz="6" w:space="0" w:color="auto"/>
              <w:right w:val="single" w:sz="12" w:space="0" w:color="auto"/>
            </w:tcBorders>
            <w:vAlign w:val="center"/>
          </w:tcPr>
          <w:p w:rsidR="005A5CD3" w:rsidRPr="005A5CD3" w:rsidRDefault="005A5CD3" w:rsidP="005A5CD3">
            <w:pPr>
              <w:jc w:val="center"/>
              <w:rPr>
                <w:sz w:val="14"/>
                <w:szCs w:val="16"/>
              </w:rPr>
            </w:pPr>
            <w:r w:rsidRPr="005A5CD3">
              <w:rPr>
                <w:sz w:val="14"/>
                <w:szCs w:val="16"/>
              </w:rPr>
              <w:t>4,2</w:t>
            </w:r>
          </w:p>
        </w:tc>
        <w:tc>
          <w:tcPr>
            <w:tcW w:w="796" w:type="dxa"/>
            <w:tcBorders>
              <w:top w:val="single" w:sz="6" w:space="0" w:color="auto"/>
              <w:left w:val="single" w:sz="12" w:space="0" w:color="auto"/>
              <w:bottom w:val="single" w:sz="6" w:space="0" w:color="auto"/>
              <w:right w:val="single" w:sz="6" w:space="0" w:color="auto"/>
            </w:tcBorders>
            <w:vAlign w:val="center"/>
          </w:tcPr>
          <w:p w:rsidR="005A5CD3" w:rsidRPr="005A5CD3" w:rsidRDefault="005A5CD3" w:rsidP="005A5CD3">
            <w:pPr>
              <w:jc w:val="center"/>
              <w:rPr>
                <w:sz w:val="14"/>
                <w:szCs w:val="16"/>
              </w:rPr>
            </w:pPr>
            <w:r w:rsidRPr="005A5CD3">
              <w:rPr>
                <w:sz w:val="14"/>
                <w:szCs w:val="16"/>
              </w:rPr>
              <w:t>551812</w:t>
            </w:r>
          </w:p>
        </w:tc>
        <w:tc>
          <w:tcPr>
            <w:tcW w:w="510" w:type="dxa"/>
            <w:tcBorders>
              <w:top w:val="single" w:sz="6" w:space="0" w:color="auto"/>
              <w:left w:val="single" w:sz="6" w:space="0" w:color="auto"/>
              <w:bottom w:val="single" w:sz="6" w:space="0" w:color="auto"/>
              <w:right w:val="single" w:sz="6" w:space="0" w:color="auto"/>
            </w:tcBorders>
            <w:vAlign w:val="center"/>
          </w:tcPr>
          <w:p w:rsidR="005A5CD3" w:rsidRPr="005A5CD3" w:rsidRDefault="005A5CD3" w:rsidP="005A5CD3">
            <w:pPr>
              <w:jc w:val="center"/>
              <w:rPr>
                <w:sz w:val="14"/>
                <w:szCs w:val="16"/>
              </w:rPr>
            </w:pPr>
            <w:r w:rsidRPr="005A5CD3">
              <w:rPr>
                <w:sz w:val="14"/>
                <w:szCs w:val="16"/>
              </w:rPr>
              <w:t>2,2</w:t>
            </w:r>
          </w:p>
        </w:tc>
        <w:tc>
          <w:tcPr>
            <w:tcW w:w="850" w:type="dxa"/>
            <w:tcBorders>
              <w:top w:val="single" w:sz="6" w:space="0" w:color="auto"/>
              <w:left w:val="single" w:sz="6" w:space="0" w:color="auto"/>
              <w:bottom w:val="single" w:sz="6" w:space="0" w:color="auto"/>
              <w:right w:val="single" w:sz="6" w:space="0" w:color="auto"/>
            </w:tcBorders>
            <w:vAlign w:val="center"/>
          </w:tcPr>
          <w:p w:rsidR="005A5CD3" w:rsidRPr="005A5CD3" w:rsidRDefault="005A5CD3" w:rsidP="005A5CD3">
            <w:pPr>
              <w:jc w:val="center"/>
              <w:rPr>
                <w:sz w:val="14"/>
                <w:szCs w:val="16"/>
              </w:rPr>
            </w:pPr>
            <w:r w:rsidRPr="005A5CD3">
              <w:rPr>
                <w:sz w:val="14"/>
                <w:szCs w:val="16"/>
              </w:rPr>
              <w:t>210181,9</w:t>
            </w:r>
          </w:p>
        </w:tc>
        <w:tc>
          <w:tcPr>
            <w:tcW w:w="474" w:type="dxa"/>
            <w:tcBorders>
              <w:top w:val="single" w:sz="6" w:space="0" w:color="auto"/>
              <w:left w:val="single" w:sz="6" w:space="0" w:color="auto"/>
              <w:bottom w:val="single" w:sz="6" w:space="0" w:color="auto"/>
              <w:right w:val="single" w:sz="12" w:space="0" w:color="auto"/>
            </w:tcBorders>
            <w:vAlign w:val="center"/>
          </w:tcPr>
          <w:p w:rsidR="005A5CD3" w:rsidRPr="005A5CD3" w:rsidRDefault="005A5CD3" w:rsidP="005A5CD3">
            <w:pPr>
              <w:jc w:val="center"/>
              <w:rPr>
                <w:sz w:val="14"/>
                <w:szCs w:val="16"/>
              </w:rPr>
            </w:pPr>
            <w:r w:rsidRPr="005A5CD3">
              <w:rPr>
                <w:sz w:val="14"/>
                <w:szCs w:val="16"/>
              </w:rPr>
              <w:t>3,1</w:t>
            </w:r>
          </w:p>
        </w:tc>
        <w:tc>
          <w:tcPr>
            <w:tcW w:w="794" w:type="dxa"/>
            <w:gridSpan w:val="2"/>
            <w:tcBorders>
              <w:top w:val="single" w:sz="6" w:space="0" w:color="auto"/>
              <w:left w:val="single" w:sz="12" w:space="0" w:color="auto"/>
              <w:bottom w:val="single" w:sz="6" w:space="0" w:color="auto"/>
              <w:right w:val="single" w:sz="6" w:space="0" w:color="auto"/>
            </w:tcBorders>
            <w:vAlign w:val="center"/>
          </w:tcPr>
          <w:p w:rsidR="005A5CD3" w:rsidRPr="005A5CD3" w:rsidRDefault="005A5CD3" w:rsidP="005A5CD3">
            <w:pPr>
              <w:jc w:val="center"/>
              <w:rPr>
                <w:sz w:val="14"/>
                <w:szCs w:val="16"/>
              </w:rPr>
            </w:pPr>
            <w:r w:rsidRPr="005A5CD3">
              <w:rPr>
                <w:sz w:val="14"/>
                <w:szCs w:val="16"/>
              </w:rPr>
              <w:t>17133</w:t>
            </w:r>
          </w:p>
        </w:tc>
        <w:tc>
          <w:tcPr>
            <w:tcW w:w="474" w:type="dxa"/>
            <w:tcBorders>
              <w:top w:val="single" w:sz="6" w:space="0" w:color="auto"/>
              <w:left w:val="single" w:sz="6" w:space="0" w:color="auto"/>
              <w:bottom w:val="single" w:sz="6" w:space="0" w:color="auto"/>
              <w:right w:val="single" w:sz="6" w:space="0" w:color="auto"/>
            </w:tcBorders>
            <w:vAlign w:val="center"/>
          </w:tcPr>
          <w:p w:rsidR="005A5CD3" w:rsidRPr="005A5CD3" w:rsidRDefault="005A5CD3" w:rsidP="005A5CD3">
            <w:pPr>
              <w:jc w:val="center"/>
              <w:rPr>
                <w:sz w:val="14"/>
                <w:szCs w:val="16"/>
              </w:rPr>
            </w:pPr>
            <w:r w:rsidRPr="005A5CD3">
              <w:rPr>
                <w:sz w:val="14"/>
                <w:szCs w:val="16"/>
              </w:rPr>
              <w:t>0,1</w:t>
            </w:r>
          </w:p>
        </w:tc>
        <w:tc>
          <w:tcPr>
            <w:tcW w:w="850" w:type="dxa"/>
            <w:tcBorders>
              <w:top w:val="single" w:sz="6" w:space="0" w:color="auto"/>
              <w:left w:val="single" w:sz="6" w:space="0" w:color="auto"/>
              <w:bottom w:val="single" w:sz="6" w:space="0" w:color="auto"/>
              <w:right w:val="single" w:sz="6" w:space="0" w:color="auto"/>
            </w:tcBorders>
            <w:vAlign w:val="center"/>
          </w:tcPr>
          <w:p w:rsidR="005A5CD3" w:rsidRPr="005A5CD3" w:rsidRDefault="005A5CD3" w:rsidP="005A5CD3">
            <w:pPr>
              <w:jc w:val="center"/>
              <w:rPr>
                <w:sz w:val="14"/>
                <w:szCs w:val="16"/>
              </w:rPr>
            </w:pPr>
            <w:r w:rsidRPr="005A5CD3">
              <w:rPr>
                <w:sz w:val="14"/>
                <w:szCs w:val="16"/>
              </w:rPr>
              <w:t>247831,3</w:t>
            </w:r>
          </w:p>
        </w:tc>
        <w:tc>
          <w:tcPr>
            <w:tcW w:w="479" w:type="dxa"/>
            <w:tcBorders>
              <w:top w:val="single" w:sz="6" w:space="0" w:color="auto"/>
              <w:left w:val="single" w:sz="6" w:space="0" w:color="auto"/>
              <w:bottom w:val="single" w:sz="6" w:space="0" w:color="auto"/>
              <w:right w:val="single" w:sz="12" w:space="0" w:color="auto"/>
            </w:tcBorders>
            <w:vAlign w:val="center"/>
          </w:tcPr>
          <w:p w:rsidR="005A5CD3" w:rsidRPr="005A5CD3" w:rsidRDefault="005A5CD3" w:rsidP="005A5CD3">
            <w:pPr>
              <w:jc w:val="center"/>
              <w:rPr>
                <w:sz w:val="14"/>
                <w:szCs w:val="16"/>
              </w:rPr>
            </w:pPr>
            <w:r w:rsidRPr="005A5CD3">
              <w:rPr>
                <w:sz w:val="14"/>
                <w:szCs w:val="16"/>
              </w:rPr>
              <w:t>3,6</w:t>
            </w:r>
          </w:p>
        </w:tc>
        <w:tc>
          <w:tcPr>
            <w:tcW w:w="794" w:type="dxa"/>
            <w:tcBorders>
              <w:top w:val="single" w:sz="6" w:space="0" w:color="auto"/>
              <w:left w:val="single" w:sz="12" w:space="0" w:color="auto"/>
              <w:bottom w:val="single" w:sz="6" w:space="0" w:color="auto"/>
              <w:right w:val="single" w:sz="6" w:space="0" w:color="auto"/>
            </w:tcBorders>
            <w:vAlign w:val="center"/>
          </w:tcPr>
          <w:p w:rsidR="005A5CD3" w:rsidRPr="005A5CD3" w:rsidRDefault="005A5CD3" w:rsidP="005A5CD3">
            <w:pPr>
              <w:jc w:val="center"/>
              <w:rPr>
                <w:sz w:val="14"/>
                <w:szCs w:val="16"/>
              </w:rPr>
            </w:pPr>
            <w:r w:rsidRPr="005A5CD3">
              <w:rPr>
                <w:sz w:val="14"/>
                <w:szCs w:val="16"/>
              </w:rPr>
              <w:t>13741</w:t>
            </w:r>
          </w:p>
        </w:tc>
        <w:tc>
          <w:tcPr>
            <w:tcW w:w="474" w:type="dxa"/>
            <w:tcBorders>
              <w:top w:val="single" w:sz="6" w:space="0" w:color="auto"/>
              <w:left w:val="single" w:sz="6" w:space="0" w:color="auto"/>
              <w:bottom w:val="single" w:sz="6" w:space="0" w:color="auto"/>
              <w:right w:val="single" w:sz="6" w:space="0" w:color="auto"/>
            </w:tcBorders>
            <w:vAlign w:val="center"/>
          </w:tcPr>
          <w:p w:rsidR="005A5CD3" w:rsidRPr="005A5CD3" w:rsidRDefault="005A5CD3" w:rsidP="005A5CD3">
            <w:pPr>
              <w:jc w:val="center"/>
              <w:rPr>
                <w:sz w:val="14"/>
                <w:szCs w:val="16"/>
              </w:rPr>
            </w:pPr>
            <w:r w:rsidRPr="005A5CD3">
              <w:rPr>
                <w:sz w:val="14"/>
                <w:szCs w:val="16"/>
              </w:rPr>
              <w:t>0,1</w:t>
            </w:r>
          </w:p>
        </w:tc>
        <w:tc>
          <w:tcPr>
            <w:tcW w:w="850" w:type="dxa"/>
            <w:tcBorders>
              <w:top w:val="single" w:sz="6" w:space="0" w:color="auto"/>
              <w:left w:val="single" w:sz="6" w:space="0" w:color="auto"/>
              <w:bottom w:val="single" w:sz="6" w:space="0" w:color="auto"/>
              <w:right w:val="single" w:sz="6" w:space="0" w:color="auto"/>
            </w:tcBorders>
            <w:vAlign w:val="center"/>
          </w:tcPr>
          <w:p w:rsidR="005A5CD3" w:rsidRPr="005A5CD3" w:rsidRDefault="005A5CD3" w:rsidP="005A5CD3">
            <w:pPr>
              <w:jc w:val="center"/>
              <w:rPr>
                <w:sz w:val="14"/>
                <w:szCs w:val="16"/>
              </w:rPr>
            </w:pPr>
            <w:r w:rsidRPr="005A5CD3">
              <w:rPr>
                <w:sz w:val="14"/>
                <w:szCs w:val="16"/>
              </w:rPr>
              <w:t>281762,8</w:t>
            </w:r>
          </w:p>
        </w:tc>
        <w:tc>
          <w:tcPr>
            <w:tcW w:w="474" w:type="dxa"/>
            <w:tcBorders>
              <w:top w:val="single" w:sz="6" w:space="0" w:color="auto"/>
              <w:left w:val="single" w:sz="6" w:space="0" w:color="auto"/>
              <w:bottom w:val="single" w:sz="6" w:space="0" w:color="auto"/>
              <w:right w:val="single" w:sz="12" w:space="0" w:color="auto"/>
            </w:tcBorders>
            <w:vAlign w:val="center"/>
          </w:tcPr>
          <w:p w:rsidR="005A5CD3" w:rsidRPr="005A5CD3" w:rsidRDefault="005A5CD3" w:rsidP="005A5CD3">
            <w:pPr>
              <w:jc w:val="center"/>
              <w:rPr>
                <w:sz w:val="14"/>
                <w:szCs w:val="16"/>
              </w:rPr>
            </w:pPr>
            <w:r w:rsidRPr="005A5CD3">
              <w:rPr>
                <w:sz w:val="14"/>
                <w:szCs w:val="16"/>
              </w:rPr>
              <w:t>3,8</w:t>
            </w:r>
          </w:p>
        </w:tc>
        <w:tc>
          <w:tcPr>
            <w:tcW w:w="794" w:type="dxa"/>
            <w:gridSpan w:val="2"/>
            <w:tcBorders>
              <w:top w:val="single" w:sz="6" w:space="0" w:color="auto"/>
              <w:left w:val="single" w:sz="12" w:space="0" w:color="auto"/>
              <w:bottom w:val="single" w:sz="6" w:space="0" w:color="auto"/>
              <w:right w:val="single" w:sz="6" w:space="0" w:color="auto"/>
            </w:tcBorders>
            <w:vAlign w:val="center"/>
          </w:tcPr>
          <w:p w:rsidR="005A5CD3" w:rsidRPr="005A5CD3" w:rsidRDefault="005A5CD3" w:rsidP="005A5CD3">
            <w:pPr>
              <w:jc w:val="center"/>
              <w:rPr>
                <w:sz w:val="14"/>
                <w:szCs w:val="16"/>
              </w:rPr>
            </w:pPr>
            <w:r w:rsidRPr="005A5CD3">
              <w:rPr>
                <w:sz w:val="14"/>
                <w:szCs w:val="16"/>
              </w:rPr>
              <w:t>13546</w:t>
            </w:r>
          </w:p>
        </w:tc>
        <w:tc>
          <w:tcPr>
            <w:tcW w:w="474" w:type="dxa"/>
            <w:gridSpan w:val="2"/>
            <w:tcBorders>
              <w:top w:val="single" w:sz="6" w:space="0" w:color="auto"/>
              <w:left w:val="single" w:sz="6" w:space="0" w:color="auto"/>
              <w:bottom w:val="single" w:sz="6" w:space="0" w:color="auto"/>
              <w:right w:val="single" w:sz="6" w:space="0" w:color="auto"/>
            </w:tcBorders>
            <w:vAlign w:val="center"/>
          </w:tcPr>
          <w:p w:rsidR="005A5CD3" w:rsidRPr="005A5CD3" w:rsidRDefault="005A5CD3" w:rsidP="005A5CD3">
            <w:pPr>
              <w:jc w:val="center"/>
              <w:rPr>
                <w:sz w:val="14"/>
                <w:szCs w:val="16"/>
              </w:rPr>
            </w:pPr>
            <w:r w:rsidRPr="005A5CD3">
              <w:rPr>
                <w:sz w:val="14"/>
                <w:szCs w:val="16"/>
              </w:rPr>
              <w:t>0,1</w:t>
            </w:r>
          </w:p>
        </w:tc>
        <w:tc>
          <w:tcPr>
            <w:tcW w:w="907" w:type="dxa"/>
            <w:gridSpan w:val="2"/>
            <w:tcBorders>
              <w:top w:val="single" w:sz="6" w:space="0" w:color="auto"/>
              <w:left w:val="single" w:sz="6" w:space="0" w:color="auto"/>
              <w:bottom w:val="single" w:sz="6" w:space="0" w:color="auto"/>
              <w:right w:val="single" w:sz="6" w:space="0" w:color="auto"/>
            </w:tcBorders>
            <w:vAlign w:val="center"/>
          </w:tcPr>
          <w:p w:rsidR="005A5CD3" w:rsidRPr="005A5CD3" w:rsidRDefault="005A5CD3" w:rsidP="005A5CD3">
            <w:pPr>
              <w:jc w:val="center"/>
              <w:rPr>
                <w:sz w:val="14"/>
                <w:szCs w:val="16"/>
              </w:rPr>
            </w:pPr>
            <w:r w:rsidRPr="005A5CD3">
              <w:rPr>
                <w:sz w:val="14"/>
                <w:szCs w:val="16"/>
              </w:rPr>
              <w:t>262180,6</w:t>
            </w:r>
          </w:p>
        </w:tc>
        <w:tc>
          <w:tcPr>
            <w:tcW w:w="476" w:type="dxa"/>
            <w:gridSpan w:val="2"/>
            <w:tcBorders>
              <w:top w:val="single" w:sz="6" w:space="0" w:color="auto"/>
              <w:left w:val="single" w:sz="6" w:space="0" w:color="auto"/>
              <w:bottom w:val="single" w:sz="6" w:space="0" w:color="auto"/>
              <w:right w:val="single" w:sz="12" w:space="0" w:color="auto"/>
            </w:tcBorders>
            <w:vAlign w:val="center"/>
          </w:tcPr>
          <w:p w:rsidR="005A5CD3" w:rsidRPr="005A5CD3" w:rsidRDefault="005A5CD3" w:rsidP="005A5CD3">
            <w:pPr>
              <w:jc w:val="center"/>
              <w:rPr>
                <w:sz w:val="14"/>
                <w:szCs w:val="16"/>
              </w:rPr>
            </w:pPr>
            <w:r w:rsidRPr="005A5CD3">
              <w:rPr>
                <w:sz w:val="14"/>
                <w:szCs w:val="16"/>
              </w:rPr>
              <w:t>3,6</w:t>
            </w:r>
          </w:p>
        </w:tc>
      </w:tr>
      <w:tr w:rsidR="005A5CD3" w:rsidRPr="005A5CD3" w:rsidTr="00737B66">
        <w:trPr>
          <w:gridAfter w:val="1"/>
          <w:wAfter w:w="14" w:type="dxa"/>
        </w:trPr>
        <w:tc>
          <w:tcPr>
            <w:tcW w:w="956" w:type="dxa"/>
            <w:tcBorders>
              <w:top w:val="single" w:sz="6" w:space="0" w:color="auto"/>
              <w:left w:val="single" w:sz="12" w:space="0" w:color="auto"/>
              <w:bottom w:val="single" w:sz="6" w:space="0" w:color="auto"/>
              <w:right w:val="single" w:sz="12" w:space="0" w:color="auto"/>
            </w:tcBorders>
            <w:vAlign w:val="center"/>
          </w:tcPr>
          <w:p w:rsidR="005A5CD3" w:rsidRPr="005A5CD3" w:rsidRDefault="005A5CD3" w:rsidP="005A5CD3">
            <w:pPr>
              <w:jc w:val="center"/>
              <w:rPr>
                <w:sz w:val="14"/>
                <w:szCs w:val="16"/>
              </w:rPr>
            </w:pPr>
            <w:r w:rsidRPr="005A5CD3">
              <w:rPr>
                <w:sz w:val="14"/>
                <w:szCs w:val="16"/>
              </w:rPr>
              <w:t>Sveikatos apsauga</w:t>
            </w:r>
          </w:p>
        </w:tc>
        <w:tc>
          <w:tcPr>
            <w:tcW w:w="793" w:type="dxa"/>
            <w:tcBorders>
              <w:top w:val="single" w:sz="6" w:space="0" w:color="auto"/>
              <w:left w:val="single" w:sz="12" w:space="0" w:color="auto"/>
              <w:bottom w:val="single" w:sz="6" w:space="0" w:color="auto"/>
              <w:right w:val="single" w:sz="6" w:space="0" w:color="auto"/>
            </w:tcBorders>
            <w:vAlign w:val="center"/>
          </w:tcPr>
          <w:p w:rsidR="005A5CD3" w:rsidRPr="005A5CD3" w:rsidRDefault="005A5CD3" w:rsidP="005A5CD3">
            <w:pPr>
              <w:jc w:val="center"/>
              <w:rPr>
                <w:sz w:val="14"/>
                <w:szCs w:val="16"/>
              </w:rPr>
            </w:pPr>
            <w:r w:rsidRPr="005A5CD3">
              <w:rPr>
                <w:sz w:val="14"/>
                <w:szCs w:val="16"/>
              </w:rPr>
              <w:t>1632151</w:t>
            </w:r>
          </w:p>
        </w:tc>
        <w:tc>
          <w:tcPr>
            <w:tcW w:w="509" w:type="dxa"/>
            <w:tcBorders>
              <w:top w:val="single" w:sz="6" w:space="0" w:color="auto"/>
              <w:left w:val="single" w:sz="6" w:space="0" w:color="auto"/>
              <w:bottom w:val="single" w:sz="6" w:space="0" w:color="auto"/>
              <w:right w:val="single" w:sz="6" w:space="0" w:color="auto"/>
            </w:tcBorders>
            <w:vAlign w:val="center"/>
          </w:tcPr>
          <w:p w:rsidR="005A5CD3" w:rsidRPr="005A5CD3" w:rsidRDefault="005A5CD3" w:rsidP="005A5CD3">
            <w:pPr>
              <w:jc w:val="center"/>
              <w:rPr>
                <w:sz w:val="14"/>
                <w:szCs w:val="16"/>
              </w:rPr>
            </w:pPr>
            <w:r w:rsidRPr="005A5CD3">
              <w:rPr>
                <w:sz w:val="14"/>
                <w:szCs w:val="16"/>
              </w:rPr>
              <w:t>6,6</w:t>
            </w:r>
          </w:p>
        </w:tc>
        <w:tc>
          <w:tcPr>
            <w:tcW w:w="849" w:type="dxa"/>
            <w:tcBorders>
              <w:top w:val="single" w:sz="6" w:space="0" w:color="auto"/>
              <w:left w:val="single" w:sz="6" w:space="0" w:color="auto"/>
              <w:bottom w:val="single" w:sz="6" w:space="0" w:color="auto"/>
              <w:right w:val="single" w:sz="6" w:space="0" w:color="auto"/>
            </w:tcBorders>
            <w:vAlign w:val="center"/>
          </w:tcPr>
          <w:p w:rsidR="005A5CD3" w:rsidRPr="005A5CD3" w:rsidRDefault="005A5CD3" w:rsidP="005A5CD3">
            <w:pPr>
              <w:jc w:val="center"/>
              <w:rPr>
                <w:sz w:val="14"/>
                <w:szCs w:val="16"/>
              </w:rPr>
            </w:pPr>
            <w:r w:rsidRPr="005A5CD3">
              <w:rPr>
                <w:sz w:val="14"/>
                <w:szCs w:val="16"/>
              </w:rPr>
              <w:t>72258,9</w:t>
            </w:r>
          </w:p>
        </w:tc>
        <w:tc>
          <w:tcPr>
            <w:tcW w:w="509" w:type="dxa"/>
            <w:tcBorders>
              <w:top w:val="single" w:sz="6" w:space="0" w:color="auto"/>
              <w:left w:val="single" w:sz="6" w:space="0" w:color="auto"/>
              <w:bottom w:val="single" w:sz="6" w:space="0" w:color="auto"/>
              <w:right w:val="single" w:sz="12" w:space="0" w:color="auto"/>
            </w:tcBorders>
            <w:vAlign w:val="center"/>
          </w:tcPr>
          <w:p w:rsidR="005A5CD3" w:rsidRPr="005A5CD3" w:rsidRDefault="005A5CD3" w:rsidP="005A5CD3">
            <w:pPr>
              <w:jc w:val="center"/>
              <w:rPr>
                <w:sz w:val="14"/>
                <w:szCs w:val="16"/>
              </w:rPr>
            </w:pPr>
            <w:r w:rsidRPr="005A5CD3">
              <w:rPr>
                <w:sz w:val="14"/>
                <w:szCs w:val="16"/>
              </w:rPr>
              <w:t>1</w:t>
            </w:r>
          </w:p>
        </w:tc>
        <w:tc>
          <w:tcPr>
            <w:tcW w:w="796" w:type="dxa"/>
            <w:tcBorders>
              <w:top w:val="single" w:sz="6" w:space="0" w:color="auto"/>
              <w:left w:val="single" w:sz="12" w:space="0" w:color="auto"/>
              <w:bottom w:val="single" w:sz="6" w:space="0" w:color="auto"/>
              <w:right w:val="single" w:sz="6" w:space="0" w:color="auto"/>
            </w:tcBorders>
            <w:vAlign w:val="center"/>
          </w:tcPr>
          <w:p w:rsidR="005A5CD3" w:rsidRPr="005A5CD3" w:rsidRDefault="005A5CD3" w:rsidP="005A5CD3">
            <w:pPr>
              <w:jc w:val="center"/>
              <w:rPr>
                <w:sz w:val="14"/>
                <w:szCs w:val="16"/>
              </w:rPr>
            </w:pPr>
            <w:r w:rsidRPr="005A5CD3">
              <w:rPr>
                <w:sz w:val="14"/>
                <w:szCs w:val="16"/>
              </w:rPr>
              <w:t>1903226</w:t>
            </w:r>
          </w:p>
        </w:tc>
        <w:tc>
          <w:tcPr>
            <w:tcW w:w="510" w:type="dxa"/>
            <w:tcBorders>
              <w:top w:val="single" w:sz="6" w:space="0" w:color="auto"/>
              <w:left w:val="single" w:sz="6" w:space="0" w:color="auto"/>
              <w:bottom w:val="single" w:sz="6" w:space="0" w:color="auto"/>
              <w:right w:val="single" w:sz="6" w:space="0" w:color="auto"/>
            </w:tcBorders>
            <w:vAlign w:val="center"/>
          </w:tcPr>
          <w:p w:rsidR="005A5CD3" w:rsidRPr="005A5CD3" w:rsidRDefault="005A5CD3" w:rsidP="005A5CD3">
            <w:pPr>
              <w:jc w:val="center"/>
              <w:rPr>
                <w:sz w:val="14"/>
                <w:szCs w:val="16"/>
              </w:rPr>
            </w:pPr>
            <w:r w:rsidRPr="005A5CD3">
              <w:rPr>
                <w:sz w:val="14"/>
                <w:szCs w:val="16"/>
              </w:rPr>
              <w:t>7,7</w:t>
            </w:r>
          </w:p>
        </w:tc>
        <w:tc>
          <w:tcPr>
            <w:tcW w:w="850" w:type="dxa"/>
            <w:tcBorders>
              <w:top w:val="single" w:sz="6" w:space="0" w:color="auto"/>
              <w:left w:val="single" w:sz="6" w:space="0" w:color="auto"/>
              <w:bottom w:val="single" w:sz="6" w:space="0" w:color="auto"/>
              <w:right w:val="single" w:sz="6" w:space="0" w:color="auto"/>
            </w:tcBorders>
            <w:vAlign w:val="center"/>
          </w:tcPr>
          <w:p w:rsidR="005A5CD3" w:rsidRPr="005A5CD3" w:rsidRDefault="005A5CD3" w:rsidP="005A5CD3">
            <w:pPr>
              <w:jc w:val="center"/>
              <w:rPr>
                <w:sz w:val="14"/>
                <w:szCs w:val="16"/>
              </w:rPr>
            </w:pPr>
            <w:r w:rsidRPr="005A5CD3">
              <w:rPr>
                <w:sz w:val="14"/>
                <w:szCs w:val="16"/>
              </w:rPr>
              <w:t>43828,9</w:t>
            </w:r>
          </w:p>
        </w:tc>
        <w:tc>
          <w:tcPr>
            <w:tcW w:w="474" w:type="dxa"/>
            <w:tcBorders>
              <w:top w:val="single" w:sz="6" w:space="0" w:color="auto"/>
              <w:left w:val="single" w:sz="6" w:space="0" w:color="auto"/>
              <w:bottom w:val="single" w:sz="6" w:space="0" w:color="auto"/>
              <w:right w:val="single" w:sz="12" w:space="0" w:color="auto"/>
            </w:tcBorders>
            <w:vAlign w:val="center"/>
          </w:tcPr>
          <w:p w:rsidR="005A5CD3" w:rsidRPr="005A5CD3" w:rsidRDefault="005A5CD3" w:rsidP="005A5CD3">
            <w:pPr>
              <w:jc w:val="center"/>
              <w:rPr>
                <w:sz w:val="14"/>
                <w:szCs w:val="16"/>
              </w:rPr>
            </w:pPr>
            <w:r w:rsidRPr="005A5CD3">
              <w:rPr>
                <w:sz w:val="14"/>
                <w:szCs w:val="16"/>
              </w:rPr>
              <w:t>0,6</w:t>
            </w:r>
          </w:p>
        </w:tc>
        <w:tc>
          <w:tcPr>
            <w:tcW w:w="794" w:type="dxa"/>
            <w:gridSpan w:val="2"/>
            <w:tcBorders>
              <w:top w:val="single" w:sz="6" w:space="0" w:color="auto"/>
              <w:left w:val="single" w:sz="12" w:space="0" w:color="auto"/>
              <w:bottom w:val="single" w:sz="6" w:space="0" w:color="auto"/>
              <w:right w:val="single" w:sz="6" w:space="0" w:color="auto"/>
            </w:tcBorders>
            <w:vAlign w:val="center"/>
          </w:tcPr>
          <w:p w:rsidR="005A5CD3" w:rsidRPr="005A5CD3" w:rsidRDefault="005A5CD3" w:rsidP="005A5CD3">
            <w:pPr>
              <w:jc w:val="center"/>
              <w:rPr>
                <w:sz w:val="14"/>
                <w:szCs w:val="16"/>
              </w:rPr>
            </w:pPr>
            <w:r w:rsidRPr="005A5CD3">
              <w:rPr>
                <w:sz w:val="14"/>
                <w:szCs w:val="16"/>
              </w:rPr>
              <w:t>2288828</w:t>
            </w:r>
          </w:p>
        </w:tc>
        <w:tc>
          <w:tcPr>
            <w:tcW w:w="474" w:type="dxa"/>
            <w:tcBorders>
              <w:top w:val="single" w:sz="6" w:space="0" w:color="auto"/>
              <w:left w:val="single" w:sz="6" w:space="0" w:color="auto"/>
              <w:bottom w:val="single" w:sz="6" w:space="0" w:color="auto"/>
              <w:right w:val="single" w:sz="6" w:space="0" w:color="auto"/>
            </w:tcBorders>
            <w:vAlign w:val="center"/>
          </w:tcPr>
          <w:p w:rsidR="005A5CD3" w:rsidRPr="005A5CD3" w:rsidRDefault="005A5CD3" w:rsidP="005A5CD3">
            <w:pPr>
              <w:jc w:val="center"/>
              <w:rPr>
                <w:sz w:val="14"/>
                <w:szCs w:val="16"/>
              </w:rPr>
            </w:pPr>
            <w:r w:rsidRPr="005A5CD3">
              <w:rPr>
                <w:sz w:val="14"/>
                <w:szCs w:val="16"/>
              </w:rPr>
              <w:t>9,3</w:t>
            </w:r>
          </w:p>
        </w:tc>
        <w:tc>
          <w:tcPr>
            <w:tcW w:w="850" w:type="dxa"/>
            <w:tcBorders>
              <w:top w:val="single" w:sz="6" w:space="0" w:color="auto"/>
              <w:left w:val="single" w:sz="6" w:space="0" w:color="auto"/>
              <w:bottom w:val="single" w:sz="6" w:space="0" w:color="auto"/>
              <w:right w:val="single" w:sz="6" w:space="0" w:color="auto"/>
            </w:tcBorders>
            <w:vAlign w:val="center"/>
          </w:tcPr>
          <w:p w:rsidR="005A5CD3" w:rsidRPr="005A5CD3" w:rsidRDefault="005A5CD3" w:rsidP="005A5CD3">
            <w:pPr>
              <w:jc w:val="center"/>
              <w:rPr>
                <w:sz w:val="14"/>
                <w:szCs w:val="16"/>
              </w:rPr>
            </w:pPr>
            <w:r w:rsidRPr="005A5CD3">
              <w:rPr>
                <w:sz w:val="14"/>
                <w:szCs w:val="16"/>
              </w:rPr>
              <w:t>31163,4</w:t>
            </w:r>
          </w:p>
        </w:tc>
        <w:tc>
          <w:tcPr>
            <w:tcW w:w="479" w:type="dxa"/>
            <w:tcBorders>
              <w:top w:val="single" w:sz="6" w:space="0" w:color="auto"/>
              <w:left w:val="single" w:sz="6" w:space="0" w:color="auto"/>
              <w:bottom w:val="single" w:sz="6" w:space="0" w:color="auto"/>
              <w:right w:val="single" w:sz="12" w:space="0" w:color="auto"/>
            </w:tcBorders>
            <w:vAlign w:val="center"/>
          </w:tcPr>
          <w:p w:rsidR="005A5CD3" w:rsidRPr="005A5CD3" w:rsidRDefault="005A5CD3" w:rsidP="005A5CD3">
            <w:pPr>
              <w:jc w:val="center"/>
              <w:rPr>
                <w:sz w:val="14"/>
                <w:szCs w:val="16"/>
              </w:rPr>
            </w:pPr>
            <w:r w:rsidRPr="005A5CD3">
              <w:rPr>
                <w:sz w:val="14"/>
                <w:szCs w:val="16"/>
              </w:rPr>
              <w:t>0,5</w:t>
            </w:r>
          </w:p>
        </w:tc>
        <w:tc>
          <w:tcPr>
            <w:tcW w:w="794" w:type="dxa"/>
            <w:tcBorders>
              <w:top w:val="single" w:sz="6" w:space="0" w:color="auto"/>
              <w:left w:val="single" w:sz="12" w:space="0" w:color="auto"/>
              <w:bottom w:val="single" w:sz="6" w:space="0" w:color="auto"/>
              <w:right w:val="single" w:sz="6" w:space="0" w:color="auto"/>
            </w:tcBorders>
            <w:vAlign w:val="center"/>
          </w:tcPr>
          <w:p w:rsidR="005A5CD3" w:rsidRPr="005A5CD3" w:rsidRDefault="005A5CD3" w:rsidP="005A5CD3">
            <w:pPr>
              <w:jc w:val="center"/>
              <w:rPr>
                <w:sz w:val="14"/>
                <w:szCs w:val="16"/>
              </w:rPr>
            </w:pPr>
            <w:r w:rsidRPr="005A5CD3">
              <w:rPr>
                <w:sz w:val="14"/>
                <w:szCs w:val="16"/>
              </w:rPr>
              <w:t>2194361</w:t>
            </w:r>
          </w:p>
        </w:tc>
        <w:tc>
          <w:tcPr>
            <w:tcW w:w="474" w:type="dxa"/>
            <w:tcBorders>
              <w:top w:val="single" w:sz="6" w:space="0" w:color="auto"/>
              <w:left w:val="single" w:sz="6" w:space="0" w:color="auto"/>
              <w:bottom w:val="single" w:sz="6" w:space="0" w:color="auto"/>
              <w:right w:val="single" w:sz="6" w:space="0" w:color="auto"/>
            </w:tcBorders>
            <w:vAlign w:val="center"/>
          </w:tcPr>
          <w:p w:rsidR="005A5CD3" w:rsidRPr="005A5CD3" w:rsidRDefault="005A5CD3" w:rsidP="005A5CD3">
            <w:pPr>
              <w:jc w:val="center"/>
              <w:rPr>
                <w:sz w:val="14"/>
                <w:szCs w:val="16"/>
              </w:rPr>
            </w:pPr>
            <w:r w:rsidRPr="005A5CD3">
              <w:rPr>
                <w:sz w:val="14"/>
                <w:szCs w:val="16"/>
              </w:rPr>
              <w:t>8,7</w:t>
            </w:r>
          </w:p>
        </w:tc>
        <w:tc>
          <w:tcPr>
            <w:tcW w:w="850" w:type="dxa"/>
            <w:tcBorders>
              <w:top w:val="single" w:sz="6" w:space="0" w:color="auto"/>
              <w:left w:val="single" w:sz="6" w:space="0" w:color="auto"/>
              <w:bottom w:val="single" w:sz="6" w:space="0" w:color="auto"/>
              <w:right w:val="single" w:sz="6" w:space="0" w:color="auto"/>
            </w:tcBorders>
            <w:vAlign w:val="center"/>
          </w:tcPr>
          <w:p w:rsidR="005A5CD3" w:rsidRPr="005A5CD3" w:rsidRDefault="005A5CD3" w:rsidP="005A5CD3">
            <w:pPr>
              <w:jc w:val="center"/>
              <w:rPr>
                <w:sz w:val="14"/>
                <w:szCs w:val="16"/>
              </w:rPr>
            </w:pPr>
            <w:r w:rsidRPr="005A5CD3">
              <w:rPr>
                <w:sz w:val="14"/>
                <w:szCs w:val="16"/>
              </w:rPr>
              <w:t>49047,3</w:t>
            </w:r>
          </w:p>
        </w:tc>
        <w:tc>
          <w:tcPr>
            <w:tcW w:w="474" w:type="dxa"/>
            <w:tcBorders>
              <w:top w:val="single" w:sz="6" w:space="0" w:color="auto"/>
              <w:left w:val="single" w:sz="6" w:space="0" w:color="auto"/>
              <w:bottom w:val="single" w:sz="6" w:space="0" w:color="auto"/>
              <w:right w:val="single" w:sz="12" w:space="0" w:color="auto"/>
            </w:tcBorders>
            <w:vAlign w:val="center"/>
          </w:tcPr>
          <w:p w:rsidR="005A5CD3" w:rsidRPr="005A5CD3" w:rsidRDefault="005A5CD3" w:rsidP="005A5CD3">
            <w:pPr>
              <w:jc w:val="center"/>
              <w:rPr>
                <w:sz w:val="14"/>
                <w:szCs w:val="16"/>
              </w:rPr>
            </w:pPr>
            <w:r w:rsidRPr="005A5CD3">
              <w:rPr>
                <w:sz w:val="14"/>
                <w:szCs w:val="16"/>
              </w:rPr>
              <w:t>0,7</w:t>
            </w:r>
          </w:p>
        </w:tc>
        <w:tc>
          <w:tcPr>
            <w:tcW w:w="794" w:type="dxa"/>
            <w:gridSpan w:val="2"/>
            <w:tcBorders>
              <w:top w:val="single" w:sz="6" w:space="0" w:color="auto"/>
              <w:left w:val="single" w:sz="12" w:space="0" w:color="auto"/>
              <w:bottom w:val="single" w:sz="6" w:space="0" w:color="auto"/>
              <w:right w:val="single" w:sz="6" w:space="0" w:color="auto"/>
            </w:tcBorders>
            <w:vAlign w:val="center"/>
          </w:tcPr>
          <w:p w:rsidR="005A5CD3" w:rsidRPr="005A5CD3" w:rsidRDefault="005A5CD3" w:rsidP="005A5CD3">
            <w:pPr>
              <w:jc w:val="center"/>
              <w:rPr>
                <w:sz w:val="14"/>
                <w:szCs w:val="16"/>
              </w:rPr>
            </w:pPr>
            <w:r w:rsidRPr="005A5CD3">
              <w:rPr>
                <w:sz w:val="14"/>
                <w:szCs w:val="16"/>
              </w:rPr>
              <w:t>1878344</w:t>
            </w:r>
          </w:p>
        </w:tc>
        <w:tc>
          <w:tcPr>
            <w:tcW w:w="474" w:type="dxa"/>
            <w:gridSpan w:val="2"/>
            <w:tcBorders>
              <w:top w:val="single" w:sz="6" w:space="0" w:color="auto"/>
              <w:left w:val="single" w:sz="6" w:space="0" w:color="auto"/>
              <w:bottom w:val="single" w:sz="6" w:space="0" w:color="auto"/>
              <w:right w:val="single" w:sz="6" w:space="0" w:color="auto"/>
            </w:tcBorders>
            <w:vAlign w:val="center"/>
          </w:tcPr>
          <w:p w:rsidR="005A5CD3" w:rsidRPr="005A5CD3" w:rsidRDefault="005A5CD3" w:rsidP="005A5CD3">
            <w:pPr>
              <w:jc w:val="center"/>
              <w:rPr>
                <w:sz w:val="14"/>
                <w:szCs w:val="16"/>
              </w:rPr>
            </w:pPr>
            <w:r w:rsidRPr="005A5CD3">
              <w:rPr>
                <w:sz w:val="14"/>
                <w:szCs w:val="16"/>
              </w:rPr>
              <w:t>7,7</w:t>
            </w:r>
          </w:p>
        </w:tc>
        <w:tc>
          <w:tcPr>
            <w:tcW w:w="907" w:type="dxa"/>
            <w:gridSpan w:val="2"/>
            <w:tcBorders>
              <w:top w:val="single" w:sz="6" w:space="0" w:color="auto"/>
              <w:left w:val="single" w:sz="6" w:space="0" w:color="auto"/>
              <w:bottom w:val="single" w:sz="6" w:space="0" w:color="auto"/>
              <w:right w:val="single" w:sz="6" w:space="0" w:color="auto"/>
            </w:tcBorders>
            <w:vAlign w:val="center"/>
          </w:tcPr>
          <w:p w:rsidR="005A5CD3" w:rsidRPr="005A5CD3" w:rsidRDefault="005A5CD3" w:rsidP="005A5CD3">
            <w:pPr>
              <w:jc w:val="center"/>
              <w:rPr>
                <w:sz w:val="14"/>
                <w:szCs w:val="16"/>
              </w:rPr>
            </w:pPr>
            <w:r w:rsidRPr="005A5CD3">
              <w:rPr>
                <w:sz w:val="14"/>
                <w:szCs w:val="16"/>
              </w:rPr>
              <w:t>59354</w:t>
            </w:r>
          </w:p>
        </w:tc>
        <w:tc>
          <w:tcPr>
            <w:tcW w:w="476" w:type="dxa"/>
            <w:gridSpan w:val="2"/>
            <w:tcBorders>
              <w:top w:val="single" w:sz="6" w:space="0" w:color="auto"/>
              <w:left w:val="single" w:sz="6" w:space="0" w:color="auto"/>
              <w:bottom w:val="single" w:sz="6" w:space="0" w:color="auto"/>
              <w:right w:val="single" w:sz="12" w:space="0" w:color="auto"/>
            </w:tcBorders>
            <w:vAlign w:val="center"/>
          </w:tcPr>
          <w:p w:rsidR="005A5CD3" w:rsidRPr="005A5CD3" w:rsidRDefault="005A5CD3" w:rsidP="005A5CD3">
            <w:pPr>
              <w:jc w:val="center"/>
              <w:rPr>
                <w:sz w:val="14"/>
                <w:szCs w:val="16"/>
              </w:rPr>
            </w:pPr>
            <w:r w:rsidRPr="005A5CD3">
              <w:rPr>
                <w:sz w:val="14"/>
                <w:szCs w:val="16"/>
              </w:rPr>
              <w:t>0,8</w:t>
            </w:r>
          </w:p>
        </w:tc>
      </w:tr>
      <w:tr w:rsidR="005A5CD3" w:rsidRPr="005A5CD3" w:rsidTr="00737B66">
        <w:trPr>
          <w:gridAfter w:val="1"/>
          <w:wAfter w:w="14" w:type="dxa"/>
        </w:trPr>
        <w:tc>
          <w:tcPr>
            <w:tcW w:w="956" w:type="dxa"/>
            <w:tcBorders>
              <w:top w:val="single" w:sz="6" w:space="0" w:color="auto"/>
              <w:left w:val="single" w:sz="12" w:space="0" w:color="auto"/>
              <w:bottom w:val="single" w:sz="6" w:space="0" w:color="auto"/>
              <w:right w:val="single" w:sz="12" w:space="0" w:color="auto"/>
            </w:tcBorders>
            <w:vAlign w:val="center"/>
          </w:tcPr>
          <w:p w:rsidR="005A5CD3" w:rsidRPr="005A5CD3" w:rsidRDefault="005A5CD3" w:rsidP="005A5CD3">
            <w:pPr>
              <w:jc w:val="center"/>
              <w:rPr>
                <w:sz w:val="14"/>
                <w:szCs w:val="16"/>
              </w:rPr>
            </w:pPr>
            <w:r w:rsidRPr="005A5CD3">
              <w:rPr>
                <w:sz w:val="14"/>
                <w:szCs w:val="16"/>
              </w:rPr>
              <w:t>Poilsis, kultūra ir religija</w:t>
            </w:r>
          </w:p>
        </w:tc>
        <w:tc>
          <w:tcPr>
            <w:tcW w:w="793" w:type="dxa"/>
            <w:tcBorders>
              <w:top w:val="single" w:sz="6" w:space="0" w:color="auto"/>
              <w:left w:val="single" w:sz="12" w:space="0" w:color="auto"/>
              <w:bottom w:val="single" w:sz="6" w:space="0" w:color="auto"/>
              <w:right w:val="single" w:sz="6" w:space="0" w:color="auto"/>
            </w:tcBorders>
            <w:vAlign w:val="center"/>
          </w:tcPr>
          <w:p w:rsidR="005A5CD3" w:rsidRPr="005A5CD3" w:rsidRDefault="005A5CD3" w:rsidP="005A5CD3">
            <w:pPr>
              <w:jc w:val="center"/>
              <w:rPr>
                <w:sz w:val="14"/>
                <w:szCs w:val="16"/>
              </w:rPr>
            </w:pPr>
            <w:r w:rsidRPr="005A5CD3">
              <w:rPr>
                <w:sz w:val="14"/>
                <w:szCs w:val="16"/>
              </w:rPr>
              <w:t>729680</w:t>
            </w:r>
          </w:p>
        </w:tc>
        <w:tc>
          <w:tcPr>
            <w:tcW w:w="509" w:type="dxa"/>
            <w:tcBorders>
              <w:top w:val="single" w:sz="6" w:space="0" w:color="auto"/>
              <w:left w:val="single" w:sz="6" w:space="0" w:color="auto"/>
              <w:bottom w:val="single" w:sz="6" w:space="0" w:color="auto"/>
              <w:right w:val="single" w:sz="6" w:space="0" w:color="auto"/>
            </w:tcBorders>
            <w:vAlign w:val="center"/>
          </w:tcPr>
          <w:p w:rsidR="005A5CD3" w:rsidRPr="005A5CD3" w:rsidRDefault="005A5CD3" w:rsidP="005A5CD3">
            <w:pPr>
              <w:jc w:val="center"/>
              <w:rPr>
                <w:sz w:val="14"/>
                <w:szCs w:val="16"/>
              </w:rPr>
            </w:pPr>
            <w:r w:rsidRPr="005A5CD3">
              <w:rPr>
                <w:sz w:val="14"/>
                <w:szCs w:val="16"/>
              </w:rPr>
              <w:t>3</w:t>
            </w:r>
          </w:p>
        </w:tc>
        <w:tc>
          <w:tcPr>
            <w:tcW w:w="849" w:type="dxa"/>
            <w:tcBorders>
              <w:top w:val="single" w:sz="6" w:space="0" w:color="auto"/>
              <w:left w:val="single" w:sz="6" w:space="0" w:color="auto"/>
              <w:bottom w:val="single" w:sz="6" w:space="0" w:color="auto"/>
              <w:right w:val="single" w:sz="6" w:space="0" w:color="auto"/>
            </w:tcBorders>
            <w:vAlign w:val="center"/>
          </w:tcPr>
          <w:p w:rsidR="005A5CD3" w:rsidRPr="005A5CD3" w:rsidRDefault="005A5CD3" w:rsidP="005A5CD3">
            <w:pPr>
              <w:jc w:val="center"/>
              <w:rPr>
                <w:sz w:val="14"/>
                <w:szCs w:val="16"/>
              </w:rPr>
            </w:pPr>
            <w:r w:rsidRPr="005A5CD3">
              <w:rPr>
                <w:sz w:val="14"/>
                <w:szCs w:val="16"/>
              </w:rPr>
              <w:t>496101,2</w:t>
            </w:r>
          </w:p>
        </w:tc>
        <w:tc>
          <w:tcPr>
            <w:tcW w:w="509" w:type="dxa"/>
            <w:tcBorders>
              <w:top w:val="single" w:sz="6" w:space="0" w:color="auto"/>
              <w:left w:val="single" w:sz="6" w:space="0" w:color="auto"/>
              <w:bottom w:val="single" w:sz="6" w:space="0" w:color="auto"/>
              <w:right w:val="single" w:sz="12" w:space="0" w:color="auto"/>
            </w:tcBorders>
            <w:vAlign w:val="center"/>
          </w:tcPr>
          <w:p w:rsidR="005A5CD3" w:rsidRPr="005A5CD3" w:rsidRDefault="005A5CD3" w:rsidP="005A5CD3">
            <w:pPr>
              <w:jc w:val="center"/>
              <w:rPr>
                <w:sz w:val="14"/>
                <w:szCs w:val="16"/>
              </w:rPr>
            </w:pPr>
            <w:r w:rsidRPr="005A5CD3">
              <w:rPr>
                <w:sz w:val="14"/>
                <w:szCs w:val="16"/>
              </w:rPr>
              <w:t>7</w:t>
            </w:r>
          </w:p>
        </w:tc>
        <w:tc>
          <w:tcPr>
            <w:tcW w:w="796" w:type="dxa"/>
            <w:tcBorders>
              <w:top w:val="single" w:sz="6" w:space="0" w:color="auto"/>
              <w:left w:val="single" w:sz="12" w:space="0" w:color="auto"/>
              <w:bottom w:val="single" w:sz="6" w:space="0" w:color="auto"/>
              <w:right w:val="single" w:sz="6" w:space="0" w:color="auto"/>
            </w:tcBorders>
            <w:vAlign w:val="center"/>
          </w:tcPr>
          <w:p w:rsidR="005A5CD3" w:rsidRPr="005A5CD3" w:rsidRDefault="005A5CD3" w:rsidP="005A5CD3">
            <w:pPr>
              <w:jc w:val="center"/>
              <w:rPr>
                <w:sz w:val="14"/>
                <w:szCs w:val="16"/>
              </w:rPr>
            </w:pPr>
            <w:r w:rsidRPr="005A5CD3">
              <w:rPr>
                <w:sz w:val="14"/>
                <w:szCs w:val="16"/>
              </w:rPr>
              <w:t>584706</w:t>
            </w:r>
          </w:p>
        </w:tc>
        <w:tc>
          <w:tcPr>
            <w:tcW w:w="510" w:type="dxa"/>
            <w:tcBorders>
              <w:top w:val="single" w:sz="6" w:space="0" w:color="auto"/>
              <w:left w:val="single" w:sz="6" w:space="0" w:color="auto"/>
              <w:bottom w:val="single" w:sz="6" w:space="0" w:color="auto"/>
              <w:right w:val="single" w:sz="6" w:space="0" w:color="auto"/>
            </w:tcBorders>
            <w:vAlign w:val="center"/>
          </w:tcPr>
          <w:p w:rsidR="005A5CD3" w:rsidRPr="005A5CD3" w:rsidRDefault="005A5CD3" w:rsidP="005A5CD3">
            <w:pPr>
              <w:jc w:val="center"/>
              <w:rPr>
                <w:sz w:val="14"/>
                <w:szCs w:val="16"/>
              </w:rPr>
            </w:pPr>
            <w:r w:rsidRPr="005A5CD3">
              <w:rPr>
                <w:sz w:val="14"/>
                <w:szCs w:val="16"/>
              </w:rPr>
              <w:t>2,4</w:t>
            </w:r>
          </w:p>
        </w:tc>
        <w:tc>
          <w:tcPr>
            <w:tcW w:w="850" w:type="dxa"/>
            <w:tcBorders>
              <w:top w:val="single" w:sz="6" w:space="0" w:color="auto"/>
              <w:left w:val="single" w:sz="6" w:space="0" w:color="auto"/>
              <w:bottom w:val="single" w:sz="6" w:space="0" w:color="auto"/>
              <w:right w:val="single" w:sz="6" w:space="0" w:color="auto"/>
            </w:tcBorders>
            <w:vAlign w:val="center"/>
          </w:tcPr>
          <w:p w:rsidR="005A5CD3" w:rsidRPr="005A5CD3" w:rsidRDefault="005A5CD3" w:rsidP="005A5CD3">
            <w:pPr>
              <w:jc w:val="center"/>
              <w:rPr>
                <w:sz w:val="14"/>
                <w:szCs w:val="16"/>
              </w:rPr>
            </w:pPr>
            <w:r w:rsidRPr="005A5CD3">
              <w:rPr>
                <w:sz w:val="14"/>
                <w:szCs w:val="16"/>
              </w:rPr>
              <w:t>448015,8</w:t>
            </w:r>
          </w:p>
        </w:tc>
        <w:tc>
          <w:tcPr>
            <w:tcW w:w="474" w:type="dxa"/>
            <w:tcBorders>
              <w:top w:val="single" w:sz="6" w:space="0" w:color="auto"/>
              <w:left w:val="single" w:sz="6" w:space="0" w:color="auto"/>
              <w:bottom w:val="single" w:sz="6" w:space="0" w:color="auto"/>
              <w:right w:val="single" w:sz="12" w:space="0" w:color="auto"/>
            </w:tcBorders>
            <w:vAlign w:val="center"/>
          </w:tcPr>
          <w:p w:rsidR="005A5CD3" w:rsidRPr="005A5CD3" w:rsidRDefault="005A5CD3" w:rsidP="005A5CD3">
            <w:pPr>
              <w:jc w:val="center"/>
              <w:rPr>
                <w:sz w:val="14"/>
                <w:szCs w:val="16"/>
              </w:rPr>
            </w:pPr>
            <w:r w:rsidRPr="005A5CD3">
              <w:rPr>
                <w:sz w:val="14"/>
                <w:szCs w:val="16"/>
              </w:rPr>
              <w:t>6,5</w:t>
            </w:r>
          </w:p>
        </w:tc>
        <w:tc>
          <w:tcPr>
            <w:tcW w:w="794" w:type="dxa"/>
            <w:gridSpan w:val="2"/>
            <w:tcBorders>
              <w:top w:val="single" w:sz="6" w:space="0" w:color="auto"/>
              <w:left w:val="single" w:sz="12" w:space="0" w:color="auto"/>
              <w:bottom w:val="single" w:sz="6" w:space="0" w:color="auto"/>
              <w:right w:val="single" w:sz="6" w:space="0" w:color="auto"/>
            </w:tcBorders>
            <w:vAlign w:val="center"/>
          </w:tcPr>
          <w:p w:rsidR="005A5CD3" w:rsidRPr="005A5CD3" w:rsidRDefault="005A5CD3" w:rsidP="005A5CD3">
            <w:pPr>
              <w:jc w:val="center"/>
              <w:rPr>
                <w:sz w:val="14"/>
                <w:szCs w:val="16"/>
              </w:rPr>
            </w:pPr>
            <w:r w:rsidRPr="005A5CD3">
              <w:rPr>
                <w:sz w:val="14"/>
                <w:szCs w:val="16"/>
              </w:rPr>
              <w:t>525574</w:t>
            </w:r>
          </w:p>
        </w:tc>
        <w:tc>
          <w:tcPr>
            <w:tcW w:w="474" w:type="dxa"/>
            <w:tcBorders>
              <w:top w:val="single" w:sz="6" w:space="0" w:color="auto"/>
              <w:left w:val="single" w:sz="6" w:space="0" w:color="auto"/>
              <w:bottom w:val="single" w:sz="6" w:space="0" w:color="auto"/>
              <w:right w:val="single" w:sz="6" w:space="0" w:color="auto"/>
            </w:tcBorders>
            <w:vAlign w:val="center"/>
          </w:tcPr>
          <w:p w:rsidR="005A5CD3" w:rsidRPr="005A5CD3" w:rsidRDefault="005A5CD3" w:rsidP="005A5CD3">
            <w:pPr>
              <w:jc w:val="center"/>
              <w:rPr>
                <w:sz w:val="14"/>
                <w:szCs w:val="16"/>
              </w:rPr>
            </w:pPr>
            <w:r w:rsidRPr="005A5CD3">
              <w:rPr>
                <w:sz w:val="14"/>
                <w:szCs w:val="16"/>
              </w:rPr>
              <w:t>2,1</w:t>
            </w:r>
          </w:p>
        </w:tc>
        <w:tc>
          <w:tcPr>
            <w:tcW w:w="850" w:type="dxa"/>
            <w:tcBorders>
              <w:top w:val="single" w:sz="6" w:space="0" w:color="auto"/>
              <w:left w:val="single" w:sz="6" w:space="0" w:color="auto"/>
              <w:bottom w:val="single" w:sz="6" w:space="0" w:color="auto"/>
              <w:right w:val="single" w:sz="6" w:space="0" w:color="auto"/>
            </w:tcBorders>
            <w:vAlign w:val="center"/>
          </w:tcPr>
          <w:p w:rsidR="005A5CD3" w:rsidRPr="005A5CD3" w:rsidRDefault="005A5CD3" w:rsidP="005A5CD3">
            <w:pPr>
              <w:jc w:val="center"/>
              <w:rPr>
                <w:sz w:val="14"/>
                <w:szCs w:val="16"/>
              </w:rPr>
            </w:pPr>
            <w:r w:rsidRPr="005A5CD3">
              <w:rPr>
                <w:sz w:val="14"/>
                <w:szCs w:val="16"/>
              </w:rPr>
              <w:t>325895,8</w:t>
            </w:r>
          </w:p>
        </w:tc>
        <w:tc>
          <w:tcPr>
            <w:tcW w:w="479" w:type="dxa"/>
            <w:tcBorders>
              <w:top w:val="single" w:sz="6" w:space="0" w:color="auto"/>
              <w:left w:val="single" w:sz="6" w:space="0" w:color="auto"/>
              <w:bottom w:val="single" w:sz="6" w:space="0" w:color="auto"/>
              <w:right w:val="single" w:sz="12" w:space="0" w:color="auto"/>
            </w:tcBorders>
            <w:vAlign w:val="center"/>
          </w:tcPr>
          <w:p w:rsidR="005A5CD3" w:rsidRPr="005A5CD3" w:rsidRDefault="005A5CD3" w:rsidP="005A5CD3">
            <w:pPr>
              <w:jc w:val="center"/>
              <w:rPr>
                <w:sz w:val="14"/>
                <w:szCs w:val="16"/>
              </w:rPr>
            </w:pPr>
            <w:r w:rsidRPr="005A5CD3">
              <w:rPr>
                <w:sz w:val="14"/>
                <w:szCs w:val="16"/>
              </w:rPr>
              <w:t>4,8</w:t>
            </w:r>
          </w:p>
        </w:tc>
        <w:tc>
          <w:tcPr>
            <w:tcW w:w="794" w:type="dxa"/>
            <w:tcBorders>
              <w:top w:val="single" w:sz="6" w:space="0" w:color="auto"/>
              <w:left w:val="single" w:sz="12" w:space="0" w:color="auto"/>
              <w:bottom w:val="single" w:sz="6" w:space="0" w:color="auto"/>
              <w:right w:val="single" w:sz="6" w:space="0" w:color="auto"/>
            </w:tcBorders>
            <w:vAlign w:val="center"/>
          </w:tcPr>
          <w:p w:rsidR="005A5CD3" w:rsidRPr="005A5CD3" w:rsidRDefault="005A5CD3" w:rsidP="005A5CD3">
            <w:pPr>
              <w:jc w:val="center"/>
              <w:rPr>
                <w:sz w:val="14"/>
                <w:szCs w:val="16"/>
              </w:rPr>
            </w:pPr>
            <w:r w:rsidRPr="005A5CD3">
              <w:rPr>
                <w:sz w:val="14"/>
                <w:szCs w:val="16"/>
              </w:rPr>
              <w:t>568738</w:t>
            </w:r>
          </w:p>
        </w:tc>
        <w:tc>
          <w:tcPr>
            <w:tcW w:w="474" w:type="dxa"/>
            <w:tcBorders>
              <w:top w:val="single" w:sz="6" w:space="0" w:color="auto"/>
              <w:left w:val="single" w:sz="6" w:space="0" w:color="auto"/>
              <w:bottom w:val="single" w:sz="6" w:space="0" w:color="auto"/>
              <w:right w:val="single" w:sz="6" w:space="0" w:color="auto"/>
            </w:tcBorders>
            <w:vAlign w:val="center"/>
          </w:tcPr>
          <w:p w:rsidR="005A5CD3" w:rsidRPr="005A5CD3" w:rsidRDefault="005A5CD3" w:rsidP="005A5CD3">
            <w:pPr>
              <w:jc w:val="center"/>
              <w:rPr>
                <w:sz w:val="14"/>
                <w:szCs w:val="16"/>
              </w:rPr>
            </w:pPr>
            <w:r w:rsidRPr="005A5CD3">
              <w:rPr>
                <w:sz w:val="14"/>
                <w:szCs w:val="16"/>
              </w:rPr>
              <w:t>2,3</w:t>
            </w:r>
          </w:p>
        </w:tc>
        <w:tc>
          <w:tcPr>
            <w:tcW w:w="850" w:type="dxa"/>
            <w:tcBorders>
              <w:top w:val="single" w:sz="6" w:space="0" w:color="auto"/>
              <w:left w:val="single" w:sz="6" w:space="0" w:color="auto"/>
              <w:bottom w:val="single" w:sz="6" w:space="0" w:color="auto"/>
              <w:right w:val="single" w:sz="6" w:space="0" w:color="auto"/>
            </w:tcBorders>
            <w:vAlign w:val="center"/>
          </w:tcPr>
          <w:p w:rsidR="005A5CD3" w:rsidRPr="005A5CD3" w:rsidRDefault="005A5CD3" w:rsidP="005A5CD3">
            <w:pPr>
              <w:jc w:val="center"/>
              <w:rPr>
                <w:sz w:val="14"/>
                <w:szCs w:val="16"/>
              </w:rPr>
            </w:pPr>
            <w:r w:rsidRPr="005A5CD3">
              <w:rPr>
                <w:sz w:val="14"/>
                <w:szCs w:val="16"/>
              </w:rPr>
              <w:t>435695</w:t>
            </w:r>
          </w:p>
        </w:tc>
        <w:tc>
          <w:tcPr>
            <w:tcW w:w="474" w:type="dxa"/>
            <w:tcBorders>
              <w:top w:val="single" w:sz="6" w:space="0" w:color="auto"/>
              <w:left w:val="single" w:sz="6" w:space="0" w:color="auto"/>
              <w:bottom w:val="single" w:sz="6" w:space="0" w:color="auto"/>
              <w:right w:val="single" w:sz="12" w:space="0" w:color="auto"/>
            </w:tcBorders>
            <w:vAlign w:val="center"/>
          </w:tcPr>
          <w:p w:rsidR="005A5CD3" w:rsidRPr="005A5CD3" w:rsidRDefault="005A5CD3" w:rsidP="005A5CD3">
            <w:pPr>
              <w:jc w:val="center"/>
              <w:rPr>
                <w:sz w:val="14"/>
                <w:szCs w:val="16"/>
              </w:rPr>
            </w:pPr>
            <w:r w:rsidRPr="005A5CD3">
              <w:rPr>
                <w:sz w:val="14"/>
                <w:szCs w:val="16"/>
              </w:rPr>
              <w:t>5,9</w:t>
            </w:r>
          </w:p>
        </w:tc>
        <w:tc>
          <w:tcPr>
            <w:tcW w:w="794" w:type="dxa"/>
            <w:gridSpan w:val="2"/>
            <w:tcBorders>
              <w:top w:val="single" w:sz="6" w:space="0" w:color="auto"/>
              <w:left w:val="single" w:sz="12" w:space="0" w:color="auto"/>
              <w:bottom w:val="single" w:sz="6" w:space="0" w:color="auto"/>
              <w:right w:val="single" w:sz="6" w:space="0" w:color="auto"/>
            </w:tcBorders>
            <w:vAlign w:val="center"/>
          </w:tcPr>
          <w:p w:rsidR="005A5CD3" w:rsidRPr="005A5CD3" w:rsidRDefault="005A5CD3" w:rsidP="005A5CD3">
            <w:pPr>
              <w:jc w:val="center"/>
              <w:rPr>
                <w:sz w:val="14"/>
                <w:szCs w:val="16"/>
              </w:rPr>
            </w:pPr>
            <w:r w:rsidRPr="005A5CD3">
              <w:rPr>
                <w:sz w:val="14"/>
                <w:szCs w:val="16"/>
              </w:rPr>
              <w:t>552014</w:t>
            </w:r>
          </w:p>
        </w:tc>
        <w:tc>
          <w:tcPr>
            <w:tcW w:w="474" w:type="dxa"/>
            <w:gridSpan w:val="2"/>
            <w:tcBorders>
              <w:top w:val="single" w:sz="6" w:space="0" w:color="auto"/>
              <w:left w:val="single" w:sz="6" w:space="0" w:color="auto"/>
              <w:bottom w:val="single" w:sz="6" w:space="0" w:color="auto"/>
              <w:right w:val="single" w:sz="6" w:space="0" w:color="auto"/>
            </w:tcBorders>
            <w:vAlign w:val="center"/>
          </w:tcPr>
          <w:p w:rsidR="005A5CD3" w:rsidRPr="005A5CD3" w:rsidRDefault="005A5CD3" w:rsidP="005A5CD3">
            <w:pPr>
              <w:jc w:val="center"/>
              <w:rPr>
                <w:sz w:val="14"/>
                <w:szCs w:val="16"/>
              </w:rPr>
            </w:pPr>
            <w:r w:rsidRPr="005A5CD3">
              <w:rPr>
                <w:sz w:val="14"/>
                <w:szCs w:val="16"/>
              </w:rPr>
              <w:t>2,3</w:t>
            </w:r>
          </w:p>
        </w:tc>
        <w:tc>
          <w:tcPr>
            <w:tcW w:w="907" w:type="dxa"/>
            <w:gridSpan w:val="2"/>
            <w:tcBorders>
              <w:top w:val="single" w:sz="6" w:space="0" w:color="auto"/>
              <w:left w:val="single" w:sz="6" w:space="0" w:color="auto"/>
              <w:bottom w:val="single" w:sz="6" w:space="0" w:color="auto"/>
              <w:right w:val="single" w:sz="6" w:space="0" w:color="auto"/>
            </w:tcBorders>
            <w:vAlign w:val="center"/>
          </w:tcPr>
          <w:p w:rsidR="005A5CD3" w:rsidRPr="005A5CD3" w:rsidRDefault="005A5CD3" w:rsidP="005A5CD3">
            <w:pPr>
              <w:jc w:val="center"/>
              <w:rPr>
                <w:sz w:val="14"/>
                <w:szCs w:val="16"/>
              </w:rPr>
            </w:pPr>
            <w:r w:rsidRPr="005A5CD3">
              <w:rPr>
                <w:sz w:val="14"/>
                <w:szCs w:val="16"/>
              </w:rPr>
              <w:t>406670,9</w:t>
            </w:r>
          </w:p>
        </w:tc>
        <w:tc>
          <w:tcPr>
            <w:tcW w:w="476" w:type="dxa"/>
            <w:gridSpan w:val="2"/>
            <w:tcBorders>
              <w:top w:val="single" w:sz="6" w:space="0" w:color="auto"/>
              <w:left w:val="single" w:sz="6" w:space="0" w:color="auto"/>
              <w:bottom w:val="single" w:sz="6" w:space="0" w:color="auto"/>
              <w:right w:val="single" w:sz="12" w:space="0" w:color="auto"/>
            </w:tcBorders>
            <w:vAlign w:val="center"/>
          </w:tcPr>
          <w:p w:rsidR="005A5CD3" w:rsidRPr="005A5CD3" w:rsidRDefault="005A5CD3" w:rsidP="005A5CD3">
            <w:pPr>
              <w:jc w:val="center"/>
              <w:rPr>
                <w:sz w:val="14"/>
                <w:szCs w:val="16"/>
              </w:rPr>
            </w:pPr>
            <w:r w:rsidRPr="005A5CD3">
              <w:rPr>
                <w:sz w:val="14"/>
                <w:szCs w:val="16"/>
              </w:rPr>
              <w:t>5,5</w:t>
            </w:r>
          </w:p>
        </w:tc>
      </w:tr>
      <w:tr w:rsidR="005A5CD3" w:rsidRPr="005A5CD3" w:rsidTr="00737B66">
        <w:trPr>
          <w:gridAfter w:val="1"/>
          <w:wAfter w:w="14" w:type="dxa"/>
          <w:trHeight w:val="317"/>
        </w:trPr>
        <w:tc>
          <w:tcPr>
            <w:tcW w:w="956" w:type="dxa"/>
            <w:tcBorders>
              <w:top w:val="single" w:sz="6" w:space="0" w:color="auto"/>
              <w:left w:val="single" w:sz="12" w:space="0" w:color="auto"/>
              <w:bottom w:val="single" w:sz="6" w:space="0" w:color="auto"/>
              <w:right w:val="single" w:sz="12" w:space="0" w:color="auto"/>
            </w:tcBorders>
            <w:vAlign w:val="center"/>
          </w:tcPr>
          <w:p w:rsidR="005A5CD3" w:rsidRPr="005A5CD3" w:rsidRDefault="005A5CD3" w:rsidP="005A5CD3">
            <w:pPr>
              <w:jc w:val="center"/>
              <w:rPr>
                <w:sz w:val="14"/>
                <w:szCs w:val="16"/>
              </w:rPr>
            </w:pPr>
            <w:r w:rsidRPr="005A5CD3">
              <w:rPr>
                <w:sz w:val="14"/>
                <w:szCs w:val="16"/>
              </w:rPr>
              <w:t>Švietimas</w:t>
            </w:r>
          </w:p>
        </w:tc>
        <w:tc>
          <w:tcPr>
            <w:tcW w:w="793" w:type="dxa"/>
            <w:tcBorders>
              <w:top w:val="single" w:sz="6" w:space="0" w:color="auto"/>
              <w:left w:val="single" w:sz="12" w:space="0" w:color="auto"/>
              <w:bottom w:val="single" w:sz="6" w:space="0" w:color="auto"/>
              <w:right w:val="single" w:sz="6" w:space="0" w:color="auto"/>
            </w:tcBorders>
            <w:vAlign w:val="center"/>
          </w:tcPr>
          <w:p w:rsidR="005A5CD3" w:rsidRPr="005A5CD3" w:rsidRDefault="005A5CD3" w:rsidP="005A5CD3">
            <w:pPr>
              <w:jc w:val="center"/>
              <w:rPr>
                <w:sz w:val="14"/>
                <w:szCs w:val="16"/>
              </w:rPr>
            </w:pPr>
            <w:r w:rsidRPr="005A5CD3">
              <w:rPr>
                <w:sz w:val="14"/>
                <w:szCs w:val="16"/>
              </w:rPr>
              <w:t>2656833</w:t>
            </w:r>
          </w:p>
        </w:tc>
        <w:tc>
          <w:tcPr>
            <w:tcW w:w="509" w:type="dxa"/>
            <w:tcBorders>
              <w:top w:val="single" w:sz="6" w:space="0" w:color="auto"/>
              <w:left w:val="single" w:sz="6" w:space="0" w:color="auto"/>
              <w:bottom w:val="single" w:sz="6" w:space="0" w:color="auto"/>
              <w:right w:val="single" w:sz="6" w:space="0" w:color="auto"/>
            </w:tcBorders>
            <w:vAlign w:val="center"/>
          </w:tcPr>
          <w:p w:rsidR="005A5CD3" w:rsidRPr="005A5CD3" w:rsidRDefault="005A5CD3" w:rsidP="005A5CD3">
            <w:pPr>
              <w:jc w:val="center"/>
              <w:rPr>
                <w:sz w:val="14"/>
                <w:szCs w:val="16"/>
              </w:rPr>
            </w:pPr>
            <w:r w:rsidRPr="005A5CD3">
              <w:rPr>
                <w:sz w:val="14"/>
                <w:szCs w:val="16"/>
              </w:rPr>
              <w:t>10,8</w:t>
            </w:r>
          </w:p>
        </w:tc>
        <w:tc>
          <w:tcPr>
            <w:tcW w:w="849" w:type="dxa"/>
            <w:tcBorders>
              <w:top w:val="single" w:sz="6" w:space="0" w:color="auto"/>
              <w:left w:val="single" w:sz="6" w:space="0" w:color="auto"/>
              <w:bottom w:val="single" w:sz="6" w:space="0" w:color="auto"/>
              <w:right w:val="single" w:sz="6" w:space="0" w:color="auto"/>
            </w:tcBorders>
            <w:vAlign w:val="center"/>
          </w:tcPr>
          <w:p w:rsidR="005A5CD3" w:rsidRPr="005A5CD3" w:rsidRDefault="005A5CD3" w:rsidP="005A5CD3">
            <w:pPr>
              <w:jc w:val="center"/>
              <w:rPr>
                <w:sz w:val="14"/>
                <w:szCs w:val="16"/>
              </w:rPr>
            </w:pPr>
            <w:r w:rsidRPr="005A5CD3">
              <w:rPr>
                <w:sz w:val="14"/>
                <w:szCs w:val="16"/>
              </w:rPr>
              <w:t>3629577,8</w:t>
            </w:r>
          </w:p>
        </w:tc>
        <w:tc>
          <w:tcPr>
            <w:tcW w:w="509" w:type="dxa"/>
            <w:tcBorders>
              <w:top w:val="single" w:sz="6" w:space="0" w:color="auto"/>
              <w:left w:val="single" w:sz="6" w:space="0" w:color="auto"/>
              <w:bottom w:val="single" w:sz="6" w:space="0" w:color="auto"/>
              <w:right w:val="single" w:sz="12" w:space="0" w:color="auto"/>
            </w:tcBorders>
            <w:vAlign w:val="center"/>
          </w:tcPr>
          <w:p w:rsidR="005A5CD3" w:rsidRPr="005A5CD3" w:rsidRDefault="005A5CD3" w:rsidP="005A5CD3">
            <w:pPr>
              <w:jc w:val="center"/>
              <w:rPr>
                <w:sz w:val="14"/>
                <w:szCs w:val="16"/>
              </w:rPr>
            </w:pPr>
            <w:r w:rsidRPr="005A5CD3">
              <w:rPr>
                <w:sz w:val="14"/>
                <w:szCs w:val="16"/>
              </w:rPr>
              <w:t>51,1</w:t>
            </w:r>
          </w:p>
        </w:tc>
        <w:tc>
          <w:tcPr>
            <w:tcW w:w="796" w:type="dxa"/>
            <w:tcBorders>
              <w:top w:val="single" w:sz="6" w:space="0" w:color="auto"/>
              <w:left w:val="single" w:sz="12" w:space="0" w:color="auto"/>
              <w:bottom w:val="single" w:sz="6" w:space="0" w:color="auto"/>
              <w:right w:val="single" w:sz="6" w:space="0" w:color="auto"/>
            </w:tcBorders>
            <w:vAlign w:val="center"/>
          </w:tcPr>
          <w:p w:rsidR="005A5CD3" w:rsidRPr="005A5CD3" w:rsidRDefault="005A5CD3" w:rsidP="005A5CD3">
            <w:pPr>
              <w:jc w:val="center"/>
              <w:rPr>
                <w:sz w:val="14"/>
                <w:szCs w:val="16"/>
              </w:rPr>
            </w:pPr>
            <w:r w:rsidRPr="005A5CD3">
              <w:rPr>
                <w:sz w:val="14"/>
                <w:szCs w:val="16"/>
              </w:rPr>
              <w:t>2299588</w:t>
            </w:r>
          </w:p>
        </w:tc>
        <w:tc>
          <w:tcPr>
            <w:tcW w:w="510" w:type="dxa"/>
            <w:tcBorders>
              <w:top w:val="single" w:sz="6" w:space="0" w:color="auto"/>
              <w:left w:val="single" w:sz="6" w:space="0" w:color="auto"/>
              <w:bottom w:val="single" w:sz="6" w:space="0" w:color="auto"/>
              <w:right w:val="single" w:sz="6" w:space="0" w:color="auto"/>
            </w:tcBorders>
            <w:vAlign w:val="center"/>
          </w:tcPr>
          <w:p w:rsidR="005A5CD3" w:rsidRPr="005A5CD3" w:rsidRDefault="005A5CD3" w:rsidP="005A5CD3">
            <w:pPr>
              <w:jc w:val="center"/>
              <w:rPr>
                <w:sz w:val="14"/>
                <w:szCs w:val="16"/>
              </w:rPr>
            </w:pPr>
            <w:r w:rsidRPr="005A5CD3">
              <w:rPr>
                <w:sz w:val="14"/>
                <w:szCs w:val="16"/>
              </w:rPr>
              <w:t>9,3</w:t>
            </w:r>
          </w:p>
        </w:tc>
        <w:tc>
          <w:tcPr>
            <w:tcW w:w="850" w:type="dxa"/>
            <w:tcBorders>
              <w:top w:val="single" w:sz="6" w:space="0" w:color="auto"/>
              <w:left w:val="single" w:sz="6" w:space="0" w:color="auto"/>
              <w:bottom w:val="single" w:sz="6" w:space="0" w:color="auto"/>
              <w:right w:val="single" w:sz="6" w:space="0" w:color="auto"/>
            </w:tcBorders>
            <w:vAlign w:val="center"/>
          </w:tcPr>
          <w:p w:rsidR="005A5CD3" w:rsidRPr="005A5CD3" w:rsidRDefault="005A5CD3" w:rsidP="005A5CD3">
            <w:pPr>
              <w:jc w:val="center"/>
              <w:rPr>
                <w:sz w:val="14"/>
                <w:szCs w:val="16"/>
              </w:rPr>
            </w:pPr>
            <w:r w:rsidRPr="005A5CD3">
              <w:rPr>
                <w:sz w:val="14"/>
                <w:szCs w:val="16"/>
              </w:rPr>
              <w:t>3946054,3</w:t>
            </w:r>
          </w:p>
        </w:tc>
        <w:tc>
          <w:tcPr>
            <w:tcW w:w="474" w:type="dxa"/>
            <w:tcBorders>
              <w:top w:val="single" w:sz="6" w:space="0" w:color="auto"/>
              <w:left w:val="single" w:sz="6" w:space="0" w:color="auto"/>
              <w:bottom w:val="single" w:sz="6" w:space="0" w:color="auto"/>
              <w:right w:val="single" w:sz="12" w:space="0" w:color="auto"/>
            </w:tcBorders>
            <w:vAlign w:val="center"/>
          </w:tcPr>
          <w:p w:rsidR="005A5CD3" w:rsidRPr="005A5CD3" w:rsidRDefault="005A5CD3" w:rsidP="005A5CD3">
            <w:pPr>
              <w:jc w:val="center"/>
              <w:rPr>
                <w:sz w:val="14"/>
                <w:szCs w:val="16"/>
              </w:rPr>
            </w:pPr>
            <w:r w:rsidRPr="005A5CD3">
              <w:rPr>
                <w:sz w:val="14"/>
                <w:szCs w:val="16"/>
              </w:rPr>
              <w:t>57,7</w:t>
            </w:r>
          </w:p>
        </w:tc>
        <w:tc>
          <w:tcPr>
            <w:tcW w:w="794" w:type="dxa"/>
            <w:gridSpan w:val="2"/>
            <w:tcBorders>
              <w:top w:val="single" w:sz="6" w:space="0" w:color="auto"/>
              <w:left w:val="single" w:sz="12" w:space="0" w:color="auto"/>
              <w:bottom w:val="single" w:sz="6" w:space="0" w:color="auto"/>
              <w:right w:val="single" w:sz="6" w:space="0" w:color="auto"/>
            </w:tcBorders>
            <w:vAlign w:val="center"/>
          </w:tcPr>
          <w:p w:rsidR="005A5CD3" w:rsidRPr="005A5CD3" w:rsidRDefault="005A5CD3" w:rsidP="005A5CD3">
            <w:pPr>
              <w:jc w:val="center"/>
              <w:rPr>
                <w:sz w:val="14"/>
                <w:szCs w:val="16"/>
              </w:rPr>
            </w:pPr>
            <w:r w:rsidRPr="005A5CD3">
              <w:rPr>
                <w:sz w:val="14"/>
                <w:szCs w:val="16"/>
              </w:rPr>
              <w:t>2301957</w:t>
            </w:r>
          </w:p>
        </w:tc>
        <w:tc>
          <w:tcPr>
            <w:tcW w:w="474" w:type="dxa"/>
            <w:tcBorders>
              <w:top w:val="single" w:sz="6" w:space="0" w:color="auto"/>
              <w:left w:val="single" w:sz="6" w:space="0" w:color="auto"/>
              <w:bottom w:val="single" w:sz="6" w:space="0" w:color="auto"/>
              <w:right w:val="single" w:sz="6" w:space="0" w:color="auto"/>
            </w:tcBorders>
            <w:vAlign w:val="center"/>
          </w:tcPr>
          <w:p w:rsidR="005A5CD3" w:rsidRPr="005A5CD3" w:rsidRDefault="005A5CD3" w:rsidP="005A5CD3">
            <w:pPr>
              <w:jc w:val="center"/>
              <w:rPr>
                <w:sz w:val="14"/>
                <w:szCs w:val="16"/>
              </w:rPr>
            </w:pPr>
            <w:r w:rsidRPr="005A5CD3">
              <w:rPr>
                <w:sz w:val="14"/>
                <w:szCs w:val="16"/>
              </w:rPr>
              <w:t>9,4</w:t>
            </w:r>
          </w:p>
        </w:tc>
        <w:tc>
          <w:tcPr>
            <w:tcW w:w="850" w:type="dxa"/>
            <w:tcBorders>
              <w:top w:val="single" w:sz="6" w:space="0" w:color="auto"/>
              <w:left w:val="single" w:sz="6" w:space="0" w:color="auto"/>
              <w:bottom w:val="single" w:sz="6" w:space="0" w:color="auto"/>
              <w:right w:val="single" w:sz="6" w:space="0" w:color="auto"/>
            </w:tcBorders>
            <w:vAlign w:val="center"/>
          </w:tcPr>
          <w:p w:rsidR="005A5CD3" w:rsidRPr="005A5CD3" w:rsidRDefault="005A5CD3" w:rsidP="005A5CD3">
            <w:pPr>
              <w:jc w:val="center"/>
              <w:rPr>
                <w:sz w:val="14"/>
                <w:szCs w:val="16"/>
              </w:rPr>
            </w:pPr>
            <w:r w:rsidRPr="005A5CD3">
              <w:rPr>
                <w:sz w:val="14"/>
                <w:szCs w:val="16"/>
              </w:rPr>
              <w:t>3645147,2</w:t>
            </w:r>
          </w:p>
        </w:tc>
        <w:tc>
          <w:tcPr>
            <w:tcW w:w="479" w:type="dxa"/>
            <w:tcBorders>
              <w:top w:val="single" w:sz="6" w:space="0" w:color="auto"/>
              <w:left w:val="single" w:sz="6" w:space="0" w:color="auto"/>
              <w:bottom w:val="single" w:sz="6" w:space="0" w:color="auto"/>
              <w:right w:val="single" w:sz="12" w:space="0" w:color="auto"/>
            </w:tcBorders>
            <w:vAlign w:val="center"/>
          </w:tcPr>
          <w:p w:rsidR="005A5CD3" w:rsidRPr="005A5CD3" w:rsidRDefault="005A5CD3" w:rsidP="005A5CD3">
            <w:pPr>
              <w:jc w:val="center"/>
              <w:rPr>
                <w:sz w:val="14"/>
                <w:szCs w:val="16"/>
              </w:rPr>
            </w:pPr>
            <w:r w:rsidRPr="005A5CD3">
              <w:rPr>
                <w:sz w:val="14"/>
                <w:szCs w:val="16"/>
              </w:rPr>
              <w:t>53,6</w:t>
            </w:r>
          </w:p>
        </w:tc>
        <w:tc>
          <w:tcPr>
            <w:tcW w:w="794" w:type="dxa"/>
            <w:tcBorders>
              <w:top w:val="single" w:sz="6" w:space="0" w:color="auto"/>
              <w:left w:val="single" w:sz="12" w:space="0" w:color="auto"/>
              <w:bottom w:val="single" w:sz="6" w:space="0" w:color="auto"/>
              <w:right w:val="single" w:sz="6" w:space="0" w:color="auto"/>
            </w:tcBorders>
            <w:vAlign w:val="center"/>
          </w:tcPr>
          <w:p w:rsidR="005A5CD3" w:rsidRPr="005A5CD3" w:rsidRDefault="005A5CD3" w:rsidP="005A5CD3">
            <w:pPr>
              <w:jc w:val="center"/>
              <w:rPr>
                <w:sz w:val="14"/>
                <w:szCs w:val="16"/>
              </w:rPr>
            </w:pPr>
            <w:r w:rsidRPr="005A5CD3">
              <w:rPr>
                <w:sz w:val="14"/>
                <w:szCs w:val="16"/>
              </w:rPr>
              <w:t>2552790</w:t>
            </w:r>
          </w:p>
        </w:tc>
        <w:tc>
          <w:tcPr>
            <w:tcW w:w="474" w:type="dxa"/>
            <w:tcBorders>
              <w:top w:val="single" w:sz="6" w:space="0" w:color="auto"/>
              <w:left w:val="single" w:sz="6" w:space="0" w:color="auto"/>
              <w:bottom w:val="single" w:sz="6" w:space="0" w:color="auto"/>
              <w:right w:val="single" w:sz="6" w:space="0" w:color="auto"/>
            </w:tcBorders>
            <w:vAlign w:val="center"/>
          </w:tcPr>
          <w:p w:rsidR="005A5CD3" w:rsidRPr="005A5CD3" w:rsidRDefault="005A5CD3" w:rsidP="005A5CD3">
            <w:pPr>
              <w:jc w:val="center"/>
              <w:rPr>
                <w:sz w:val="14"/>
                <w:szCs w:val="16"/>
              </w:rPr>
            </w:pPr>
            <w:r w:rsidRPr="005A5CD3">
              <w:rPr>
                <w:sz w:val="14"/>
                <w:szCs w:val="16"/>
              </w:rPr>
              <w:t>10,2</w:t>
            </w:r>
          </w:p>
        </w:tc>
        <w:tc>
          <w:tcPr>
            <w:tcW w:w="850" w:type="dxa"/>
            <w:tcBorders>
              <w:top w:val="single" w:sz="6" w:space="0" w:color="auto"/>
              <w:left w:val="single" w:sz="6" w:space="0" w:color="auto"/>
              <w:bottom w:val="single" w:sz="6" w:space="0" w:color="auto"/>
              <w:right w:val="single" w:sz="6" w:space="0" w:color="auto"/>
            </w:tcBorders>
            <w:vAlign w:val="center"/>
          </w:tcPr>
          <w:p w:rsidR="005A5CD3" w:rsidRPr="005A5CD3" w:rsidRDefault="005A5CD3" w:rsidP="005A5CD3">
            <w:pPr>
              <w:jc w:val="center"/>
              <w:rPr>
                <w:sz w:val="14"/>
                <w:szCs w:val="16"/>
              </w:rPr>
            </w:pPr>
            <w:r w:rsidRPr="005A5CD3">
              <w:rPr>
                <w:sz w:val="14"/>
                <w:szCs w:val="16"/>
              </w:rPr>
              <w:t>3747878,4</w:t>
            </w:r>
          </w:p>
        </w:tc>
        <w:tc>
          <w:tcPr>
            <w:tcW w:w="474" w:type="dxa"/>
            <w:tcBorders>
              <w:top w:val="single" w:sz="6" w:space="0" w:color="auto"/>
              <w:left w:val="single" w:sz="6" w:space="0" w:color="auto"/>
              <w:bottom w:val="single" w:sz="6" w:space="0" w:color="auto"/>
              <w:right w:val="single" w:sz="12" w:space="0" w:color="auto"/>
            </w:tcBorders>
            <w:vAlign w:val="center"/>
          </w:tcPr>
          <w:p w:rsidR="005A5CD3" w:rsidRPr="005A5CD3" w:rsidRDefault="005A5CD3" w:rsidP="005A5CD3">
            <w:pPr>
              <w:jc w:val="center"/>
              <w:rPr>
                <w:sz w:val="14"/>
                <w:szCs w:val="16"/>
              </w:rPr>
            </w:pPr>
            <w:r w:rsidRPr="005A5CD3">
              <w:rPr>
                <w:sz w:val="14"/>
                <w:szCs w:val="16"/>
              </w:rPr>
              <w:t>50,8</w:t>
            </w:r>
          </w:p>
        </w:tc>
        <w:tc>
          <w:tcPr>
            <w:tcW w:w="794" w:type="dxa"/>
            <w:gridSpan w:val="2"/>
            <w:tcBorders>
              <w:top w:val="single" w:sz="6" w:space="0" w:color="auto"/>
              <w:left w:val="single" w:sz="12" w:space="0" w:color="auto"/>
              <w:bottom w:val="single" w:sz="6" w:space="0" w:color="auto"/>
              <w:right w:val="single" w:sz="6" w:space="0" w:color="auto"/>
            </w:tcBorders>
            <w:vAlign w:val="center"/>
          </w:tcPr>
          <w:p w:rsidR="005A5CD3" w:rsidRPr="005A5CD3" w:rsidRDefault="005A5CD3" w:rsidP="005A5CD3">
            <w:pPr>
              <w:jc w:val="center"/>
              <w:rPr>
                <w:sz w:val="14"/>
                <w:szCs w:val="16"/>
              </w:rPr>
            </w:pPr>
            <w:r w:rsidRPr="005A5CD3">
              <w:rPr>
                <w:sz w:val="14"/>
                <w:szCs w:val="16"/>
              </w:rPr>
              <w:t>4360622</w:t>
            </w:r>
          </w:p>
        </w:tc>
        <w:tc>
          <w:tcPr>
            <w:tcW w:w="474" w:type="dxa"/>
            <w:gridSpan w:val="2"/>
            <w:tcBorders>
              <w:top w:val="single" w:sz="6" w:space="0" w:color="auto"/>
              <w:left w:val="single" w:sz="6" w:space="0" w:color="auto"/>
              <w:bottom w:val="single" w:sz="6" w:space="0" w:color="auto"/>
              <w:right w:val="single" w:sz="6" w:space="0" w:color="auto"/>
            </w:tcBorders>
            <w:vAlign w:val="center"/>
          </w:tcPr>
          <w:p w:rsidR="005A5CD3" w:rsidRPr="005A5CD3" w:rsidRDefault="005A5CD3" w:rsidP="005A5CD3">
            <w:pPr>
              <w:jc w:val="center"/>
              <w:rPr>
                <w:sz w:val="14"/>
                <w:szCs w:val="16"/>
              </w:rPr>
            </w:pPr>
            <w:r w:rsidRPr="005A5CD3">
              <w:rPr>
                <w:sz w:val="14"/>
                <w:szCs w:val="16"/>
              </w:rPr>
              <w:t>17,9</w:t>
            </w:r>
          </w:p>
        </w:tc>
        <w:tc>
          <w:tcPr>
            <w:tcW w:w="907" w:type="dxa"/>
            <w:gridSpan w:val="2"/>
            <w:tcBorders>
              <w:top w:val="single" w:sz="6" w:space="0" w:color="auto"/>
              <w:left w:val="single" w:sz="6" w:space="0" w:color="auto"/>
              <w:bottom w:val="single" w:sz="6" w:space="0" w:color="auto"/>
              <w:right w:val="single" w:sz="6" w:space="0" w:color="auto"/>
            </w:tcBorders>
            <w:vAlign w:val="center"/>
          </w:tcPr>
          <w:p w:rsidR="005A5CD3" w:rsidRPr="005A5CD3" w:rsidRDefault="005A5CD3" w:rsidP="005A5CD3">
            <w:pPr>
              <w:jc w:val="center"/>
              <w:rPr>
                <w:sz w:val="14"/>
                <w:szCs w:val="16"/>
              </w:rPr>
            </w:pPr>
            <w:r w:rsidRPr="005A5CD3">
              <w:rPr>
                <w:sz w:val="14"/>
                <w:szCs w:val="16"/>
              </w:rPr>
              <w:t>3586415,4</w:t>
            </w:r>
          </w:p>
        </w:tc>
        <w:tc>
          <w:tcPr>
            <w:tcW w:w="476" w:type="dxa"/>
            <w:gridSpan w:val="2"/>
            <w:tcBorders>
              <w:top w:val="single" w:sz="6" w:space="0" w:color="auto"/>
              <w:left w:val="single" w:sz="6" w:space="0" w:color="auto"/>
              <w:bottom w:val="single" w:sz="6" w:space="0" w:color="auto"/>
              <w:right w:val="single" w:sz="12" w:space="0" w:color="auto"/>
            </w:tcBorders>
            <w:vAlign w:val="center"/>
          </w:tcPr>
          <w:p w:rsidR="005A5CD3" w:rsidRPr="005A5CD3" w:rsidRDefault="005A5CD3" w:rsidP="005A5CD3">
            <w:pPr>
              <w:jc w:val="center"/>
              <w:rPr>
                <w:sz w:val="14"/>
                <w:szCs w:val="16"/>
              </w:rPr>
            </w:pPr>
            <w:r w:rsidRPr="005A5CD3">
              <w:rPr>
                <w:sz w:val="14"/>
                <w:szCs w:val="16"/>
              </w:rPr>
              <w:t>48,9</w:t>
            </w:r>
          </w:p>
        </w:tc>
      </w:tr>
      <w:tr w:rsidR="005A5CD3" w:rsidRPr="005A5CD3" w:rsidTr="00737B66">
        <w:trPr>
          <w:gridAfter w:val="1"/>
          <w:wAfter w:w="14" w:type="dxa"/>
        </w:trPr>
        <w:tc>
          <w:tcPr>
            <w:tcW w:w="956" w:type="dxa"/>
            <w:tcBorders>
              <w:top w:val="single" w:sz="6" w:space="0" w:color="auto"/>
              <w:left w:val="single" w:sz="12" w:space="0" w:color="auto"/>
              <w:bottom w:val="single" w:sz="12" w:space="0" w:color="auto"/>
              <w:right w:val="single" w:sz="12" w:space="0" w:color="auto"/>
            </w:tcBorders>
            <w:vAlign w:val="center"/>
          </w:tcPr>
          <w:p w:rsidR="005A5CD3" w:rsidRPr="005A5CD3" w:rsidRDefault="005A5CD3" w:rsidP="005A5CD3">
            <w:pPr>
              <w:jc w:val="center"/>
              <w:rPr>
                <w:sz w:val="14"/>
                <w:szCs w:val="16"/>
              </w:rPr>
            </w:pPr>
            <w:r w:rsidRPr="005A5CD3">
              <w:rPr>
                <w:sz w:val="14"/>
                <w:szCs w:val="16"/>
              </w:rPr>
              <w:t>Socialinė apsauga</w:t>
            </w:r>
          </w:p>
        </w:tc>
        <w:tc>
          <w:tcPr>
            <w:tcW w:w="793" w:type="dxa"/>
            <w:tcBorders>
              <w:top w:val="single" w:sz="6" w:space="0" w:color="auto"/>
              <w:left w:val="single" w:sz="12" w:space="0" w:color="auto"/>
              <w:bottom w:val="single" w:sz="12" w:space="0" w:color="auto"/>
              <w:right w:val="single" w:sz="6" w:space="0" w:color="auto"/>
            </w:tcBorders>
            <w:vAlign w:val="center"/>
          </w:tcPr>
          <w:p w:rsidR="005A5CD3" w:rsidRPr="005A5CD3" w:rsidRDefault="005A5CD3" w:rsidP="005A5CD3">
            <w:pPr>
              <w:jc w:val="center"/>
              <w:rPr>
                <w:sz w:val="14"/>
                <w:szCs w:val="16"/>
              </w:rPr>
            </w:pPr>
            <w:r w:rsidRPr="005A5CD3">
              <w:rPr>
                <w:sz w:val="14"/>
                <w:szCs w:val="16"/>
              </w:rPr>
              <w:t>2825667</w:t>
            </w:r>
          </w:p>
        </w:tc>
        <w:tc>
          <w:tcPr>
            <w:tcW w:w="509" w:type="dxa"/>
            <w:tcBorders>
              <w:top w:val="single" w:sz="6" w:space="0" w:color="auto"/>
              <w:left w:val="single" w:sz="6" w:space="0" w:color="auto"/>
              <w:bottom w:val="single" w:sz="12" w:space="0" w:color="auto"/>
              <w:right w:val="single" w:sz="6" w:space="0" w:color="auto"/>
            </w:tcBorders>
            <w:vAlign w:val="center"/>
          </w:tcPr>
          <w:p w:rsidR="005A5CD3" w:rsidRPr="005A5CD3" w:rsidRDefault="005A5CD3" w:rsidP="005A5CD3">
            <w:pPr>
              <w:jc w:val="center"/>
              <w:rPr>
                <w:sz w:val="14"/>
                <w:szCs w:val="16"/>
              </w:rPr>
            </w:pPr>
            <w:r w:rsidRPr="005A5CD3">
              <w:rPr>
                <w:sz w:val="14"/>
                <w:szCs w:val="16"/>
              </w:rPr>
              <w:t>11,5</w:t>
            </w:r>
          </w:p>
        </w:tc>
        <w:tc>
          <w:tcPr>
            <w:tcW w:w="849" w:type="dxa"/>
            <w:tcBorders>
              <w:top w:val="single" w:sz="6" w:space="0" w:color="auto"/>
              <w:left w:val="single" w:sz="6" w:space="0" w:color="auto"/>
              <w:bottom w:val="single" w:sz="12" w:space="0" w:color="auto"/>
              <w:right w:val="single" w:sz="6" w:space="0" w:color="auto"/>
            </w:tcBorders>
            <w:vAlign w:val="center"/>
          </w:tcPr>
          <w:p w:rsidR="005A5CD3" w:rsidRPr="005A5CD3" w:rsidRDefault="005A5CD3" w:rsidP="005A5CD3">
            <w:pPr>
              <w:jc w:val="center"/>
              <w:rPr>
                <w:sz w:val="14"/>
                <w:szCs w:val="16"/>
              </w:rPr>
            </w:pPr>
            <w:r w:rsidRPr="005A5CD3">
              <w:rPr>
                <w:sz w:val="14"/>
                <w:szCs w:val="16"/>
              </w:rPr>
              <w:t>668836,8</w:t>
            </w:r>
          </w:p>
        </w:tc>
        <w:tc>
          <w:tcPr>
            <w:tcW w:w="509" w:type="dxa"/>
            <w:tcBorders>
              <w:top w:val="single" w:sz="6" w:space="0" w:color="auto"/>
              <w:left w:val="single" w:sz="6" w:space="0" w:color="auto"/>
              <w:bottom w:val="single" w:sz="12" w:space="0" w:color="auto"/>
              <w:right w:val="single" w:sz="12" w:space="0" w:color="auto"/>
            </w:tcBorders>
            <w:vAlign w:val="center"/>
          </w:tcPr>
          <w:p w:rsidR="005A5CD3" w:rsidRPr="005A5CD3" w:rsidRDefault="005A5CD3" w:rsidP="005A5CD3">
            <w:pPr>
              <w:jc w:val="center"/>
              <w:rPr>
                <w:sz w:val="14"/>
                <w:szCs w:val="16"/>
              </w:rPr>
            </w:pPr>
            <w:r w:rsidRPr="005A5CD3">
              <w:rPr>
                <w:sz w:val="14"/>
                <w:szCs w:val="16"/>
              </w:rPr>
              <w:t>9,4</w:t>
            </w:r>
          </w:p>
        </w:tc>
        <w:tc>
          <w:tcPr>
            <w:tcW w:w="796" w:type="dxa"/>
            <w:tcBorders>
              <w:top w:val="single" w:sz="6" w:space="0" w:color="auto"/>
              <w:left w:val="single" w:sz="12" w:space="0" w:color="auto"/>
              <w:bottom w:val="single" w:sz="12" w:space="0" w:color="auto"/>
              <w:right w:val="single" w:sz="6" w:space="0" w:color="auto"/>
            </w:tcBorders>
            <w:vAlign w:val="center"/>
          </w:tcPr>
          <w:p w:rsidR="005A5CD3" w:rsidRPr="005A5CD3" w:rsidRDefault="005A5CD3" w:rsidP="005A5CD3">
            <w:pPr>
              <w:jc w:val="center"/>
              <w:rPr>
                <w:sz w:val="14"/>
                <w:szCs w:val="16"/>
              </w:rPr>
            </w:pPr>
            <w:r w:rsidRPr="005A5CD3">
              <w:rPr>
                <w:sz w:val="14"/>
                <w:szCs w:val="16"/>
              </w:rPr>
              <w:t>2896469</w:t>
            </w:r>
          </w:p>
        </w:tc>
        <w:tc>
          <w:tcPr>
            <w:tcW w:w="510" w:type="dxa"/>
            <w:tcBorders>
              <w:top w:val="single" w:sz="6" w:space="0" w:color="auto"/>
              <w:left w:val="single" w:sz="6" w:space="0" w:color="auto"/>
              <w:bottom w:val="single" w:sz="12" w:space="0" w:color="auto"/>
              <w:right w:val="single" w:sz="6" w:space="0" w:color="auto"/>
            </w:tcBorders>
            <w:vAlign w:val="center"/>
          </w:tcPr>
          <w:p w:rsidR="005A5CD3" w:rsidRPr="005A5CD3" w:rsidRDefault="005A5CD3" w:rsidP="005A5CD3">
            <w:pPr>
              <w:jc w:val="center"/>
              <w:rPr>
                <w:sz w:val="14"/>
                <w:szCs w:val="16"/>
              </w:rPr>
            </w:pPr>
            <w:r w:rsidRPr="005A5CD3">
              <w:rPr>
                <w:sz w:val="14"/>
                <w:szCs w:val="16"/>
              </w:rPr>
              <w:t>11,8</w:t>
            </w:r>
          </w:p>
        </w:tc>
        <w:tc>
          <w:tcPr>
            <w:tcW w:w="850" w:type="dxa"/>
            <w:tcBorders>
              <w:top w:val="single" w:sz="6" w:space="0" w:color="auto"/>
              <w:left w:val="single" w:sz="6" w:space="0" w:color="auto"/>
              <w:bottom w:val="single" w:sz="12" w:space="0" w:color="auto"/>
              <w:right w:val="single" w:sz="6" w:space="0" w:color="auto"/>
            </w:tcBorders>
            <w:vAlign w:val="center"/>
          </w:tcPr>
          <w:p w:rsidR="005A5CD3" w:rsidRPr="005A5CD3" w:rsidRDefault="005A5CD3" w:rsidP="005A5CD3">
            <w:pPr>
              <w:jc w:val="center"/>
              <w:rPr>
                <w:sz w:val="14"/>
                <w:szCs w:val="16"/>
              </w:rPr>
            </w:pPr>
            <w:r w:rsidRPr="005A5CD3">
              <w:rPr>
                <w:sz w:val="14"/>
                <w:szCs w:val="16"/>
              </w:rPr>
              <w:t>791844,2</w:t>
            </w:r>
          </w:p>
        </w:tc>
        <w:tc>
          <w:tcPr>
            <w:tcW w:w="474" w:type="dxa"/>
            <w:tcBorders>
              <w:top w:val="single" w:sz="6" w:space="0" w:color="auto"/>
              <w:left w:val="single" w:sz="6" w:space="0" w:color="auto"/>
              <w:bottom w:val="single" w:sz="12" w:space="0" w:color="auto"/>
              <w:right w:val="single" w:sz="12" w:space="0" w:color="auto"/>
            </w:tcBorders>
            <w:vAlign w:val="center"/>
          </w:tcPr>
          <w:p w:rsidR="005A5CD3" w:rsidRPr="005A5CD3" w:rsidRDefault="005A5CD3" w:rsidP="005A5CD3">
            <w:pPr>
              <w:jc w:val="center"/>
              <w:rPr>
                <w:sz w:val="14"/>
                <w:szCs w:val="16"/>
              </w:rPr>
            </w:pPr>
            <w:r w:rsidRPr="005A5CD3">
              <w:rPr>
                <w:sz w:val="14"/>
                <w:szCs w:val="16"/>
              </w:rPr>
              <w:t>11,6</w:t>
            </w:r>
          </w:p>
        </w:tc>
        <w:tc>
          <w:tcPr>
            <w:tcW w:w="794" w:type="dxa"/>
            <w:gridSpan w:val="2"/>
            <w:tcBorders>
              <w:top w:val="single" w:sz="6" w:space="0" w:color="auto"/>
              <w:left w:val="single" w:sz="12" w:space="0" w:color="auto"/>
              <w:bottom w:val="single" w:sz="12" w:space="0" w:color="auto"/>
              <w:right w:val="single" w:sz="6" w:space="0" w:color="auto"/>
            </w:tcBorders>
            <w:vAlign w:val="center"/>
          </w:tcPr>
          <w:p w:rsidR="005A5CD3" w:rsidRPr="005A5CD3" w:rsidRDefault="005A5CD3" w:rsidP="005A5CD3">
            <w:pPr>
              <w:jc w:val="center"/>
              <w:rPr>
                <w:sz w:val="14"/>
                <w:szCs w:val="16"/>
              </w:rPr>
            </w:pPr>
            <w:r w:rsidRPr="005A5CD3">
              <w:rPr>
                <w:sz w:val="14"/>
                <w:szCs w:val="16"/>
              </w:rPr>
              <w:t>2494253</w:t>
            </w:r>
          </w:p>
        </w:tc>
        <w:tc>
          <w:tcPr>
            <w:tcW w:w="474" w:type="dxa"/>
            <w:tcBorders>
              <w:top w:val="single" w:sz="6" w:space="0" w:color="auto"/>
              <w:left w:val="single" w:sz="6" w:space="0" w:color="auto"/>
              <w:bottom w:val="single" w:sz="12" w:space="0" w:color="auto"/>
              <w:right w:val="single" w:sz="6" w:space="0" w:color="auto"/>
            </w:tcBorders>
            <w:vAlign w:val="center"/>
          </w:tcPr>
          <w:p w:rsidR="005A5CD3" w:rsidRPr="005A5CD3" w:rsidRDefault="005A5CD3" w:rsidP="005A5CD3">
            <w:pPr>
              <w:jc w:val="center"/>
              <w:rPr>
                <w:sz w:val="14"/>
                <w:szCs w:val="16"/>
              </w:rPr>
            </w:pPr>
            <w:r w:rsidRPr="005A5CD3">
              <w:rPr>
                <w:sz w:val="14"/>
                <w:szCs w:val="16"/>
              </w:rPr>
              <w:t>10,2</w:t>
            </w:r>
          </w:p>
        </w:tc>
        <w:tc>
          <w:tcPr>
            <w:tcW w:w="850" w:type="dxa"/>
            <w:tcBorders>
              <w:top w:val="single" w:sz="6" w:space="0" w:color="auto"/>
              <w:left w:val="single" w:sz="6" w:space="0" w:color="auto"/>
              <w:bottom w:val="single" w:sz="12" w:space="0" w:color="auto"/>
              <w:right w:val="single" w:sz="6" w:space="0" w:color="auto"/>
            </w:tcBorders>
            <w:vAlign w:val="center"/>
          </w:tcPr>
          <w:p w:rsidR="005A5CD3" w:rsidRPr="005A5CD3" w:rsidRDefault="005A5CD3" w:rsidP="005A5CD3">
            <w:pPr>
              <w:jc w:val="center"/>
              <w:rPr>
                <w:sz w:val="14"/>
                <w:szCs w:val="16"/>
              </w:rPr>
            </w:pPr>
            <w:r w:rsidRPr="005A5CD3">
              <w:rPr>
                <w:sz w:val="14"/>
                <w:szCs w:val="16"/>
              </w:rPr>
              <w:t>1186522,5</w:t>
            </w:r>
          </w:p>
        </w:tc>
        <w:tc>
          <w:tcPr>
            <w:tcW w:w="479" w:type="dxa"/>
            <w:tcBorders>
              <w:top w:val="single" w:sz="6" w:space="0" w:color="auto"/>
              <w:left w:val="single" w:sz="6" w:space="0" w:color="auto"/>
              <w:bottom w:val="single" w:sz="12" w:space="0" w:color="auto"/>
              <w:right w:val="single" w:sz="12" w:space="0" w:color="auto"/>
            </w:tcBorders>
            <w:vAlign w:val="center"/>
          </w:tcPr>
          <w:p w:rsidR="005A5CD3" w:rsidRPr="005A5CD3" w:rsidRDefault="005A5CD3" w:rsidP="005A5CD3">
            <w:pPr>
              <w:jc w:val="center"/>
              <w:rPr>
                <w:sz w:val="14"/>
                <w:szCs w:val="16"/>
              </w:rPr>
            </w:pPr>
            <w:r w:rsidRPr="005A5CD3">
              <w:rPr>
                <w:sz w:val="14"/>
                <w:szCs w:val="16"/>
              </w:rPr>
              <w:t>17,4</w:t>
            </w:r>
          </w:p>
        </w:tc>
        <w:tc>
          <w:tcPr>
            <w:tcW w:w="794" w:type="dxa"/>
            <w:tcBorders>
              <w:top w:val="single" w:sz="6" w:space="0" w:color="auto"/>
              <w:left w:val="single" w:sz="12" w:space="0" w:color="auto"/>
              <w:bottom w:val="single" w:sz="12" w:space="0" w:color="auto"/>
              <w:right w:val="single" w:sz="6" w:space="0" w:color="auto"/>
            </w:tcBorders>
            <w:vAlign w:val="center"/>
          </w:tcPr>
          <w:p w:rsidR="005A5CD3" w:rsidRPr="005A5CD3" w:rsidRDefault="005A5CD3" w:rsidP="005A5CD3">
            <w:pPr>
              <w:jc w:val="center"/>
              <w:rPr>
                <w:sz w:val="14"/>
                <w:szCs w:val="16"/>
              </w:rPr>
            </w:pPr>
            <w:r w:rsidRPr="005A5CD3">
              <w:rPr>
                <w:sz w:val="14"/>
                <w:szCs w:val="16"/>
              </w:rPr>
              <w:t>2305722</w:t>
            </w:r>
          </w:p>
        </w:tc>
        <w:tc>
          <w:tcPr>
            <w:tcW w:w="474" w:type="dxa"/>
            <w:tcBorders>
              <w:top w:val="single" w:sz="6" w:space="0" w:color="auto"/>
              <w:left w:val="single" w:sz="6" w:space="0" w:color="auto"/>
              <w:bottom w:val="single" w:sz="12" w:space="0" w:color="auto"/>
              <w:right w:val="single" w:sz="6" w:space="0" w:color="auto"/>
            </w:tcBorders>
            <w:vAlign w:val="center"/>
          </w:tcPr>
          <w:p w:rsidR="005A5CD3" w:rsidRPr="005A5CD3" w:rsidRDefault="005A5CD3" w:rsidP="005A5CD3">
            <w:pPr>
              <w:jc w:val="center"/>
              <w:rPr>
                <w:sz w:val="14"/>
                <w:szCs w:val="16"/>
              </w:rPr>
            </w:pPr>
            <w:r w:rsidRPr="005A5CD3">
              <w:rPr>
                <w:sz w:val="14"/>
                <w:szCs w:val="16"/>
              </w:rPr>
              <w:t>9,2</w:t>
            </w:r>
          </w:p>
        </w:tc>
        <w:tc>
          <w:tcPr>
            <w:tcW w:w="850" w:type="dxa"/>
            <w:tcBorders>
              <w:top w:val="single" w:sz="6" w:space="0" w:color="auto"/>
              <w:left w:val="single" w:sz="6" w:space="0" w:color="auto"/>
              <w:bottom w:val="single" w:sz="12" w:space="0" w:color="auto"/>
              <w:right w:val="single" w:sz="6" w:space="0" w:color="auto"/>
            </w:tcBorders>
            <w:vAlign w:val="center"/>
          </w:tcPr>
          <w:p w:rsidR="005A5CD3" w:rsidRPr="005A5CD3" w:rsidRDefault="005A5CD3" w:rsidP="005A5CD3">
            <w:pPr>
              <w:jc w:val="center"/>
              <w:rPr>
                <w:sz w:val="14"/>
                <w:szCs w:val="16"/>
              </w:rPr>
            </w:pPr>
            <w:r w:rsidRPr="005A5CD3">
              <w:rPr>
                <w:sz w:val="14"/>
                <w:szCs w:val="16"/>
              </w:rPr>
              <w:t>1400611,2</w:t>
            </w:r>
          </w:p>
        </w:tc>
        <w:tc>
          <w:tcPr>
            <w:tcW w:w="474" w:type="dxa"/>
            <w:tcBorders>
              <w:top w:val="single" w:sz="6" w:space="0" w:color="auto"/>
              <w:left w:val="single" w:sz="6" w:space="0" w:color="auto"/>
              <w:bottom w:val="single" w:sz="12" w:space="0" w:color="auto"/>
              <w:right w:val="single" w:sz="12" w:space="0" w:color="auto"/>
            </w:tcBorders>
            <w:vAlign w:val="center"/>
          </w:tcPr>
          <w:p w:rsidR="005A5CD3" w:rsidRPr="005A5CD3" w:rsidRDefault="005A5CD3" w:rsidP="005A5CD3">
            <w:pPr>
              <w:jc w:val="center"/>
              <w:rPr>
                <w:sz w:val="14"/>
                <w:szCs w:val="16"/>
              </w:rPr>
            </w:pPr>
            <w:r w:rsidRPr="005A5CD3">
              <w:rPr>
                <w:sz w:val="14"/>
                <w:szCs w:val="16"/>
              </w:rPr>
              <w:t>19</w:t>
            </w:r>
          </w:p>
        </w:tc>
        <w:tc>
          <w:tcPr>
            <w:tcW w:w="794" w:type="dxa"/>
            <w:gridSpan w:val="2"/>
            <w:tcBorders>
              <w:top w:val="single" w:sz="6" w:space="0" w:color="auto"/>
              <w:left w:val="single" w:sz="12" w:space="0" w:color="auto"/>
              <w:bottom w:val="single" w:sz="12" w:space="0" w:color="auto"/>
              <w:right w:val="single" w:sz="6" w:space="0" w:color="auto"/>
            </w:tcBorders>
            <w:vAlign w:val="center"/>
          </w:tcPr>
          <w:p w:rsidR="005A5CD3" w:rsidRPr="005A5CD3" w:rsidRDefault="005A5CD3" w:rsidP="005A5CD3">
            <w:pPr>
              <w:jc w:val="center"/>
              <w:rPr>
                <w:sz w:val="14"/>
                <w:szCs w:val="16"/>
              </w:rPr>
            </w:pPr>
            <w:r w:rsidRPr="005A5CD3">
              <w:rPr>
                <w:sz w:val="14"/>
                <w:szCs w:val="16"/>
              </w:rPr>
              <w:t>3234916</w:t>
            </w:r>
          </w:p>
        </w:tc>
        <w:tc>
          <w:tcPr>
            <w:tcW w:w="474" w:type="dxa"/>
            <w:gridSpan w:val="2"/>
            <w:tcBorders>
              <w:top w:val="single" w:sz="6" w:space="0" w:color="auto"/>
              <w:left w:val="single" w:sz="6" w:space="0" w:color="auto"/>
              <w:bottom w:val="single" w:sz="12" w:space="0" w:color="auto"/>
              <w:right w:val="single" w:sz="6" w:space="0" w:color="auto"/>
            </w:tcBorders>
            <w:vAlign w:val="center"/>
          </w:tcPr>
          <w:p w:rsidR="005A5CD3" w:rsidRPr="005A5CD3" w:rsidRDefault="005A5CD3" w:rsidP="005A5CD3">
            <w:pPr>
              <w:jc w:val="center"/>
              <w:rPr>
                <w:sz w:val="14"/>
                <w:szCs w:val="16"/>
              </w:rPr>
            </w:pPr>
            <w:r w:rsidRPr="005A5CD3">
              <w:rPr>
                <w:sz w:val="14"/>
                <w:szCs w:val="16"/>
              </w:rPr>
              <w:t>13,3</w:t>
            </w:r>
          </w:p>
        </w:tc>
        <w:tc>
          <w:tcPr>
            <w:tcW w:w="907" w:type="dxa"/>
            <w:gridSpan w:val="2"/>
            <w:tcBorders>
              <w:top w:val="single" w:sz="6" w:space="0" w:color="auto"/>
              <w:left w:val="single" w:sz="6" w:space="0" w:color="auto"/>
              <w:bottom w:val="single" w:sz="12" w:space="0" w:color="auto"/>
              <w:right w:val="single" w:sz="6" w:space="0" w:color="auto"/>
            </w:tcBorders>
            <w:vAlign w:val="center"/>
          </w:tcPr>
          <w:p w:rsidR="005A5CD3" w:rsidRPr="005A5CD3" w:rsidRDefault="005A5CD3" w:rsidP="005A5CD3">
            <w:pPr>
              <w:jc w:val="center"/>
              <w:rPr>
                <w:sz w:val="14"/>
                <w:szCs w:val="16"/>
              </w:rPr>
            </w:pPr>
            <w:r w:rsidRPr="005A5CD3">
              <w:rPr>
                <w:sz w:val="14"/>
                <w:szCs w:val="16"/>
              </w:rPr>
              <w:t>1465876,8</w:t>
            </w:r>
          </w:p>
        </w:tc>
        <w:tc>
          <w:tcPr>
            <w:tcW w:w="476" w:type="dxa"/>
            <w:gridSpan w:val="2"/>
            <w:tcBorders>
              <w:top w:val="single" w:sz="6" w:space="0" w:color="auto"/>
              <w:left w:val="single" w:sz="6" w:space="0" w:color="auto"/>
              <w:bottom w:val="single" w:sz="12" w:space="0" w:color="auto"/>
              <w:right w:val="single" w:sz="12" w:space="0" w:color="auto"/>
            </w:tcBorders>
            <w:vAlign w:val="center"/>
          </w:tcPr>
          <w:p w:rsidR="005A5CD3" w:rsidRPr="005A5CD3" w:rsidRDefault="005A5CD3" w:rsidP="005A5CD3">
            <w:pPr>
              <w:jc w:val="center"/>
              <w:rPr>
                <w:sz w:val="14"/>
                <w:szCs w:val="16"/>
              </w:rPr>
            </w:pPr>
            <w:r w:rsidRPr="005A5CD3">
              <w:rPr>
                <w:sz w:val="14"/>
                <w:szCs w:val="16"/>
              </w:rPr>
              <w:t>20</w:t>
            </w:r>
          </w:p>
        </w:tc>
      </w:tr>
      <w:tr w:rsidR="005A5CD3" w:rsidRPr="005A5CD3" w:rsidTr="00737B66">
        <w:trPr>
          <w:gridAfter w:val="1"/>
          <w:wAfter w:w="14" w:type="dxa"/>
        </w:trPr>
        <w:tc>
          <w:tcPr>
            <w:tcW w:w="956" w:type="dxa"/>
            <w:tcBorders>
              <w:top w:val="single" w:sz="12" w:space="0" w:color="auto"/>
              <w:left w:val="single" w:sz="12" w:space="0" w:color="auto"/>
              <w:bottom w:val="single" w:sz="12" w:space="0" w:color="auto"/>
              <w:right w:val="single" w:sz="6" w:space="0" w:color="auto"/>
            </w:tcBorders>
            <w:vAlign w:val="center"/>
          </w:tcPr>
          <w:p w:rsidR="005A5CD3" w:rsidRPr="005A5CD3" w:rsidRDefault="005A5CD3" w:rsidP="005A5CD3">
            <w:pPr>
              <w:jc w:val="center"/>
              <w:rPr>
                <w:sz w:val="14"/>
                <w:szCs w:val="16"/>
              </w:rPr>
            </w:pPr>
            <w:r w:rsidRPr="005A5CD3">
              <w:rPr>
                <w:sz w:val="14"/>
                <w:szCs w:val="16"/>
              </w:rPr>
              <w:t>Iš viso išlaidų</w:t>
            </w:r>
          </w:p>
        </w:tc>
        <w:tc>
          <w:tcPr>
            <w:tcW w:w="793" w:type="dxa"/>
            <w:tcBorders>
              <w:top w:val="single" w:sz="12" w:space="0" w:color="auto"/>
              <w:left w:val="single" w:sz="6" w:space="0" w:color="auto"/>
              <w:bottom w:val="single" w:sz="12" w:space="0" w:color="auto"/>
              <w:right w:val="single" w:sz="6" w:space="0" w:color="auto"/>
            </w:tcBorders>
            <w:vAlign w:val="center"/>
          </w:tcPr>
          <w:p w:rsidR="005A5CD3" w:rsidRPr="005A5CD3" w:rsidRDefault="005A5CD3" w:rsidP="005A5CD3">
            <w:pPr>
              <w:jc w:val="center"/>
              <w:rPr>
                <w:sz w:val="14"/>
                <w:szCs w:val="16"/>
              </w:rPr>
            </w:pPr>
            <w:r w:rsidRPr="005A5CD3">
              <w:rPr>
                <w:sz w:val="14"/>
                <w:szCs w:val="16"/>
              </w:rPr>
              <w:t>24572433</w:t>
            </w:r>
          </w:p>
        </w:tc>
        <w:tc>
          <w:tcPr>
            <w:tcW w:w="509" w:type="dxa"/>
            <w:tcBorders>
              <w:top w:val="single" w:sz="12" w:space="0" w:color="auto"/>
              <w:left w:val="single" w:sz="6" w:space="0" w:color="auto"/>
              <w:bottom w:val="single" w:sz="12" w:space="0" w:color="auto"/>
              <w:right w:val="single" w:sz="6" w:space="0" w:color="auto"/>
            </w:tcBorders>
            <w:vAlign w:val="center"/>
          </w:tcPr>
          <w:p w:rsidR="005A5CD3" w:rsidRPr="005A5CD3" w:rsidRDefault="005A5CD3" w:rsidP="005A5CD3">
            <w:pPr>
              <w:jc w:val="center"/>
              <w:rPr>
                <w:sz w:val="14"/>
                <w:szCs w:val="16"/>
              </w:rPr>
            </w:pPr>
            <w:r w:rsidRPr="005A5CD3">
              <w:rPr>
                <w:sz w:val="14"/>
                <w:szCs w:val="16"/>
              </w:rPr>
              <w:t>100</w:t>
            </w:r>
          </w:p>
        </w:tc>
        <w:tc>
          <w:tcPr>
            <w:tcW w:w="849" w:type="dxa"/>
            <w:tcBorders>
              <w:top w:val="single" w:sz="12" w:space="0" w:color="auto"/>
              <w:left w:val="single" w:sz="6" w:space="0" w:color="auto"/>
              <w:bottom w:val="single" w:sz="12" w:space="0" w:color="auto"/>
              <w:right w:val="single" w:sz="6" w:space="0" w:color="auto"/>
            </w:tcBorders>
            <w:vAlign w:val="center"/>
          </w:tcPr>
          <w:p w:rsidR="005A5CD3" w:rsidRPr="005A5CD3" w:rsidRDefault="005A5CD3" w:rsidP="005A5CD3">
            <w:pPr>
              <w:jc w:val="center"/>
              <w:rPr>
                <w:sz w:val="14"/>
                <w:szCs w:val="16"/>
              </w:rPr>
            </w:pPr>
            <w:r w:rsidRPr="005A5CD3">
              <w:rPr>
                <w:sz w:val="14"/>
                <w:szCs w:val="16"/>
              </w:rPr>
              <w:t>7106908,4</w:t>
            </w:r>
          </w:p>
        </w:tc>
        <w:tc>
          <w:tcPr>
            <w:tcW w:w="509" w:type="dxa"/>
            <w:tcBorders>
              <w:top w:val="single" w:sz="12" w:space="0" w:color="auto"/>
              <w:left w:val="single" w:sz="6" w:space="0" w:color="auto"/>
              <w:bottom w:val="single" w:sz="12" w:space="0" w:color="auto"/>
              <w:right w:val="single" w:sz="6" w:space="0" w:color="auto"/>
            </w:tcBorders>
            <w:vAlign w:val="center"/>
          </w:tcPr>
          <w:p w:rsidR="005A5CD3" w:rsidRPr="005A5CD3" w:rsidRDefault="005A5CD3" w:rsidP="005A5CD3">
            <w:pPr>
              <w:jc w:val="center"/>
              <w:rPr>
                <w:sz w:val="14"/>
                <w:szCs w:val="16"/>
              </w:rPr>
            </w:pPr>
            <w:r w:rsidRPr="005A5CD3">
              <w:rPr>
                <w:sz w:val="14"/>
                <w:szCs w:val="16"/>
              </w:rPr>
              <w:t>100</w:t>
            </w:r>
          </w:p>
        </w:tc>
        <w:tc>
          <w:tcPr>
            <w:tcW w:w="796" w:type="dxa"/>
            <w:tcBorders>
              <w:top w:val="single" w:sz="12" w:space="0" w:color="auto"/>
              <w:left w:val="single" w:sz="6" w:space="0" w:color="auto"/>
              <w:bottom w:val="single" w:sz="12" w:space="0" w:color="auto"/>
              <w:right w:val="single" w:sz="6" w:space="0" w:color="auto"/>
            </w:tcBorders>
            <w:vAlign w:val="center"/>
          </w:tcPr>
          <w:p w:rsidR="005A5CD3" w:rsidRPr="005A5CD3" w:rsidRDefault="005A5CD3" w:rsidP="005A5CD3">
            <w:pPr>
              <w:jc w:val="center"/>
              <w:rPr>
                <w:sz w:val="14"/>
                <w:szCs w:val="16"/>
              </w:rPr>
            </w:pPr>
            <w:r w:rsidRPr="005A5CD3">
              <w:rPr>
                <w:sz w:val="14"/>
                <w:szCs w:val="16"/>
              </w:rPr>
              <w:t>24617010</w:t>
            </w:r>
          </w:p>
        </w:tc>
        <w:tc>
          <w:tcPr>
            <w:tcW w:w="510" w:type="dxa"/>
            <w:tcBorders>
              <w:top w:val="single" w:sz="12" w:space="0" w:color="auto"/>
              <w:left w:val="single" w:sz="6" w:space="0" w:color="auto"/>
              <w:bottom w:val="single" w:sz="12" w:space="0" w:color="auto"/>
              <w:right w:val="single" w:sz="6" w:space="0" w:color="auto"/>
            </w:tcBorders>
            <w:vAlign w:val="center"/>
          </w:tcPr>
          <w:p w:rsidR="005A5CD3" w:rsidRPr="005A5CD3" w:rsidRDefault="005A5CD3" w:rsidP="005A5CD3">
            <w:pPr>
              <w:jc w:val="center"/>
              <w:rPr>
                <w:sz w:val="14"/>
                <w:szCs w:val="16"/>
              </w:rPr>
            </w:pPr>
            <w:r w:rsidRPr="005A5CD3">
              <w:rPr>
                <w:sz w:val="14"/>
                <w:szCs w:val="16"/>
              </w:rPr>
              <w:t>100</w:t>
            </w:r>
          </w:p>
        </w:tc>
        <w:tc>
          <w:tcPr>
            <w:tcW w:w="850" w:type="dxa"/>
            <w:tcBorders>
              <w:top w:val="single" w:sz="12" w:space="0" w:color="auto"/>
              <w:left w:val="single" w:sz="6" w:space="0" w:color="auto"/>
              <w:bottom w:val="single" w:sz="12" w:space="0" w:color="auto"/>
              <w:right w:val="single" w:sz="6" w:space="0" w:color="auto"/>
            </w:tcBorders>
            <w:vAlign w:val="center"/>
          </w:tcPr>
          <w:p w:rsidR="005A5CD3" w:rsidRPr="005A5CD3" w:rsidRDefault="005A5CD3" w:rsidP="005A5CD3">
            <w:pPr>
              <w:jc w:val="center"/>
              <w:rPr>
                <w:sz w:val="14"/>
                <w:szCs w:val="16"/>
              </w:rPr>
            </w:pPr>
            <w:r w:rsidRPr="005A5CD3">
              <w:rPr>
                <w:sz w:val="14"/>
                <w:szCs w:val="16"/>
              </w:rPr>
              <w:t>6840935</w:t>
            </w:r>
          </w:p>
        </w:tc>
        <w:tc>
          <w:tcPr>
            <w:tcW w:w="474" w:type="dxa"/>
            <w:tcBorders>
              <w:top w:val="single" w:sz="12" w:space="0" w:color="auto"/>
              <w:left w:val="single" w:sz="6" w:space="0" w:color="auto"/>
              <w:bottom w:val="single" w:sz="12" w:space="0" w:color="auto"/>
              <w:right w:val="single" w:sz="6" w:space="0" w:color="auto"/>
            </w:tcBorders>
            <w:vAlign w:val="center"/>
          </w:tcPr>
          <w:p w:rsidR="005A5CD3" w:rsidRPr="005A5CD3" w:rsidRDefault="005A5CD3" w:rsidP="005A5CD3">
            <w:pPr>
              <w:jc w:val="center"/>
              <w:rPr>
                <w:sz w:val="14"/>
                <w:szCs w:val="16"/>
              </w:rPr>
            </w:pPr>
            <w:r w:rsidRPr="005A5CD3">
              <w:rPr>
                <w:sz w:val="14"/>
                <w:szCs w:val="16"/>
              </w:rPr>
              <w:t>100</w:t>
            </w:r>
          </w:p>
        </w:tc>
        <w:tc>
          <w:tcPr>
            <w:tcW w:w="794" w:type="dxa"/>
            <w:gridSpan w:val="2"/>
            <w:tcBorders>
              <w:top w:val="single" w:sz="12" w:space="0" w:color="auto"/>
              <w:left w:val="single" w:sz="6" w:space="0" w:color="auto"/>
              <w:bottom w:val="single" w:sz="12" w:space="0" w:color="auto"/>
              <w:right w:val="single" w:sz="6" w:space="0" w:color="auto"/>
            </w:tcBorders>
            <w:vAlign w:val="center"/>
          </w:tcPr>
          <w:p w:rsidR="005A5CD3" w:rsidRPr="005A5CD3" w:rsidRDefault="005A5CD3" w:rsidP="005A5CD3">
            <w:pPr>
              <w:jc w:val="center"/>
              <w:rPr>
                <w:sz w:val="14"/>
                <w:szCs w:val="16"/>
              </w:rPr>
            </w:pPr>
            <w:r w:rsidRPr="005A5CD3">
              <w:rPr>
                <w:sz w:val="14"/>
                <w:szCs w:val="16"/>
              </w:rPr>
              <w:t>24528634</w:t>
            </w:r>
          </w:p>
        </w:tc>
        <w:tc>
          <w:tcPr>
            <w:tcW w:w="474" w:type="dxa"/>
            <w:tcBorders>
              <w:top w:val="single" w:sz="12" w:space="0" w:color="auto"/>
              <w:left w:val="single" w:sz="6" w:space="0" w:color="auto"/>
              <w:bottom w:val="single" w:sz="12" w:space="0" w:color="auto"/>
              <w:right w:val="single" w:sz="6" w:space="0" w:color="auto"/>
            </w:tcBorders>
            <w:vAlign w:val="center"/>
          </w:tcPr>
          <w:p w:rsidR="005A5CD3" w:rsidRPr="005A5CD3" w:rsidRDefault="005A5CD3" w:rsidP="005A5CD3">
            <w:pPr>
              <w:jc w:val="center"/>
              <w:rPr>
                <w:sz w:val="14"/>
                <w:szCs w:val="16"/>
              </w:rPr>
            </w:pPr>
            <w:r w:rsidRPr="005A5CD3">
              <w:rPr>
                <w:sz w:val="14"/>
                <w:szCs w:val="16"/>
              </w:rPr>
              <w:t>100</w:t>
            </w:r>
          </w:p>
        </w:tc>
        <w:tc>
          <w:tcPr>
            <w:tcW w:w="850" w:type="dxa"/>
            <w:tcBorders>
              <w:top w:val="single" w:sz="12" w:space="0" w:color="auto"/>
              <w:left w:val="single" w:sz="6" w:space="0" w:color="auto"/>
              <w:bottom w:val="single" w:sz="12" w:space="0" w:color="auto"/>
              <w:right w:val="single" w:sz="6" w:space="0" w:color="auto"/>
            </w:tcBorders>
            <w:vAlign w:val="center"/>
          </w:tcPr>
          <w:p w:rsidR="005A5CD3" w:rsidRPr="005A5CD3" w:rsidRDefault="005A5CD3" w:rsidP="005A5CD3">
            <w:pPr>
              <w:jc w:val="center"/>
              <w:rPr>
                <w:sz w:val="14"/>
                <w:szCs w:val="16"/>
              </w:rPr>
            </w:pPr>
            <w:r w:rsidRPr="005A5CD3">
              <w:rPr>
                <w:sz w:val="14"/>
                <w:szCs w:val="16"/>
              </w:rPr>
              <w:t>6806865,6</w:t>
            </w:r>
          </w:p>
        </w:tc>
        <w:tc>
          <w:tcPr>
            <w:tcW w:w="479" w:type="dxa"/>
            <w:tcBorders>
              <w:top w:val="single" w:sz="12" w:space="0" w:color="auto"/>
              <w:left w:val="single" w:sz="6" w:space="0" w:color="auto"/>
              <w:bottom w:val="single" w:sz="12" w:space="0" w:color="auto"/>
              <w:right w:val="single" w:sz="6" w:space="0" w:color="auto"/>
            </w:tcBorders>
            <w:vAlign w:val="center"/>
          </w:tcPr>
          <w:p w:rsidR="005A5CD3" w:rsidRPr="005A5CD3" w:rsidRDefault="005A5CD3" w:rsidP="005A5CD3">
            <w:pPr>
              <w:jc w:val="center"/>
              <w:rPr>
                <w:sz w:val="14"/>
                <w:szCs w:val="16"/>
              </w:rPr>
            </w:pPr>
            <w:r w:rsidRPr="005A5CD3">
              <w:rPr>
                <w:sz w:val="14"/>
                <w:szCs w:val="16"/>
              </w:rPr>
              <w:t>100</w:t>
            </w:r>
          </w:p>
        </w:tc>
        <w:tc>
          <w:tcPr>
            <w:tcW w:w="794" w:type="dxa"/>
            <w:tcBorders>
              <w:top w:val="single" w:sz="12" w:space="0" w:color="auto"/>
              <w:left w:val="single" w:sz="6" w:space="0" w:color="auto"/>
              <w:bottom w:val="single" w:sz="12" w:space="0" w:color="auto"/>
              <w:right w:val="single" w:sz="6" w:space="0" w:color="auto"/>
            </w:tcBorders>
            <w:vAlign w:val="center"/>
          </w:tcPr>
          <w:p w:rsidR="005A5CD3" w:rsidRPr="005A5CD3" w:rsidRDefault="005A5CD3" w:rsidP="005A5CD3">
            <w:pPr>
              <w:jc w:val="center"/>
              <w:rPr>
                <w:sz w:val="14"/>
                <w:szCs w:val="16"/>
              </w:rPr>
            </w:pPr>
            <w:r w:rsidRPr="005A5CD3">
              <w:rPr>
                <w:sz w:val="14"/>
                <w:szCs w:val="16"/>
              </w:rPr>
              <w:t>25086029</w:t>
            </w:r>
          </w:p>
        </w:tc>
        <w:tc>
          <w:tcPr>
            <w:tcW w:w="474" w:type="dxa"/>
            <w:tcBorders>
              <w:top w:val="single" w:sz="12" w:space="0" w:color="auto"/>
              <w:left w:val="single" w:sz="6" w:space="0" w:color="auto"/>
              <w:bottom w:val="single" w:sz="12" w:space="0" w:color="auto"/>
              <w:right w:val="single" w:sz="6" w:space="0" w:color="auto"/>
            </w:tcBorders>
            <w:vAlign w:val="center"/>
          </w:tcPr>
          <w:p w:rsidR="005A5CD3" w:rsidRPr="005A5CD3" w:rsidRDefault="005A5CD3" w:rsidP="005A5CD3">
            <w:pPr>
              <w:jc w:val="center"/>
              <w:rPr>
                <w:sz w:val="14"/>
                <w:szCs w:val="16"/>
              </w:rPr>
            </w:pPr>
            <w:r w:rsidRPr="005A5CD3">
              <w:rPr>
                <w:sz w:val="14"/>
                <w:szCs w:val="16"/>
              </w:rPr>
              <w:t>100</w:t>
            </w:r>
          </w:p>
        </w:tc>
        <w:tc>
          <w:tcPr>
            <w:tcW w:w="850" w:type="dxa"/>
            <w:tcBorders>
              <w:top w:val="single" w:sz="12" w:space="0" w:color="auto"/>
              <w:left w:val="single" w:sz="6" w:space="0" w:color="auto"/>
              <w:bottom w:val="single" w:sz="12" w:space="0" w:color="auto"/>
              <w:right w:val="single" w:sz="6" w:space="0" w:color="auto"/>
            </w:tcBorders>
            <w:vAlign w:val="center"/>
          </w:tcPr>
          <w:p w:rsidR="005A5CD3" w:rsidRPr="005A5CD3" w:rsidRDefault="005A5CD3" w:rsidP="005A5CD3">
            <w:pPr>
              <w:jc w:val="center"/>
              <w:rPr>
                <w:sz w:val="14"/>
                <w:szCs w:val="16"/>
              </w:rPr>
            </w:pPr>
            <w:r w:rsidRPr="005A5CD3">
              <w:rPr>
                <w:sz w:val="14"/>
                <w:szCs w:val="16"/>
              </w:rPr>
              <w:t>7371662,9</w:t>
            </w:r>
          </w:p>
        </w:tc>
        <w:tc>
          <w:tcPr>
            <w:tcW w:w="474" w:type="dxa"/>
            <w:tcBorders>
              <w:top w:val="single" w:sz="12" w:space="0" w:color="auto"/>
              <w:left w:val="single" w:sz="6" w:space="0" w:color="auto"/>
              <w:bottom w:val="single" w:sz="12" w:space="0" w:color="auto"/>
              <w:right w:val="single" w:sz="6" w:space="0" w:color="auto"/>
            </w:tcBorders>
            <w:vAlign w:val="center"/>
          </w:tcPr>
          <w:p w:rsidR="005A5CD3" w:rsidRPr="005A5CD3" w:rsidRDefault="005A5CD3" w:rsidP="005A5CD3">
            <w:pPr>
              <w:jc w:val="center"/>
              <w:rPr>
                <w:sz w:val="14"/>
                <w:szCs w:val="16"/>
              </w:rPr>
            </w:pPr>
            <w:r w:rsidRPr="005A5CD3">
              <w:rPr>
                <w:sz w:val="14"/>
                <w:szCs w:val="16"/>
              </w:rPr>
              <w:t>100</w:t>
            </w:r>
          </w:p>
        </w:tc>
        <w:tc>
          <w:tcPr>
            <w:tcW w:w="794" w:type="dxa"/>
            <w:gridSpan w:val="2"/>
            <w:tcBorders>
              <w:top w:val="single" w:sz="12" w:space="0" w:color="auto"/>
              <w:left w:val="single" w:sz="6" w:space="0" w:color="auto"/>
              <w:bottom w:val="single" w:sz="12" w:space="0" w:color="auto"/>
              <w:right w:val="single" w:sz="6" w:space="0" w:color="auto"/>
            </w:tcBorders>
            <w:vAlign w:val="center"/>
          </w:tcPr>
          <w:p w:rsidR="005A5CD3" w:rsidRPr="005A5CD3" w:rsidRDefault="005A5CD3" w:rsidP="005A5CD3">
            <w:pPr>
              <w:jc w:val="center"/>
              <w:rPr>
                <w:sz w:val="14"/>
                <w:szCs w:val="16"/>
              </w:rPr>
            </w:pPr>
            <w:r w:rsidRPr="005A5CD3">
              <w:rPr>
                <w:sz w:val="14"/>
                <w:szCs w:val="16"/>
              </w:rPr>
              <w:t>24378605</w:t>
            </w:r>
          </w:p>
        </w:tc>
        <w:tc>
          <w:tcPr>
            <w:tcW w:w="474" w:type="dxa"/>
            <w:gridSpan w:val="2"/>
            <w:tcBorders>
              <w:top w:val="single" w:sz="12" w:space="0" w:color="auto"/>
              <w:left w:val="single" w:sz="6" w:space="0" w:color="auto"/>
              <w:bottom w:val="single" w:sz="12" w:space="0" w:color="auto"/>
              <w:right w:val="single" w:sz="6" w:space="0" w:color="auto"/>
            </w:tcBorders>
            <w:vAlign w:val="center"/>
          </w:tcPr>
          <w:p w:rsidR="005A5CD3" w:rsidRPr="005A5CD3" w:rsidRDefault="005A5CD3" w:rsidP="005A5CD3">
            <w:pPr>
              <w:jc w:val="center"/>
              <w:rPr>
                <w:sz w:val="14"/>
                <w:szCs w:val="16"/>
              </w:rPr>
            </w:pPr>
            <w:r w:rsidRPr="005A5CD3">
              <w:rPr>
                <w:sz w:val="14"/>
                <w:szCs w:val="16"/>
              </w:rPr>
              <w:t>100</w:t>
            </w:r>
          </w:p>
        </w:tc>
        <w:tc>
          <w:tcPr>
            <w:tcW w:w="907" w:type="dxa"/>
            <w:gridSpan w:val="2"/>
            <w:tcBorders>
              <w:top w:val="single" w:sz="12" w:space="0" w:color="auto"/>
              <w:left w:val="single" w:sz="6" w:space="0" w:color="auto"/>
              <w:bottom w:val="single" w:sz="12" w:space="0" w:color="auto"/>
              <w:right w:val="single" w:sz="6" w:space="0" w:color="auto"/>
            </w:tcBorders>
            <w:vAlign w:val="center"/>
          </w:tcPr>
          <w:p w:rsidR="005A5CD3" w:rsidRPr="005A5CD3" w:rsidRDefault="005A5CD3" w:rsidP="005A5CD3">
            <w:pPr>
              <w:jc w:val="center"/>
              <w:rPr>
                <w:sz w:val="14"/>
                <w:szCs w:val="16"/>
              </w:rPr>
            </w:pPr>
            <w:r w:rsidRPr="005A5CD3">
              <w:rPr>
                <w:sz w:val="14"/>
                <w:szCs w:val="16"/>
              </w:rPr>
              <w:t>7334642,3</w:t>
            </w:r>
          </w:p>
        </w:tc>
        <w:tc>
          <w:tcPr>
            <w:tcW w:w="476" w:type="dxa"/>
            <w:gridSpan w:val="2"/>
            <w:tcBorders>
              <w:top w:val="single" w:sz="12" w:space="0" w:color="auto"/>
              <w:left w:val="single" w:sz="6" w:space="0" w:color="auto"/>
              <w:bottom w:val="single" w:sz="12" w:space="0" w:color="auto"/>
              <w:right w:val="single" w:sz="12" w:space="0" w:color="auto"/>
            </w:tcBorders>
            <w:vAlign w:val="center"/>
          </w:tcPr>
          <w:p w:rsidR="005A5CD3" w:rsidRPr="005A5CD3" w:rsidRDefault="005A5CD3" w:rsidP="005A5CD3">
            <w:pPr>
              <w:jc w:val="center"/>
              <w:rPr>
                <w:sz w:val="14"/>
                <w:szCs w:val="16"/>
              </w:rPr>
            </w:pPr>
            <w:r w:rsidRPr="005A5CD3">
              <w:rPr>
                <w:sz w:val="14"/>
                <w:szCs w:val="16"/>
              </w:rPr>
              <w:t>100</w:t>
            </w:r>
          </w:p>
        </w:tc>
      </w:tr>
    </w:tbl>
    <w:p w:rsidR="005A5CD3" w:rsidRDefault="005A5CD3" w:rsidP="005A5CD3">
      <w:pPr>
        <w:tabs>
          <w:tab w:val="center" w:pos="4770"/>
        </w:tabs>
        <w:autoSpaceDE w:val="0"/>
        <w:autoSpaceDN w:val="0"/>
        <w:adjustRightInd w:val="0"/>
        <w:spacing w:line="360" w:lineRule="auto"/>
        <w:jc w:val="both"/>
        <w:rPr>
          <w:lang w:val="lt-LT"/>
        </w:rPr>
      </w:pPr>
      <w:r w:rsidRPr="00EB74BD">
        <w:rPr>
          <w:b/>
          <w:sz w:val="20"/>
          <w:szCs w:val="20"/>
          <w:lang w:val="lt-LT"/>
        </w:rPr>
        <w:t>Šaltinis:</w:t>
      </w:r>
      <w:r w:rsidRPr="00DE45AC">
        <w:rPr>
          <w:sz w:val="20"/>
          <w:szCs w:val="20"/>
          <w:lang w:val="lt-LT"/>
        </w:rPr>
        <w:t xml:space="preserve"> Lietuvos statistikos departamento duomenų bazė</w:t>
      </w:r>
      <w:r>
        <w:rPr>
          <w:sz w:val="20"/>
          <w:szCs w:val="20"/>
          <w:lang w:val="lt-LT"/>
        </w:rPr>
        <w:t>, Finansų ministerijos duomenys</w:t>
      </w:r>
    </w:p>
    <w:p w:rsidR="005A5CD3" w:rsidRDefault="005A5CD3" w:rsidP="007C3B56">
      <w:pPr>
        <w:spacing w:line="360" w:lineRule="auto"/>
      </w:pPr>
    </w:p>
    <w:p w:rsidR="005A5CD3" w:rsidRDefault="005A5CD3" w:rsidP="007C3B56">
      <w:pPr>
        <w:spacing w:line="360" w:lineRule="auto"/>
      </w:pPr>
    </w:p>
    <w:p w:rsidR="005A5CD3" w:rsidRDefault="005A5CD3" w:rsidP="007C3B56">
      <w:pPr>
        <w:spacing w:line="360" w:lineRule="auto"/>
        <w:sectPr w:rsidR="005A5CD3" w:rsidSect="00073B90">
          <w:pgSz w:w="15840" w:h="12240" w:orient="landscape"/>
          <w:pgMar w:top="567" w:right="1134" w:bottom="1418" w:left="1134" w:header="709" w:footer="709" w:gutter="0"/>
          <w:cols w:space="708"/>
          <w:docGrid w:linePitch="360"/>
        </w:sectPr>
      </w:pPr>
    </w:p>
    <w:p w:rsidR="00BA1B64" w:rsidRDefault="00BA1B64" w:rsidP="007C3B56">
      <w:pPr>
        <w:spacing w:line="360" w:lineRule="auto"/>
      </w:pPr>
    </w:p>
    <w:p w:rsidR="003977D0" w:rsidRPr="003977D0" w:rsidRDefault="003977D0" w:rsidP="00073B90">
      <w:pPr>
        <w:spacing w:line="360" w:lineRule="auto"/>
        <w:jc w:val="right"/>
        <w:rPr>
          <w:b/>
        </w:rPr>
      </w:pPr>
      <w:r>
        <w:rPr>
          <w:b/>
        </w:rPr>
        <w:t>2</w:t>
      </w:r>
      <w:r w:rsidR="001B1CC5" w:rsidRPr="003977D0">
        <w:rPr>
          <w:b/>
        </w:rPr>
        <w:t xml:space="preserve"> PRIEDAS</w:t>
      </w:r>
    </w:p>
    <w:p w:rsidR="00BA1B64" w:rsidRPr="003977D0" w:rsidRDefault="00073B90" w:rsidP="00C62571">
      <w:pPr>
        <w:pStyle w:val="Heading4"/>
        <w:rPr>
          <w:lang w:val="lt-LT"/>
        </w:rPr>
      </w:pPr>
      <w:bookmarkStart w:id="95" w:name="_Toc385241716"/>
      <w:bookmarkStart w:id="96" w:name="_Toc385241837"/>
      <w:r w:rsidRPr="00073B90">
        <w:rPr>
          <w:lang w:val="lt-LT"/>
        </w:rPr>
        <w:t>VALSTYBĖS IR SAVIVALDYBIŲ BIUDŽETŲ PAJAMŲ KITIMAS TŪKST. LT</w:t>
      </w:r>
      <w:bookmarkEnd w:id="95"/>
      <w:bookmarkEnd w:id="96"/>
    </w:p>
    <w:tbl>
      <w:tblPr>
        <w:tblpPr w:leftFromText="180" w:rightFromText="180" w:vertAnchor="page" w:horzAnchor="margin" w:tblpXSpec="center" w:tblpY="2647"/>
        <w:tblW w:w="10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18"/>
        <w:gridCol w:w="992"/>
        <w:gridCol w:w="901"/>
        <w:gridCol w:w="952"/>
        <w:gridCol w:w="881"/>
        <w:gridCol w:w="917"/>
        <w:gridCol w:w="7"/>
        <w:gridCol w:w="849"/>
        <w:gridCol w:w="849"/>
        <w:gridCol w:w="849"/>
        <w:gridCol w:w="849"/>
        <w:gridCol w:w="844"/>
      </w:tblGrid>
      <w:tr w:rsidR="003977D0" w:rsidRPr="003977D0" w:rsidTr="003977D0">
        <w:trPr>
          <w:trHeight w:val="510"/>
        </w:trPr>
        <w:tc>
          <w:tcPr>
            <w:tcW w:w="1418" w:type="dxa"/>
            <w:vMerge w:val="restart"/>
            <w:tcBorders>
              <w:top w:val="single" w:sz="12" w:space="0" w:color="auto"/>
              <w:left w:val="single" w:sz="12" w:space="0" w:color="auto"/>
              <w:bottom w:val="single" w:sz="6" w:space="0" w:color="auto"/>
              <w:right w:val="single" w:sz="12" w:space="0" w:color="auto"/>
            </w:tcBorders>
            <w:shd w:val="clear" w:color="auto" w:fill="auto"/>
            <w:vAlign w:val="center"/>
          </w:tcPr>
          <w:p w:rsidR="003977D0" w:rsidRPr="003977D0" w:rsidRDefault="003977D0" w:rsidP="003977D0">
            <w:pPr>
              <w:spacing w:line="360" w:lineRule="auto"/>
              <w:jc w:val="center"/>
              <w:rPr>
                <w:b/>
                <w:sz w:val="16"/>
                <w:szCs w:val="16"/>
              </w:rPr>
            </w:pPr>
            <w:r w:rsidRPr="003977D0">
              <w:rPr>
                <w:b/>
                <w:sz w:val="16"/>
                <w:szCs w:val="16"/>
              </w:rPr>
              <w:t>Pajamų rūšys</w:t>
            </w:r>
          </w:p>
        </w:tc>
        <w:tc>
          <w:tcPr>
            <w:tcW w:w="4643" w:type="dxa"/>
            <w:gridSpan w:val="5"/>
            <w:tcBorders>
              <w:top w:val="single" w:sz="12" w:space="0" w:color="auto"/>
              <w:left w:val="single" w:sz="12" w:space="0" w:color="auto"/>
              <w:bottom w:val="single" w:sz="6" w:space="0" w:color="auto"/>
              <w:right w:val="single" w:sz="12" w:space="0" w:color="auto"/>
            </w:tcBorders>
            <w:shd w:val="clear" w:color="auto" w:fill="auto"/>
            <w:vAlign w:val="center"/>
          </w:tcPr>
          <w:p w:rsidR="003977D0" w:rsidRPr="003977D0" w:rsidRDefault="003977D0" w:rsidP="003977D0">
            <w:pPr>
              <w:spacing w:line="360" w:lineRule="auto"/>
              <w:jc w:val="center"/>
              <w:rPr>
                <w:b/>
                <w:sz w:val="16"/>
                <w:szCs w:val="16"/>
                <w:lang w:val="lt-LT"/>
              </w:rPr>
            </w:pPr>
            <w:r w:rsidRPr="003977D0">
              <w:rPr>
                <w:b/>
                <w:sz w:val="16"/>
                <w:szCs w:val="16"/>
                <w:lang w:val="lt-LT"/>
              </w:rPr>
              <w:t>Valstybės biudžetas</w:t>
            </w:r>
          </w:p>
        </w:tc>
        <w:tc>
          <w:tcPr>
            <w:tcW w:w="4247" w:type="dxa"/>
            <w:gridSpan w:val="6"/>
            <w:tcBorders>
              <w:top w:val="single" w:sz="12" w:space="0" w:color="auto"/>
              <w:left w:val="single" w:sz="12" w:space="0" w:color="auto"/>
              <w:bottom w:val="single" w:sz="6" w:space="0" w:color="auto"/>
              <w:right w:val="single" w:sz="12" w:space="0" w:color="auto"/>
            </w:tcBorders>
            <w:shd w:val="clear" w:color="auto" w:fill="auto"/>
            <w:vAlign w:val="center"/>
          </w:tcPr>
          <w:p w:rsidR="003977D0" w:rsidRPr="003977D0" w:rsidRDefault="003977D0" w:rsidP="003977D0">
            <w:pPr>
              <w:spacing w:line="360" w:lineRule="auto"/>
              <w:jc w:val="center"/>
              <w:rPr>
                <w:b/>
                <w:sz w:val="16"/>
                <w:szCs w:val="16"/>
              </w:rPr>
            </w:pPr>
            <w:r w:rsidRPr="003977D0">
              <w:rPr>
                <w:b/>
                <w:sz w:val="16"/>
                <w:szCs w:val="16"/>
              </w:rPr>
              <w:t>Savivaldybių biudžetai</w:t>
            </w:r>
          </w:p>
        </w:tc>
      </w:tr>
      <w:tr w:rsidR="003977D0" w:rsidRPr="003977D0" w:rsidTr="003977D0">
        <w:trPr>
          <w:trHeight w:val="510"/>
        </w:trPr>
        <w:tc>
          <w:tcPr>
            <w:tcW w:w="1418" w:type="dxa"/>
            <w:vMerge/>
            <w:tcBorders>
              <w:top w:val="single" w:sz="6" w:space="0" w:color="auto"/>
              <w:left w:val="single" w:sz="12" w:space="0" w:color="auto"/>
              <w:bottom w:val="single" w:sz="6" w:space="0" w:color="auto"/>
              <w:right w:val="single" w:sz="12" w:space="0" w:color="auto"/>
            </w:tcBorders>
            <w:shd w:val="clear" w:color="auto" w:fill="auto"/>
            <w:vAlign w:val="center"/>
          </w:tcPr>
          <w:p w:rsidR="003977D0" w:rsidRPr="003977D0" w:rsidRDefault="003977D0" w:rsidP="003977D0">
            <w:pPr>
              <w:spacing w:line="360" w:lineRule="auto"/>
              <w:jc w:val="center"/>
              <w:rPr>
                <w:sz w:val="16"/>
                <w:szCs w:val="16"/>
              </w:rPr>
            </w:pPr>
          </w:p>
        </w:tc>
        <w:tc>
          <w:tcPr>
            <w:tcW w:w="992" w:type="dxa"/>
            <w:tcBorders>
              <w:top w:val="single" w:sz="6" w:space="0" w:color="auto"/>
              <w:left w:val="single" w:sz="12" w:space="0" w:color="auto"/>
              <w:bottom w:val="single" w:sz="6" w:space="0" w:color="auto"/>
              <w:right w:val="single" w:sz="6" w:space="0" w:color="auto"/>
            </w:tcBorders>
            <w:shd w:val="clear" w:color="auto" w:fill="auto"/>
            <w:vAlign w:val="center"/>
          </w:tcPr>
          <w:p w:rsidR="003977D0" w:rsidRPr="003977D0" w:rsidRDefault="003977D0" w:rsidP="003977D0">
            <w:pPr>
              <w:spacing w:line="360" w:lineRule="auto"/>
              <w:jc w:val="center"/>
              <w:rPr>
                <w:sz w:val="16"/>
                <w:szCs w:val="16"/>
              </w:rPr>
            </w:pPr>
            <w:r w:rsidRPr="003977D0">
              <w:rPr>
                <w:sz w:val="16"/>
                <w:szCs w:val="16"/>
              </w:rPr>
              <w:t>2008</w:t>
            </w:r>
          </w:p>
        </w:tc>
        <w:tc>
          <w:tcPr>
            <w:tcW w:w="901" w:type="dxa"/>
            <w:tcBorders>
              <w:top w:val="single" w:sz="6" w:space="0" w:color="auto"/>
              <w:left w:val="single" w:sz="6" w:space="0" w:color="auto"/>
              <w:bottom w:val="single" w:sz="6" w:space="0" w:color="auto"/>
              <w:right w:val="single" w:sz="6" w:space="0" w:color="auto"/>
            </w:tcBorders>
            <w:shd w:val="clear" w:color="auto" w:fill="auto"/>
            <w:vAlign w:val="center"/>
          </w:tcPr>
          <w:p w:rsidR="003977D0" w:rsidRPr="003977D0" w:rsidRDefault="003977D0" w:rsidP="003977D0">
            <w:pPr>
              <w:spacing w:line="360" w:lineRule="auto"/>
              <w:jc w:val="center"/>
              <w:rPr>
                <w:sz w:val="16"/>
                <w:szCs w:val="16"/>
              </w:rPr>
            </w:pPr>
            <w:r w:rsidRPr="003977D0">
              <w:rPr>
                <w:sz w:val="16"/>
                <w:szCs w:val="16"/>
              </w:rPr>
              <w:t>2009</w:t>
            </w:r>
          </w:p>
        </w:tc>
        <w:tc>
          <w:tcPr>
            <w:tcW w:w="952" w:type="dxa"/>
            <w:tcBorders>
              <w:top w:val="single" w:sz="6" w:space="0" w:color="auto"/>
              <w:left w:val="single" w:sz="6" w:space="0" w:color="auto"/>
              <w:bottom w:val="single" w:sz="6" w:space="0" w:color="auto"/>
              <w:right w:val="single" w:sz="6" w:space="0" w:color="auto"/>
            </w:tcBorders>
            <w:shd w:val="clear" w:color="auto" w:fill="auto"/>
            <w:vAlign w:val="center"/>
          </w:tcPr>
          <w:p w:rsidR="003977D0" w:rsidRPr="003977D0" w:rsidRDefault="003977D0" w:rsidP="003977D0">
            <w:pPr>
              <w:spacing w:line="360" w:lineRule="auto"/>
              <w:jc w:val="center"/>
              <w:rPr>
                <w:sz w:val="16"/>
                <w:szCs w:val="16"/>
              </w:rPr>
            </w:pPr>
            <w:r w:rsidRPr="003977D0">
              <w:rPr>
                <w:sz w:val="16"/>
                <w:szCs w:val="16"/>
              </w:rPr>
              <w:t>2010</w:t>
            </w:r>
          </w:p>
        </w:tc>
        <w:tc>
          <w:tcPr>
            <w:tcW w:w="881" w:type="dxa"/>
            <w:tcBorders>
              <w:top w:val="single" w:sz="6" w:space="0" w:color="auto"/>
              <w:left w:val="single" w:sz="6" w:space="0" w:color="auto"/>
              <w:bottom w:val="single" w:sz="6" w:space="0" w:color="auto"/>
              <w:right w:val="single" w:sz="6" w:space="0" w:color="auto"/>
            </w:tcBorders>
            <w:shd w:val="clear" w:color="auto" w:fill="auto"/>
            <w:vAlign w:val="center"/>
          </w:tcPr>
          <w:p w:rsidR="003977D0" w:rsidRPr="003977D0" w:rsidRDefault="003977D0" w:rsidP="003977D0">
            <w:pPr>
              <w:spacing w:line="360" w:lineRule="auto"/>
              <w:jc w:val="center"/>
              <w:rPr>
                <w:sz w:val="16"/>
                <w:szCs w:val="16"/>
              </w:rPr>
            </w:pPr>
            <w:r w:rsidRPr="003977D0">
              <w:rPr>
                <w:sz w:val="16"/>
                <w:szCs w:val="16"/>
              </w:rPr>
              <w:t>2011</w:t>
            </w:r>
          </w:p>
        </w:tc>
        <w:tc>
          <w:tcPr>
            <w:tcW w:w="924"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rsidR="003977D0" w:rsidRPr="003977D0" w:rsidRDefault="003977D0" w:rsidP="003977D0">
            <w:pPr>
              <w:spacing w:line="360" w:lineRule="auto"/>
              <w:jc w:val="center"/>
              <w:rPr>
                <w:sz w:val="16"/>
                <w:szCs w:val="16"/>
              </w:rPr>
            </w:pPr>
            <w:r w:rsidRPr="003977D0">
              <w:rPr>
                <w:sz w:val="16"/>
                <w:szCs w:val="16"/>
              </w:rPr>
              <w:t>2012</w:t>
            </w:r>
          </w:p>
        </w:tc>
        <w:tc>
          <w:tcPr>
            <w:tcW w:w="849" w:type="dxa"/>
            <w:tcBorders>
              <w:top w:val="single" w:sz="6" w:space="0" w:color="auto"/>
              <w:left w:val="single" w:sz="12" w:space="0" w:color="auto"/>
              <w:bottom w:val="single" w:sz="6" w:space="0" w:color="auto"/>
              <w:right w:val="single" w:sz="6" w:space="0" w:color="auto"/>
            </w:tcBorders>
            <w:shd w:val="clear" w:color="auto" w:fill="auto"/>
            <w:vAlign w:val="center"/>
          </w:tcPr>
          <w:p w:rsidR="003977D0" w:rsidRPr="003977D0" w:rsidRDefault="003977D0" w:rsidP="003977D0">
            <w:pPr>
              <w:spacing w:line="360" w:lineRule="auto"/>
              <w:jc w:val="center"/>
              <w:rPr>
                <w:sz w:val="16"/>
                <w:szCs w:val="16"/>
              </w:rPr>
            </w:pPr>
            <w:r w:rsidRPr="003977D0">
              <w:rPr>
                <w:sz w:val="16"/>
                <w:szCs w:val="16"/>
              </w:rPr>
              <w:t>2008</w:t>
            </w:r>
          </w:p>
        </w:tc>
        <w:tc>
          <w:tcPr>
            <w:tcW w:w="849" w:type="dxa"/>
            <w:tcBorders>
              <w:top w:val="single" w:sz="6" w:space="0" w:color="auto"/>
              <w:left w:val="single" w:sz="6" w:space="0" w:color="auto"/>
              <w:bottom w:val="single" w:sz="6" w:space="0" w:color="auto"/>
              <w:right w:val="single" w:sz="6" w:space="0" w:color="auto"/>
            </w:tcBorders>
            <w:shd w:val="clear" w:color="auto" w:fill="auto"/>
            <w:vAlign w:val="center"/>
          </w:tcPr>
          <w:p w:rsidR="003977D0" w:rsidRPr="003977D0" w:rsidRDefault="003977D0" w:rsidP="003977D0">
            <w:pPr>
              <w:spacing w:line="360" w:lineRule="auto"/>
              <w:jc w:val="center"/>
              <w:rPr>
                <w:sz w:val="16"/>
                <w:szCs w:val="16"/>
              </w:rPr>
            </w:pPr>
            <w:r w:rsidRPr="003977D0">
              <w:rPr>
                <w:sz w:val="16"/>
                <w:szCs w:val="16"/>
              </w:rPr>
              <w:t>2009</w:t>
            </w:r>
          </w:p>
        </w:tc>
        <w:tc>
          <w:tcPr>
            <w:tcW w:w="849" w:type="dxa"/>
            <w:tcBorders>
              <w:top w:val="single" w:sz="6" w:space="0" w:color="auto"/>
              <w:left w:val="single" w:sz="6" w:space="0" w:color="auto"/>
              <w:bottom w:val="single" w:sz="6" w:space="0" w:color="auto"/>
              <w:right w:val="single" w:sz="6" w:space="0" w:color="auto"/>
            </w:tcBorders>
            <w:shd w:val="clear" w:color="auto" w:fill="auto"/>
            <w:vAlign w:val="center"/>
          </w:tcPr>
          <w:p w:rsidR="003977D0" w:rsidRPr="003977D0" w:rsidRDefault="003977D0" w:rsidP="003977D0">
            <w:pPr>
              <w:spacing w:line="360" w:lineRule="auto"/>
              <w:jc w:val="center"/>
              <w:rPr>
                <w:sz w:val="16"/>
                <w:szCs w:val="16"/>
              </w:rPr>
            </w:pPr>
            <w:r w:rsidRPr="003977D0">
              <w:rPr>
                <w:sz w:val="16"/>
                <w:szCs w:val="16"/>
              </w:rPr>
              <w:t>2010</w:t>
            </w:r>
          </w:p>
        </w:tc>
        <w:tc>
          <w:tcPr>
            <w:tcW w:w="849" w:type="dxa"/>
            <w:tcBorders>
              <w:top w:val="single" w:sz="6" w:space="0" w:color="auto"/>
              <w:left w:val="single" w:sz="6" w:space="0" w:color="auto"/>
              <w:bottom w:val="single" w:sz="6" w:space="0" w:color="auto"/>
              <w:right w:val="single" w:sz="6" w:space="0" w:color="auto"/>
            </w:tcBorders>
            <w:shd w:val="clear" w:color="auto" w:fill="auto"/>
            <w:vAlign w:val="center"/>
          </w:tcPr>
          <w:p w:rsidR="003977D0" w:rsidRPr="003977D0" w:rsidRDefault="003977D0" w:rsidP="003977D0">
            <w:pPr>
              <w:spacing w:line="360" w:lineRule="auto"/>
              <w:jc w:val="center"/>
              <w:rPr>
                <w:sz w:val="16"/>
                <w:szCs w:val="16"/>
              </w:rPr>
            </w:pPr>
            <w:r w:rsidRPr="003977D0">
              <w:rPr>
                <w:sz w:val="16"/>
                <w:szCs w:val="16"/>
              </w:rPr>
              <w:t>2011</w:t>
            </w:r>
          </w:p>
        </w:tc>
        <w:tc>
          <w:tcPr>
            <w:tcW w:w="844" w:type="dxa"/>
            <w:tcBorders>
              <w:top w:val="single" w:sz="6" w:space="0" w:color="auto"/>
              <w:left w:val="single" w:sz="6" w:space="0" w:color="auto"/>
              <w:bottom w:val="single" w:sz="6" w:space="0" w:color="auto"/>
              <w:right w:val="single" w:sz="12" w:space="0" w:color="auto"/>
            </w:tcBorders>
            <w:shd w:val="clear" w:color="auto" w:fill="auto"/>
            <w:vAlign w:val="center"/>
          </w:tcPr>
          <w:p w:rsidR="003977D0" w:rsidRPr="003977D0" w:rsidRDefault="003977D0" w:rsidP="003977D0">
            <w:pPr>
              <w:spacing w:line="360" w:lineRule="auto"/>
              <w:jc w:val="center"/>
              <w:rPr>
                <w:sz w:val="16"/>
                <w:szCs w:val="16"/>
              </w:rPr>
            </w:pPr>
            <w:r w:rsidRPr="003977D0">
              <w:rPr>
                <w:sz w:val="16"/>
                <w:szCs w:val="16"/>
              </w:rPr>
              <w:t>2012</w:t>
            </w:r>
          </w:p>
        </w:tc>
      </w:tr>
      <w:tr w:rsidR="003977D0" w:rsidRPr="003977D0" w:rsidTr="003977D0">
        <w:trPr>
          <w:trHeight w:val="510"/>
        </w:trPr>
        <w:tc>
          <w:tcPr>
            <w:tcW w:w="1418" w:type="dxa"/>
            <w:tcBorders>
              <w:top w:val="single" w:sz="6" w:space="0" w:color="auto"/>
              <w:left w:val="single" w:sz="12" w:space="0" w:color="auto"/>
              <w:bottom w:val="single" w:sz="6" w:space="0" w:color="auto"/>
              <w:right w:val="single" w:sz="12" w:space="0" w:color="auto"/>
            </w:tcBorders>
            <w:shd w:val="clear" w:color="auto" w:fill="auto"/>
            <w:vAlign w:val="center"/>
          </w:tcPr>
          <w:p w:rsidR="003977D0" w:rsidRPr="003977D0" w:rsidRDefault="003977D0" w:rsidP="003977D0">
            <w:pPr>
              <w:spacing w:line="360" w:lineRule="auto"/>
              <w:jc w:val="center"/>
              <w:rPr>
                <w:b/>
                <w:sz w:val="16"/>
                <w:szCs w:val="16"/>
                <w:lang w:val="lt-LT"/>
              </w:rPr>
            </w:pPr>
            <w:r w:rsidRPr="003977D0">
              <w:rPr>
                <w:b/>
                <w:sz w:val="16"/>
                <w:szCs w:val="16"/>
              </w:rPr>
              <w:t>MOKES</w:t>
            </w:r>
            <w:r w:rsidRPr="003977D0">
              <w:rPr>
                <w:b/>
                <w:sz w:val="16"/>
                <w:szCs w:val="16"/>
                <w:lang w:val="lt-LT"/>
              </w:rPr>
              <w:t>Č</w:t>
            </w:r>
            <w:r w:rsidRPr="003977D0">
              <w:rPr>
                <w:b/>
                <w:sz w:val="16"/>
                <w:szCs w:val="16"/>
              </w:rPr>
              <w:t>IAI IŠ VISO</w:t>
            </w:r>
          </w:p>
        </w:tc>
        <w:tc>
          <w:tcPr>
            <w:tcW w:w="992" w:type="dxa"/>
            <w:tcBorders>
              <w:top w:val="single" w:sz="6" w:space="0" w:color="auto"/>
              <w:left w:val="single" w:sz="12" w:space="0" w:color="auto"/>
              <w:bottom w:val="single" w:sz="6" w:space="0" w:color="auto"/>
              <w:right w:val="single" w:sz="6" w:space="0" w:color="auto"/>
            </w:tcBorders>
            <w:shd w:val="clear" w:color="auto" w:fill="auto"/>
            <w:vAlign w:val="center"/>
          </w:tcPr>
          <w:p w:rsidR="003977D0" w:rsidRPr="003977D0" w:rsidRDefault="003977D0" w:rsidP="003977D0">
            <w:pPr>
              <w:spacing w:line="360" w:lineRule="auto"/>
              <w:jc w:val="center"/>
              <w:rPr>
                <w:sz w:val="16"/>
                <w:szCs w:val="16"/>
              </w:rPr>
            </w:pPr>
            <w:r w:rsidRPr="003977D0">
              <w:rPr>
                <w:sz w:val="16"/>
                <w:szCs w:val="16"/>
              </w:rPr>
              <w:t>17982213</w:t>
            </w:r>
          </w:p>
        </w:tc>
        <w:tc>
          <w:tcPr>
            <w:tcW w:w="901" w:type="dxa"/>
            <w:tcBorders>
              <w:top w:val="single" w:sz="6" w:space="0" w:color="auto"/>
              <w:left w:val="single" w:sz="6" w:space="0" w:color="auto"/>
              <w:bottom w:val="single" w:sz="6" w:space="0" w:color="auto"/>
              <w:right w:val="single" w:sz="6" w:space="0" w:color="auto"/>
            </w:tcBorders>
            <w:shd w:val="clear" w:color="auto" w:fill="auto"/>
            <w:vAlign w:val="center"/>
          </w:tcPr>
          <w:p w:rsidR="003977D0" w:rsidRPr="003977D0" w:rsidRDefault="003977D0" w:rsidP="003977D0">
            <w:pPr>
              <w:spacing w:line="360" w:lineRule="auto"/>
              <w:jc w:val="center"/>
              <w:rPr>
                <w:sz w:val="16"/>
                <w:szCs w:val="16"/>
              </w:rPr>
            </w:pPr>
            <w:r w:rsidRPr="003977D0">
              <w:rPr>
                <w:sz w:val="16"/>
                <w:szCs w:val="16"/>
              </w:rPr>
              <w:t>13265005</w:t>
            </w:r>
          </w:p>
        </w:tc>
        <w:tc>
          <w:tcPr>
            <w:tcW w:w="952" w:type="dxa"/>
            <w:tcBorders>
              <w:top w:val="single" w:sz="6" w:space="0" w:color="auto"/>
              <w:left w:val="single" w:sz="6" w:space="0" w:color="auto"/>
              <w:bottom w:val="single" w:sz="6" w:space="0" w:color="auto"/>
              <w:right w:val="single" w:sz="6" w:space="0" w:color="auto"/>
            </w:tcBorders>
            <w:shd w:val="clear" w:color="auto" w:fill="auto"/>
            <w:vAlign w:val="center"/>
          </w:tcPr>
          <w:p w:rsidR="003977D0" w:rsidRPr="003977D0" w:rsidRDefault="003977D0" w:rsidP="003977D0">
            <w:pPr>
              <w:spacing w:line="360" w:lineRule="auto"/>
              <w:jc w:val="center"/>
              <w:rPr>
                <w:sz w:val="16"/>
                <w:szCs w:val="16"/>
              </w:rPr>
            </w:pPr>
            <w:r w:rsidRPr="003977D0">
              <w:rPr>
                <w:sz w:val="16"/>
                <w:szCs w:val="16"/>
              </w:rPr>
              <w:t>12688688</w:t>
            </w:r>
          </w:p>
        </w:tc>
        <w:tc>
          <w:tcPr>
            <w:tcW w:w="881" w:type="dxa"/>
            <w:tcBorders>
              <w:top w:val="single" w:sz="6" w:space="0" w:color="auto"/>
              <w:left w:val="single" w:sz="6" w:space="0" w:color="auto"/>
              <w:bottom w:val="single" w:sz="6" w:space="0" w:color="auto"/>
              <w:right w:val="single" w:sz="6" w:space="0" w:color="auto"/>
            </w:tcBorders>
            <w:shd w:val="clear" w:color="auto" w:fill="auto"/>
            <w:vAlign w:val="center"/>
          </w:tcPr>
          <w:p w:rsidR="003977D0" w:rsidRPr="003977D0" w:rsidRDefault="003977D0" w:rsidP="003977D0">
            <w:pPr>
              <w:spacing w:line="360" w:lineRule="auto"/>
              <w:jc w:val="center"/>
              <w:rPr>
                <w:sz w:val="16"/>
                <w:szCs w:val="16"/>
              </w:rPr>
            </w:pPr>
            <w:r w:rsidRPr="003977D0">
              <w:rPr>
                <w:sz w:val="16"/>
                <w:szCs w:val="16"/>
              </w:rPr>
              <w:t>14583016</w:t>
            </w:r>
          </w:p>
        </w:tc>
        <w:tc>
          <w:tcPr>
            <w:tcW w:w="924"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rsidR="003977D0" w:rsidRPr="003977D0" w:rsidRDefault="003977D0" w:rsidP="003977D0">
            <w:pPr>
              <w:spacing w:line="360" w:lineRule="auto"/>
              <w:jc w:val="center"/>
              <w:rPr>
                <w:sz w:val="16"/>
                <w:szCs w:val="16"/>
              </w:rPr>
            </w:pPr>
            <w:r w:rsidRPr="003977D0">
              <w:rPr>
                <w:sz w:val="16"/>
                <w:szCs w:val="16"/>
              </w:rPr>
              <w:t>15760134</w:t>
            </w:r>
          </w:p>
        </w:tc>
        <w:tc>
          <w:tcPr>
            <w:tcW w:w="849" w:type="dxa"/>
            <w:tcBorders>
              <w:top w:val="single" w:sz="6" w:space="0" w:color="auto"/>
              <w:left w:val="single" w:sz="12" w:space="0" w:color="auto"/>
              <w:bottom w:val="single" w:sz="6" w:space="0" w:color="auto"/>
              <w:right w:val="single" w:sz="6" w:space="0" w:color="auto"/>
            </w:tcBorders>
            <w:shd w:val="clear" w:color="auto" w:fill="auto"/>
            <w:vAlign w:val="center"/>
          </w:tcPr>
          <w:p w:rsidR="003977D0" w:rsidRPr="003977D0" w:rsidRDefault="003977D0" w:rsidP="003977D0">
            <w:pPr>
              <w:spacing w:line="360" w:lineRule="auto"/>
              <w:jc w:val="center"/>
              <w:rPr>
                <w:sz w:val="16"/>
                <w:szCs w:val="16"/>
              </w:rPr>
            </w:pPr>
            <w:r w:rsidRPr="003977D0">
              <w:rPr>
                <w:sz w:val="16"/>
                <w:szCs w:val="16"/>
              </w:rPr>
              <w:t>3804993</w:t>
            </w:r>
          </w:p>
        </w:tc>
        <w:tc>
          <w:tcPr>
            <w:tcW w:w="849" w:type="dxa"/>
            <w:tcBorders>
              <w:top w:val="single" w:sz="6" w:space="0" w:color="auto"/>
              <w:left w:val="single" w:sz="6" w:space="0" w:color="auto"/>
              <w:bottom w:val="single" w:sz="6" w:space="0" w:color="auto"/>
              <w:right w:val="single" w:sz="6" w:space="0" w:color="auto"/>
            </w:tcBorders>
            <w:shd w:val="clear" w:color="auto" w:fill="auto"/>
            <w:vAlign w:val="center"/>
          </w:tcPr>
          <w:p w:rsidR="003977D0" w:rsidRPr="003977D0" w:rsidRDefault="003977D0" w:rsidP="003977D0">
            <w:pPr>
              <w:spacing w:line="360" w:lineRule="auto"/>
              <w:jc w:val="center"/>
              <w:rPr>
                <w:sz w:val="16"/>
                <w:szCs w:val="16"/>
              </w:rPr>
            </w:pPr>
            <w:r w:rsidRPr="003977D0">
              <w:rPr>
                <w:sz w:val="16"/>
                <w:szCs w:val="16"/>
              </w:rPr>
              <w:t>3198236,8</w:t>
            </w:r>
          </w:p>
        </w:tc>
        <w:tc>
          <w:tcPr>
            <w:tcW w:w="849" w:type="dxa"/>
            <w:tcBorders>
              <w:top w:val="single" w:sz="6" w:space="0" w:color="auto"/>
              <w:left w:val="single" w:sz="6" w:space="0" w:color="auto"/>
              <w:bottom w:val="single" w:sz="6" w:space="0" w:color="auto"/>
              <w:right w:val="single" w:sz="6" w:space="0" w:color="auto"/>
            </w:tcBorders>
            <w:shd w:val="clear" w:color="auto" w:fill="auto"/>
            <w:vAlign w:val="center"/>
          </w:tcPr>
          <w:p w:rsidR="003977D0" w:rsidRPr="003977D0" w:rsidRDefault="003977D0" w:rsidP="003977D0">
            <w:pPr>
              <w:spacing w:line="360" w:lineRule="auto"/>
              <w:jc w:val="center"/>
              <w:rPr>
                <w:sz w:val="16"/>
                <w:szCs w:val="16"/>
              </w:rPr>
            </w:pPr>
            <w:r w:rsidRPr="003977D0">
              <w:rPr>
                <w:sz w:val="16"/>
                <w:szCs w:val="16"/>
              </w:rPr>
              <w:t>3032757,8</w:t>
            </w:r>
          </w:p>
        </w:tc>
        <w:tc>
          <w:tcPr>
            <w:tcW w:w="849" w:type="dxa"/>
            <w:tcBorders>
              <w:top w:val="single" w:sz="6" w:space="0" w:color="auto"/>
              <w:left w:val="single" w:sz="6" w:space="0" w:color="auto"/>
              <w:bottom w:val="single" w:sz="6" w:space="0" w:color="auto"/>
              <w:right w:val="single" w:sz="6" w:space="0" w:color="auto"/>
            </w:tcBorders>
            <w:shd w:val="clear" w:color="auto" w:fill="auto"/>
            <w:vAlign w:val="center"/>
          </w:tcPr>
          <w:p w:rsidR="003977D0" w:rsidRPr="003977D0" w:rsidRDefault="003977D0" w:rsidP="003977D0">
            <w:pPr>
              <w:spacing w:line="360" w:lineRule="auto"/>
              <w:jc w:val="center"/>
              <w:rPr>
                <w:sz w:val="16"/>
                <w:szCs w:val="16"/>
              </w:rPr>
            </w:pPr>
            <w:r w:rsidRPr="003977D0">
              <w:rPr>
                <w:sz w:val="16"/>
                <w:szCs w:val="16"/>
              </w:rPr>
              <w:t>2812784,6</w:t>
            </w:r>
          </w:p>
        </w:tc>
        <w:tc>
          <w:tcPr>
            <w:tcW w:w="844" w:type="dxa"/>
            <w:tcBorders>
              <w:top w:val="single" w:sz="6" w:space="0" w:color="auto"/>
              <w:left w:val="single" w:sz="6" w:space="0" w:color="auto"/>
              <w:bottom w:val="single" w:sz="6" w:space="0" w:color="auto"/>
              <w:right w:val="single" w:sz="12" w:space="0" w:color="auto"/>
            </w:tcBorders>
            <w:shd w:val="clear" w:color="auto" w:fill="auto"/>
            <w:vAlign w:val="center"/>
          </w:tcPr>
          <w:p w:rsidR="003977D0" w:rsidRPr="003977D0" w:rsidRDefault="003977D0" w:rsidP="003977D0">
            <w:pPr>
              <w:spacing w:line="360" w:lineRule="auto"/>
              <w:jc w:val="center"/>
              <w:rPr>
                <w:sz w:val="16"/>
                <w:szCs w:val="16"/>
              </w:rPr>
            </w:pPr>
            <w:r w:rsidRPr="003977D0">
              <w:rPr>
                <w:sz w:val="16"/>
                <w:szCs w:val="16"/>
              </w:rPr>
              <w:t>2960214,4</w:t>
            </w:r>
          </w:p>
        </w:tc>
      </w:tr>
      <w:tr w:rsidR="003977D0" w:rsidRPr="003977D0" w:rsidTr="003977D0">
        <w:trPr>
          <w:trHeight w:val="510"/>
        </w:trPr>
        <w:tc>
          <w:tcPr>
            <w:tcW w:w="1418" w:type="dxa"/>
            <w:tcBorders>
              <w:top w:val="single" w:sz="6" w:space="0" w:color="auto"/>
              <w:left w:val="single" w:sz="12" w:space="0" w:color="auto"/>
              <w:bottom w:val="single" w:sz="6" w:space="0" w:color="auto"/>
              <w:right w:val="single" w:sz="12" w:space="0" w:color="auto"/>
            </w:tcBorders>
            <w:shd w:val="clear" w:color="auto" w:fill="auto"/>
            <w:vAlign w:val="center"/>
          </w:tcPr>
          <w:p w:rsidR="003977D0" w:rsidRPr="003977D0" w:rsidRDefault="003977D0" w:rsidP="003977D0">
            <w:pPr>
              <w:spacing w:line="360" w:lineRule="auto"/>
              <w:jc w:val="center"/>
              <w:rPr>
                <w:sz w:val="16"/>
                <w:szCs w:val="16"/>
              </w:rPr>
            </w:pPr>
            <w:r w:rsidRPr="003977D0">
              <w:rPr>
                <w:sz w:val="16"/>
                <w:szCs w:val="16"/>
              </w:rPr>
              <w:t>Gyventojų pajamų mokestis</w:t>
            </w:r>
          </w:p>
        </w:tc>
        <w:tc>
          <w:tcPr>
            <w:tcW w:w="992" w:type="dxa"/>
            <w:tcBorders>
              <w:top w:val="single" w:sz="6" w:space="0" w:color="auto"/>
              <w:left w:val="single" w:sz="12" w:space="0" w:color="auto"/>
              <w:bottom w:val="single" w:sz="6" w:space="0" w:color="auto"/>
              <w:right w:val="single" w:sz="6" w:space="0" w:color="auto"/>
            </w:tcBorders>
            <w:shd w:val="clear" w:color="auto" w:fill="auto"/>
            <w:vAlign w:val="center"/>
          </w:tcPr>
          <w:p w:rsidR="003977D0" w:rsidRPr="003977D0" w:rsidRDefault="003977D0" w:rsidP="003977D0">
            <w:pPr>
              <w:spacing w:line="360" w:lineRule="auto"/>
              <w:jc w:val="center"/>
              <w:rPr>
                <w:sz w:val="16"/>
                <w:szCs w:val="16"/>
              </w:rPr>
            </w:pPr>
            <w:r w:rsidRPr="003977D0">
              <w:rPr>
                <w:sz w:val="16"/>
                <w:szCs w:val="16"/>
              </w:rPr>
              <w:t>1714471</w:t>
            </w:r>
          </w:p>
        </w:tc>
        <w:tc>
          <w:tcPr>
            <w:tcW w:w="901" w:type="dxa"/>
            <w:tcBorders>
              <w:top w:val="single" w:sz="6" w:space="0" w:color="auto"/>
              <w:left w:val="single" w:sz="6" w:space="0" w:color="auto"/>
              <w:bottom w:val="single" w:sz="6" w:space="0" w:color="auto"/>
              <w:right w:val="single" w:sz="6" w:space="0" w:color="auto"/>
            </w:tcBorders>
            <w:shd w:val="clear" w:color="auto" w:fill="auto"/>
            <w:vAlign w:val="center"/>
          </w:tcPr>
          <w:p w:rsidR="003977D0" w:rsidRPr="003977D0" w:rsidRDefault="003977D0" w:rsidP="003977D0">
            <w:pPr>
              <w:spacing w:line="360" w:lineRule="auto"/>
              <w:jc w:val="center"/>
              <w:rPr>
                <w:sz w:val="16"/>
                <w:szCs w:val="16"/>
              </w:rPr>
            </w:pPr>
            <w:r w:rsidRPr="003977D0">
              <w:rPr>
                <w:sz w:val="16"/>
                <w:szCs w:val="16"/>
              </w:rPr>
              <w:t>1042965</w:t>
            </w:r>
          </w:p>
        </w:tc>
        <w:tc>
          <w:tcPr>
            <w:tcW w:w="952" w:type="dxa"/>
            <w:tcBorders>
              <w:top w:val="single" w:sz="6" w:space="0" w:color="auto"/>
              <w:left w:val="single" w:sz="6" w:space="0" w:color="auto"/>
              <w:bottom w:val="single" w:sz="6" w:space="0" w:color="auto"/>
              <w:right w:val="single" w:sz="6" w:space="0" w:color="auto"/>
            </w:tcBorders>
            <w:shd w:val="clear" w:color="auto" w:fill="auto"/>
            <w:vAlign w:val="center"/>
          </w:tcPr>
          <w:p w:rsidR="003977D0" w:rsidRPr="003977D0" w:rsidRDefault="003977D0" w:rsidP="003977D0">
            <w:pPr>
              <w:spacing w:line="360" w:lineRule="auto"/>
              <w:jc w:val="center"/>
              <w:rPr>
                <w:sz w:val="16"/>
                <w:szCs w:val="16"/>
              </w:rPr>
            </w:pPr>
            <w:r w:rsidRPr="003977D0">
              <w:rPr>
                <w:sz w:val="16"/>
                <w:szCs w:val="16"/>
              </w:rPr>
              <w:t>916506</w:t>
            </w:r>
          </w:p>
        </w:tc>
        <w:tc>
          <w:tcPr>
            <w:tcW w:w="881" w:type="dxa"/>
            <w:tcBorders>
              <w:top w:val="single" w:sz="6" w:space="0" w:color="auto"/>
              <w:left w:val="single" w:sz="6" w:space="0" w:color="auto"/>
              <w:bottom w:val="single" w:sz="6" w:space="0" w:color="auto"/>
              <w:right w:val="single" w:sz="6" w:space="0" w:color="auto"/>
            </w:tcBorders>
            <w:shd w:val="clear" w:color="auto" w:fill="auto"/>
            <w:vAlign w:val="center"/>
          </w:tcPr>
          <w:p w:rsidR="003977D0" w:rsidRPr="003977D0" w:rsidRDefault="003977D0" w:rsidP="003977D0">
            <w:pPr>
              <w:spacing w:line="360" w:lineRule="auto"/>
              <w:jc w:val="center"/>
              <w:rPr>
                <w:sz w:val="16"/>
                <w:szCs w:val="16"/>
              </w:rPr>
            </w:pPr>
            <w:r w:rsidRPr="003977D0">
              <w:rPr>
                <w:sz w:val="16"/>
                <w:szCs w:val="16"/>
              </w:rPr>
              <w:t>1443573</w:t>
            </w:r>
          </w:p>
        </w:tc>
        <w:tc>
          <w:tcPr>
            <w:tcW w:w="924"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rsidR="003977D0" w:rsidRPr="003977D0" w:rsidRDefault="003977D0" w:rsidP="003977D0">
            <w:pPr>
              <w:spacing w:line="360" w:lineRule="auto"/>
              <w:jc w:val="center"/>
              <w:rPr>
                <w:sz w:val="16"/>
                <w:szCs w:val="16"/>
              </w:rPr>
            </w:pPr>
            <w:r w:rsidRPr="003977D0">
              <w:rPr>
                <w:sz w:val="16"/>
                <w:szCs w:val="16"/>
              </w:rPr>
              <w:t>1542126</w:t>
            </w:r>
          </w:p>
        </w:tc>
        <w:tc>
          <w:tcPr>
            <w:tcW w:w="849" w:type="dxa"/>
            <w:tcBorders>
              <w:top w:val="single" w:sz="6" w:space="0" w:color="auto"/>
              <w:left w:val="single" w:sz="12" w:space="0" w:color="auto"/>
              <w:bottom w:val="single" w:sz="6" w:space="0" w:color="auto"/>
              <w:right w:val="single" w:sz="6" w:space="0" w:color="auto"/>
            </w:tcBorders>
            <w:shd w:val="clear" w:color="auto" w:fill="auto"/>
            <w:vAlign w:val="center"/>
          </w:tcPr>
          <w:p w:rsidR="003977D0" w:rsidRPr="003977D0" w:rsidRDefault="003977D0" w:rsidP="003977D0">
            <w:pPr>
              <w:spacing w:line="360" w:lineRule="auto"/>
              <w:jc w:val="center"/>
              <w:rPr>
                <w:sz w:val="16"/>
                <w:szCs w:val="16"/>
              </w:rPr>
            </w:pPr>
            <w:r w:rsidRPr="003977D0">
              <w:rPr>
                <w:sz w:val="16"/>
                <w:szCs w:val="16"/>
              </w:rPr>
              <w:t>3391847,3</w:t>
            </w:r>
          </w:p>
        </w:tc>
        <w:tc>
          <w:tcPr>
            <w:tcW w:w="849" w:type="dxa"/>
            <w:tcBorders>
              <w:top w:val="single" w:sz="6" w:space="0" w:color="auto"/>
              <w:left w:val="single" w:sz="6" w:space="0" w:color="auto"/>
              <w:bottom w:val="single" w:sz="6" w:space="0" w:color="auto"/>
              <w:right w:val="single" w:sz="6" w:space="0" w:color="auto"/>
            </w:tcBorders>
            <w:shd w:val="clear" w:color="auto" w:fill="auto"/>
            <w:vAlign w:val="center"/>
          </w:tcPr>
          <w:p w:rsidR="003977D0" w:rsidRPr="003977D0" w:rsidRDefault="003977D0" w:rsidP="003977D0">
            <w:pPr>
              <w:spacing w:line="360" w:lineRule="auto"/>
              <w:jc w:val="center"/>
              <w:rPr>
                <w:sz w:val="16"/>
                <w:szCs w:val="16"/>
              </w:rPr>
            </w:pPr>
            <w:r w:rsidRPr="003977D0">
              <w:rPr>
                <w:sz w:val="16"/>
                <w:szCs w:val="16"/>
              </w:rPr>
              <w:t>2745080,2</w:t>
            </w:r>
          </w:p>
        </w:tc>
        <w:tc>
          <w:tcPr>
            <w:tcW w:w="849" w:type="dxa"/>
            <w:tcBorders>
              <w:top w:val="single" w:sz="6" w:space="0" w:color="auto"/>
              <w:left w:val="single" w:sz="6" w:space="0" w:color="auto"/>
              <w:bottom w:val="single" w:sz="6" w:space="0" w:color="auto"/>
              <w:right w:val="single" w:sz="6" w:space="0" w:color="auto"/>
            </w:tcBorders>
            <w:shd w:val="clear" w:color="auto" w:fill="auto"/>
            <w:vAlign w:val="center"/>
          </w:tcPr>
          <w:p w:rsidR="003977D0" w:rsidRPr="003977D0" w:rsidRDefault="003977D0" w:rsidP="003977D0">
            <w:pPr>
              <w:spacing w:line="360" w:lineRule="auto"/>
              <w:jc w:val="center"/>
              <w:rPr>
                <w:sz w:val="16"/>
                <w:szCs w:val="16"/>
              </w:rPr>
            </w:pPr>
            <w:r w:rsidRPr="003977D0">
              <w:rPr>
                <w:sz w:val="16"/>
                <w:szCs w:val="16"/>
              </w:rPr>
              <w:t>2553443,6</w:t>
            </w:r>
          </w:p>
        </w:tc>
        <w:tc>
          <w:tcPr>
            <w:tcW w:w="849" w:type="dxa"/>
            <w:tcBorders>
              <w:top w:val="single" w:sz="6" w:space="0" w:color="auto"/>
              <w:left w:val="single" w:sz="6" w:space="0" w:color="auto"/>
              <w:bottom w:val="single" w:sz="6" w:space="0" w:color="auto"/>
              <w:right w:val="single" w:sz="6" w:space="0" w:color="auto"/>
            </w:tcBorders>
            <w:shd w:val="clear" w:color="auto" w:fill="auto"/>
            <w:vAlign w:val="center"/>
          </w:tcPr>
          <w:p w:rsidR="003977D0" w:rsidRPr="003977D0" w:rsidRDefault="003977D0" w:rsidP="003977D0">
            <w:pPr>
              <w:spacing w:line="360" w:lineRule="auto"/>
              <w:jc w:val="center"/>
              <w:rPr>
                <w:sz w:val="16"/>
                <w:szCs w:val="16"/>
              </w:rPr>
            </w:pPr>
            <w:r w:rsidRPr="003977D0">
              <w:rPr>
                <w:sz w:val="16"/>
                <w:szCs w:val="16"/>
              </w:rPr>
              <w:t>2329266,1</w:t>
            </w:r>
          </w:p>
        </w:tc>
        <w:tc>
          <w:tcPr>
            <w:tcW w:w="844" w:type="dxa"/>
            <w:tcBorders>
              <w:top w:val="single" w:sz="6" w:space="0" w:color="auto"/>
              <w:left w:val="single" w:sz="6" w:space="0" w:color="auto"/>
              <w:bottom w:val="single" w:sz="6" w:space="0" w:color="auto"/>
              <w:right w:val="single" w:sz="12" w:space="0" w:color="auto"/>
            </w:tcBorders>
            <w:shd w:val="clear" w:color="auto" w:fill="auto"/>
            <w:vAlign w:val="center"/>
          </w:tcPr>
          <w:p w:rsidR="003977D0" w:rsidRPr="003977D0" w:rsidRDefault="003977D0" w:rsidP="003977D0">
            <w:pPr>
              <w:spacing w:line="360" w:lineRule="auto"/>
              <w:jc w:val="center"/>
              <w:rPr>
                <w:sz w:val="16"/>
                <w:szCs w:val="16"/>
              </w:rPr>
            </w:pPr>
            <w:r w:rsidRPr="003977D0">
              <w:rPr>
                <w:sz w:val="16"/>
                <w:szCs w:val="16"/>
              </w:rPr>
              <w:t>2462204,4</w:t>
            </w:r>
          </w:p>
        </w:tc>
      </w:tr>
      <w:tr w:rsidR="003977D0" w:rsidRPr="003977D0" w:rsidTr="003977D0">
        <w:trPr>
          <w:trHeight w:val="510"/>
        </w:trPr>
        <w:tc>
          <w:tcPr>
            <w:tcW w:w="1418" w:type="dxa"/>
            <w:tcBorders>
              <w:top w:val="single" w:sz="6" w:space="0" w:color="auto"/>
              <w:left w:val="single" w:sz="12" w:space="0" w:color="auto"/>
              <w:bottom w:val="single" w:sz="6" w:space="0" w:color="auto"/>
              <w:right w:val="single" w:sz="12" w:space="0" w:color="auto"/>
            </w:tcBorders>
            <w:shd w:val="clear" w:color="auto" w:fill="auto"/>
            <w:vAlign w:val="center"/>
          </w:tcPr>
          <w:p w:rsidR="003977D0" w:rsidRPr="003977D0" w:rsidRDefault="003977D0" w:rsidP="003977D0">
            <w:pPr>
              <w:spacing w:line="360" w:lineRule="auto"/>
              <w:jc w:val="center"/>
              <w:rPr>
                <w:sz w:val="16"/>
                <w:szCs w:val="16"/>
              </w:rPr>
            </w:pPr>
            <w:r w:rsidRPr="003977D0">
              <w:rPr>
                <w:sz w:val="16"/>
                <w:szCs w:val="16"/>
              </w:rPr>
              <w:t>Prekių ir paslaugų mokesčiai</w:t>
            </w:r>
          </w:p>
        </w:tc>
        <w:tc>
          <w:tcPr>
            <w:tcW w:w="992" w:type="dxa"/>
            <w:tcBorders>
              <w:top w:val="single" w:sz="6" w:space="0" w:color="auto"/>
              <w:left w:val="single" w:sz="12" w:space="0" w:color="auto"/>
              <w:bottom w:val="single" w:sz="6" w:space="0" w:color="auto"/>
              <w:right w:val="single" w:sz="6" w:space="0" w:color="auto"/>
            </w:tcBorders>
            <w:shd w:val="clear" w:color="auto" w:fill="auto"/>
            <w:vAlign w:val="center"/>
          </w:tcPr>
          <w:p w:rsidR="003977D0" w:rsidRPr="003977D0" w:rsidRDefault="003977D0" w:rsidP="003977D0">
            <w:pPr>
              <w:spacing w:line="360" w:lineRule="auto"/>
              <w:jc w:val="center"/>
              <w:rPr>
                <w:sz w:val="16"/>
                <w:szCs w:val="16"/>
              </w:rPr>
            </w:pPr>
          </w:p>
        </w:tc>
        <w:tc>
          <w:tcPr>
            <w:tcW w:w="901" w:type="dxa"/>
            <w:tcBorders>
              <w:top w:val="single" w:sz="6" w:space="0" w:color="auto"/>
              <w:left w:val="single" w:sz="6" w:space="0" w:color="auto"/>
              <w:bottom w:val="single" w:sz="6" w:space="0" w:color="auto"/>
              <w:right w:val="single" w:sz="6" w:space="0" w:color="auto"/>
            </w:tcBorders>
            <w:shd w:val="clear" w:color="auto" w:fill="auto"/>
            <w:vAlign w:val="center"/>
          </w:tcPr>
          <w:p w:rsidR="003977D0" w:rsidRPr="003977D0" w:rsidRDefault="003977D0" w:rsidP="003977D0">
            <w:pPr>
              <w:spacing w:line="360" w:lineRule="auto"/>
              <w:jc w:val="center"/>
              <w:rPr>
                <w:sz w:val="16"/>
                <w:szCs w:val="16"/>
              </w:rPr>
            </w:pPr>
          </w:p>
        </w:tc>
        <w:tc>
          <w:tcPr>
            <w:tcW w:w="952" w:type="dxa"/>
            <w:tcBorders>
              <w:top w:val="single" w:sz="6" w:space="0" w:color="auto"/>
              <w:left w:val="single" w:sz="6" w:space="0" w:color="auto"/>
              <w:bottom w:val="single" w:sz="6" w:space="0" w:color="auto"/>
              <w:right w:val="single" w:sz="6" w:space="0" w:color="auto"/>
            </w:tcBorders>
            <w:shd w:val="clear" w:color="auto" w:fill="auto"/>
            <w:vAlign w:val="center"/>
          </w:tcPr>
          <w:p w:rsidR="003977D0" w:rsidRPr="003977D0" w:rsidRDefault="003977D0" w:rsidP="003977D0">
            <w:pPr>
              <w:spacing w:line="360" w:lineRule="auto"/>
              <w:jc w:val="center"/>
              <w:rPr>
                <w:sz w:val="16"/>
                <w:szCs w:val="16"/>
              </w:rPr>
            </w:pPr>
          </w:p>
        </w:tc>
        <w:tc>
          <w:tcPr>
            <w:tcW w:w="881" w:type="dxa"/>
            <w:tcBorders>
              <w:top w:val="single" w:sz="6" w:space="0" w:color="auto"/>
              <w:left w:val="single" w:sz="6" w:space="0" w:color="auto"/>
              <w:bottom w:val="single" w:sz="6" w:space="0" w:color="auto"/>
              <w:right w:val="single" w:sz="6" w:space="0" w:color="auto"/>
            </w:tcBorders>
            <w:shd w:val="clear" w:color="auto" w:fill="auto"/>
            <w:vAlign w:val="center"/>
          </w:tcPr>
          <w:p w:rsidR="003977D0" w:rsidRPr="003977D0" w:rsidRDefault="003977D0" w:rsidP="003977D0">
            <w:pPr>
              <w:spacing w:line="360" w:lineRule="auto"/>
              <w:jc w:val="center"/>
              <w:rPr>
                <w:sz w:val="16"/>
                <w:szCs w:val="16"/>
              </w:rPr>
            </w:pPr>
          </w:p>
        </w:tc>
        <w:tc>
          <w:tcPr>
            <w:tcW w:w="924"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rsidR="003977D0" w:rsidRPr="003977D0" w:rsidRDefault="003977D0" w:rsidP="003977D0">
            <w:pPr>
              <w:spacing w:line="360" w:lineRule="auto"/>
              <w:jc w:val="center"/>
              <w:rPr>
                <w:sz w:val="16"/>
                <w:szCs w:val="16"/>
              </w:rPr>
            </w:pPr>
          </w:p>
        </w:tc>
        <w:tc>
          <w:tcPr>
            <w:tcW w:w="849" w:type="dxa"/>
            <w:tcBorders>
              <w:top w:val="single" w:sz="6" w:space="0" w:color="auto"/>
              <w:left w:val="single" w:sz="12" w:space="0" w:color="auto"/>
              <w:bottom w:val="single" w:sz="6" w:space="0" w:color="auto"/>
              <w:right w:val="single" w:sz="6" w:space="0" w:color="auto"/>
            </w:tcBorders>
            <w:shd w:val="clear" w:color="auto" w:fill="auto"/>
            <w:vAlign w:val="center"/>
          </w:tcPr>
          <w:p w:rsidR="003977D0" w:rsidRPr="003977D0" w:rsidRDefault="003977D0" w:rsidP="003977D0">
            <w:pPr>
              <w:spacing w:line="360" w:lineRule="auto"/>
              <w:jc w:val="center"/>
              <w:rPr>
                <w:sz w:val="16"/>
                <w:szCs w:val="16"/>
              </w:rPr>
            </w:pPr>
            <w:r w:rsidRPr="003977D0">
              <w:rPr>
                <w:sz w:val="16"/>
                <w:szCs w:val="16"/>
              </w:rPr>
              <w:t>105510,5</w:t>
            </w:r>
          </w:p>
        </w:tc>
        <w:tc>
          <w:tcPr>
            <w:tcW w:w="849" w:type="dxa"/>
            <w:tcBorders>
              <w:top w:val="single" w:sz="6" w:space="0" w:color="auto"/>
              <w:left w:val="single" w:sz="6" w:space="0" w:color="auto"/>
              <w:bottom w:val="single" w:sz="6" w:space="0" w:color="auto"/>
              <w:right w:val="single" w:sz="6" w:space="0" w:color="auto"/>
            </w:tcBorders>
            <w:shd w:val="clear" w:color="auto" w:fill="auto"/>
            <w:vAlign w:val="center"/>
          </w:tcPr>
          <w:p w:rsidR="003977D0" w:rsidRPr="003977D0" w:rsidRDefault="003977D0" w:rsidP="003977D0">
            <w:pPr>
              <w:spacing w:line="360" w:lineRule="auto"/>
              <w:jc w:val="center"/>
              <w:rPr>
                <w:sz w:val="16"/>
                <w:szCs w:val="16"/>
              </w:rPr>
            </w:pPr>
            <w:r w:rsidRPr="003977D0">
              <w:rPr>
                <w:sz w:val="16"/>
                <w:szCs w:val="16"/>
              </w:rPr>
              <w:t>126888,5</w:t>
            </w:r>
          </w:p>
        </w:tc>
        <w:tc>
          <w:tcPr>
            <w:tcW w:w="849" w:type="dxa"/>
            <w:tcBorders>
              <w:top w:val="single" w:sz="6" w:space="0" w:color="auto"/>
              <w:left w:val="single" w:sz="6" w:space="0" w:color="auto"/>
              <w:bottom w:val="single" w:sz="6" w:space="0" w:color="auto"/>
              <w:right w:val="single" w:sz="6" w:space="0" w:color="auto"/>
            </w:tcBorders>
            <w:shd w:val="clear" w:color="auto" w:fill="auto"/>
            <w:vAlign w:val="center"/>
          </w:tcPr>
          <w:p w:rsidR="003977D0" w:rsidRPr="003977D0" w:rsidRDefault="003977D0" w:rsidP="003977D0">
            <w:pPr>
              <w:spacing w:line="360" w:lineRule="auto"/>
              <w:jc w:val="center"/>
              <w:rPr>
                <w:sz w:val="16"/>
                <w:szCs w:val="16"/>
              </w:rPr>
            </w:pPr>
            <w:r w:rsidRPr="003977D0">
              <w:rPr>
                <w:sz w:val="16"/>
                <w:szCs w:val="16"/>
              </w:rPr>
              <w:t>124608,8</w:t>
            </w:r>
          </w:p>
        </w:tc>
        <w:tc>
          <w:tcPr>
            <w:tcW w:w="849" w:type="dxa"/>
            <w:tcBorders>
              <w:top w:val="single" w:sz="6" w:space="0" w:color="auto"/>
              <w:left w:val="single" w:sz="6" w:space="0" w:color="auto"/>
              <w:bottom w:val="single" w:sz="6" w:space="0" w:color="auto"/>
              <w:right w:val="single" w:sz="6" w:space="0" w:color="auto"/>
            </w:tcBorders>
            <w:shd w:val="clear" w:color="auto" w:fill="auto"/>
            <w:vAlign w:val="center"/>
          </w:tcPr>
          <w:p w:rsidR="003977D0" w:rsidRPr="003977D0" w:rsidRDefault="003977D0" w:rsidP="003977D0">
            <w:pPr>
              <w:spacing w:line="360" w:lineRule="auto"/>
              <w:jc w:val="center"/>
              <w:rPr>
                <w:sz w:val="16"/>
                <w:szCs w:val="16"/>
              </w:rPr>
            </w:pPr>
            <w:r w:rsidRPr="003977D0">
              <w:rPr>
                <w:sz w:val="16"/>
                <w:szCs w:val="16"/>
              </w:rPr>
              <w:t>148849,8</w:t>
            </w:r>
          </w:p>
        </w:tc>
        <w:tc>
          <w:tcPr>
            <w:tcW w:w="844" w:type="dxa"/>
            <w:tcBorders>
              <w:top w:val="single" w:sz="6" w:space="0" w:color="auto"/>
              <w:left w:val="single" w:sz="6" w:space="0" w:color="auto"/>
              <w:bottom w:val="single" w:sz="6" w:space="0" w:color="auto"/>
              <w:right w:val="single" w:sz="12" w:space="0" w:color="auto"/>
            </w:tcBorders>
            <w:shd w:val="clear" w:color="auto" w:fill="auto"/>
            <w:vAlign w:val="center"/>
          </w:tcPr>
          <w:p w:rsidR="003977D0" w:rsidRPr="003977D0" w:rsidRDefault="003977D0" w:rsidP="003977D0">
            <w:pPr>
              <w:spacing w:line="360" w:lineRule="auto"/>
              <w:jc w:val="center"/>
              <w:rPr>
                <w:sz w:val="16"/>
                <w:szCs w:val="16"/>
              </w:rPr>
            </w:pPr>
            <w:r w:rsidRPr="003977D0">
              <w:rPr>
                <w:sz w:val="16"/>
                <w:szCs w:val="16"/>
              </w:rPr>
              <w:t>174189</w:t>
            </w:r>
          </w:p>
        </w:tc>
      </w:tr>
      <w:tr w:rsidR="003977D0" w:rsidRPr="003977D0" w:rsidTr="003977D0">
        <w:trPr>
          <w:trHeight w:val="565"/>
        </w:trPr>
        <w:tc>
          <w:tcPr>
            <w:tcW w:w="1418" w:type="dxa"/>
            <w:tcBorders>
              <w:top w:val="single" w:sz="6" w:space="0" w:color="auto"/>
              <w:left w:val="single" w:sz="12" w:space="0" w:color="auto"/>
              <w:bottom w:val="single" w:sz="6" w:space="0" w:color="auto"/>
              <w:right w:val="single" w:sz="12" w:space="0" w:color="auto"/>
            </w:tcBorders>
            <w:shd w:val="clear" w:color="auto" w:fill="auto"/>
            <w:vAlign w:val="center"/>
          </w:tcPr>
          <w:p w:rsidR="003977D0" w:rsidRPr="003977D0" w:rsidRDefault="003977D0" w:rsidP="003977D0">
            <w:pPr>
              <w:spacing w:line="360" w:lineRule="auto"/>
              <w:jc w:val="center"/>
              <w:rPr>
                <w:sz w:val="16"/>
                <w:szCs w:val="16"/>
              </w:rPr>
            </w:pPr>
            <w:r w:rsidRPr="003977D0">
              <w:rPr>
                <w:sz w:val="16"/>
                <w:szCs w:val="16"/>
              </w:rPr>
              <w:t>Turto mokesčiai</w:t>
            </w:r>
          </w:p>
        </w:tc>
        <w:tc>
          <w:tcPr>
            <w:tcW w:w="992" w:type="dxa"/>
            <w:tcBorders>
              <w:top w:val="single" w:sz="6" w:space="0" w:color="auto"/>
              <w:left w:val="single" w:sz="12" w:space="0" w:color="auto"/>
              <w:bottom w:val="single" w:sz="6" w:space="0" w:color="auto"/>
              <w:right w:val="single" w:sz="6" w:space="0" w:color="auto"/>
            </w:tcBorders>
            <w:shd w:val="clear" w:color="auto" w:fill="auto"/>
            <w:vAlign w:val="center"/>
          </w:tcPr>
          <w:p w:rsidR="003977D0" w:rsidRPr="003977D0" w:rsidRDefault="003977D0" w:rsidP="003977D0">
            <w:pPr>
              <w:spacing w:line="360" w:lineRule="auto"/>
              <w:jc w:val="center"/>
              <w:rPr>
                <w:sz w:val="16"/>
                <w:szCs w:val="16"/>
              </w:rPr>
            </w:pPr>
          </w:p>
        </w:tc>
        <w:tc>
          <w:tcPr>
            <w:tcW w:w="901" w:type="dxa"/>
            <w:tcBorders>
              <w:top w:val="single" w:sz="6" w:space="0" w:color="auto"/>
              <w:left w:val="single" w:sz="6" w:space="0" w:color="auto"/>
              <w:bottom w:val="single" w:sz="6" w:space="0" w:color="auto"/>
              <w:right w:val="single" w:sz="6" w:space="0" w:color="auto"/>
            </w:tcBorders>
            <w:shd w:val="clear" w:color="auto" w:fill="auto"/>
            <w:vAlign w:val="center"/>
          </w:tcPr>
          <w:p w:rsidR="003977D0" w:rsidRPr="003977D0" w:rsidRDefault="003977D0" w:rsidP="003977D0">
            <w:pPr>
              <w:spacing w:line="360" w:lineRule="auto"/>
              <w:jc w:val="center"/>
              <w:rPr>
                <w:sz w:val="16"/>
                <w:szCs w:val="16"/>
              </w:rPr>
            </w:pPr>
          </w:p>
        </w:tc>
        <w:tc>
          <w:tcPr>
            <w:tcW w:w="952" w:type="dxa"/>
            <w:tcBorders>
              <w:top w:val="single" w:sz="6" w:space="0" w:color="auto"/>
              <w:left w:val="single" w:sz="6" w:space="0" w:color="auto"/>
              <w:bottom w:val="single" w:sz="6" w:space="0" w:color="auto"/>
              <w:right w:val="single" w:sz="6" w:space="0" w:color="auto"/>
            </w:tcBorders>
            <w:shd w:val="clear" w:color="auto" w:fill="auto"/>
            <w:vAlign w:val="center"/>
          </w:tcPr>
          <w:p w:rsidR="003977D0" w:rsidRPr="003977D0" w:rsidRDefault="003977D0" w:rsidP="003977D0">
            <w:pPr>
              <w:spacing w:line="360" w:lineRule="auto"/>
              <w:jc w:val="center"/>
              <w:rPr>
                <w:sz w:val="16"/>
                <w:szCs w:val="16"/>
              </w:rPr>
            </w:pPr>
          </w:p>
        </w:tc>
        <w:tc>
          <w:tcPr>
            <w:tcW w:w="881" w:type="dxa"/>
            <w:tcBorders>
              <w:top w:val="single" w:sz="6" w:space="0" w:color="auto"/>
              <w:left w:val="single" w:sz="6" w:space="0" w:color="auto"/>
              <w:bottom w:val="single" w:sz="6" w:space="0" w:color="auto"/>
              <w:right w:val="single" w:sz="6" w:space="0" w:color="auto"/>
            </w:tcBorders>
            <w:shd w:val="clear" w:color="auto" w:fill="auto"/>
            <w:vAlign w:val="center"/>
          </w:tcPr>
          <w:p w:rsidR="003977D0" w:rsidRPr="003977D0" w:rsidRDefault="003977D0" w:rsidP="003977D0">
            <w:pPr>
              <w:spacing w:line="360" w:lineRule="auto"/>
              <w:jc w:val="center"/>
              <w:rPr>
                <w:sz w:val="16"/>
                <w:szCs w:val="16"/>
              </w:rPr>
            </w:pPr>
          </w:p>
        </w:tc>
        <w:tc>
          <w:tcPr>
            <w:tcW w:w="924"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rsidR="003977D0" w:rsidRPr="003977D0" w:rsidRDefault="003977D0" w:rsidP="003977D0">
            <w:pPr>
              <w:spacing w:line="360" w:lineRule="auto"/>
              <w:jc w:val="center"/>
              <w:rPr>
                <w:sz w:val="16"/>
                <w:szCs w:val="16"/>
              </w:rPr>
            </w:pPr>
          </w:p>
        </w:tc>
        <w:tc>
          <w:tcPr>
            <w:tcW w:w="849" w:type="dxa"/>
            <w:tcBorders>
              <w:top w:val="single" w:sz="6" w:space="0" w:color="auto"/>
              <w:left w:val="single" w:sz="12" w:space="0" w:color="auto"/>
              <w:bottom w:val="single" w:sz="6" w:space="0" w:color="auto"/>
              <w:right w:val="single" w:sz="6" w:space="0" w:color="auto"/>
            </w:tcBorders>
            <w:shd w:val="clear" w:color="auto" w:fill="auto"/>
            <w:vAlign w:val="center"/>
          </w:tcPr>
          <w:p w:rsidR="003977D0" w:rsidRPr="003977D0" w:rsidRDefault="003977D0" w:rsidP="003977D0">
            <w:pPr>
              <w:spacing w:line="360" w:lineRule="auto"/>
              <w:jc w:val="center"/>
              <w:rPr>
                <w:sz w:val="16"/>
                <w:szCs w:val="16"/>
              </w:rPr>
            </w:pPr>
            <w:r w:rsidRPr="003977D0">
              <w:rPr>
                <w:sz w:val="16"/>
                <w:szCs w:val="16"/>
              </w:rPr>
              <w:t>307635,2</w:t>
            </w:r>
          </w:p>
        </w:tc>
        <w:tc>
          <w:tcPr>
            <w:tcW w:w="849" w:type="dxa"/>
            <w:tcBorders>
              <w:top w:val="single" w:sz="6" w:space="0" w:color="auto"/>
              <w:left w:val="single" w:sz="6" w:space="0" w:color="auto"/>
              <w:bottom w:val="single" w:sz="6" w:space="0" w:color="auto"/>
              <w:right w:val="single" w:sz="6" w:space="0" w:color="auto"/>
            </w:tcBorders>
            <w:shd w:val="clear" w:color="auto" w:fill="auto"/>
            <w:vAlign w:val="center"/>
          </w:tcPr>
          <w:p w:rsidR="003977D0" w:rsidRPr="003977D0" w:rsidRDefault="003977D0" w:rsidP="003977D0">
            <w:pPr>
              <w:spacing w:line="360" w:lineRule="auto"/>
              <w:jc w:val="center"/>
              <w:rPr>
                <w:sz w:val="16"/>
                <w:szCs w:val="16"/>
              </w:rPr>
            </w:pPr>
            <w:r w:rsidRPr="003977D0">
              <w:rPr>
                <w:sz w:val="16"/>
                <w:szCs w:val="16"/>
              </w:rPr>
              <w:t>326268,1</w:t>
            </w:r>
          </w:p>
        </w:tc>
        <w:tc>
          <w:tcPr>
            <w:tcW w:w="849" w:type="dxa"/>
            <w:tcBorders>
              <w:top w:val="single" w:sz="6" w:space="0" w:color="auto"/>
              <w:left w:val="single" w:sz="6" w:space="0" w:color="auto"/>
              <w:bottom w:val="single" w:sz="6" w:space="0" w:color="auto"/>
              <w:right w:val="single" w:sz="6" w:space="0" w:color="auto"/>
            </w:tcBorders>
            <w:shd w:val="clear" w:color="auto" w:fill="auto"/>
            <w:vAlign w:val="center"/>
          </w:tcPr>
          <w:p w:rsidR="003977D0" w:rsidRPr="003977D0" w:rsidRDefault="003977D0" w:rsidP="003977D0">
            <w:pPr>
              <w:spacing w:line="360" w:lineRule="auto"/>
              <w:jc w:val="center"/>
              <w:rPr>
                <w:sz w:val="16"/>
                <w:szCs w:val="16"/>
              </w:rPr>
            </w:pPr>
            <w:r w:rsidRPr="003977D0">
              <w:rPr>
                <w:sz w:val="16"/>
                <w:szCs w:val="16"/>
              </w:rPr>
              <w:t>354705,4</w:t>
            </w:r>
          </w:p>
        </w:tc>
        <w:tc>
          <w:tcPr>
            <w:tcW w:w="849" w:type="dxa"/>
            <w:tcBorders>
              <w:top w:val="single" w:sz="6" w:space="0" w:color="auto"/>
              <w:left w:val="single" w:sz="6" w:space="0" w:color="auto"/>
              <w:bottom w:val="single" w:sz="6" w:space="0" w:color="auto"/>
              <w:right w:val="single" w:sz="6" w:space="0" w:color="auto"/>
            </w:tcBorders>
            <w:shd w:val="clear" w:color="auto" w:fill="auto"/>
            <w:vAlign w:val="center"/>
          </w:tcPr>
          <w:p w:rsidR="003977D0" w:rsidRPr="003977D0" w:rsidRDefault="003977D0" w:rsidP="003977D0">
            <w:pPr>
              <w:spacing w:line="360" w:lineRule="auto"/>
              <w:jc w:val="center"/>
              <w:rPr>
                <w:sz w:val="16"/>
                <w:szCs w:val="16"/>
              </w:rPr>
            </w:pPr>
            <w:r w:rsidRPr="003977D0">
              <w:rPr>
                <w:sz w:val="16"/>
                <w:szCs w:val="16"/>
              </w:rPr>
              <w:t>334668,7</w:t>
            </w:r>
          </w:p>
        </w:tc>
        <w:tc>
          <w:tcPr>
            <w:tcW w:w="844" w:type="dxa"/>
            <w:tcBorders>
              <w:top w:val="single" w:sz="6" w:space="0" w:color="auto"/>
              <w:left w:val="single" w:sz="6" w:space="0" w:color="auto"/>
              <w:bottom w:val="single" w:sz="6" w:space="0" w:color="auto"/>
              <w:right w:val="single" w:sz="12" w:space="0" w:color="auto"/>
            </w:tcBorders>
            <w:shd w:val="clear" w:color="auto" w:fill="auto"/>
            <w:vAlign w:val="center"/>
          </w:tcPr>
          <w:p w:rsidR="003977D0" w:rsidRPr="003977D0" w:rsidRDefault="003977D0" w:rsidP="003977D0">
            <w:pPr>
              <w:spacing w:line="360" w:lineRule="auto"/>
              <w:jc w:val="center"/>
              <w:rPr>
                <w:sz w:val="16"/>
                <w:szCs w:val="16"/>
              </w:rPr>
            </w:pPr>
            <w:r w:rsidRPr="003977D0">
              <w:rPr>
                <w:sz w:val="16"/>
                <w:szCs w:val="16"/>
              </w:rPr>
              <w:t>323821</w:t>
            </w:r>
          </w:p>
        </w:tc>
      </w:tr>
      <w:tr w:rsidR="003977D0" w:rsidRPr="003977D0" w:rsidTr="003977D0">
        <w:trPr>
          <w:trHeight w:val="829"/>
        </w:trPr>
        <w:tc>
          <w:tcPr>
            <w:tcW w:w="1418" w:type="dxa"/>
            <w:tcBorders>
              <w:top w:val="single" w:sz="6" w:space="0" w:color="auto"/>
              <w:left w:val="single" w:sz="12" w:space="0" w:color="auto"/>
              <w:bottom w:val="single" w:sz="6" w:space="0" w:color="auto"/>
              <w:right w:val="single" w:sz="12" w:space="0" w:color="auto"/>
            </w:tcBorders>
            <w:shd w:val="clear" w:color="auto" w:fill="auto"/>
            <w:vAlign w:val="center"/>
          </w:tcPr>
          <w:p w:rsidR="003977D0" w:rsidRPr="003977D0" w:rsidRDefault="003977D0" w:rsidP="003977D0">
            <w:pPr>
              <w:spacing w:line="360" w:lineRule="auto"/>
              <w:jc w:val="center"/>
              <w:rPr>
                <w:b/>
                <w:sz w:val="16"/>
                <w:szCs w:val="16"/>
              </w:rPr>
            </w:pPr>
            <w:r w:rsidRPr="003977D0">
              <w:rPr>
                <w:b/>
                <w:sz w:val="16"/>
                <w:szCs w:val="16"/>
              </w:rPr>
              <w:t>KITOS PAJAMOS IŠ VISO</w:t>
            </w:r>
          </w:p>
        </w:tc>
        <w:tc>
          <w:tcPr>
            <w:tcW w:w="992" w:type="dxa"/>
            <w:tcBorders>
              <w:top w:val="single" w:sz="6" w:space="0" w:color="auto"/>
              <w:left w:val="single" w:sz="12" w:space="0" w:color="auto"/>
              <w:bottom w:val="single" w:sz="6" w:space="0" w:color="auto"/>
              <w:right w:val="single" w:sz="6" w:space="0" w:color="auto"/>
            </w:tcBorders>
            <w:shd w:val="clear" w:color="auto" w:fill="auto"/>
            <w:vAlign w:val="center"/>
          </w:tcPr>
          <w:p w:rsidR="003977D0" w:rsidRPr="003977D0" w:rsidRDefault="003977D0" w:rsidP="003977D0">
            <w:pPr>
              <w:spacing w:line="360" w:lineRule="auto"/>
              <w:jc w:val="center"/>
              <w:rPr>
                <w:sz w:val="16"/>
                <w:szCs w:val="16"/>
              </w:rPr>
            </w:pPr>
            <w:r w:rsidRPr="003977D0">
              <w:rPr>
                <w:sz w:val="16"/>
                <w:szCs w:val="16"/>
              </w:rPr>
              <w:t>1736647</w:t>
            </w:r>
          </w:p>
        </w:tc>
        <w:tc>
          <w:tcPr>
            <w:tcW w:w="901" w:type="dxa"/>
            <w:tcBorders>
              <w:top w:val="single" w:sz="6" w:space="0" w:color="auto"/>
              <w:left w:val="single" w:sz="6" w:space="0" w:color="auto"/>
              <w:bottom w:val="single" w:sz="6" w:space="0" w:color="auto"/>
              <w:right w:val="single" w:sz="6" w:space="0" w:color="auto"/>
            </w:tcBorders>
            <w:shd w:val="clear" w:color="auto" w:fill="auto"/>
            <w:vAlign w:val="center"/>
          </w:tcPr>
          <w:p w:rsidR="003977D0" w:rsidRPr="003977D0" w:rsidRDefault="003977D0" w:rsidP="003977D0">
            <w:pPr>
              <w:spacing w:line="360" w:lineRule="auto"/>
              <w:jc w:val="center"/>
              <w:rPr>
                <w:sz w:val="16"/>
                <w:szCs w:val="16"/>
              </w:rPr>
            </w:pPr>
            <w:r w:rsidRPr="003977D0">
              <w:rPr>
                <w:sz w:val="16"/>
                <w:szCs w:val="16"/>
              </w:rPr>
              <w:t>1515878</w:t>
            </w:r>
          </w:p>
        </w:tc>
        <w:tc>
          <w:tcPr>
            <w:tcW w:w="952" w:type="dxa"/>
            <w:tcBorders>
              <w:top w:val="single" w:sz="6" w:space="0" w:color="auto"/>
              <w:left w:val="single" w:sz="6" w:space="0" w:color="auto"/>
              <w:bottom w:val="single" w:sz="6" w:space="0" w:color="auto"/>
              <w:right w:val="single" w:sz="6" w:space="0" w:color="auto"/>
            </w:tcBorders>
            <w:shd w:val="clear" w:color="auto" w:fill="auto"/>
            <w:vAlign w:val="center"/>
          </w:tcPr>
          <w:p w:rsidR="003977D0" w:rsidRPr="003977D0" w:rsidRDefault="003977D0" w:rsidP="003977D0">
            <w:pPr>
              <w:spacing w:line="360" w:lineRule="auto"/>
              <w:jc w:val="center"/>
              <w:rPr>
                <w:sz w:val="16"/>
                <w:szCs w:val="16"/>
              </w:rPr>
            </w:pPr>
            <w:r w:rsidRPr="003977D0">
              <w:rPr>
                <w:sz w:val="16"/>
                <w:szCs w:val="16"/>
              </w:rPr>
              <w:t>1845147</w:t>
            </w:r>
          </w:p>
        </w:tc>
        <w:tc>
          <w:tcPr>
            <w:tcW w:w="881" w:type="dxa"/>
            <w:tcBorders>
              <w:top w:val="single" w:sz="6" w:space="0" w:color="auto"/>
              <w:left w:val="single" w:sz="6" w:space="0" w:color="auto"/>
              <w:bottom w:val="single" w:sz="6" w:space="0" w:color="auto"/>
              <w:right w:val="single" w:sz="6" w:space="0" w:color="auto"/>
            </w:tcBorders>
            <w:shd w:val="clear" w:color="auto" w:fill="auto"/>
            <w:vAlign w:val="center"/>
          </w:tcPr>
          <w:p w:rsidR="003977D0" w:rsidRPr="003977D0" w:rsidRDefault="003977D0" w:rsidP="003977D0">
            <w:pPr>
              <w:spacing w:line="360" w:lineRule="auto"/>
              <w:jc w:val="center"/>
              <w:rPr>
                <w:sz w:val="16"/>
                <w:szCs w:val="16"/>
              </w:rPr>
            </w:pPr>
            <w:r w:rsidRPr="003977D0">
              <w:rPr>
                <w:sz w:val="16"/>
                <w:szCs w:val="16"/>
              </w:rPr>
              <w:t>1899180</w:t>
            </w:r>
          </w:p>
        </w:tc>
        <w:tc>
          <w:tcPr>
            <w:tcW w:w="924"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rsidR="003977D0" w:rsidRPr="003977D0" w:rsidRDefault="003977D0" w:rsidP="003977D0">
            <w:pPr>
              <w:spacing w:line="360" w:lineRule="auto"/>
              <w:jc w:val="center"/>
              <w:rPr>
                <w:sz w:val="16"/>
                <w:szCs w:val="16"/>
              </w:rPr>
            </w:pPr>
            <w:r w:rsidRPr="003977D0">
              <w:rPr>
                <w:sz w:val="16"/>
                <w:szCs w:val="16"/>
              </w:rPr>
              <w:t>2132012</w:t>
            </w:r>
          </w:p>
        </w:tc>
        <w:tc>
          <w:tcPr>
            <w:tcW w:w="849" w:type="dxa"/>
            <w:tcBorders>
              <w:top w:val="single" w:sz="6" w:space="0" w:color="auto"/>
              <w:left w:val="single" w:sz="12" w:space="0" w:color="auto"/>
              <w:bottom w:val="single" w:sz="6" w:space="0" w:color="auto"/>
              <w:right w:val="single" w:sz="6" w:space="0" w:color="auto"/>
            </w:tcBorders>
            <w:shd w:val="clear" w:color="auto" w:fill="auto"/>
            <w:vAlign w:val="center"/>
          </w:tcPr>
          <w:p w:rsidR="003977D0" w:rsidRPr="003977D0" w:rsidRDefault="003977D0" w:rsidP="003977D0">
            <w:pPr>
              <w:spacing w:line="360" w:lineRule="auto"/>
              <w:jc w:val="center"/>
              <w:rPr>
                <w:sz w:val="16"/>
                <w:szCs w:val="16"/>
              </w:rPr>
            </w:pPr>
            <w:r w:rsidRPr="003977D0">
              <w:rPr>
                <w:sz w:val="16"/>
                <w:szCs w:val="16"/>
              </w:rPr>
              <w:t>384855</w:t>
            </w:r>
          </w:p>
        </w:tc>
        <w:tc>
          <w:tcPr>
            <w:tcW w:w="849" w:type="dxa"/>
            <w:tcBorders>
              <w:top w:val="single" w:sz="6" w:space="0" w:color="auto"/>
              <w:left w:val="single" w:sz="6" w:space="0" w:color="auto"/>
              <w:bottom w:val="single" w:sz="6" w:space="0" w:color="auto"/>
              <w:right w:val="single" w:sz="6" w:space="0" w:color="auto"/>
            </w:tcBorders>
            <w:shd w:val="clear" w:color="auto" w:fill="auto"/>
            <w:vAlign w:val="center"/>
          </w:tcPr>
          <w:p w:rsidR="003977D0" w:rsidRPr="003977D0" w:rsidRDefault="003977D0" w:rsidP="003977D0">
            <w:pPr>
              <w:spacing w:line="360" w:lineRule="auto"/>
              <w:jc w:val="center"/>
              <w:rPr>
                <w:sz w:val="16"/>
                <w:szCs w:val="16"/>
              </w:rPr>
            </w:pPr>
            <w:r w:rsidRPr="003977D0">
              <w:rPr>
                <w:sz w:val="16"/>
                <w:szCs w:val="16"/>
              </w:rPr>
              <w:t>370381,1</w:t>
            </w:r>
          </w:p>
        </w:tc>
        <w:tc>
          <w:tcPr>
            <w:tcW w:w="849" w:type="dxa"/>
            <w:tcBorders>
              <w:top w:val="single" w:sz="6" w:space="0" w:color="auto"/>
              <w:left w:val="single" w:sz="6" w:space="0" w:color="auto"/>
              <w:bottom w:val="single" w:sz="6" w:space="0" w:color="auto"/>
              <w:right w:val="single" w:sz="6" w:space="0" w:color="auto"/>
            </w:tcBorders>
            <w:shd w:val="clear" w:color="auto" w:fill="auto"/>
            <w:vAlign w:val="center"/>
          </w:tcPr>
          <w:p w:rsidR="003977D0" w:rsidRPr="003977D0" w:rsidRDefault="003977D0" w:rsidP="003977D0">
            <w:pPr>
              <w:spacing w:line="360" w:lineRule="auto"/>
              <w:jc w:val="center"/>
              <w:rPr>
                <w:sz w:val="16"/>
                <w:szCs w:val="16"/>
              </w:rPr>
            </w:pPr>
            <w:r w:rsidRPr="003977D0">
              <w:rPr>
                <w:sz w:val="16"/>
                <w:szCs w:val="16"/>
              </w:rPr>
              <w:t>386812,9</w:t>
            </w:r>
          </w:p>
        </w:tc>
        <w:tc>
          <w:tcPr>
            <w:tcW w:w="849" w:type="dxa"/>
            <w:tcBorders>
              <w:top w:val="single" w:sz="6" w:space="0" w:color="auto"/>
              <w:left w:val="single" w:sz="6" w:space="0" w:color="auto"/>
              <w:bottom w:val="single" w:sz="6" w:space="0" w:color="auto"/>
              <w:right w:val="single" w:sz="6" w:space="0" w:color="auto"/>
            </w:tcBorders>
            <w:shd w:val="clear" w:color="auto" w:fill="auto"/>
            <w:vAlign w:val="center"/>
          </w:tcPr>
          <w:p w:rsidR="003977D0" w:rsidRPr="003977D0" w:rsidRDefault="003977D0" w:rsidP="003977D0">
            <w:pPr>
              <w:spacing w:line="360" w:lineRule="auto"/>
              <w:jc w:val="center"/>
              <w:rPr>
                <w:sz w:val="16"/>
                <w:szCs w:val="16"/>
              </w:rPr>
            </w:pPr>
            <w:r w:rsidRPr="003977D0">
              <w:rPr>
                <w:sz w:val="16"/>
                <w:szCs w:val="16"/>
              </w:rPr>
              <w:t>398612,5</w:t>
            </w:r>
          </w:p>
        </w:tc>
        <w:tc>
          <w:tcPr>
            <w:tcW w:w="844" w:type="dxa"/>
            <w:tcBorders>
              <w:top w:val="single" w:sz="6" w:space="0" w:color="auto"/>
              <w:left w:val="single" w:sz="6" w:space="0" w:color="auto"/>
              <w:bottom w:val="single" w:sz="6" w:space="0" w:color="auto"/>
              <w:right w:val="single" w:sz="12" w:space="0" w:color="auto"/>
            </w:tcBorders>
            <w:shd w:val="clear" w:color="auto" w:fill="auto"/>
            <w:vAlign w:val="center"/>
          </w:tcPr>
          <w:p w:rsidR="003977D0" w:rsidRPr="003977D0" w:rsidRDefault="003977D0" w:rsidP="003977D0">
            <w:pPr>
              <w:spacing w:line="360" w:lineRule="auto"/>
              <w:jc w:val="center"/>
              <w:rPr>
                <w:sz w:val="16"/>
                <w:szCs w:val="16"/>
              </w:rPr>
            </w:pPr>
            <w:r w:rsidRPr="003977D0">
              <w:rPr>
                <w:sz w:val="16"/>
                <w:szCs w:val="16"/>
              </w:rPr>
              <w:t>386065,1</w:t>
            </w:r>
          </w:p>
        </w:tc>
      </w:tr>
      <w:tr w:rsidR="003977D0" w:rsidRPr="003977D0" w:rsidTr="003977D0">
        <w:trPr>
          <w:trHeight w:val="587"/>
        </w:trPr>
        <w:tc>
          <w:tcPr>
            <w:tcW w:w="1418" w:type="dxa"/>
            <w:tcBorders>
              <w:top w:val="single" w:sz="6" w:space="0" w:color="auto"/>
              <w:left w:val="single" w:sz="12" w:space="0" w:color="auto"/>
              <w:bottom w:val="single" w:sz="6" w:space="0" w:color="auto"/>
              <w:right w:val="single" w:sz="12" w:space="0" w:color="auto"/>
            </w:tcBorders>
            <w:shd w:val="clear" w:color="auto" w:fill="auto"/>
            <w:vAlign w:val="center"/>
          </w:tcPr>
          <w:p w:rsidR="003977D0" w:rsidRPr="003977D0" w:rsidRDefault="003977D0" w:rsidP="003977D0">
            <w:pPr>
              <w:spacing w:line="360" w:lineRule="auto"/>
              <w:jc w:val="center"/>
              <w:rPr>
                <w:sz w:val="16"/>
                <w:szCs w:val="16"/>
              </w:rPr>
            </w:pPr>
            <w:r w:rsidRPr="003977D0">
              <w:rPr>
                <w:sz w:val="16"/>
                <w:szCs w:val="16"/>
              </w:rPr>
              <w:t>ES parama</w:t>
            </w:r>
          </w:p>
        </w:tc>
        <w:tc>
          <w:tcPr>
            <w:tcW w:w="992" w:type="dxa"/>
            <w:tcBorders>
              <w:top w:val="single" w:sz="6" w:space="0" w:color="auto"/>
              <w:left w:val="single" w:sz="12" w:space="0" w:color="auto"/>
              <w:bottom w:val="single" w:sz="6" w:space="0" w:color="auto"/>
              <w:right w:val="single" w:sz="6" w:space="0" w:color="auto"/>
            </w:tcBorders>
            <w:shd w:val="clear" w:color="auto" w:fill="auto"/>
            <w:vAlign w:val="center"/>
          </w:tcPr>
          <w:p w:rsidR="003977D0" w:rsidRPr="003977D0" w:rsidRDefault="003977D0" w:rsidP="003977D0">
            <w:pPr>
              <w:spacing w:line="360" w:lineRule="auto"/>
              <w:jc w:val="center"/>
              <w:rPr>
                <w:sz w:val="16"/>
                <w:szCs w:val="16"/>
              </w:rPr>
            </w:pPr>
            <w:r w:rsidRPr="003977D0">
              <w:rPr>
                <w:sz w:val="16"/>
                <w:szCs w:val="16"/>
              </w:rPr>
              <w:t>3482047</w:t>
            </w:r>
          </w:p>
        </w:tc>
        <w:tc>
          <w:tcPr>
            <w:tcW w:w="901" w:type="dxa"/>
            <w:tcBorders>
              <w:top w:val="single" w:sz="6" w:space="0" w:color="auto"/>
              <w:left w:val="single" w:sz="6" w:space="0" w:color="auto"/>
              <w:bottom w:val="single" w:sz="6" w:space="0" w:color="auto"/>
              <w:right w:val="single" w:sz="6" w:space="0" w:color="auto"/>
            </w:tcBorders>
            <w:shd w:val="clear" w:color="auto" w:fill="auto"/>
            <w:vAlign w:val="center"/>
          </w:tcPr>
          <w:p w:rsidR="003977D0" w:rsidRPr="003977D0" w:rsidRDefault="003977D0" w:rsidP="003977D0">
            <w:pPr>
              <w:spacing w:line="360" w:lineRule="auto"/>
              <w:jc w:val="center"/>
              <w:rPr>
                <w:sz w:val="16"/>
                <w:szCs w:val="16"/>
              </w:rPr>
            </w:pPr>
            <w:r w:rsidRPr="003977D0">
              <w:rPr>
                <w:sz w:val="16"/>
                <w:szCs w:val="16"/>
              </w:rPr>
              <w:t>5928053</w:t>
            </w:r>
          </w:p>
        </w:tc>
        <w:tc>
          <w:tcPr>
            <w:tcW w:w="952" w:type="dxa"/>
            <w:tcBorders>
              <w:top w:val="single" w:sz="6" w:space="0" w:color="auto"/>
              <w:left w:val="single" w:sz="6" w:space="0" w:color="auto"/>
              <w:bottom w:val="single" w:sz="6" w:space="0" w:color="auto"/>
              <w:right w:val="single" w:sz="6" w:space="0" w:color="auto"/>
            </w:tcBorders>
            <w:shd w:val="clear" w:color="auto" w:fill="auto"/>
            <w:vAlign w:val="center"/>
          </w:tcPr>
          <w:p w:rsidR="003977D0" w:rsidRPr="003977D0" w:rsidRDefault="003977D0" w:rsidP="003977D0">
            <w:pPr>
              <w:spacing w:line="360" w:lineRule="auto"/>
              <w:jc w:val="center"/>
              <w:rPr>
                <w:sz w:val="16"/>
                <w:szCs w:val="16"/>
              </w:rPr>
            </w:pPr>
            <w:r w:rsidRPr="003977D0">
              <w:rPr>
                <w:sz w:val="16"/>
                <w:szCs w:val="16"/>
              </w:rPr>
              <w:t>5345199</w:t>
            </w:r>
          </w:p>
        </w:tc>
        <w:tc>
          <w:tcPr>
            <w:tcW w:w="881" w:type="dxa"/>
            <w:tcBorders>
              <w:top w:val="single" w:sz="6" w:space="0" w:color="auto"/>
              <w:left w:val="single" w:sz="6" w:space="0" w:color="auto"/>
              <w:bottom w:val="single" w:sz="6" w:space="0" w:color="auto"/>
              <w:right w:val="single" w:sz="6" w:space="0" w:color="auto"/>
            </w:tcBorders>
            <w:shd w:val="clear" w:color="auto" w:fill="auto"/>
            <w:vAlign w:val="center"/>
          </w:tcPr>
          <w:p w:rsidR="003977D0" w:rsidRPr="003977D0" w:rsidRDefault="003977D0" w:rsidP="003977D0">
            <w:pPr>
              <w:spacing w:line="360" w:lineRule="auto"/>
              <w:jc w:val="center"/>
              <w:rPr>
                <w:sz w:val="16"/>
                <w:szCs w:val="16"/>
              </w:rPr>
            </w:pPr>
            <w:r w:rsidRPr="003977D0">
              <w:rPr>
                <w:sz w:val="16"/>
                <w:szCs w:val="16"/>
              </w:rPr>
              <w:t>5808609</w:t>
            </w:r>
          </w:p>
        </w:tc>
        <w:tc>
          <w:tcPr>
            <w:tcW w:w="924"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rsidR="003977D0" w:rsidRPr="003977D0" w:rsidRDefault="003977D0" w:rsidP="003977D0">
            <w:pPr>
              <w:spacing w:line="360" w:lineRule="auto"/>
              <w:jc w:val="center"/>
              <w:rPr>
                <w:sz w:val="16"/>
                <w:szCs w:val="16"/>
              </w:rPr>
            </w:pPr>
            <w:r w:rsidRPr="003977D0">
              <w:rPr>
                <w:sz w:val="16"/>
                <w:szCs w:val="16"/>
              </w:rPr>
              <w:t>6333846</w:t>
            </w:r>
          </w:p>
        </w:tc>
        <w:tc>
          <w:tcPr>
            <w:tcW w:w="849" w:type="dxa"/>
            <w:tcBorders>
              <w:top w:val="single" w:sz="6" w:space="0" w:color="auto"/>
              <w:left w:val="single" w:sz="12" w:space="0" w:color="auto"/>
              <w:bottom w:val="single" w:sz="6" w:space="0" w:color="auto"/>
              <w:right w:val="single" w:sz="6" w:space="0" w:color="auto"/>
            </w:tcBorders>
            <w:shd w:val="clear" w:color="auto" w:fill="auto"/>
            <w:vAlign w:val="center"/>
          </w:tcPr>
          <w:p w:rsidR="003977D0" w:rsidRPr="003977D0" w:rsidRDefault="003977D0" w:rsidP="003977D0">
            <w:pPr>
              <w:spacing w:line="360" w:lineRule="auto"/>
              <w:jc w:val="center"/>
              <w:rPr>
                <w:sz w:val="16"/>
                <w:szCs w:val="16"/>
              </w:rPr>
            </w:pPr>
          </w:p>
        </w:tc>
        <w:tc>
          <w:tcPr>
            <w:tcW w:w="849" w:type="dxa"/>
            <w:tcBorders>
              <w:top w:val="single" w:sz="6" w:space="0" w:color="auto"/>
              <w:left w:val="single" w:sz="6" w:space="0" w:color="auto"/>
              <w:bottom w:val="single" w:sz="6" w:space="0" w:color="auto"/>
              <w:right w:val="single" w:sz="6" w:space="0" w:color="auto"/>
            </w:tcBorders>
            <w:shd w:val="clear" w:color="auto" w:fill="auto"/>
            <w:vAlign w:val="center"/>
          </w:tcPr>
          <w:p w:rsidR="003977D0" w:rsidRPr="003977D0" w:rsidRDefault="003977D0" w:rsidP="003977D0">
            <w:pPr>
              <w:spacing w:line="360" w:lineRule="auto"/>
              <w:jc w:val="center"/>
              <w:rPr>
                <w:sz w:val="16"/>
                <w:szCs w:val="16"/>
              </w:rPr>
            </w:pPr>
          </w:p>
        </w:tc>
        <w:tc>
          <w:tcPr>
            <w:tcW w:w="849" w:type="dxa"/>
            <w:tcBorders>
              <w:top w:val="single" w:sz="6" w:space="0" w:color="auto"/>
              <w:left w:val="single" w:sz="6" w:space="0" w:color="auto"/>
              <w:bottom w:val="single" w:sz="6" w:space="0" w:color="auto"/>
              <w:right w:val="single" w:sz="6" w:space="0" w:color="auto"/>
            </w:tcBorders>
            <w:shd w:val="clear" w:color="auto" w:fill="auto"/>
            <w:vAlign w:val="center"/>
          </w:tcPr>
          <w:p w:rsidR="003977D0" w:rsidRPr="003977D0" w:rsidRDefault="003977D0" w:rsidP="003977D0">
            <w:pPr>
              <w:spacing w:line="360" w:lineRule="auto"/>
              <w:jc w:val="center"/>
              <w:rPr>
                <w:sz w:val="16"/>
                <w:szCs w:val="16"/>
              </w:rPr>
            </w:pPr>
          </w:p>
        </w:tc>
        <w:tc>
          <w:tcPr>
            <w:tcW w:w="849" w:type="dxa"/>
            <w:tcBorders>
              <w:top w:val="single" w:sz="6" w:space="0" w:color="auto"/>
              <w:left w:val="single" w:sz="6" w:space="0" w:color="auto"/>
              <w:bottom w:val="single" w:sz="6" w:space="0" w:color="auto"/>
              <w:right w:val="single" w:sz="6" w:space="0" w:color="auto"/>
            </w:tcBorders>
            <w:shd w:val="clear" w:color="auto" w:fill="auto"/>
            <w:vAlign w:val="center"/>
          </w:tcPr>
          <w:p w:rsidR="003977D0" w:rsidRPr="003977D0" w:rsidRDefault="003977D0" w:rsidP="003977D0">
            <w:pPr>
              <w:spacing w:line="360" w:lineRule="auto"/>
              <w:jc w:val="center"/>
              <w:rPr>
                <w:sz w:val="16"/>
                <w:szCs w:val="16"/>
              </w:rPr>
            </w:pPr>
          </w:p>
        </w:tc>
        <w:tc>
          <w:tcPr>
            <w:tcW w:w="844" w:type="dxa"/>
            <w:tcBorders>
              <w:top w:val="single" w:sz="6" w:space="0" w:color="auto"/>
              <w:left w:val="single" w:sz="6" w:space="0" w:color="auto"/>
              <w:bottom w:val="single" w:sz="6" w:space="0" w:color="auto"/>
              <w:right w:val="single" w:sz="12" w:space="0" w:color="auto"/>
            </w:tcBorders>
            <w:shd w:val="clear" w:color="auto" w:fill="auto"/>
            <w:vAlign w:val="center"/>
          </w:tcPr>
          <w:p w:rsidR="003977D0" w:rsidRPr="003977D0" w:rsidRDefault="003977D0" w:rsidP="003977D0">
            <w:pPr>
              <w:spacing w:line="360" w:lineRule="auto"/>
              <w:jc w:val="center"/>
              <w:rPr>
                <w:sz w:val="16"/>
                <w:szCs w:val="16"/>
              </w:rPr>
            </w:pPr>
          </w:p>
        </w:tc>
      </w:tr>
      <w:tr w:rsidR="003977D0" w:rsidRPr="003977D0" w:rsidTr="003977D0">
        <w:trPr>
          <w:trHeight w:val="553"/>
        </w:trPr>
        <w:tc>
          <w:tcPr>
            <w:tcW w:w="1418" w:type="dxa"/>
            <w:tcBorders>
              <w:top w:val="single" w:sz="6" w:space="0" w:color="auto"/>
              <w:left w:val="single" w:sz="12" w:space="0" w:color="auto"/>
              <w:bottom w:val="single" w:sz="6" w:space="0" w:color="auto"/>
              <w:right w:val="single" w:sz="12" w:space="0" w:color="auto"/>
            </w:tcBorders>
            <w:shd w:val="clear" w:color="auto" w:fill="auto"/>
            <w:vAlign w:val="center"/>
          </w:tcPr>
          <w:p w:rsidR="003977D0" w:rsidRPr="003977D0" w:rsidRDefault="003977D0" w:rsidP="003977D0">
            <w:pPr>
              <w:spacing w:line="360" w:lineRule="auto"/>
              <w:jc w:val="center"/>
              <w:rPr>
                <w:sz w:val="16"/>
                <w:szCs w:val="16"/>
              </w:rPr>
            </w:pPr>
            <w:r w:rsidRPr="003977D0">
              <w:rPr>
                <w:sz w:val="16"/>
                <w:szCs w:val="16"/>
              </w:rPr>
              <w:t>Iš viso pajamų</w:t>
            </w:r>
          </w:p>
        </w:tc>
        <w:tc>
          <w:tcPr>
            <w:tcW w:w="992" w:type="dxa"/>
            <w:tcBorders>
              <w:top w:val="single" w:sz="6" w:space="0" w:color="auto"/>
              <w:left w:val="single" w:sz="12" w:space="0" w:color="auto"/>
              <w:bottom w:val="single" w:sz="6" w:space="0" w:color="auto"/>
              <w:right w:val="single" w:sz="6" w:space="0" w:color="auto"/>
            </w:tcBorders>
            <w:shd w:val="clear" w:color="auto" w:fill="auto"/>
            <w:vAlign w:val="center"/>
          </w:tcPr>
          <w:p w:rsidR="003977D0" w:rsidRPr="003977D0" w:rsidRDefault="003977D0" w:rsidP="003977D0">
            <w:pPr>
              <w:spacing w:line="360" w:lineRule="auto"/>
              <w:jc w:val="center"/>
              <w:rPr>
                <w:color w:val="000000"/>
                <w:sz w:val="16"/>
                <w:szCs w:val="16"/>
              </w:rPr>
            </w:pPr>
            <w:r w:rsidRPr="003977D0">
              <w:rPr>
                <w:color w:val="000000"/>
                <w:sz w:val="16"/>
                <w:szCs w:val="16"/>
              </w:rPr>
              <w:t>23200907</w:t>
            </w:r>
          </w:p>
        </w:tc>
        <w:tc>
          <w:tcPr>
            <w:tcW w:w="901" w:type="dxa"/>
            <w:tcBorders>
              <w:top w:val="single" w:sz="6" w:space="0" w:color="auto"/>
              <w:left w:val="single" w:sz="6" w:space="0" w:color="auto"/>
              <w:bottom w:val="single" w:sz="6" w:space="0" w:color="auto"/>
              <w:right w:val="single" w:sz="6" w:space="0" w:color="auto"/>
            </w:tcBorders>
            <w:shd w:val="clear" w:color="auto" w:fill="auto"/>
            <w:vAlign w:val="center"/>
          </w:tcPr>
          <w:p w:rsidR="003977D0" w:rsidRPr="003977D0" w:rsidRDefault="003977D0" w:rsidP="003977D0">
            <w:pPr>
              <w:spacing w:line="360" w:lineRule="auto"/>
              <w:jc w:val="center"/>
              <w:rPr>
                <w:color w:val="000000"/>
                <w:sz w:val="16"/>
                <w:szCs w:val="16"/>
              </w:rPr>
            </w:pPr>
            <w:r w:rsidRPr="003977D0">
              <w:rPr>
                <w:color w:val="000000"/>
                <w:sz w:val="16"/>
                <w:szCs w:val="16"/>
              </w:rPr>
              <w:t>20708936</w:t>
            </w:r>
          </w:p>
        </w:tc>
        <w:tc>
          <w:tcPr>
            <w:tcW w:w="952" w:type="dxa"/>
            <w:tcBorders>
              <w:top w:val="single" w:sz="6" w:space="0" w:color="auto"/>
              <w:left w:val="single" w:sz="6" w:space="0" w:color="auto"/>
              <w:bottom w:val="single" w:sz="6" w:space="0" w:color="auto"/>
              <w:right w:val="single" w:sz="6" w:space="0" w:color="auto"/>
            </w:tcBorders>
            <w:shd w:val="clear" w:color="auto" w:fill="auto"/>
            <w:vAlign w:val="center"/>
          </w:tcPr>
          <w:p w:rsidR="003977D0" w:rsidRPr="003977D0" w:rsidRDefault="003977D0" w:rsidP="003977D0">
            <w:pPr>
              <w:spacing w:line="360" w:lineRule="auto"/>
              <w:jc w:val="center"/>
              <w:rPr>
                <w:color w:val="000000"/>
                <w:sz w:val="16"/>
                <w:szCs w:val="16"/>
              </w:rPr>
            </w:pPr>
            <w:r w:rsidRPr="003977D0">
              <w:rPr>
                <w:color w:val="000000"/>
                <w:sz w:val="16"/>
                <w:szCs w:val="16"/>
              </w:rPr>
              <w:t>19879034</w:t>
            </w:r>
          </w:p>
        </w:tc>
        <w:tc>
          <w:tcPr>
            <w:tcW w:w="881" w:type="dxa"/>
            <w:tcBorders>
              <w:top w:val="single" w:sz="6" w:space="0" w:color="auto"/>
              <w:left w:val="single" w:sz="6" w:space="0" w:color="auto"/>
              <w:bottom w:val="single" w:sz="6" w:space="0" w:color="auto"/>
              <w:right w:val="single" w:sz="6" w:space="0" w:color="auto"/>
            </w:tcBorders>
            <w:shd w:val="clear" w:color="auto" w:fill="auto"/>
            <w:vAlign w:val="center"/>
          </w:tcPr>
          <w:p w:rsidR="003977D0" w:rsidRPr="003977D0" w:rsidRDefault="003977D0" w:rsidP="003977D0">
            <w:pPr>
              <w:spacing w:line="360" w:lineRule="auto"/>
              <w:jc w:val="center"/>
              <w:rPr>
                <w:color w:val="000000"/>
                <w:sz w:val="16"/>
                <w:szCs w:val="16"/>
              </w:rPr>
            </w:pPr>
            <w:r w:rsidRPr="003977D0">
              <w:rPr>
                <w:color w:val="000000"/>
                <w:sz w:val="16"/>
                <w:szCs w:val="16"/>
              </w:rPr>
              <w:t>22290805</w:t>
            </w:r>
          </w:p>
        </w:tc>
        <w:tc>
          <w:tcPr>
            <w:tcW w:w="924"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rsidR="003977D0" w:rsidRPr="003977D0" w:rsidRDefault="003977D0" w:rsidP="003977D0">
            <w:pPr>
              <w:spacing w:line="360" w:lineRule="auto"/>
              <w:jc w:val="center"/>
              <w:rPr>
                <w:color w:val="000000"/>
                <w:sz w:val="16"/>
                <w:szCs w:val="16"/>
              </w:rPr>
            </w:pPr>
            <w:r w:rsidRPr="003977D0">
              <w:rPr>
                <w:color w:val="000000"/>
                <w:sz w:val="16"/>
                <w:szCs w:val="16"/>
              </w:rPr>
              <w:t>24225992</w:t>
            </w:r>
          </w:p>
        </w:tc>
        <w:tc>
          <w:tcPr>
            <w:tcW w:w="849" w:type="dxa"/>
            <w:tcBorders>
              <w:top w:val="single" w:sz="6" w:space="0" w:color="auto"/>
              <w:left w:val="single" w:sz="12" w:space="0" w:color="auto"/>
              <w:bottom w:val="single" w:sz="6" w:space="0" w:color="auto"/>
              <w:right w:val="single" w:sz="6" w:space="0" w:color="auto"/>
            </w:tcBorders>
            <w:shd w:val="clear" w:color="auto" w:fill="auto"/>
            <w:vAlign w:val="center"/>
          </w:tcPr>
          <w:p w:rsidR="003977D0" w:rsidRPr="003977D0" w:rsidRDefault="003977D0" w:rsidP="003977D0">
            <w:pPr>
              <w:spacing w:line="360" w:lineRule="auto"/>
              <w:jc w:val="center"/>
              <w:rPr>
                <w:color w:val="000000"/>
                <w:sz w:val="16"/>
                <w:szCs w:val="16"/>
              </w:rPr>
            </w:pPr>
            <w:r w:rsidRPr="003977D0">
              <w:rPr>
                <w:color w:val="000000"/>
                <w:sz w:val="16"/>
                <w:szCs w:val="16"/>
              </w:rPr>
              <w:t>4189848</w:t>
            </w:r>
          </w:p>
        </w:tc>
        <w:tc>
          <w:tcPr>
            <w:tcW w:w="849" w:type="dxa"/>
            <w:tcBorders>
              <w:top w:val="single" w:sz="6" w:space="0" w:color="auto"/>
              <w:left w:val="single" w:sz="6" w:space="0" w:color="auto"/>
              <w:bottom w:val="single" w:sz="6" w:space="0" w:color="auto"/>
              <w:right w:val="single" w:sz="6" w:space="0" w:color="auto"/>
            </w:tcBorders>
            <w:shd w:val="clear" w:color="auto" w:fill="auto"/>
            <w:vAlign w:val="center"/>
          </w:tcPr>
          <w:p w:rsidR="003977D0" w:rsidRPr="003977D0" w:rsidRDefault="003977D0" w:rsidP="003977D0">
            <w:pPr>
              <w:spacing w:line="360" w:lineRule="auto"/>
              <w:jc w:val="center"/>
              <w:rPr>
                <w:color w:val="000000"/>
                <w:sz w:val="16"/>
                <w:szCs w:val="16"/>
              </w:rPr>
            </w:pPr>
            <w:r w:rsidRPr="003977D0">
              <w:rPr>
                <w:color w:val="000000"/>
                <w:sz w:val="16"/>
                <w:szCs w:val="16"/>
              </w:rPr>
              <w:t>3568617,9</w:t>
            </w:r>
          </w:p>
        </w:tc>
        <w:tc>
          <w:tcPr>
            <w:tcW w:w="849" w:type="dxa"/>
            <w:tcBorders>
              <w:top w:val="single" w:sz="6" w:space="0" w:color="auto"/>
              <w:left w:val="single" w:sz="6" w:space="0" w:color="auto"/>
              <w:bottom w:val="single" w:sz="6" w:space="0" w:color="auto"/>
              <w:right w:val="single" w:sz="6" w:space="0" w:color="auto"/>
            </w:tcBorders>
            <w:shd w:val="clear" w:color="auto" w:fill="auto"/>
            <w:vAlign w:val="center"/>
          </w:tcPr>
          <w:p w:rsidR="003977D0" w:rsidRPr="003977D0" w:rsidRDefault="003977D0" w:rsidP="003977D0">
            <w:pPr>
              <w:spacing w:line="360" w:lineRule="auto"/>
              <w:jc w:val="center"/>
              <w:rPr>
                <w:color w:val="000000"/>
                <w:sz w:val="16"/>
                <w:szCs w:val="16"/>
              </w:rPr>
            </w:pPr>
            <w:r w:rsidRPr="003977D0">
              <w:rPr>
                <w:color w:val="000000"/>
                <w:sz w:val="16"/>
                <w:szCs w:val="16"/>
              </w:rPr>
              <w:t>3419570,7</w:t>
            </w:r>
          </w:p>
        </w:tc>
        <w:tc>
          <w:tcPr>
            <w:tcW w:w="849" w:type="dxa"/>
            <w:tcBorders>
              <w:top w:val="single" w:sz="6" w:space="0" w:color="auto"/>
              <w:left w:val="single" w:sz="6" w:space="0" w:color="auto"/>
              <w:bottom w:val="single" w:sz="6" w:space="0" w:color="auto"/>
              <w:right w:val="single" w:sz="6" w:space="0" w:color="auto"/>
            </w:tcBorders>
            <w:shd w:val="clear" w:color="auto" w:fill="auto"/>
            <w:vAlign w:val="center"/>
          </w:tcPr>
          <w:p w:rsidR="003977D0" w:rsidRPr="003977D0" w:rsidRDefault="003977D0" w:rsidP="003977D0">
            <w:pPr>
              <w:spacing w:line="360" w:lineRule="auto"/>
              <w:jc w:val="center"/>
              <w:rPr>
                <w:color w:val="000000"/>
                <w:sz w:val="16"/>
                <w:szCs w:val="16"/>
              </w:rPr>
            </w:pPr>
            <w:r w:rsidRPr="003977D0">
              <w:rPr>
                <w:color w:val="000000"/>
                <w:sz w:val="16"/>
                <w:szCs w:val="16"/>
              </w:rPr>
              <w:t>3211397,1</w:t>
            </w:r>
          </w:p>
        </w:tc>
        <w:tc>
          <w:tcPr>
            <w:tcW w:w="844" w:type="dxa"/>
            <w:tcBorders>
              <w:top w:val="single" w:sz="6" w:space="0" w:color="auto"/>
              <w:left w:val="single" w:sz="6" w:space="0" w:color="auto"/>
              <w:bottom w:val="single" w:sz="6" w:space="0" w:color="auto"/>
              <w:right w:val="single" w:sz="12" w:space="0" w:color="auto"/>
            </w:tcBorders>
            <w:shd w:val="clear" w:color="auto" w:fill="auto"/>
            <w:vAlign w:val="center"/>
          </w:tcPr>
          <w:p w:rsidR="003977D0" w:rsidRPr="003977D0" w:rsidRDefault="003977D0" w:rsidP="003977D0">
            <w:pPr>
              <w:spacing w:line="360" w:lineRule="auto"/>
              <w:jc w:val="center"/>
              <w:rPr>
                <w:sz w:val="16"/>
                <w:szCs w:val="16"/>
              </w:rPr>
            </w:pPr>
            <w:r w:rsidRPr="003977D0">
              <w:rPr>
                <w:sz w:val="16"/>
                <w:szCs w:val="16"/>
              </w:rPr>
              <w:t>3346279,5</w:t>
            </w:r>
          </w:p>
        </w:tc>
      </w:tr>
      <w:tr w:rsidR="003977D0" w:rsidRPr="003977D0" w:rsidTr="003977D0">
        <w:trPr>
          <w:trHeight w:val="689"/>
        </w:trPr>
        <w:tc>
          <w:tcPr>
            <w:tcW w:w="1418" w:type="dxa"/>
            <w:tcBorders>
              <w:top w:val="single" w:sz="6" w:space="0" w:color="auto"/>
              <w:left w:val="single" w:sz="12" w:space="0" w:color="auto"/>
              <w:bottom w:val="single" w:sz="6" w:space="0" w:color="auto"/>
              <w:right w:val="single" w:sz="12" w:space="0" w:color="auto"/>
            </w:tcBorders>
            <w:shd w:val="clear" w:color="auto" w:fill="auto"/>
            <w:vAlign w:val="center"/>
          </w:tcPr>
          <w:p w:rsidR="003977D0" w:rsidRPr="003977D0" w:rsidRDefault="003977D0" w:rsidP="003977D0">
            <w:pPr>
              <w:spacing w:line="360" w:lineRule="auto"/>
              <w:jc w:val="center"/>
              <w:rPr>
                <w:sz w:val="16"/>
                <w:szCs w:val="16"/>
              </w:rPr>
            </w:pPr>
            <w:r w:rsidRPr="003977D0">
              <w:rPr>
                <w:sz w:val="16"/>
                <w:szCs w:val="16"/>
              </w:rPr>
              <w:t>Dotacijos</w:t>
            </w:r>
          </w:p>
        </w:tc>
        <w:tc>
          <w:tcPr>
            <w:tcW w:w="992" w:type="dxa"/>
            <w:tcBorders>
              <w:top w:val="single" w:sz="6" w:space="0" w:color="auto"/>
              <w:left w:val="single" w:sz="12" w:space="0" w:color="auto"/>
              <w:bottom w:val="single" w:sz="6" w:space="0" w:color="auto"/>
              <w:right w:val="single" w:sz="6" w:space="0" w:color="auto"/>
            </w:tcBorders>
            <w:shd w:val="clear" w:color="auto" w:fill="auto"/>
            <w:vAlign w:val="center"/>
          </w:tcPr>
          <w:p w:rsidR="003977D0" w:rsidRPr="003977D0" w:rsidRDefault="003977D0" w:rsidP="003977D0">
            <w:pPr>
              <w:spacing w:line="360" w:lineRule="auto"/>
              <w:jc w:val="center"/>
              <w:rPr>
                <w:sz w:val="16"/>
                <w:szCs w:val="16"/>
              </w:rPr>
            </w:pPr>
            <w:r w:rsidRPr="003977D0">
              <w:rPr>
                <w:sz w:val="16"/>
                <w:szCs w:val="16"/>
              </w:rPr>
              <w:t>-2898569,1</w:t>
            </w:r>
          </w:p>
        </w:tc>
        <w:tc>
          <w:tcPr>
            <w:tcW w:w="901" w:type="dxa"/>
            <w:tcBorders>
              <w:top w:val="single" w:sz="6" w:space="0" w:color="auto"/>
              <w:left w:val="single" w:sz="6" w:space="0" w:color="auto"/>
              <w:bottom w:val="single" w:sz="6" w:space="0" w:color="auto"/>
              <w:right w:val="single" w:sz="6" w:space="0" w:color="auto"/>
            </w:tcBorders>
            <w:shd w:val="clear" w:color="auto" w:fill="auto"/>
            <w:vAlign w:val="center"/>
          </w:tcPr>
          <w:p w:rsidR="003977D0" w:rsidRPr="003977D0" w:rsidRDefault="003977D0" w:rsidP="003977D0">
            <w:pPr>
              <w:spacing w:line="360" w:lineRule="auto"/>
              <w:jc w:val="center"/>
              <w:rPr>
                <w:sz w:val="16"/>
                <w:szCs w:val="16"/>
              </w:rPr>
            </w:pPr>
            <w:r w:rsidRPr="003977D0">
              <w:rPr>
                <w:sz w:val="16"/>
                <w:szCs w:val="16"/>
              </w:rPr>
              <w:t>-3118019,5</w:t>
            </w:r>
          </w:p>
        </w:tc>
        <w:tc>
          <w:tcPr>
            <w:tcW w:w="952" w:type="dxa"/>
            <w:tcBorders>
              <w:top w:val="single" w:sz="6" w:space="0" w:color="auto"/>
              <w:left w:val="single" w:sz="6" w:space="0" w:color="auto"/>
              <w:bottom w:val="single" w:sz="6" w:space="0" w:color="auto"/>
              <w:right w:val="single" w:sz="6" w:space="0" w:color="auto"/>
            </w:tcBorders>
            <w:shd w:val="clear" w:color="auto" w:fill="auto"/>
            <w:vAlign w:val="center"/>
          </w:tcPr>
          <w:p w:rsidR="003977D0" w:rsidRPr="003977D0" w:rsidRDefault="003977D0" w:rsidP="003977D0">
            <w:pPr>
              <w:spacing w:line="360" w:lineRule="auto"/>
              <w:jc w:val="center"/>
              <w:rPr>
                <w:sz w:val="16"/>
                <w:szCs w:val="16"/>
              </w:rPr>
            </w:pPr>
            <w:r w:rsidRPr="003977D0">
              <w:rPr>
                <w:sz w:val="16"/>
                <w:szCs w:val="16"/>
              </w:rPr>
              <w:t>-3447639,3</w:t>
            </w:r>
          </w:p>
        </w:tc>
        <w:tc>
          <w:tcPr>
            <w:tcW w:w="881" w:type="dxa"/>
            <w:tcBorders>
              <w:top w:val="single" w:sz="6" w:space="0" w:color="auto"/>
              <w:left w:val="single" w:sz="6" w:space="0" w:color="auto"/>
              <w:bottom w:val="single" w:sz="6" w:space="0" w:color="auto"/>
              <w:right w:val="single" w:sz="6" w:space="0" w:color="auto"/>
            </w:tcBorders>
            <w:shd w:val="clear" w:color="auto" w:fill="auto"/>
            <w:vAlign w:val="center"/>
          </w:tcPr>
          <w:p w:rsidR="003977D0" w:rsidRPr="003977D0" w:rsidRDefault="003977D0" w:rsidP="003977D0">
            <w:pPr>
              <w:spacing w:line="360" w:lineRule="auto"/>
              <w:jc w:val="center"/>
              <w:rPr>
                <w:sz w:val="16"/>
                <w:szCs w:val="16"/>
              </w:rPr>
            </w:pPr>
            <w:r w:rsidRPr="003977D0">
              <w:rPr>
                <w:sz w:val="16"/>
                <w:szCs w:val="16"/>
              </w:rPr>
              <w:t>-3610788,7</w:t>
            </w:r>
          </w:p>
        </w:tc>
        <w:tc>
          <w:tcPr>
            <w:tcW w:w="924"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rsidR="003977D0" w:rsidRPr="003977D0" w:rsidRDefault="003977D0" w:rsidP="003977D0">
            <w:pPr>
              <w:spacing w:line="360" w:lineRule="auto"/>
              <w:jc w:val="center"/>
              <w:rPr>
                <w:sz w:val="16"/>
                <w:szCs w:val="16"/>
              </w:rPr>
            </w:pPr>
            <w:r w:rsidRPr="003977D0">
              <w:rPr>
                <w:sz w:val="16"/>
                <w:szCs w:val="16"/>
              </w:rPr>
              <w:t>-3531663,3</w:t>
            </w:r>
          </w:p>
        </w:tc>
        <w:tc>
          <w:tcPr>
            <w:tcW w:w="849" w:type="dxa"/>
            <w:tcBorders>
              <w:top w:val="single" w:sz="6" w:space="0" w:color="auto"/>
              <w:left w:val="single" w:sz="12" w:space="0" w:color="auto"/>
              <w:bottom w:val="single" w:sz="6" w:space="0" w:color="auto"/>
              <w:right w:val="single" w:sz="6" w:space="0" w:color="auto"/>
            </w:tcBorders>
            <w:shd w:val="clear" w:color="auto" w:fill="auto"/>
            <w:vAlign w:val="center"/>
          </w:tcPr>
          <w:p w:rsidR="003977D0" w:rsidRPr="003977D0" w:rsidRDefault="003977D0" w:rsidP="003977D0">
            <w:pPr>
              <w:spacing w:line="360" w:lineRule="auto"/>
              <w:jc w:val="center"/>
              <w:rPr>
                <w:sz w:val="16"/>
                <w:szCs w:val="16"/>
              </w:rPr>
            </w:pPr>
            <w:r w:rsidRPr="003977D0">
              <w:rPr>
                <w:sz w:val="16"/>
                <w:szCs w:val="16"/>
              </w:rPr>
              <w:t>2898569,1</w:t>
            </w:r>
          </w:p>
        </w:tc>
        <w:tc>
          <w:tcPr>
            <w:tcW w:w="849" w:type="dxa"/>
            <w:tcBorders>
              <w:top w:val="single" w:sz="6" w:space="0" w:color="auto"/>
              <w:left w:val="single" w:sz="6" w:space="0" w:color="auto"/>
              <w:bottom w:val="single" w:sz="6" w:space="0" w:color="auto"/>
              <w:right w:val="single" w:sz="6" w:space="0" w:color="auto"/>
            </w:tcBorders>
            <w:shd w:val="clear" w:color="auto" w:fill="auto"/>
            <w:vAlign w:val="center"/>
          </w:tcPr>
          <w:p w:rsidR="003977D0" w:rsidRPr="003977D0" w:rsidRDefault="003977D0" w:rsidP="003977D0">
            <w:pPr>
              <w:spacing w:line="360" w:lineRule="auto"/>
              <w:jc w:val="center"/>
              <w:rPr>
                <w:sz w:val="16"/>
                <w:szCs w:val="16"/>
              </w:rPr>
            </w:pPr>
            <w:r w:rsidRPr="003977D0">
              <w:rPr>
                <w:sz w:val="16"/>
                <w:szCs w:val="16"/>
              </w:rPr>
              <w:t>3118019,5</w:t>
            </w:r>
          </w:p>
        </w:tc>
        <w:tc>
          <w:tcPr>
            <w:tcW w:w="849" w:type="dxa"/>
            <w:tcBorders>
              <w:top w:val="single" w:sz="6" w:space="0" w:color="auto"/>
              <w:left w:val="single" w:sz="6" w:space="0" w:color="auto"/>
              <w:bottom w:val="single" w:sz="6" w:space="0" w:color="auto"/>
              <w:right w:val="single" w:sz="6" w:space="0" w:color="auto"/>
            </w:tcBorders>
            <w:shd w:val="clear" w:color="auto" w:fill="auto"/>
            <w:vAlign w:val="center"/>
          </w:tcPr>
          <w:p w:rsidR="003977D0" w:rsidRPr="003977D0" w:rsidRDefault="003977D0" w:rsidP="003977D0">
            <w:pPr>
              <w:spacing w:line="360" w:lineRule="auto"/>
              <w:jc w:val="center"/>
              <w:rPr>
                <w:sz w:val="16"/>
                <w:szCs w:val="16"/>
              </w:rPr>
            </w:pPr>
            <w:r w:rsidRPr="003977D0">
              <w:rPr>
                <w:sz w:val="16"/>
                <w:szCs w:val="16"/>
              </w:rPr>
              <w:t>3447639,3</w:t>
            </w:r>
          </w:p>
        </w:tc>
        <w:tc>
          <w:tcPr>
            <w:tcW w:w="849" w:type="dxa"/>
            <w:tcBorders>
              <w:top w:val="single" w:sz="6" w:space="0" w:color="auto"/>
              <w:left w:val="single" w:sz="6" w:space="0" w:color="auto"/>
              <w:bottom w:val="single" w:sz="6" w:space="0" w:color="auto"/>
              <w:right w:val="single" w:sz="6" w:space="0" w:color="auto"/>
            </w:tcBorders>
            <w:shd w:val="clear" w:color="auto" w:fill="auto"/>
            <w:vAlign w:val="center"/>
          </w:tcPr>
          <w:p w:rsidR="003977D0" w:rsidRPr="003977D0" w:rsidRDefault="003977D0" w:rsidP="003977D0">
            <w:pPr>
              <w:spacing w:line="360" w:lineRule="auto"/>
              <w:jc w:val="center"/>
              <w:rPr>
                <w:sz w:val="16"/>
                <w:szCs w:val="16"/>
              </w:rPr>
            </w:pPr>
            <w:r w:rsidRPr="003977D0">
              <w:rPr>
                <w:sz w:val="16"/>
                <w:szCs w:val="16"/>
              </w:rPr>
              <w:t>3610788,7</w:t>
            </w:r>
          </w:p>
        </w:tc>
        <w:tc>
          <w:tcPr>
            <w:tcW w:w="844" w:type="dxa"/>
            <w:tcBorders>
              <w:top w:val="single" w:sz="6" w:space="0" w:color="auto"/>
              <w:left w:val="single" w:sz="6" w:space="0" w:color="auto"/>
              <w:bottom w:val="single" w:sz="6" w:space="0" w:color="auto"/>
              <w:right w:val="single" w:sz="12" w:space="0" w:color="auto"/>
            </w:tcBorders>
            <w:shd w:val="clear" w:color="auto" w:fill="auto"/>
            <w:vAlign w:val="center"/>
          </w:tcPr>
          <w:p w:rsidR="003977D0" w:rsidRPr="003977D0" w:rsidRDefault="003977D0" w:rsidP="003977D0">
            <w:pPr>
              <w:spacing w:line="360" w:lineRule="auto"/>
              <w:jc w:val="center"/>
              <w:rPr>
                <w:sz w:val="16"/>
                <w:szCs w:val="16"/>
              </w:rPr>
            </w:pPr>
            <w:r w:rsidRPr="003977D0">
              <w:rPr>
                <w:sz w:val="16"/>
                <w:szCs w:val="16"/>
              </w:rPr>
              <w:t>3531663,3</w:t>
            </w:r>
          </w:p>
        </w:tc>
      </w:tr>
      <w:tr w:rsidR="003977D0" w:rsidRPr="003977D0" w:rsidTr="003977D0">
        <w:trPr>
          <w:trHeight w:val="699"/>
        </w:trPr>
        <w:tc>
          <w:tcPr>
            <w:tcW w:w="1418" w:type="dxa"/>
            <w:tcBorders>
              <w:top w:val="single" w:sz="6" w:space="0" w:color="auto"/>
              <w:left w:val="single" w:sz="12" w:space="0" w:color="auto"/>
              <w:bottom w:val="single" w:sz="12" w:space="0" w:color="auto"/>
              <w:right w:val="single" w:sz="12" w:space="0" w:color="auto"/>
            </w:tcBorders>
            <w:shd w:val="clear" w:color="auto" w:fill="auto"/>
            <w:vAlign w:val="center"/>
          </w:tcPr>
          <w:p w:rsidR="003977D0" w:rsidRPr="003977D0" w:rsidRDefault="003977D0" w:rsidP="003977D0">
            <w:pPr>
              <w:spacing w:line="360" w:lineRule="auto"/>
              <w:jc w:val="center"/>
              <w:rPr>
                <w:b/>
                <w:sz w:val="16"/>
                <w:szCs w:val="16"/>
              </w:rPr>
            </w:pPr>
            <w:r w:rsidRPr="003977D0">
              <w:rPr>
                <w:b/>
                <w:sz w:val="16"/>
                <w:szCs w:val="16"/>
              </w:rPr>
              <w:t>IŠ VISO SU DOTACIJOMIS</w:t>
            </w:r>
          </w:p>
        </w:tc>
        <w:tc>
          <w:tcPr>
            <w:tcW w:w="992" w:type="dxa"/>
            <w:tcBorders>
              <w:top w:val="single" w:sz="6" w:space="0" w:color="auto"/>
              <w:left w:val="single" w:sz="12" w:space="0" w:color="auto"/>
              <w:bottom w:val="single" w:sz="12" w:space="0" w:color="auto"/>
              <w:right w:val="single" w:sz="6" w:space="0" w:color="auto"/>
            </w:tcBorders>
            <w:shd w:val="clear" w:color="auto" w:fill="auto"/>
            <w:vAlign w:val="center"/>
          </w:tcPr>
          <w:p w:rsidR="003977D0" w:rsidRPr="003977D0" w:rsidRDefault="003977D0" w:rsidP="003977D0">
            <w:pPr>
              <w:spacing w:line="360" w:lineRule="auto"/>
              <w:jc w:val="center"/>
              <w:rPr>
                <w:color w:val="000000"/>
                <w:sz w:val="16"/>
                <w:szCs w:val="16"/>
              </w:rPr>
            </w:pPr>
            <w:r w:rsidRPr="003977D0">
              <w:rPr>
                <w:color w:val="000000"/>
                <w:sz w:val="16"/>
                <w:szCs w:val="16"/>
              </w:rPr>
              <w:t>20302337,9</w:t>
            </w:r>
          </w:p>
        </w:tc>
        <w:tc>
          <w:tcPr>
            <w:tcW w:w="901" w:type="dxa"/>
            <w:tcBorders>
              <w:top w:val="single" w:sz="6" w:space="0" w:color="auto"/>
              <w:left w:val="single" w:sz="6" w:space="0" w:color="auto"/>
              <w:bottom w:val="single" w:sz="12" w:space="0" w:color="auto"/>
              <w:right w:val="single" w:sz="6" w:space="0" w:color="auto"/>
            </w:tcBorders>
            <w:shd w:val="clear" w:color="auto" w:fill="auto"/>
            <w:vAlign w:val="center"/>
          </w:tcPr>
          <w:p w:rsidR="003977D0" w:rsidRPr="003977D0" w:rsidRDefault="003977D0" w:rsidP="003977D0">
            <w:pPr>
              <w:spacing w:line="360" w:lineRule="auto"/>
              <w:jc w:val="center"/>
              <w:rPr>
                <w:color w:val="000000"/>
                <w:sz w:val="16"/>
                <w:szCs w:val="16"/>
              </w:rPr>
            </w:pPr>
            <w:r w:rsidRPr="003977D0">
              <w:rPr>
                <w:color w:val="000000"/>
                <w:sz w:val="16"/>
                <w:szCs w:val="16"/>
              </w:rPr>
              <w:t>17590916,5</w:t>
            </w:r>
          </w:p>
        </w:tc>
        <w:tc>
          <w:tcPr>
            <w:tcW w:w="952" w:type="dxa"/>
            <w:tcBorders>
              <w:top w:val="single" w:sz="6" w:space="0" w:color="auto"/>
              <w:left w:val="single" w:sz="6" w:space="0" w:color="auto"/>
              <w:bottom w:val="single" w:sz="12" w:space="0" w:color="auto"/>
              <w:right w:val="single" w:sz="6" w:space="0" w:color="auto"/>
            </w:tcBorders>
            <w:shd w:val="clear" w:color="auto" w:fill="auto"/>
            <w:vAlign w:val="center"/>
          </w:tcPr>
          <w:p w:rsidR="003977D0" w:rsidRPr="003977D0" w:rsidRDefault="003977D0" w:rsidP="003977D0">
            <w:pPr>
              <w:spacing w:line="360" w:lineRule="auto"/>
              <w:jc w:val="center"/>
              <w:rPr>
                <w:color w:val="000000"/>
                <w:sz w:val="16"/>
                <w:szCs w:val="16"/>
              </w:rPr>
            </w:pPr>
            <w:r w:rsidRPr="003977D0">
              <w:rPr>
                <w:color w:val="000000"/>
                <w:sz w:val="16"/>
                <w:szCs w:val="16"/>
              </w:rPr>
              <w:t>16431394,7</w:t>
            </w:r>
          </w:p>
        </w:tc>
        <w:tc>
          <w:tcPr>
            <w:tcW w:w="881" w:type="dxa"/>
            <w:tcBorders>
              <w:top w:val="single" w:sz="6" w:space="0" w:color="auto"/>
              <w:left w:val="single" w:sz="6" w:space="0" w:color="auto"/>
              <w:bottom w:val="single" w:sz="12" w:space="0" w:color="auto"/>
              <w:right w:val="single" w:sz="6" w:space="0" w:color="auto"/>
            </w:tcBorders>
            <w:shd w:val="clear" w:color="auto" w:fill="auto"/>
            <w:vAlign w:val="center"/>
          </w:tcPr>
          <w:p w:rsidR="003977D0" w:rsidRPr="003977D0" w:rsidRDefault="003977D0" w:rsidP="003977D0">
            <w:pPr>
              <w:spacing w:line="360" w:lineRule="auto"/>
              <w:jc w:val="center"/>
              <w:rPr>
                <w:color w:val="000000"/>
                <w:sz w:val="16"/>
                <w:szCs w:val="16"/>
              </w:rPr>
            </w:pPr>
            <w:r w:rsidRPr="003977D0">
              <w:rPr>
                <w:color w:val="000000"/>
                <w:sz w:val="16"/>
                <w:szCs w:val="16"/>
              </w:rPr>
              <w:t>18680016,3</w:t>
            </w:r>
          </w:p>
        </w:tc>
        <w:tc>
          <w:tcPr>
            <w:tcW w:w="924" w:type="dxa"/>
            <w:gridSpan w:val="2"/>
            <w:tcBorders>
              <w:top w:val="single" w:sz="6" w:space="0" w:color="auto"/>
              <w:left w:val="single" w:sz="6" w:space="0" w:color="auto"/>
              <w:bottom w:val="single" w:sz="12" w:space="0" w:color="auto"/>
              <w:right w:val="single" w:sz="12" w:space="0" w:color="auto"/>
            </w:tcBorders>
            <w:shd w:val="clear" w:color="auto" w:fill="auto"/>
            <w:vAlign w:val="center"/>
          </w:tcPr>
          <w:p w:rsidR="003977D0" w:rsidRPr="003977D0" w:rsidRDefault="003977D0" w:rsidP="003977D0">
            <w:pPr>
              <w:spacing w:line="360" w:lineRule="auto"/>
              <w:jc w:val="center"/>
              <w:rPr>
                <w:color w:val="000000"/>
                <w:sz w:val="16"/>
                <w:szCs w:val="16"/>
              </w:rPr>
            </w:pPr>
            <w:r w:rsidRPr="003977D0">
              <w:rPr>
                <w:color w:val="000000"/>
                <w:sz w:val="16"/>
                <w:szCs w:val="16"/>
              </w:rPr>
              <w:t>20694328,7</w:t>
            </w:r>
          </w:p>
        </w:tc>
        <w:tc>
          <w:tcPr>
            <w:tcW w:w="849" w:type="dxa"/>
            <w:tcBorders>
              <w:top w:val="single" w:sz="6" w:space="0" w:color="auto"/>
              <w:left w:val="single" w:sz="12" w:space="0" w:color="auto"/>
              <w:bottom w:val="single" w:sz="12" w:space="0" w:color="auto"/>
              <w:right w:val="single" w:sz="6" w:space="0" w:color="auto"/>
            </w:tcBorders>
            <w:shd w:val="clear" w:color="auto" w:fill="auto"/>
            <w:vAlign w:val="center"/>
          </w:tcPr>
          <w:p w:rsidR="003977D0" w:rsidRPr="003977D0" w:rsidRDefault="003977D0" w:rsidP="003977D0">
            <w:pPr>
              <w:spacing w:line="360" w:lineRule="auto"/>
              <w:jc w:val="center"/>
              <w:rPr>
                <w:color w:val="000000"/>
                <w:sz w:val="16"/>
                <w:szCs w:val="16"/>
              </w:rPr>
            </w:pPr>
            <w:r w:rsidRPr="003977D0">
              <w:rPr>
                <w:color w:val="000000"/>
                <w:sz w:val="16"/>
                <w:szCs w:val="16"/>
              </w:rPr>
              <w:t>7088417,1</w:t>
            </w:r>
          </w:p>
        </w:tc>
        <w:tc>
          <w:tcPr>
            <w:tcW w:w="849" w:type="dxa"/>
            <w:tcBorders>
              <w:top w:val="single" w:sz="6" w:space="0" w:color="auto"/>
              <w:left w:val="single" w:sz="6" w:space="0" w:color="auto"/>
              <w:bottom w:val="single" w:sz="12" w:space="0" w:color="auto"/>
              <w:right w:val="single" w:sz="6" w:space="0" w:color="auto"/>
            </w:tcBorders>
            <w:shd w:val="clear" w:color="auto" w:fill="auto"/>
            <w:vAlign w:val="center"/>
          </w:tcPr>
          <w:p w:rsidR="003977D0" w:rsidRPr="003977D0" w:rsidRDefault="003977D0" w:rsidP="003977D0">
            <w:pPr>
              <w:spacing w:line="360" w:lineRule="auto"/>
              <w:jc w:val="center"/>
              <w:rPr>
                <w:color w:val="000000"/>
                <w:sz w:val="16"/>
                <w:szCs w:val="16"/>
              </w:rPr>
            </w:pPr>
            <w:r w:rsidRPr="003977D0">
              <w:rPr>
                <w:color w:val="000000"/>
                <w:sz w:val="16"/>
                <w:szCs w:val="16"/>
              </w:rPr>
              <w:t>6686637,4</w:t>
            </w:r>
          </w:p>
        </w:tc>
        <w:tc>
          <w:tcPr>
            <w:tcW w:w="849" w:type="dxa"/>
            <w:tcBorders>
              <w:top w:val="single" w:sz="6" w:space="0" w:color="auto"/>
              <w:left w:val="single" w:sz="6" w:space="0" w:color="auto"/>
              <w:bottom w:val="single" w:sz="12" w:space="0" w:color="auto"/>
              <w:right w:val="single" w:sz="6" w:space="0" w:color="auto"/>
            </w:tcBorders>
            <w:shd w:val="clear" w:color="auto" w:fill="auto"/>
            <w:vAlign w:val="center"/>
          </w:tcPr>
          <w:p w:rsidR="003977D0" w:rsidRPr="003977D0" w:rsidRDefault="003977D0" w:rsidP="003977D0">
            <w:pPr>
              <w:spacing w:line="360" w:lineRule="auto"/>
              <w:jc w:val="center"/>
              <w:rPr>
                <w:color w:val="000000"/>
                <w:sz w:val="16"/>
                <w:szCs w:val="16"/>
              </w:rPr>
            </w:pPr>
            <w:r w:rsidRPr="003977D0">
              <w:rPr>
                <w:color w:val="000000"/>
                <w:sz w:val="16"/>
                <w:szCs w:val="16"/>
              </w:rPr>
              <w:t>6867210,0</w:t>
            </w:r>
          </w:p>
        </w:tc>
        <w:tc>
          <w:tcPr>
            <w:tcW w:w="849" w:type="dxa"/>
            <w:tcBorders>
              <w:top w:val="single" w:sz="6" w:space="0" w:color="auto"/>
              <w:left w:val="single" w:sz="6" w:space="0" w:color="auto"/>
              <w:bottom w:val="single" w:sz="12" w:space="0" w:color="auto"/>
              <w:right w:val="single" w:sz="6" w:space="0" w:color="auto"/>
            </w:tcBorders>
            <w:shd w:val="clear" w:color="auto" w:fill="auto"/>
            <w:vAlign w:val="center"/>
          </w:tcPr>
          <w:p w:rsidR="003977D0" w:rsidRPr="003977D0" w:rsidRDefault="003977D0" w:rsidP="003977D0">
            <w:pPr>
              <w:spacing w:line="360" w:lineRule="auto"/>
              <w:jc w:val="center"/>
              <w:rPr>
                <w:color w:val="000000"/>
                <w:sz w:val="16"/>
                <w:szCs w:val="16"/>
              </w:rPr>
            </w:pPr>
            <w:r w:rsidRPr="003977D0">
              <w:rPr>
                <w:color w:val="000000"/>
                <w:sz w:val="16"/>
                <w:szCs w:val="16"/>
              </w:rPr>
              <w:t>6822185,8</w:t>
            </w:r>
          </w:p>
        </w:tc>
        <w:tc>
          <w:tcPr>
            <w:tcW w:w="844" w:type="dxa"/>
            <w:tcBorders>
              <w:top w:val="single" w:sz="6" w:space="0" w:color="auto"/>
              <w:left w:val="single" w:sz="6" w:space="0" w:color="auto"/>
              <w:bottom w:val="single" w:sz="12" w:space="0" w:color="auto"/>
              <w:right w:val="single" w:sz="12" w:space="0" w:color="auto"/>
            </w:tcBorders>
            <w:shd w:val="clear" w:color="auto" w:fill="auto"/>
            <w:vAlign w:val="center"/>
          </w:tcPr>
          <w:p w:rsidR="003977D0" w:rsidRPr="003977D0" w:rsidRDefault="003977D0" w:rsidP="003977D0">
            <w:pPr>
              <w:spacing w:line="360" w:lineRule="auto"/>
              <w:jc w:val="center"/>
              <w:rPr>
                <w:sz w:val="16"/>
                <w:szCs w:val="16"/>
              </w:rPr>
            </w:pPr>
            <w:r w:rsidRPr="003977D0">
              <w:rPr>
                <w:sz w:val="16"/>
                <w:szCs w:val="16"/>
              </w:rPr>
              <w:t>6877942,8</w:t>
            </w:r>
          </w:p>
        </w:tc>
      </w:tr>
    </w:tbl>
    <w:p w:rsidR="00C402C1" w:rsidRDefault="003977D0" w:rsidP="001B1CC5">
      <w:pPr>
        <w:spacing w:line="360" w:lineRule="auto"/>
        <w:rPr>
          <w:b/>
          <w:lang w:val="lt-LT"/>
        </w:rPr>
      </w:pPr>
      <w:r w:rsidRPr="00EB74BD">
        <w:rPr>
          <w:b/>
          <w:sz w:val="20"/>
          <w:szCs w:val="20"/>
          <w:lang w:val="lt-LT"/>
        </w:rPr>
        <w:t>Šaltinis:</w:t>
      </w:r>
      <w:r w:rsidRPr="00DE45AC">
        <w:rPr>
          <w:sz w:val="20"/>
          <w:szCs w:val="20"/>
          <w:lang w:val="lt-LT"/>
        </w:rPr>
        <w:t xml:space="preserve"> Lietuvos statistikos departamento duomenų bazė</w:t>
      </w:r>
      <w:r>
        <w:rPr>
          <w:sz w:val="20"/>
          <w:szCs w:val="20"/>
          <w:lang w:val="lt-LT"/>
        </w:rPr>
        <w:t>, Finansų ministerijos duomenys</w:t>
      </w:r>
    </w:p>
    <w:p w:rsidR="00C402C1" w:rsidRDefault="00C402C1" w:rsidP="007C3B56">
      <w:pPr>
        <w:spacing w:line="360" w:lineRule="auto"/>
        <w:rPr>
          <w:b/>
          <w:lang w:val="lt-LT"/>
        </w:rPr>
      </w:pPr>
    </w:p>
    <w:p w:rsidR="00C402C1" w:rsidRDefault="00C402C1" w:rsidP="007C3B56">
      <w:pPr>
        <w:spacing w:line="360" w:lineRule="auto"/>
        <w:rPr>
          <w:b/>
          <w:lang w:val="lt-LT"/>
        </w:rPr>
      </w:pPr>
    </w:p>
    <w:p w:rsidR="00C402C1" w:rsidRDefault="00C402C1" w:rsidP="007C3B56">
      <w:pPr>
        <w:spacing w:line="360" w:lineRule="auto"/>
        <w:rPr>
          <w:b/>
          <w:lang w:val="lt-LT"/>
        </w:rPr>
      </w:pPr>
    </w:p>
    <w:p w:rsidR="00C402C1" w:rsidRDefault="00C402C1" w:rsidP="007C3B56">
      <w:pPr>
        <w:spacing w:line="360" w:lineRule="auto"/>
        <w:rPr>
          <w:b/>
          <w:lang w:val="lt-LT"/>
        </w:rPr>
      </w:pPr>
    </w:p>
    <w:p w:rsidR="00C402C1" w:rsidRDefault="00C402C1" w:rsidP="007C3B56">
      <w:pPr>
        <w:spacing w:line="360" w:lineRule="auto"/>
        <w:rPr>
          <w:b/>
          <w:lang w:val="lt-LT"/>
        </w:rPr>
      </w:pPr>
    </w:p>
    <w:p w:rsidR="00C402C1" w:rsidRDefault="00C402C1" w:rsidP="007C3B56">
      <w:pPr>
        <w:spacing w:line="360" w:lineRule="auto"/>
        <w:rPr>
          <w:b/>
          <w:lang w:val="lt-LT"/>
        </w:rPr>
      </w:pPr>
    </w:p>
    <w:p w:rsidR="00C402C1" w:rsidRDefault="00C402C1" w:rsidP="007C3B56">
      <w:pPr>
        <w:spacing w:line="360" w:lineRule="auto"/>
        <w:rPr>
          <w:b/>
          <w:lang w:val="lt-LT"/>
        </w:rPr>
      </w:pPr>
    </w:p>
    <w:p w:rsidR="00C402C1" w:rsidRDefault="00C402C1" w:rsidP="007C3B56">
      <w:pPr>
        <w:spacing w:line="360" w:lineRule="auto"/>
        <w:rPr>
          <w:b/>
          <w:lang w:val="lt-LT"/>
        </w:rPr>
      </w:pPr>
    </w:p>
    <w:p w:rsidR="00C402C1" w:rsidRDefault="00C402C1" w:rsidP="007C3B56">
      <w:pPr>
        <w:spacing w:line="360" w:lineRule="auto"/>
        <w:rPr>
          <w:b/>
          <w:lang w:val="lt-LT"/>
        </w:rPr>
      </w:pPr>
    </w:p>
    <w:p w:rsidR="00C402C1" w:rsidRDefault="00C402C1" w:rsidP="007C3B56">
      <w:pPr>
        <w:spacing w:line="360" w:lineRule="auto"/>
        <w:rPr>
          <w:b/>
          <w:lang w:val="lt-LT"/>
        </w:rPr>
      </w:pPr>
    </w:p>
    <w:p w:rsidR="00C402C1" w:rsidRDefault="00C402C1" w:rsidP="007C3B56">
      <w:pPr>
        <w:spacing w:line="360" w:lineRule="auto"/>
        <w:rPr>
          <w:b/>
          <w:lang w:val="lt-LT"/>
        </w:rPr>
      </w:pPr>
    </w:p>
    <w:p w:rsidR="00A61C06" w:rsidRDefault="00A61C06" w:rsidP="007C3B56">
      <w:pPr>
        <w:spacing w:line="360" w:lineRule="auto"/>
        <w:rPr>
          <w:b/>
          <w:lang w:val="lt-LT"/>
        </w:rPr>
      </w:pPr>
    </w:p>
    <w:p w:rsidR="003977D0" w:rsidRDefault="00073B90" w:rsidP="00073B90">
      <w:pPr>
        <w:spacing w:line="360" w:lineRule="auto"/>
        <w:jc w:val="right"/>
        <w:rPr>
          <w:b/>
          <w:lang w:val="lt-LT"/>
        </w:rPr>
      </w:pPr>
      <w:r>
        <w:rPr>
          <w:b/>
          <w:lang w:val="lt-LT"/>
        </w:rPr>
        <w:lastRenderedPageBreak/>
        <w:t xml:space="preserve">3 </w:t>
      </w:r>
      <w:r w:rsidR="003977D0">
        <w:rPr>
          <w:b/>
          <w:lang w:val="lt-LT"/>
        </w:rPr>
        <w:t>PRIEDAS</w:t>
      </w:r>
    </w:p>
    <w:p w:rsidR="006E1AC2" w:rsidRDefault="006E1AC2" w:rsidP="00C62571">
      <w:pPr>
        <w:pStyle w:val="Heading4"/>
        <w:rPr>
          <w:lang w:val="lt-LT"/>
        </w:rPr>
      </w:pPr>
      <w:bookmarkStart w:id="97" w:name="_Toc385241717"/>
      <w:bookmarkStart w:id="98" w:name="_Toc385241838"/>
      <w:r>
        <w:rPr>
          <w:lang w:val="lt-LT"/>
        </w:rPr>
        <w:t>VALSTYBĖS BIUDŽETO SPECIALIOS TIKSLINĖS DOTACIJOS IR BENDROSIOS DOTACIJOS KOMPENSACIJOS SAVIVALDYBIŲ BIUDŽETAMS, TŪKST. LT</w:t>
      </w:r>
      <w:bookmarkEnd w:id="97"/>
      <w:bookmarkEnd w:id="98"/>
    </w:p>
    <w:p w:rsidR="006E1AC2" w:rsidRDefault="006E1AC2" w:rsidP="007C3B56">
      <w:pPr>
        <w:spacing w:line="360" w:lineRule="auto"/>
        <w:rPr>
          <w:b/>
          <w:lang w:val="lt-LT"/>
        </w:rPr>
      </w:pPr>
    </w:p>
    <w:tbl>
      <w:tblPr>
        <w:tblW w:w="0" w:type="auto"/>
        <w:tblLook w:val="04A0" w:firstRow="1" w:lastRow="0" w:firstColumn="1" w:lastColumn="0" w:noHBand="0" w:noVBand="1"/>
      </w:tblPr>
      <w:tblGrid>
        <w:gridCol w:w="1484"/>
        <w:gridCol w:w="1790"/>
        <w:gridCol w:w="1324"/>
        <w:gridCol w:w="1325"/>
        <w:gridCol w:w="1325"/>
        <w:gridCol w:w="1325"/>
        <w:gridCol w:w="1183"/>
      </w:tblGrid>
      <w:tr w:rsidR="007058B0" w:rsidRPr="00BB14AA" w:rsidTr="00BB14AA">
        <w:tc>
          <w:tcPr>
            <w:tcW w:w="3274" w:type="dxa"/>
            <w:gridSpan w:val="2"/>
            <w:tcBorders>
              <w:top w:val="single" w:sz="12" w:space="0" w:color="auto"/>
              <w:left w:val="single" w:sz="12" w:space="0" w:color="auto"/>
              <w:bottom w:val="single" w:sz="12" w:space="0" w:color="auto"/>
              <w:right w:val="single" w:sz="12" w:space="0" w:color="auto"/>
            </w:tcBorders>
            <w:vAlign w:val="center"/>
          </w:tcPr>
          <w:p w:rsidR="007058B0" w:rsidRPr="00BB14AA" w:rsidRDefault="00C87D68" w:rsidP="00BB14AA">
            <w:pPr>
              <w:spacing w:line="360" w:lineRule="auto"/>
              <w:jc w:val="center"/>
              <w:rPr>
                <w:sz w:val="16"/>
                <w:szCs w:val="16"/>
                <w:lang w:val="lt-LT"/>
              </w:rPr>
            </w:pPr>
            <w:r w:rsidRPr="00BB14AA">
              <w:rPr>
                <w:sz w:val="16"/>
                <w:szCs w:val="16"/>
                <w:lang w:val="lt-LT"/>
              </w:rPr>
              <w:t>Valstybės skiriamos dotacijos savivaldybėms</w:t>
            </w:r>
          </w:p>
        </w:tc>
        <w:tc>
          <w:tcPr>
            <w:tcW w:w="1324" w:type="dxa"/>
            <w:tcBorders>
              <w:top w:val="single" w:sz="12" w:space="0" w:color="auto"/>
              <w:left w:val="single" w:sz="12" w:space="0" w:color="auto"/>
              <w:bottom w:val="single" w:sz="12" w:space="0" w:color="auto"/>
              <w:right w:val="single" w:sz="6" w:space="0" w:color="auto"/>
            </w:tcBorders>
            <w:vAlign w:val="center"/>
          </w:tcPr>
          <w:p w:rsidR="007058B0" w:rsidRPr="00BB14AA" w:rsidRDefault="007058B0" w:rsidP="00BB14AA">
            <w:pPr>
              <w:spacing w:line="360" w:lineRule="auto"/>
              <w:jc w:val="center"/>
              <w:rPr>
                <w:b/>
                <w:sz w:val="16"/>
                <w:szCs w:val="16"/>
              </w:rPr>
            </w:pPr>
            <w:r w:rsidRPr="00BB14AA">
              <w:rPr>
                <w:b/>
                <w:sz w:val="16"/>
                <w:szCs w:val="16"/>
              </w:rPr>
              <w:t>2008</w:t>
            </w:r>
          </w:p>
        </w:tc>
        <w:tc>
          <w:tcPr>
            <w:tcW w:w="1325" w:type="dxa"/>
            <w:tcBorders>
              <w:top w:val="single" w:sz="12" w:space="0" w:color="auto"/>
              <w:left w:val="single" w:sz="6" w:space="0" w:color="auto"/>
              <w:bottom w:val="single" w:sz="12" w:space="0" w:color="auto"/>
              <w:right w:val="single" w:sz="6" w:space="0" w:color="auto"/>
            </w:tcBorders>
            <w:vAlign w:val="center"/>
          </w:tcPr>
          <w:p w:rsidR="007058B0" w:rsidRPr="00BB14AA" w:rsidRDefault="007058B0" w:rsidP="00BB14AA">
            <w:pPr>
              <w:spacing w:line="360" w:lineRule="auto"/>
              <w:jc w:val="center"/>
              <w:rPr>
                <w:b/>
                <w:sz w:val="16"/>
                <w:szCs w:val="16"/>
                <w:lang w:val="lt-LT"/>
              </w:rPr>
            </w:pPr>
            <w:r w:rsidRPr="00BB14AA">
              <w:rPr>
                <w:b/>
                <w:sz w:val="16"/>
                <w:szCs w:val="16"/>
                <w:lang w:val="lt-LT"/>
              </w:rPr>
              <w:t>2009</w:t>
            </w:r>
          </w:p>
        </w:tc>
        <w:tc>
          <w:tcPr>
            <w:tcW w:w="1325" w:type="dxa"/>
            <w:tcBorders>
              <w:top w:val="single" w:sz="12" w:space="0" w:color="auto"/>
              <w:left w:val="single" w:sz="6" w:space="0" w:color="auto"/>
              <w:bottom w:val="single" w:sz="12" w:space="0" w:color="auto"/>
              <w:right w:val="single" w:sz="6" w:space="0" w:color="auto"/>
            </w:tcBorders>
            <w:vAlign w:val="center"/>
          </w:tcPr>
          <w:p w:rsidR="007058B0" w:rsidRPr="00BB14AA" w:rsidRDefault="007058B0" w:rsidP="00BB14AA">
            <w:pPr>
              <w:spacing w:line="360" w:lineRule="auto"/>
              <w:jc w:val="center"/>
              <w:rPr>
                <w:b/>
                <w:sz w:val="16"/>
                <w:szCs w:val="16"/>
                <w:lang w:val="lt-LT"/>
              </w:rPr>
            </w:pPr>
            <w:r w:rsidRPr="00BB14AA">
              <w:rPr>
                <w:b/>
                <w:sz w:val="16"/>
                <w:szCs w:val="16"/>
                <w:lang w:val="lt-LT"/>
              </w:rPr>
              <w:t>2010</w:t>
            </w:r>
          </w:p>
        </w:tc>
        <w:tc>
          <w:tcPr>
            <w:tcW w:w="1325" w:type="dxa"/>
            <w:tcBorders>
              <w:top w:val="single" w:sz="12" w:space="0" w:color="auto"/>
              <w:left w:val="single" w:sz="6" w:space="0" w:color="auto"/>
              <w:bottom w:val="single" w:sz="12" w:space="0" w:color="auto"/>
              <w:right w:val="single" w:sz="6" w:space="0" w:color="auto"/>
            </w:tcBorders>
            <w:vAlign w:val="center"/>
          </w:tcPr>
          <w:p w:rsidR="007058B0" w:rsidRPr="00BB14AA" w:rsidRDefault="007058B0" w:rsidP="00BB14AA">
            <w:pPr>
              <w:spacing w:line="360" w:lineRule="auto"/>
              <w:jc w:val="center"/>
              <w:rPr>
                <w:b/>
                <w:sz w:val="16"/>
                <w:szCs w:val="16"/>
                <w:lang w:val="lt-LT"/>
              </w:rPr>
            </w:pPr>
            <w:r w:rsidRPr="00BB14AA">
              <w:rPr>
                <w:b/>
                <w:sz w:val="16"/>
                <w:szCs w:val="16"/>
                <w:lang w:val="lt-LT"/>
              </w:rPr>
              <w:t>2011</w:t>
            </w:r>
          </w:p>
        </w:tc>
        <w:tc>
          <w:tcPr>
            <w:tcW w:w="1183" w:type="dxa"/>
            <w:tcBorders>
              <w:top w:val="single" w:sz="12" w:space="0" w:color="auto"/>
              <w:left w:val="single" w:sz="6" w:space="0" w:color="auto"/>
              <w:bottom w:val="single" w:sz="12" w:space="0" w:color="auto"/>
              <w:right w:val="single" w:sz="12" w:space="0" w:color="auto"/>
            </w:tcBorders>
            <w:vAlign w:val="center"/>
          </w:tcPr>
          <w:p w:rsidR="007058B0" w:rsidRPr="00BB14AA" w:rsidRDefault="007058B0" w:rsidP="00BB14AA">
            <w:pPr>
              <w:spacing w:line="360" w:lineRule="auto"/>
              <w:jc w:val="center"/>
              <w:rPr>
                <w:b/>
                <w:sz w:val="16"/>
                <w:szCs w:val="16"/>
                <w:lang w:val="lt-LT"/>
              </w:rPr>
            </w:pPr>
            <w:r w:rsidRPr="00BB14AA">
              <w:rPr>
                <w:b/>
                <w:sz w:val="16"/>
                <w:szCs w:val="16"/>
                <w:lang w:val="lt-LT"/>
              </w:rPr>
              <w:t>2012</w:t>
            </w:r>
          </w:p>
        </w:tc>
      </w:tr>
      <w:tr w:rsidR="007058B0" w:rsidRPr="00BB14AA" w:rsidTr="00BB14AA">
        <w:tc>
          <w:tcPr>
            <w:tcW w:w="1484" w:type="dxa"/>
            <w:vMerge w:val="restart"/>
            <w:tcBorders>
              <w:top w:val="single" w:sz="12" w:space="0" w:color="auto"/>
              <w:left w:val="single" w:sz="12" w:space="0" w:color="auto"/>
              <w:bottom w:val="single" w:sz="6" w:space="0" w:color="auto"/>
              <w:right w:val="single" w:sz="6" w:space="0" w:color="auto"/>
            </w:tcBorders>
            <w:vAlign w:val="center"/>
          </w:tcPr>
          <w:p w:rsidR="007058B0" w:rsidRPr="00BB14AA" w:rsidRDefault="007058B0" w:rsidP="00BB14AA">
            <w:pPr>
              <w:spacing w:line="360" w:lineRule="auto"/>
              <w:jc w:val="center"/>
              <w:rPr>
                <w:b/>
                <w:sz w:val="16"/>
                <w:szCs w:val="16"/>
                <w:lang w:val="lt-LT"/>
              </w:rPr>
            </w:pPr>
            <w:r w:rsidRPr="00BB14AA">
              <w:rPr>
                <w:b/>
                <w:sz w:val="16"/>
                <w:szCs w:val="16"/>
                <w:lang w:val="lt-LT"/>
              </w:rPr>
              <w:t>Specialios tikslinės dotacijos</w:t>
            </w:r>
          </w:p>
        </w:tc>
        <w:tc>
          <w:tcPr>
            <w:tcW w:w="1790" w:type="dxa"/>
            <w:tcBorders>
              <w:top w:val="single" w:sz="12" w:space="0" w:color="auto"/>
              <w:left w:val="single" w:sz="6" w:space="0" w:color="auto"/>
              <w:bottom w:val="single" w:sz="6" w:space="0" w:color="auto"/>
              <w:right w:val="single" w:sz="12" w:space="0" w:color="auto"/>
            </w:tcBorders>
            <w:vAlign w:val="center"/>
          </w:tcPr>
          <w:p w:rsidR="007058B0" w:rsidRPr="00BB14AA" w:rsidRDefault="007058B0" w:rsidP="00BB14AA">
            <w:pPr>
              <w:spacing w:line="360" w:lineRule="auto"/>
              <w:jc w:val="center"/>
              <w:rPr>
                <w:sz w:val="16"/>
                <w:szCs w:val="16"/>
                <w:lang w:val="lt-LT"/>
              </w:rPr>
            </w:pPr>
            <w:r w:rsidRPr="00BB14AA">
              <w:rPr>
                <w:sz w:val="16"/>
                <w:szCs w:val="16"/>
                <w:lang w:val="lt-LT"/>
              </w:rPr>
              <w:t>Valstybinėms (perduotoms savivaldybėms) funkcijoms atlikti</w:t>
            </w:r>
          </w:p>
        </w:tc>
        <w:tc>
          <w:tcPr>
            <w:tcW w:w="1324" w:type="dxa"/>
            <w:tcBorders>
              <w:top w:val="single" w:sz="12" w:space="0" w:color="auto"/>
              <w:left w:val="single" w:sz="12" w:space="0" w:color="auto"/>
              <w:bottom w:val="single" w:sz="6" w:space="0" w:color="auto"/>
              <w:right w:val="single" w:sz="6" w:space="0" w:color="auto"/>
            </w:tcBorders>
            <w:vAlign w:val="center"/>
          </w:tcPr>
          <w:p w:rsidR="007058B0" w:rsidRPr="00BB14AA" w:rsidRDefault="00C87D68" w:rsidP="00BB14AA">
            <w:pPr>
              <w:spacing w:line="360" w:lineRule="auto"/>
              <w:jc w:val="center"/>
              <w:rPr>
                <w:sz w:val="16"/>
                <w:szCs w:val="16"/>
                <w:lang w:val="lt-LT"/>
              </w:rPr>
            </w:pPr>
            <w:r w:rsidRPr="00BB14AA">
              <w:rPr>
                <w:sz w:val="16"/>
                <w:szCs w:val="16"/>
                <w:lang w:val="lt-LT"/>
              </w:rPr>
              <w:t>531093,6</w:t>
            </w:r>
          </w:p>
        </w:tc>
        <w:tc>
          <w:tcPr>
            <w:tcW w:w="1325" w:type="dxa"/>
            <w:tcBorders>
              <w:top w:val="single" w:sz="12" w:space="0" w:color="auto"/>
              <w:left w:val="single" w:sz="6" w:space="0" w:color="auto"/>
              <w:bottom w:val="single" w:sz="6" w:space="0" w:color="auto"/>
              <w:right w:val="single" w:sz="6" w:space="0" w:color="auto"/>
            </w:tcBorders>
            <w:vAlign w:val="center"/>
          </w:tcPr>
          <w:p w:rsidR="007058B0" w:rsidRPr="00BB14AA" w:rsidRDefault="006E1AC2" w:rsidP="00BB14AA">
            <w:pPr>
              <w:spacing w:line="360" w:lineRule="auto"/>
              <w:jc w:val="center"/>
              <w:rPr>
                <w:sz w:val="16"/>
                <w:szCs w:val="16"/>
              </w:rPr>
            </w:pPr>
            <w:r w:rsidRPr="00BB14AA">
              <w:rPr>
                <w:sz w:val="16"/>
                <w:szCs w:val="16"/>
              </w:rPr>
              <w:t>560540,7</w:t>
            </w:r>
          </w:p>
        </w:tc>
        <w:tc>
          <w:tcPr>
            <w:tcW w:w="1325" w:type="dxa"/>
            <w:tcBorders>
              <w:top w:val="single" w:sz="12" w:space="0" w:color="auto"/>
              <w:left w:val="single" w:sz="6" w:space="0" w:color="auto"/>
              <w:bottom w:val="single" w:sz="6" w:space="0" w:color="auto"/>
              <w:right w:val="single" w:sz="6" w:space="0" w:color="auto"/>
            </w:tcBorders>
            <w:vAlign w:val="center"/>
          </w:tcPr>
          <w:p w:rsidR="007058B0" w:rsidRPr="00BB14AA" w:rsidRDefault="00B474A5" w:rsidP="00BB14AA">
            <w:pPr>
              <w:spacing w:line="360" w:lineRule="auto"/>
              <w:jc w:val="center"/>
              <w:rPr>
                <w:sz w:val="16"/>
                <w:szCs w:val="16"/>
                <w:lang w:val="lt-LT"/>
              </w:rPr>
            </w:pPr>
            <w:r w:rsidRPr="00BB14AA">
              <w:rPr>
                <w:sz w:val="16"/>
                <w:szCs w:val="16"/>
                <w:lang w:val="lt-LT"/>
              </w:rPr>
              <w:t>704312,7</w:t>
            </w:r>
          </w:p>
        </w:tc>
        <w:tc>
          <w:tcPr>
            <w:tcW w:w="1325" w:type="dxa"/>
            <w:tcBorders>
              <w:top w:val="single" w:sz="12" w:space="0" w:color="auto"/>
              <w:left w:val="single" w:sz="6" w:space="0" w:color="auto"/>
              <w:bottom w:val="single" w:sz="6" w:space="0" w:color="auto"/>
              <w:right w:val="single" w:sz="6" w:space="0" w:color="auto"/>
            </w:tcBorders>
            <w:vAlign w:val="center"/>
          </w:tcPr>
          <w:p w:rsidR="007058B0" w:rsidRPr="00BB14AA" w:rsidRDefault="00B474A5" w:rsidP="00BB14AA">
            <w:pPr>
              <w:spacing w:line="360" w:lineRule="auto"/>
              <w:jc w:val="center"/>
              <w:rPr>
                <w:sz w:val="16"/>
                <w:szCs w:val="16"/>
                <w:lang w:val="lt-LT"/>
              </w:rPr>
            </w:pPr>
            <w:r w:rsidRPr="00BB14AA">
              <w:rPr>
                <w:sz w:val="16"/>
                <w:szCs w:val="16"/>
                <w:lang w:val="lt-LT"/>
              </w:rPr>
              <w:t>1162526,9</w:t>
            </w:r>
          </w:p>
        </w:tc>
        <w:tc>
          <w:tcPr>
            <w:tcW w:w="1183" w:type="dxa"/>
            <w:tcBorders>
              <w:top w:val="single" w:sz="12" w:space="0" w:color="auto"/>
              <w:left w:val="single" w:sz="6" w:space="0" w:color="auto"/>
              <w:bottom w:val="single" w:sz="6" w:space="0" w:color="auto"/>
              <w:right w:val="single" w:sz="12" w:space="0" w:color="auto"/>
            </w:tcBorders>
            <w:vAlign w:val="center"/>
          </w:tcPr>
          <w:p w:rsidR="007058B0" w:rsidRPr="00BB14AA" w:rsidRDefault="0007290B" w:rsidP="00BB14AA">
            <w:pPr>
              <w:jc w:val="center"/>
              <w:rPr>
                <w:sz w:val="16"/>
                <w:szCs w:val="16"/>
                <w:lang w:val="lt-LT"/>
              </w:rPr>
            </w:pPr>
            <w:r w:rsidRPr="00BB14AA">
              <w:rPr>
                <w:sz w:val="16"/>
                <w:szCs w:val="16"/>
                <w:lang w:val="lt-LT"/>
              </w:rPr>
              <w:t>1</w:t>
            </w:r>
            <w:r w:rsidR="00497ADB" w:rsidRPr="00BB14AA">
              <w:rPr>
                <w:sz w:val="16"/>
                <w:szCs w:val="16"/>
                <w:lang w:val="lt-LT"/>
              </w:rPr>
              <w:t>1</w:t>
            </w:r>
            <w:r w:rsidR="00336F9D" w:rsidRPr="00BB14AA">
              <w:rPr>
                <w:sz w:val="16"/>
                <w:szCs w:val="16"/>
                <w:lang w:val="lt-LT"/>
              </w:rPr>
              <w:t>15720,5</w:t>
            </w:r>
          </w:p>
        </w:tc>
      </w:tr>
      <w:tr w:rsidR="007058B0" w:rsidRPr="00BB14AA" w:rsidTr="00BB14AA">
        <w:tc>
          <w:tcPr>
            <w:tcW w:w="1484" w:type="dxa"/>
            <w:vMerge/>
            <w:tcBorders>
              <w:top w:val="single" w:sz="6" w:space="0" w:color="auto"/>
              <w:left w:val="single" w:sz="12" w:space="0" w:color="auto"/>
              <w:bottom w:val="single" w:sz="6" w:space="0" w:color="auto"/>
              <w:right w:val="single" w:sz="6" w:space="0" w:color="auto"/>
            </w:tcBorders>
            <w:vAlign w:val="center"/>
          </w:tcPr>
          <w:p w:rsidR="007058B0" w:rsidRPr="00BB14AA" w:rsidRDefault="007058B0" w:rsidP="00BB14AA">
            <w:pPr>
              <w:spacing w:line="360" w:lineRule="auto"/>
              <w:jc w:val="center"/>
              <w:rPr>
                <w:sz w:val="16"/>
                <w:szCs w:val="16"/>
                <w:lang w:val="lt-LT"/>
              </w:rPr>
            </w:pPr>
          </w:p>
        </w:tc>
        <w:tc>
          <w:tcPr>
            <w:tcW w:w="1790" w:type="dxa"/>
            <w:tcBorders>
              <w:top w:val="single" w:sz="6" w:space="0" w:color="auto"/>
              <w:left w:val="single" w:sz="6" w:space="0" w:color="auto"/>
              <w:bottom w:val="single" w:sz="6" w:space="0" w:color="auto"/>
              <w:right w:val="single" w:sz="12" w:space="0" w:color="auto"/>
            </w:tcBorders>
            <w:vAlign w:val="center"/>
          </w:tcPr>
          <w:p w:rsidR="007058B0" w:rsidRPr="00BB14AA" w:rsidRDefault="007058B0" w:rsidP="00BB14AA">
            <w:pPr>
              <w:spacing w:line="360" w:lineRule="auto"/>
              <w:jc w:val="center"/>
              <w:rPr>
                <w:sz w:val="16"/>
                <w:szCs w:val="16"/>
                <w:lang w:val="lt-LT"/>
              </w:rPr>
            </w:pPr>
            <w:r w:rsidRPr="00BB14AA">
              <w:rPr>
                <w:sz w:val="16"/>
                <w:szCs w:val="16"/>
                <w:lang w:val="lt-LT"/>
              </w:rPr>
              <w:t>Mokinio krepšeliui finansuoti</w:t>
            </w:r>
          </w:p>
        </w:tc>
        <w:tc>
          <w:tcPr>
            <w:tcW w:w="1324" w:type="dxa"/>
            <w:tcBorders>
              <w:top w:val="single" w:sz="6" w:space="0" w:color="auto"/>
              <w:left w:val="single" w:sz="12" w:space="0" w:color="auto"/>
              <w:bottom w:val="single" w:sz="6" w:space="0" w:color="auto"/>
              <w:right w:val="single" w:sz="6" w:space="0" w:color="auto"/>
            </w:tcBorders>
            <w:vAlign w:val="center"/>
          </w:tcPr>
          <w:p w:rsidR="007058B0" w:rsidRPr="00BB14AA" w:rsidRDefault="00C87D68" w:rsidP="00BB14AA">
            <w:pPr>
              <w:spacing w:line="360" w:lineRule="auto"/>
              <w:jc w:val="center"/>
              <w:rPr>
                <w:sz w:val="16"/>
                <w:szCs w:val="16"/>
              </w:rPr>
            </w:pPr>
            <w:r w:rsidRPr="00BB14AA">
              <w:rPr>
                <w:sz w:val="16"/>
                <w:szCs w:val="16"/>
              </w:rPr>
              <w:t>1747227,1</w:t>
            </w:r>
          </w:p>
        </w:tc>
        <w:tc>
          <w:tcPr>
            <w:tcW w:w="1325" w:type="dxa"/>
            <w:tcBorders>
              <w:top w:val="single" w:sz="6" w:space="0" w:color="auto"/>
              <w:left w:val="single" w:sz="6" w:space="0" w:color="auto"/>
              <w:bottom w:val="single" w:sz="6" w:space="0" w:color="auto"/>
              <w:right w:val="single" w:sz="6" w:space="0" w:color="auto"/>
            </w:tcBorders>
            <w:vAlign w:val="center"/>
          </w:tcPr>
          <w:p w:rsidR="007058B0" w:rsidRPr="00BB14AA" w:rsidRDefault="006E1AC2" w:rsidP="00BB14AA">
            <w:pPr>
              <w:spacing w:line="360" w:lineRule="auto"/>
              <w:jc w:val="center"/>
              <w:rPr>
                <w:sz w:val="16"/>
                <w:szCs w:val="16"/>
                <w:lang w:val="lt-LT"/>
              </w:rPr>
            </w:pPr>
            <w:r w:rsidRPr="00BB14AA">
              <w:rPr>
                <w:sz w:val="16"/>
                <w:szCs w:val="16"/>
                <w:lang w:val="lt-LT"/>
              </w:rPr>
              <w:t>2211176,1</w:t>
            </w:r>
          </w:p>
        </w:tc>
        <w:tc>
          <w:tcPr>
            <w:tcW w:w="1325" w:type="dxa"/>
            <w:tcBorders>
              <w:top w:val="single" w:sz="6" w:space="0" w:color="auto"/>
              <w:left w:val="single" w:sz="6" w:space="0" w:color="auto"/>
              <w:bottom w:val="single" w:sz="6" w:space="0" w:color="auto"/>
              <w:right w:val="single" w:sz="6" w:space="0" w:color="auto"/>
            </w:tcBorders>
            <w:vAlign w:val="center"/>
          </w:tcPr>
          <w:p w:rsidR="007058B0" w:rsidRPr="00BB14AA" w:rsidRDefault="00B474A5" w:rsidP="00BB14AA">
            <w:pPr>
              <w:spacing w:line="360" w:lineRule="auto"/>
              <w:jc w:val="center"/>
              <w:rPr>
                <w:sz w:val="16"/>
                <w:szCs w:val="16"/>
                <w:lang w:val="lt-LT"/>
              </w:rPr>
            </w:pPr>
            <w:r w:rsidRPr="00BB14AA">
              <w:rPr>
                <w:sz w:val="16"/>
                <w:szCs w:val="16"/>
                <w:lang w:val="lt-LT"/>
              </w:rPr>
              <w:t>1966803,8</w:t>
            </w:r>
          </w:p>
        </w:tc>
        <w:tc>
          <w:tcPr>
            <w:tcW w:w="1325" w:type="dxa"/>
            <w:tcBorders>
              <w:top w:val="single" w:sz="6" w:space="0" w:color="auto"/>
              <w:left w:val="single" w:sz="6" w:space="0" w:color="auto"/>
              <w:bottom w:val="single" w:sz="6" w:space="0" w:color="auto"/>
              <w:right w:val="single" w:sz="6" w:space="0" w:color="auto"/>
            </w:tcBorders>
            <w:vAlign w:val="center"/>
          </w:tcPr>
          <w:p w:rsidR="007058B0" w:rsidRPr="00BB14AA" w:rsidRDefault="00B474A5" w:rsidP="00BB14AA">
            <w:pPr>
              <w:spacing w:line="360" w:lineRule="auto"/>
              <w:jc w:val="center"/>
              <w:rPr>
                <w:sz w:val="16"/>
                <w:szCs w:val="16"/>
                <w:lang w:val="lt-LT"/>
              </w:rPr>
            </w:pPr>
            <w:r w:rsidRPr="00BB14AA">
              <w:rPr>
                <w:sz w:val="16"/>
                <w:szCs w:val="16"/>
                <w:lang w:val="lt-LT"/>
              </w:rPr>
              <w:t>2107053,9</w:t>
            </w:r>
          </w:p>
        </w:tc>
        <w:tc>
          <w:tcPr>
            <w:tcW w:w="1183" w:type="dxa"/>
            <w:tcBorders>
              <w:top w:val="single" w:sz="6" w:space="0" w:color="auto"/>
              <w:left w:val="single" w:sz="6" w:space="0" w:color="auto"/>
              <w:bottom w:val="single" w:sz="6" w:space="0" w:color="auto"/>
              <w:right w:val="single" w:sz="12" w:space="0" w:color="auto"/>
            </w:tcBorders>
            <w:vAlign w:val="center"/>
          </w:tcPr>
          <w:p w:rsidR="007058B0" w:rsidRPr="00BB14AA" w:rsidRDefault="00884587" w:rsidP="00BB14AA">
            <w:pPr>
              <w:spacing w:line="360" w:lineRule="auto"/>
              <w:jc w:val="center"/>
              <w:rPr>
                <w:sz w:val="16"/>
                <w:szCs w:val="16"/>
                <w:lang w:val="lt-LT"/>
              </w:rPr>
            </w:pPr>
            <w:r w:rsidRPr="00BB14AA">
              <w:rPr>
                <w:sz w:val="16"/>
                <w:szCs w:val="16"/>
                <w:lang w:val="lt-LT"/>
              </w:rPr>
              <w:t>2000361,2</w:t>
            </w:r>
          </w:p>
        </w:tc>
      </w:tr>
      <w:tr w:rsidR="007058B0" w:rsidRPr="00BB14AA" w:rsidTr="00BB14AA">
        <w:tc>
          <w:tcPr>
            <w:tcW w:w="1484" w:type="dxa"/>
            <w:vMerge/>
            <w:tcBorders>
              <w:top w:val="single" w:sz="6" w:space="0" w:color="auto"/>
              <w:left w:val="single" w:sz="12" w:space="0" w:color="auto"/>
              <w:bottom w:val="single" w:sz="6" w:space="0" w:color="auto"/>
              <w:right w:val="single" w:sz="6" w:space="0" w:color="auto"/>
            </w:tcBorders>
            <w:vAlign w:val="center"/>
          </w:tcPr>
          <w:p w:rsidR="007058B0" w:rsidRPr="00BB14AA" w:rsidRDefault="007058B0" w:rsidP="00BB14AA">
            <w:pPr>
              <w:spacing w:line="360" w:lineRule="auto"/>
              <w:jc w:val="center"/>
              <w:rPr>
                <w:sz w:val="16"/>
                <w:szCs w:val="16"/>
                <w:lang w:val="lt-LT"/>
              </w:rPr>
            </w:pPr>
          </w:p>
        </w:tc>
        <w:tc>
          <w:tcPr>
            <w:tcW w:w="1790" w:type="dxa"/>
            <w:tcBorders>
              <w:top w:val="single" w:sz="6" w:space="0" w:color="auto"/>
              <w:left w:val="single" w:sz="6" w:space="0" w:color="auto"/>
              <w:bottom w:val="single" w:sz="6" w:space="0" w:color="auto"/>
              <w:right w:val="single" w:sz="12" w:space="0" w:color="auto"/>
            </w:tcBorders>
            <w:vAlign w:val="center"/>
          </w:tcPr>
          <w:p w:rsidR="007058B0" w:rsidRPr="00BB14AA" w:rsidRDefault="007058B0" w:rsidP="00BB14AA">
            <w:pPr>
              <w:spacing w:line="360" w:lineRule="auto"/>
              <w:jc w:val="center"/>
              <w:rPr>
                <w:sz w:val="16"/>
                <w:szCs w:val="16"/>
                <w:lang w:val="lt-LT"/>
              </w:rPr>
            </w:pPr>
            <w:r w:rsidRPr="00BB14AA">
              <w:rPr>
                <w:sz w:val="16"/>
                <w:szCs w:val="16"/>
                <w:lang w:val="lt-LT"/>
              </w:rPr>
              <w:t>Specialiųjų poreikių moksleiviams išlaikyti</w:t>
            </w:r>
          </w:p>
        </w:tc>
        <w:tc>
          <w:tcPr>
            <w:tcW w:w="1324" w:type="dxa"/>
            <w:tcBorders>
              <w:top w:val="single" w:sz="6" w:space="0" w:color="auto"/>
              <w:left w:val="single" w:sz="12" w:space="0" w:color="auto"/>
              <w:bottom w:val="single" w:sz="6" w:space="0" w:color="auto"/>
              <w:right w:val="single" w:sz="6" w:space="0" w:color="auto"/>
            </w:tcBorders>
            <w:vAlign w:val="center"/>
          </w:tcPr>
          <w:p w:rsidR="007058B0" w:rsidRPr="00BB14AA" w:rsidRDefault="00C87D68" w:rsidP="00BB14AA">
            <w:pPr>
              <w:spacing w:line="360" w:lineRule="auto"/>
              <w:jc w:val="center"/>
              <w:rPr>
                <w:sz w:val="16"/>
                <w:szCs w:val="16"/>
                <w:lang w:val="lt-LT"/>
              </w:rPr>
            </w:pPr>
            <w:r w:rsidRPr="00BB14AA">
              <w:rPr>
                <w:sz w:val="16"/>
                <w:szCs w:val="16"/>
                <w:lang w:val="lt-LT"/>
              </w:rPr>
              <w:t>4492</w:t>
            </w:r>
          </w:p>
        </w:tc>
        <w:tc>
          <w:tcPr>
            <w:tcW w:w="1325" w:type="dxa"/>
            <w:tcBorders>
              <w:top w:val="single" w:sz="6" w:space="0" w:color="auto"/>
              <w:left w:val="single" w:sz="6" w:space="0" w:color="auto"/>
              <w:bottom w:val="single" w:sz="6" w:space="0" w:color="auto"/>
              <w:right w:val="single" w:sz="6" w:space="0" w:color="auto"/>
            </w:tcBorders>
            <w:vAlign w:val="center"/>
          </w:tcPr>
          <w:p w:rsidR="007058B0" w:rsidRPr="00BB14AA" w:rsidRDefault="006E1AC2" w:rsidP="00BB14AA">
            <w:pPr>
              <w:spacing w:line="360" w:lineRule="auto"/>
              <w:jc w:val="center"/>
              <w:rPr>
                <w:sz w:val="16"/>
                <w:szCs w:val="16"/>
                <w:lang w:val="lt-LT"/>
              </w:rPr>
            </w:pPr>
            <w:r w:rsidRPr="00BB14AA">
              <w:rPr>
                <w:sz w:val="16"/>
                <w:szCs w:val="16"/>
                <w:lang w:val="lt-LT"/>
              </w:rPr>
              <w:t>2278</w:t>
            </w:r>
          </w:p>
        </w:tc>
        <w:tc>
          <w:tcPr>
            <w:tcW w:w="1325" w:type="dxa"/>
            <w:tcBorders>
              <w:top w:val="single" w:sz="6" w:space="0" w:color="auto"/>
              <w:left w:val="single" w:sz="6" w:space="0" w:color="auto"/>
              <w:bottom w:val="single" w:sz="6" w:space="0" w:color="auto"/>
              <w:right w:val="single" w:sz="6" w:space="0" w:color="auto"/>
            </w:tcBorders>
            <w:vAlign w:val="center"/>
          </w:tcPr>
          <w:p w:rsidR="007058B0" w:rsidRPr="00BB14AA" w:rsidRDefault="00B474A5" w:rsidP="00BB14AA">
            <w:pPr>
              <w:spacing w:line="360" w:lineRule="auto"/>
              <w:jc w:val="center"/>
              <w:rPr>
                <w:sz w:val="16"/>
                <w:szCs w:val="16"/>
                <w:lang w:val="lt-LT"/>
              </w:rPr>
            </w:pPr>
            <w:r w:rsidRPr="00BB14AA">
              <w:rPr>
                <w:sz w:val="16"/>
                <w:szCs w:val="16"/>
                <w:lang w:val="lt-LT"/>
              </w:rPr>
              <w:t>2278</w:t>
            </w:r>
          </w:p>
        </w:tc>
        <w:tc>
          <w:tcPr>
            <w:tcW w:w="1325" w:type="dxa"/>
            <w:tcBorders>
              <w:top w:val="single" w:sz="6" w:space="0" w:color="auto"/>
              <w:left w:val="single" w:sz="6" w:space="0" w:color="auto"/>
              <w:bottom w:val="single" w:sz="6" w:space="0" w:color="auto"/>
              <w:right w:val="single" w:sz="6" w:space="0" w:color="auto"/>
            </w:tcBorders>
            <w:vAlign w:val="center"/>
          </w:tcPr>
          <w:p w:rsidR="007058B0" w:rsidRPr="00BB14AA" w:rsidRDefault="00B474A5" w:rsidP="00BB14AA">
            <w:pPr>
              <w:spacing w:line="360" w:lineRule="auto"/>
              <w:jc w:val="center"/>
              <w:rPr>
                <w:sz w:val="16"/>
                <w:szCs w:val="16"/>
                <w:lang w:val="lt-LT"/>
              </w:rPr>
            </w:pPr>
            <w:r w:rsidRPr="00BB14AA">
              <w:rPr>
                <w:sz w:val="16"/>
                <w:szCs w:val="16"/>
                <w:lang w:val="lt-LT"/>
              </w:rPr>
              <w:t>2278</w:t>
            </w:r>
          </w:p>
        </w:tc>
        <w:tc>
          <w:tcPr>
            <w:tcW w:w="1183" w:type="dxa"/>
            <w:tcBorders>
              <w:top w:val="single" w:sz="6" w:space="0" w:color="auto"/>
              <w:left w:val="single" w:sz="6" w:space="0" w:color="auto"/>
              <w:bottom w:val="single" w:sz="6" w:space="0" w:color="auto"/>
              <w:right w:val="single" w:sz="12" w:space="0" w:color="auto"/>
            </w:tcBorders>
            <w:vAlign w:val="center"/>
          </w:tcPr>
          <w:p w:rsidR="007058B0" w:rsidRPr="00BB14AA" w:rsidRDefault="00884587" w:rsidP="00BB14AA">
            <w:pPr>
              <w:spacing w:line="360" w:lineRule="auto"/>
              <w:jc w:val="center"/>
              <w:rPr>
                <w:sz w:val="16"/>
                <w:szCs w:val="16"/>
                <w:lang w:val="lt-LT"/>
              </w:rPr>
            </w:pPr>
            <w:r w:rsidRPr="00BB14AA">
              <w:rPr>
                <w:sz w:val="16"/>
                <w:szCs w:val="16"/>
                <w:lang w:val="lt-LT"/>
              </w:rPr>
              <w:t>2187</w:t>
            </w:r>
          </w:p>
        </w:tc>
      </w:tr>
      <w:tr w:rsidR="007058B0" w:rsidRPr="00BB14AA" w:rsidTr="00BB14AA">
        <w:tc>
          <w:tcPr>
            <w:tcW w:w="1484" w:type="dxa"/>
            <w:vMerge/>
            <w:tcBorders>
              <w:top w:val="single" w:sz="6" w:space="0" w:color="auto"/>
              <w:left w:val="single" w:sz="12" w:space="0" w:color="auto"/>
              <w:bottom w:val="single" w:sz="6" w:space="0" w:color="auto"/>
              <w:right w:val="single" w:sz="6" w:space="0" w:color="auto"/>
            </w:tcBorders>
            <w:vAlign w:val="center"/>
          </w:tcPr>
          <w:p w:rsidR="007058B0" w:rsidRPr="00BB14AA" w:rsidRDefault="007058B0" w:rsidP="00BB14AA">
            <w:pPr>
              <w:spacing w:line="360" w:lineRule="auto"/>
              <w:jc w:val="center"/>
              <w:rPr>
                <w:sz w:val="16"/>
                <w:szCs w:val="16"/>
                <w:lang w:val="lt-LT"/>
              </w:rPr>
            </w:pPr>
          </w:p>
        </w:tc>
        <w:tc>
          <w:tcPr>
            <w:tcW w:w="1790" w:type="dxa"/>
            <w:tcBorders>
              <w:top w:val="single" w:sz="6" w:space="0" w:color="auto"/>
              <w:left w:val="single" w:sz="6" w:space="0" w:color="auto"/>
              <w:bottom w:val="single" w:sz="6" w:space="0" w:color="auto"/>
              <w:right w:val="single" w:sz="12" w:space="0" w:color="auto"/>
            </w:tcBorders>
            <w:vAlign w:val="center"/>
          </w:tcPr>
          <w:p w:rsidR="007058B0" w:rsidRPr="00BB14AA" w:rsidRDefault="007058B0" w:rsidP="00BB14AA">
            <w:pPr>
              <w:spacing w:line="360" w:lineRule="auto"/>
              <w:jc w:val="center"/>
              <w:rPr>
                <w:sz w:val="16"/>
                <w:szCs w:val="16"/>
                <w:lang w:val="lt-LT"/>
              </w:rPr>
            </w:pPr>
            <w:r w:rsidRPr="00BB14AA">
              <w:rPr>
                <w:sz w:val="16"/>
                <w:szCs w:val="16"/>
                <w:lang w:val="lt-LT"/>
              </w:rPr>
              <w:t>Aglomeracijų strateginiams triukšmo žemėlapiams parengti</w:t>
            </w:r>
          </w:p>
        </w:tc>
        <w:tc>
          <w:tcPr>
            <w:tcW w:w="1324" w:type="dxa"/>
            <w:tcBorders>
              <w:top w:val="single" w:sz="6" w:space="0" w:color="auto"/>
              <w:left w:val="single" w:sz="12" w:space="0" w:color="auto"/>
              <w:bottom w:val="single" w:sz="6" w:space="0" w:color="auto"/>
              <w:right w:val="single" w:sz="6" w:space="0" w:color="auto"/>
            </w:tcBorders>
            <w:vAlign w:val="center"/>
          </w:tcPr>
          <w:p w:rsidR="007058B0" w:rsidRPr="00BB14AA" w:rsidRDefault="00C87D68" w:rsidP="00BB14AA">
            <w:pPr>
              <w:spacing w:line="360" w:lineRule="auto"/>
              <w:jc w:val="center"/>
              <w:rPr>
                <w:sz w:val="16"/>
                <w:szCs w:val="16"/>
                <w:lang w:val="lt-LT"/>
              </w:rPr>
            </w:pPr>
            <w:r w:rsidRPr="00BB14AA">
              <w:rPr>
                <w:sz w:val="16"/>
                <w:szCs w:val="16"/>
                <w:lang w:val="lt-LT"/>
              </w:rPr>
              <w:t>668</w:t>
            </w:r>
          </w:p>
        </w:tc>
        <w:tc>
          <w:tcPr>
            <w:tcW w:w="1325" w:type="dxa"/>
            <w:tcBorders>
              <w:top w:val="single" w:sz="6" w:space="0" w:color="auto"/>
              <w:left w:val="single" w:sz="6" w:space="0" w:color="auto"/>
              <w:bottom w:val="single" w:sz="6" w:space="0" w:color="auto"/>
              <w:right w:val="single" w:sz="6" w:space="0" w:color="auto"/>
            </w:tcBorders>
            <w:vAlign w:val="center"/>
          </w:tcPr>
          <w:p w:rsidR="007058B0" w:rsidRPr="00BB14AA" w:rsidRDefault="006E1AC2" w:rsidP="00BB14AA">
            <w:pPr>
              <w:spacing w:line="360" w:lineRule="auto"/>
              <w:jc w:val="center"/>
              <w:rPr>
                <w:sz w:val="16"/>
                <w:szCs w:val="16"/>
                <w:lang w:val="lt-LT"/>
              </w:rPr>
            </w:pPr>
            <w:r w:rsidRPr="00BB14AA">
              <w:rPr>
                <w:sz w:val="16"/>
                <w:szCs w:val="16"/>
                <w:lang w:val="lt-LT"/>
              </w:rPr>
              <w:t>478,9</w:t>
            </w:r>
          </w:p>
        </w:tc>
        <w:tc>
          <w:tcPr>
            <w:tcW w:w="1325" w:type="dxa"/>
            <w:tcBorders>
              <w:top w:val="single" w:sz="6" w:space="0" w:color="auto"/>
              <w:left w:val="single" w:sz="6" w:space="0" w:color="auto"/>
              <w:bottom w:val="single" w:sz="6" w:space="0" w:color="auto"/>
              <w:right w:val="single" w:sz="6" w:space="0" w:color="auto"/>
            </w:tcBorders>
            <w:vAlign w:val="center"/>
          </w:tcPr>
          <w:p w:rsidR="007058B0" w:rsidRPr="00BB14AA" w:rsidRDefault="00B474A5" w:rsidP="00BB14AA">
            <w:pPr>
              <w:spacing w:line="360" w:lineRule="auto"/>
              <w:jc w:val="center"/>
              <w:rPr>
                <w:sz w:val="16"/>
                <w:szCs w:val="16"/>
                <w:lang w:val="lt-LT"/>
              </w:rPr>
            </w:pPr>
            <w:r w:rsidRPr="00BB14AA">
              <w:rPr>
                <w:sz w:val="16"/>
                <w:szCs w:val="16"/>
                <w:lang w:val="lt-LT"/>
              </w:rPr>
              <w:t>562</w:t>
            </w:r>
          </w:p>
        </w:tc>
        <w:tc>
          <w:tcPr>
            <w:tcW w:w="1325" w:type="dxa"/>
            <w:tcBorders>
              <w:top w:val="single" w:sz="6" w:space="0" w:color="auto"/>
              <w:left w:val="single" w:sz="6" w:space="0" w:color="auto"/>
              <w:bottom w:val="single" w:sz="6" w:space="0" w:color="auto"/>
              <w:right w:val="single" w:sz="6" w:space="0" w:color="auto"/>
            </w:tcBorders>
            <w:vAlign w:val="center"/>
          </w:tcPr>
          <w:p w:rsidR="007058B0" w:rsidRPr="00BB14AA" w:rsidRDefault="00B474A5" w:rsidP="00BB14AA">
            <w:pPr>
              <w:spacing w:line="360" w:lineRule="auto"/>
              <w:jc w:val="center"/>
              <w:rPr>
                <w:sz w:val="16"/>
                <w:szCs w:val="16"/>
                <w:lang w:val="lt-LT"/>
              </w:rPr>
            </w:pPr>
            <w:r w:rsidRPr="00BB14AA">
              <w:rPr>
                <w:sz w:val="16"/>
                <w:szCs w:val="16"/>
                <w:lang w:val="lt-LT"/>
              </w:rPr>
              <w:t>513</w:t>
            </w:r>
          </w:p>
        </w:tc>
        <w:tc>
          <w:tcPr>
            <w:tcW w:w="1183" w:type="dxa"/>
            <w:tcBorders>
              <w:top w:val="single" w:sz="6" w:space="0" w:color="auto"/>
              <w:left w:val="single" w:sz="6" w:space="0" w:color="auto"/>
              <w:bottom w:val="single" w:sz="6" w:space="0" w:color="auto"/>
              <w:right w:val="single" w:sz="12" w:space="0" w:color="auto"/>
            </w:tcBorders>
            <w:vAlign w:val="center"/>
          </w:tcPr>
          <w:p w:rsidR="007058B0" w:rsidRPr="00BB14AA" w:rsidRDefault="00884587" w:rsidP="00BB14AA">
            <w:pPr>
              <w:spacing w:line="360" w:lineRule="auto"/>
              <w:jc w:val="center"/>
              <w:rPr>
                <w:sz w:val="16"/>
                <w:szCs w:val="16"/>
                <w:lang w:val="lt-LT"/>
              </w:rPr>
            </w:pPr>
            <w:r w:rsidRPr="00BB14AA">
              <w:rPr>
                <w:sz w:val="16"/>
                <w:szCs w:val="16"/>
                <w:lang w:val="lt-LT"/>
              </w:rPr>
              <w:t>563,2</w:t>
            </w:r>
          </w:p>
        </w:tc>
      </w:tr>
      <w:tr w:rsidR="007058B0" w:rsidRPr="00BB14AA" w:rsidTr="00BB14AA">
        <w:tc>
          <w:tcPr>
            <w:tcW w:w="1484" w:type="dxa"/>
            <w:vMerge/>
            <w:tcBorders>
              <w:top w:val="single" w:sz="6" w:space="0" w:color="auto"/>
              <w:left w:val="single" w:sz="12" w:space="0" w:color="auto"/>
              <w:bottom w:val="single" w:sz="6" w:space="0" w:color="auto"/>
              <w:right w:val="single" w:sz="6" w:space="0" w:color="auto"/>
            </w:tcBorders>
            <w:vAlign w:val="center"/>
          </w:tcPr>
          <w:p w:rsidR="007058B0" w:rsidRPr="00BB14AA" w:rsidRDefault="007058B0" w:rsidP="00BB14AA">
            <w:pPr>
              <w:spacing w:line="360" w:lineRule="auto"/>
              <w:jc w:val="center"/>
              <w:rPr>
                <w:sz w:val="16"/>
                <w:szCs w:val="16"/>
                <w:lang w:val="lt-LT"/>
              </w:rPr>
            </w:pPr>
          </w:p>
        </w:tc>
        <w:tc>
          <w:tcPr>
            <w:tcW w:w="1790" w:type="dxa"/>
            <w:tcBorders>
              <w:top w:val="single" w:sz="6" w:space="0" w:color="auto"/>
              <w:left w:val="single" w:sz="6" w:space="0" w:color="auto"/>
              <w:bottom w:val="single" w:sz="6" w:space="0" w:color="auto"/>
              <w:right w:val="single" w:sz="12" w:space="0" w:color="auto"/>
            </w:tcBorders>
            <w:vAlign w:val="center"/>
          </w:tcPr>
          <w:p w:rsidR="007058B0" w:rsidRPr="00BB14AA" w:rsidRDefault="007058B0" w:rsidP="00BB14AA">
            <w:pPr>
              <w:spacing w:line="360" w:lineRule="auto"/>
              <w:jc w:val="center"/>
              <w:rPr>
                <w:sz w:val="16"/>
                <w:szCs w:val="16"/>
                <w:lang w:val="lt-LT"/>
              </w:rPr>
            </w:pPr>
            <w:r w:rsidRPr="00BB14AA">
              <w:rPr>
                <w:sz w:val="16"/>
                <w:szCs w:val="16"/>
                <w:lang w:val="lt-LT"/>
              </w:rPr>
              <w:t>Valstybės investicijų programoje numatytiems projektams finansuoti</w:t>
            </w:r>
          </w:p>
        </w:tc>
        <w:tc>
          <w:tcPr>
            <w:tcW w:w="1324" w:type="dxa"/>
            <w:tcBorders>
              <w:top w:val="single" w:sz="6" w:space="0" w:color="auto"/>
              <w:left w:val="single" w:sz="12" w:space="0" w:color="auto"/>
              <w:bottom w:val="single" w:sz="6" w:space="0" w:color="auto"/>
              <w:right w:val="single" w:sz="6" w:space="0" w:color="auto"/>
            </w:tcBorders>
            <w:vAlign w:val="center"/>
          </w:tcPr>
          <w:p w:rsidR="007058B0" w:rsidRPr="00BB14AA" w:rsidRDefault="00C87D68" w:rsidP="00BB14AA">
            <w:pPr>
              <w:spacing w:line="360" w:lineRule="auto"/>
              <w:jc w:val="center"/>
              <w:rPr>
                <w:sz w:val="16"/>
                <w:szCs w:val="16"/>
                <w:lang w:val="lt-LT"/>
              </w:rPr>
            </w:pPr>
            <w:r w:rsidRPr="00BB14AA">
              <w:rPr>
                <w:sz w:val="16"/>
                <w:szCs w:val="16"/>
                <w:lang w:val="lt-LT"/>
              </w:rPr>
              <w:t>310643,7</w:t>
            </w:r>
          </w:p>
        </w:tc>
        <w:tc>
          <w:tcPr>
            <w:tcW w:w="1325" w:type="dxa"/>
            <w:tcBorders>
              <w:top w:val="single" w:sz="6" w:space="0" w:color="auto"/>
              <w:left w:val="single" w:sz="6" w:space="0" w:color="auto"/>
              <w:bottom w:val="single" w:sz="6" w:space="0" w:color="auto"/>
              <w:right w:val="single" w:sz="6" w:space="0" w:color="auto"/>
            </w:tcBorders>
            <w:vAlign w:val="center"/>
          </w:tcPr>
          <w:p w:rsidR="007058B0" w:rsidRPr="00BB14AA" w:rsidRDefault="006E1AC2" w:rsidP="00BB14AA">
            <w:pPr>
              <w:spacing w:line="360" w:lineRule="auto"/>
              <w:jc w:val="center"/>
              <w:rPr>
                <w:sz w:val="16"/>
                <w:szCs w:val="16"/>
                <w:lang w:val="lt-LT"/>
              </w:rPr>
            </w:pPr>
            <w:r w:rsidRPr="00BB14AA">
              <w:rPr>
                <w:sz w:val="16"/>
                <w:szCs w:val="16"/>
                <w:lang w:val="lt-LT"/>
              </w:rPr>
              <w:t>165378,5</w:t>
            </w:r>
          </w:p>
        </w:tc>
        <w:tc>
          <w:tcPr>
            <w:tcW w:w="1325" w:type="dxa"/>
            <w:tcBorders>
              <w:top w:val="single" w:sz="6" w:space="0" w:color="auto"/>
              <w:left w:val="single" w:sz="6" w:space="0" w:color="auto"/>
              <w:bottom w:val="single" w:sz="6" w:space="0" w:color="auto"/>
              <w:right w:val="single" w:sz="6" w:space="0" w:color="auto"/>
            </w:tcBorders>
            <w:vAlign w:val="center"/>
          </w:tcPr>
          <w:p w:rsidR="007058B0" w:rsidRPr="00BB14AA" w:rsidRDefault="00B474A5" w:rsidP="00BB14AA">
            <w:pPr>
              <w:spacing w:line="360" w:lineRule="auto"/>
              <w:jc w:val="center"/>
              <w:rPr>
                <w:sz w:val="16"/>
                <w:szCs w:val="16"/>
                <w:lang w:val="lt-LT"/>
              </w:rPr>
            </w:pPr>
            <w:r w:rsidRPr="00BB14AA">
              <w:rPr>
                <w:sz w:val="16"/>
                <w:szCs w:val="16"/>
                <w:lang w:val="lt-LT"/>
              </w:rPr>
              <w:t>3831</w:t>
            </w:r>
          </w:p>
        </w:tc>
        <w:tc>
          <w:tcPr>
            <w:tcW w:w="1325" w:type="dxa"/>
            <w:tcBorders>
              <w:top w:val="single" w:sz="6" w:space="0" w:color="auto"/>
              <w:left w:val="single" w:sz="6" w:space="0" w:color="auto"/>
              <w:bottom w:val="single" w:sz="6" w:space="0" w:color="auto"/>
              <w:right w:val="single" w:sz="6" w:space="0" w:color="auto"/>
            </w:tcBorders>
            <w:vAlign w:val="center"/>
          </w:tcPr>
          <w:p w:rsidR="007058B0" w:rsidRPr="00BB14AA" w:rsidRDefault="00B474A5" w:rsidP="00BB14AA">
            <w:pPr>
              <w:spacing w:line="360" w:lineRule="auto"/>
              <w:jc w:val="center"/>
              <w:rPr>
                <w:sz w:val="16"/>
                <w:szCs w:val="16"/>
                <w:lang w:val="lt-LT"/>
              </w:rPr>
            </w:pPr>
            <w:r w:rsidRPr="00BB14AA">
              <w:rPr>
                <w:sz w:val="16"/>
                <w:szCs w:val="16"/>
                <w:lang w:val="lt-LT"/>
              </w:rPr>
              <w:t>1632,3</w:t>
            </w:r>
          </w:p>
        </w:tc>
        <w:tc>
          <w:tcPr>
            <w:tcW w:w="1183" w:type="dxa"/>
            <w:tcBorders>
              <w:top w:val="single" w:sz="6" w:space="0" w:color="auto"/>
              <w:left w:val="single" w:sz="6" w:space="0" w:color="auto"/>
              <w:bottom w:val="single" w:sz="6" w:space="0" w:color="auto"/>
              <w:right w:val="single" w:sz="12" w:space="0" w:color="auto"/>
            </w:tcBorders>
            <w:vAlign w:val="center"/>
          </w:tcPr>
          <w:p w:rsidR="007058B0" w:rsidRPr="00BB14AA" w:rsidRDefault="00336F9D" w:rsidP="00BB14AA">
            <w:pPr>
              <w:spacing w:line="360" w:lineRule="auto"/>
              <w:jc w:val="center"/>
              <w:rPr>
                <w:sz w:val="16"/>
                <w:szCs w:val="16"/>
                <w:lang w:val="lt-LT"/>
              </w:rPr>
            </w:pPr>
            <w:r w:rsidRPr="00BB14AA">
              <w:rPr>
                <w:sz w:val="16"/>
                <w:szCs w:val="16"/>
                <w:lang w:val="lt-LT"/>
              </w:rPr>
              <w:t>78074,8</w:t>
            </w:r>
          </w:p>
        </w:tc>
      </w:tr>
      <w:tr w:rsidR="00AF70D6" w:rsidRPr="00BB14AA" w:rsidTr="00BB14AA">
        <w:tc>
          <w:tcPr>
            <w:tcW w:w="1484" w:type="dxa"/>
            <w:vMerge/>
            <w:tcBorders>
              <w:top w:val="single" w:sz="6" w:space="0" w:color="auto"/>
              <w:left w:val="single" w:sz="12" w:space="0" w:color="auto"/>
              <w:bottom w:val="single" w:sz="6" w:space="0" w:color="auto"/>
              <w:right w:val="single" w:sz="6" w:space="0" w:color="auto"/>
            </w:tcBorders>
            <w:vAlign w:val="center"/>
          </w:tcPr>
          <w:p w:rsidR="00AF70D6" w:rsidRPr="00BB14AA" w:rsidRDefault="00AF70D6" w:rsidP="00BB14AA">
            <w:pPr>
              <w:spacing w:line="360" w:lineRule="auto"/>
              <w:jc w:val="center"/>
              <w:rPr>
                <w:sz w:val="16"/>
                <w:szCs w:val="16"/>
                <w:lang w:val="lt-LT"/>
              </w:rPr>
            </w:pPr>
          </w:p>
        </w:tc>
        <w:tc>
          <w:tcPr>
            <w:tcW w:w="1790" w:type="dxa"/>
            <w:tcBorders>
              <w:top w:val="single" w:sz="6" w:space="0" w:color="auto"/>
              <w:left w:val="single" w:sz="6" w:space="0" w:color="auto"/>
              <w:bottom w:val="single" w:sz="6" w:space="0" w:color="auto"/>
              <w:right w:val="single" w:sz="12" w:space="0" w:color="auto"/>
            </w:tcBorders>
            <w:vAlign w:val="center"/>
          </w:tcPr>
          <w:p w:rsidR="00AF70D6" w:rsidRPr="00BB14AA" w:rsidRDefault="00AF70D6" w:rsidP="00BB14AA">
            <w:pPr>
              <w:spacing w:line="360" w:lineRule="auto"/>
              <w:jc w:val="center"/>
              <w:rPr>
                <w:sz w:val="16"/>
                <w:szCs w:val="16"/>
                <w:lang w:val="lt-LT"/>
              </w:rPr>
            </w:pPr>
            <w:r w:rsidRPr="00BB14AA">
              <w:rPr>
                <w:sz w:val="16"/>
                <w:szCs w:val="16"/>
                <w:lang w:val="lt-LT"/>
              </w:rPr>
              <w:t>Perduotoms iš apskričių įstaigoms išlaikyti</w:t>
            </w:r>
          </w:p>
        </w:tc>
        <w:tc>
          <w:tcPr>
            <w:tcW w:w="1324" w:type="dxa"/>
            <w:tcBorders>
              <w:top w:val="single" w:sz="6" w:space="0" w:color="auto"/>
              <w:left w:val="single" w:sz="12" w:space="0" w:color="auto"/>
              <w:bottom w:val="single" w:sz="6" w:space="0" w:color="auto"/>
              <w:right w:val="single" w:sz="6" w:space="0" w:color="auto"/>
            </w:tcBorders>
            <w:vAlign w:val="center"/>
          </w:tcPr>
          <w:p w:rsidR="00AF70D6" w:rsidRPr="00BB14AA" w:rsidRDefault="00AF70D6" w:rsidP="00BB14AA">
            <w:pPr>
              <w:spacing w:line="360" w:lineRule="auto"/>
              <w:jc w:val="center"/>
              <w:rPr>
                <w:sz w:val="16"/>
                <w:szCs w:val="16"/>
                <w:lang w:val="lt-LT"/>
              </w:rPr>
            </w:pPr>
          </w:p>
        </w:tc>
        <w:tc>
          <w:tcPr>
            <w:tcW w:w="1325" w:type="dxa"/>
            <w:tcBorders>
              <w:top w:val="single" w:sz="6" w:space="0" w:color="auto"/>
              <w:left w:val="single" w:sz="6" w:space="0" w:color="auto"/>
              <w:bottom w:val="single" w:sz="6" w:space="0" w:color="auto"/>
              <w:right w:val="single" w:sz="6" w:space="0" w:color="auto"/>
            </w:tcBorders>
            <w:vAlign w:val="center"/>
          </w:tcPr>
          <w:p w:rsidR="00AF70D6" w:rsidRPr="00BB14AA" w:rsidRDefault="00AF70D6" w:rsidP="00BB14AA">
            <w:pPr>
              <w:spacing w:line="360" w:lineRule="auto"/>
              <w:jc w:val="center"/>
              <w:rPr>
                <w:sz w:val="16"/>
                <w:szCs w:val="16"/>
                <w:lang w:val="lt-LT"/>
              </w:rPr>
            </w:pPr>
          </w:p>
        </w:tc>
        <w:tc>
          <w:tcPr>
            <w:tcW w:w="1325" w:type="dxa"/>
            <w:tcBorders>
              <w:top w:val="single" w:sz="6" w:space="0" w:color="auto"/>
              <w:left w:val="single" w:sz="6" w:space="0" w:color="auto"/>
              <w:bottom w:val="single" w:sz="6" w:space="0" w:color="auto"/>
              <w:right w:val="single" w:sz="6" w:space="0" w:color="auto"/>
            </w:tcBorders>
            <w:vAlign w:val="center"/>
          </w:tcPr>
          <w:p w:rsidR="00AF70D6" w:rsidRPr="00BB14AA" w:rsidRDefault="00AF70D6" w:rsidP="00BB14AA">
            <w:pPr>
              <w:spacing w:line="360" w:lineRule="auto"/>
              <w:jc w:val="center"/>
              <w:rPr>
                <w:sz w:val="16"/>
                <w:szCs w:val="16"/>
                <w:lang w:val="lt-LT"/>
              </w:rPr>
            </w:pPr>
          </w:p>
        </w:tc>
        <w:tc>
          <w:tcPr>
            <w:tcW w:w="1325" w:type="dxa"/>
            <w:tcBorders>
              <w:top w:val="single" w:sz="6" w:space="0" w:color="auto"/>
              <w:left w:val="single" w:sz="6" w:space="0" w:color="auto"/>
              <w:bottom w:val="single" w:sz="6" w:space="0" w:color="auto"/>
              <w:right w:val="single" w:sz="6" w:space="0" w:color="auto"/>
            </w:tcBorders>
            <w:vAlign w:val="center"/>
          </w:tcPr>
          <w:p w:rsidR="00AF70D6" w:rsidRPr="00BB14AA" w:rsidRDefault="00C514F7" w:rsidP="00BB14AA">
            <w:pPr>
              <w:spacing w:line="360" w:lineRule="auto"/>
              <w:jc w:val="center"/>
              <w:rPr>
                <w:sz w:val="16"/>
                <w:szCs w:val="16"/>
                <w:lang w:val="lt-LT"/>
              </w:rPr>
            </w:pPr>
            <w:r w:rsidRPr="00BB14AA">
              <w:rPr>
                <w:sz w:val="16"/>
                <w:szCs w:val="16"/>
                <w:lang w:val="lt-LT"/>
              </w:rPr>
              <w:t>106637,9</w:t>
            </w:r>
          </w:p>
        </w:tc>
        <w:tc>
          <w:tcPr>
            <w:tcW w:w="1183" w:type="dxa"/>
            <w:tcBorders>
              <w:top w:val="single" w:sz="6" w:space="0" w:color="auto"/>
              <w:left w:val="single" w:sz="6" w:space="0" w:color="auto"/>
              <w:bottom w:val="single" w:sz="6" w:space="0" w:color="auto"/>
              <w:right w:val="single" w:sz="12" w:space="0" w:color="auto"/>
            </w:tcBorders>
            <w:vAlign w:val="center"/>
          </w:tcPr>
          <w:p w:rsidR="00AF70D6" w:rsidRPr="00BB14AA" w:rsidRDefault="00336F9D" w:rsidP="00BB14AA">
            <w:pPr>
              <w:spacing w:line="360" w:lineRule="auto"/>
              <w:jc w:val="center"/>
              <w:rPr>
                <w:sz w:val="16"/>
                <w:szCs w:val="16"/>
                <w:lang w:val="lt-LT"/>
              </w:rPr>
            </w:pPr>
            <w:r w:rsidRPr="00BB14AA">
              <w:rPr>
                <w:sz w:val="16"/>
                <w:szCs w:val="16"/>
                <w:lang w:val="lt-LT"/>
              </w:rPr>
              <w:t>105558,4</w:t>
            </w:r>
          </w:p>
        </w:tc>
      </w:tr>
      <w:tr w:rsidR="007058B0" w:rsidRPr="00BB14AA" w:rsidTr="00BB14AA">
        <w:tc>
          <w:tcPr>
            <w:tcW w:w="1484" w:type="dxa"/>
            <w:vMerge/>
            <w:tcBorders>
              <w:top w:val="single" w:sz="6" w:space="0" w:color="auto"/>
              <w:left w:val="single" w:sz="12" w:space="0" w:color="auto"/>
              <w:bottom w:val="single" w:sz="6" w:space="0" w:color="auto"/>
              <w:right w:val="single" w:sz="6" w:space="0" w:color="auto"/>
            </w:tcBorders>
            <w:vAlign w:val="center"/>
          </w:tcPr>
          <w:p w:rsidR="007058B0" w:rsidRPr="00BB14AA" w:rsidRDefault="007058B0" w:rsidP="00BB14AA">
            <w:pPr>
              <w:spacing w:line="360" w:lineRule="auto"/>
              <w:jc w:val="center"/>
              <w:rPr>
                <w:sz w:val="16"/>
                <w:szCs w:val="16"/>
                <w:lang w:val="lt-LT"/>
              </w:rPr>
            </w:pPr>
          </w:p>
        </w:tc>
        <w:tc>
          <w:tcPr>
            <w:tcW w:w="1790" w:type="dxa"/>
            <w:tcBorders>
              <w:top w:val="single" w:sz="6" w:space="0" w:color="auto"/>
              <w:left w:val="single" w:sz="6" w:space="0" w:color="auto"/>
              <w:bottom w:val="single" w:sz="6" w:space="0" w:color="auto"/>
              <w:right w:val="single" w:sz="12" w:space="0" w:color="auto"/>
            </w:tcBorders>
            <w:vAlign w:val="center"/>
          </w:tcPr>
          <w:p w:rsidR="007058B0" w:rsidRPr="00BB14AA" w:rsidRDefault="007058B0" w:rsidP="00BB14AA">
            <w:pPr>
              <w:spacing w:line="360" w:lineRule="auto"/>
              <w:jc w:val="center"/>
              <w:rPr>
                <w:sz w:val="16"/>
                <w:szCs w:val="16"/>
                <w:lang w:val="lt-LT"/>
              </w:rPr>
            </w:pPr>
            <w:r w:rsidRPr="00BB14AA">
              <w:rPr>
                <w:sz w:val="16"/>
                <w:szCs w:val="16"/>
                <w:lang w:val="lt-LT"/>
              </w:rPr>
              <w:t>Kitoms reikmėms</w:t>
            </w:r>
          </w:p>
        </w:tc>
        <w:tc>
          <w:tcPr>
            <w:tcW w:w="1324" w:type="dxa"/>
            <w:tcBorders>
              <w:top w:val="single" w:sz="6" w:space="0" w:color="auto"/>
              <w:left w:val="single" w:sz="12" w:space="0" w:color="auto"/>
              <w:bottom w:val="single" w:sz="6" w:space="0" w:color="auto"/>
              <w:right w:val="single" w:sz="6" w:space="0" w:color="auto"/>
            </w:tcBorders>
            <w:vAlign w:val="center"/>
          </w:tcPr>
          <w:p w:rsidR="007058B0" w:rsidRPr="00BB14AA" w:rsidRDefault="00C87D68" w:rsidP="00BB14AA">
            <w:pPr>
              <w:spacing w:line="360" w:lineRule="auto"/>
              <w:jc w:val="center"/>
              <w:rPr>
                <w:sz w:val="16"/>
                <w:szCs w:val="16"/>
                <w:lang w:val="lt-LT"/>
              </w:rPr>
            </w:pPr>
            <w:r w:rsidRPr="00BB14AA">
              <w:rPr>
                <w:sz w:val="16"/>
                <w:szCs w:val="16"/>
                <w:lang w:val="lt-LT"/>
              </w:rPr>
              <w:t>24963,9</w:t>
            </w:r>
          </w:p>
        </w:tc>
        <w:tc>
          <w:tcPr>
            <w:tcW w:w="1325" w:type="dxa"/>
            <w:tcBorders>
              <w:top w:val="single" w:sz="6" w:space="0" w:color="auto"/>
              <w:left w:val="single" w:sz="6" w:space="0" w:color="auto"/>
              <w:bottom w:val="single" w:sz="6" w:space="0" w:color="auto"/>
              <w:right w:val="single" w:sz="6" w:space="0" w:color="auto"/>
            </w:tcBorders>
            <w:vAlign w:val="center"/>
          </w:tcPr>
          <w:p w:rsidR="007058B0" w:rsidRPr="00BB14AA" w:rsidRDefault="006E1AC2" w:rsidP="00BB14AA">
            <w:pPr>
              <w:spacing w:line="360" w:lineRule="auto"/>
              <w:jc w:val="center"/>
              <w:rPr>
                <w:sz w:val="16"/>
                <w:szCs w:val="16"/>
                <w:lang w:val="lt-LT"/>
              </w:rPr>
            </w:pPr>
            <w:r w:rsidRPr="00BB14AA">
              <w:rPr>
                <w:sz w:val="16"/>
                <w:szCs w:val="16"/>
                <w:lang w:val="lt-LT"/>
              </w:rPr>
              <w:t>6254,5</w:t>
            </w:r>
          </w:p>
        </w:tc>
        <w:tc>
          <w:tcPr>
            <w:tcW w:w="1325" w:type="dxa"/>
            <w:tcBorders>
              <w:top w:val="single" w:sz="6" w:space="0" w:color="auto"/>
              <w:left w:val="single" w:sz="6" w:space="0" w:color="auto"/>
              <w:bottom w:val="single" w:sz="6" w:space="0" w:color="auto"/>
              <w:right w:val="single" w:sz="6" w:space="0" w:color="auto"/>
            </w:tcBorders>
            <w:vAlign w:val="center"/>
          </w:tcPr>
          <w:p w:rsidR="007058B0" w:rsidRPr="00BB14AA" w:rsidRDefault="007058B0" w:rsidP="00BB14AA">
            <w:pPr>
              <w:spacing w:line="360" w:lineRule="auto"/>
              <w:jc w:val="center"/>
              <w:rPr>
                <w:sz w:val="16"/>
                <w:szCs w:val="16"/>
                <w:lang w:val="lt-LT"/>
              </w:rPr>
            </w:pPr>
          </w:p>
        </w:tc>
        <w:tc>
          <w:tcPr>
            <w:tcW w:w="1325" w:type="dxa"/>
            <w:tcBorders>
              <w:top w:val="single" w:sz="6" w:space="0" w:color="auto"/>
              <w:left w:val="single" w:sz="6" w:space="0" w:color="auto"/>
              <w:bottom w:val="single" w:sz="6" w:space="0" w:color="auto"/>
              <w:right w:val="single" w:sz="6" w:space="0" w:color="auto"/>
            </w:tcBorders>
            <w:vAlign w:val="center"/>
          </w:tcPr>
          <w:p w:rsidR="007058B0" w:rsidRPr="00BB14AA" w:rsidRDefault="007058B0" w:rsidP="00BB14AA">
            <w:pPr>
              <w:spacing w:line="360" w:lineRule="auto"/>
              <w:jc w:val="center"/>
              <w:rPr>
                <w:sz w:val="16"/>
                <w:szCs w:val="16"/>
                <w:lang w:val="lt-LT"/>
              </w:rPr>
            </w:pPr>
          </w:p>
        </w:tc>
        <w:tc>
          <w:tcPr>
            <w:tcW w:w="1183" w:type="dxa"/>
            <w:tcBorders>
              <w:top w:val="single" w:sz="6" w:space="0" w:color="auto"/>
              <w:left w:val="single" w:sz="6" w:space="0" w:color="auto"/>
              <w:bottom w:val="single" w:sz="6" w:space="0" w:color="auto"/>
              <w:right w:val="single" w:sz="12" w:space="0" w:color="auto"/>
            </w:tcBorders>
            <w:vAlign w:val="center"/>
          </w:tcPr>
          <w:p w:rsidR="007058B0" w:rsidRPr="00BB14AA" w:rsidRDefault="007058B0" w:rsidP="00BB14AA">
            <w:pPr>
              <w:spacing w:line="360" w:lineRule="auto"/>
              <w:jc w:val="center"/>
              <w:rPr>
                <w:sz w:val="16"/>
                <w:szCs w:val="16"/>
                <w:lang w:val="lt-LT"/>
              </w:rPr>
            </w:pPr>
          </w:p>
        </w:tc>
      </w:tr>
      <w:tr w:rsidR="003249E7" w:rsidRPr="00BB14AA" w:rsidTr="00BB14AA">
        <w:tc>
          <w:tcPr>
            <w:tcW w:w="1484" w:type="dxa"/>
            <w:vMerge/>
            <w:tcBorders>
              <w:top w:val="single" w:sz="6" w:space="0" w:color="auto"/>
              <w:left w:val="single" w:sz="12" w:space="0" w:color="auto"/>
              <w:bottom w:val="single" w:sz="6" w:space="0" w:color="auto"/>
              <w:right w:val="single" w:sz="6" w:space="0" w:color="auto"/>
            </w:tcBorders>
            <w:vAlign w:val="center"/>
          </w:tcPr>
          <w:p w:rsidR="003249E7" w:rsidRPr="00BB14AA" w:rsidRDefault="003249E7" w:rsidP="00BB14AA">
            <w:pPr>
              <w:spacing w:line="360" w:lineRule="auto"/>
              <w:jc w:val="center"/>
              <w:rPr>
                <w:sz w:val="16"/>
                <w:szCs w:val="16"/>
                <w:lang w:val="lt-LT"/>
              </w:rPr>
            </w:pPr>
          </w:p>
        </w:tc>
        <w:tc>
          <w:tcPr>
            <w:tcW w:w="1790" w:type="dxa"/>
            <w:tcBorders>
              <w:top w:val="single" w:sz="6" w:space="0" w:color="auto"/>
              <w:left w:val="single" w:sz="6" w:space="0" w:color="auto"/>
              <w:bottom w:val="single" w:sz="6" w:space="0" w:color="auto"/>
              <w:right w:val="single" w:sz="12" w:space="0" w:color="auto"/>
            </w:tcBorders>
            <w:vAlign w:val="center"/>
          </w:tcPr>
          <w:p w:rsidR="003249E7" w:rsidRPr="00BB14AA" w:rsidRDefault="003249E7" w:rsidP="00BB14AA">
            <w:pPr>
              <w:spacing w:line="360" w:lineRule="auto"/>
              <w:jc w:val="center"/>
              <w:rPr>
                <w:b/>
                <w:sz w:val="16"/>
                <w:szCs w:val="16"/>
                <w:lang w:val="lt-LT"/>
              </w:rPr>
            </w:pPr>
            <w:r w:rsidRPr="00BB14AA">
              <w:rPr>
                <w:b/>
                <w:sz w:val="16"/>
                <w:szCs w:val="16"/>
                <w:lang w:val="lt-LT"/>
              </w:rPr>
              <w:t>Iš viso:</w:t>
            </w:r>
          </w:p>
        </w:tc>
        <w:tc>
          <w:tcPr>
            <w:tcW w:w="1324" w:type="dxa"/>
            <w:tcBorders>
              <w:top w:val="single" w:sz="6" w:space="0" w:color="auto"/>
              <w:left w:val="single" w:sz="12" w:space="0" w:color="auto"/>
              <w:bottom w:val="single" w:sz="6" w:space="0" w:color="auto"/>
              <w:right w:val="single" w:sz="6" w:space="0" w:color="auto"/>
            </w:tcBorders>
            <w:vAlign w:val="center"/>
          </w:tcPr>
          <w:p w:rsidR="003249E7" w:rsidRPr="00BB14AA" w:rsidRDefault="003249E7" w:rsidP="00BB14AA">
            <w:pPr>
              <w:jc w:val="center"/>
              <w:rPr>
                <w:b/>
                <w:color w:val="000000"/>
                <w:sz w:val="16"/>
                <w:szCs w:val="16"/>
              </w:rPr>
            </w:pPr>
            <w:r w:rsidRPr="00BB14AA">
              <w:rPr>
                <w:b/>
                <w:color w:val="000000"/>
                <w:sz w:val="16"/>
                <w:szCs w:val="16"/>
              </w:rPr>
              <w:t>2619088</w:t>
            </w:r>
          </w:p>
        </w:tc>
        <w:tc>
          <w:tcPr>
            <w:tcW w:w="1325" w:type="dxa"/>
            <w:tcBorders>
              <w:top w:val="single" w:sz="6" w:space="0" w:color="auto"/>
              <w:left w:val="single" w:sz="6" w:space="0" w:color="auto"/>
              <w:bottom w:val="single" w:sz="6" w:space="0" w:color="auto"/>
              <w:right w:val="single" w:sz="6" w:space="0" w:color="auto"/>
            </w:tcBorders>
            <w:vAlign w:val="center"/>
          </w:tcPr>
          <w:p w:rsidR="003249E7" w:rsidRPr="00BB14AA" w:rsidRDefault="003249E7" w:rsidP="00BB14AA">
            <w:pPr>
              <w:jc w:val="center"/>
              <w:rPr>
                <w:b/>
                <w:color w:val="000000"/>
                <w:sz w:val="16"/>
                <w:szCs w:val="16"/>
              </w:rPr>
            </w:pPr>
            <w:r w:rsidRPr="00BB14AA">
              <w:rPr>
                <w:b/>
                <w:color w:val="000000"/>
                <w:sz w:val="16"/>
                <w:szCs w:val="16"/>
              </w:rPr>
              <w:t>2946107</w:t>
            </w:r>
          </w:p>
        </w:tc>
        <w:tc>
          <w:tcPr>
            <w:tcW w:w="1325" w:type="dxa"/>
            <w:tcBorders>
              <w:top w:val="single" w:sz="6" w:space="0" w:color="auto"/>
              <w:left w:val="single" w:sz="6" w:space="0" w:color="auto"/>
              <w:bottom w:val="single" w:sz="6" w:space="0" w:color="auto"/>
              <w:right w:val="single" w:sz="6" w:space="0" w:color="auto"/>
            </w:tcBorders>
            <w:vAlign w:val="center"/>
          </w:tcPr>
          <w:p w:rsidR="003249E7" w:rsidRPr="00BB14AA" w:rsidRDefault="003249E7" w:rsidP="00BB14AA">
            <w:pPr>
              <w:jc w:val="center"/>
              <w:rPr>
                <w:b/>
                <w:color w:val="000000"/>
                <w:sz w:val="16"/>
                <w:szCs w:val="16"/>
              </w:rPr>
            </w:pPr>
            <w:r w:rsidRPr="00BB14AA">
              <w:rPr>
                <w:b/>
                <w:color w:val="000000"/>
                <w:sz w:val="16"/>
                <w:szCs w:val="16"/>
              </w:rPr>
              <w:t>2677788</w:t>
            </w:r>
          </w:p>
        </w:tc>
        <w:tc>
          <w:tcPr>
            <w:tcW w:w="1325" w:type="dxa"/>
            <w:tcBorders>
              <w:top w:val="single" w:sz="6" w:space="0" w:color="auto"/>
              <w:left w:val="single" w:sz="6" w:space="0" w:color="auto"/>
              <w:bottom w:val="single" w:sz="6" w:space="0" w:color="auto"/>
              <w:right w:val="single" w:sz="6" w:space="0" w:color="auto"/>
            </w:tcBorders>
            <w:vAlign w:val="center"/>
          </w:tcPr>
          <w:p w:rsidR="003249E7" w:rsidRPr="00BB14AA" w:rsidRDefault="003249E7" w:rsidP="00BB14AA">
            <w:pPr>
              <w:jc w:val="center"/>
              <w:rPr>
                <w:b/>
                <w:color w:val="000000"/>
                <w:sz w:val="16"/>
                <w:szCs w:val="16"/>
              </w:rPr>
            </w:pPr>
            <w:r w:rsidRPr="00BB14AA">
              <w:rPr>
                <w:b/>
                <w:color w:val="000000"/>
                <w:sz w:val="16"/>
                <w:szCs w:val="16"/>
              </w:rPr>
              <w:t>3380642</w:t>
            </w:r>
          </w:p>
        </w:tc>
        <w:tc>
          <w:tcPr>
            <w:tcW w:w="1183" w:type="dxa"/>
            <w:tcBorders>
              <w:top w:val="single" w:sz="6" w:space="0" w:color="auto"/>
              <w:left w:val="single" w:sz="6" w:space="0" w:color="auto"/>
              <w:bottom w:val="single" w:sz="6" w:space="0" w:color="auto"/>
              <w:right w:val="single" w:sz="12" w:space="0" w:color="auto"/>
            </w:tcBorders>
            <w:vAlign w:val="center"/>
          </w:tcPr>
          <w:p w:rsidR="003249E7" w:rsidRPr="00BB14AA" w:rsidRDefault="003249E7" w:rsidP="00BB14AA">
            <w:pPr>
              <w:jc w:val="center"/>
              <w:rPr>
                <w:b/>
                <w:color w:val="000000"/>
                <w:sz w:val="16"/>
                <w:szCs w:val="16"/>
              </w:rPr>
            </w:pPr>
            <w:r w:rsidRPr="00BB14AA">
              <w:rPr>
                <w:b/>
                <w:color w:val="000000"/>
                <w:sz w:val="16"/>
                <w:szCs w:val="16"/>
              </w:rPr>
              <w:t>3302465</w:t>
            </w:r>
          </w:p>
        </w:tc>
      </w:tr>
      <w:tr w:rsidR="007058B0" w:rsidRPr="00BB14AA" w:rsidTr="00BB14AA">
        <w:tc>
          <w:tcPr>
            <w:tcW w:w="3274" w:type="dxa"/>
            <w:gridSpan w:val="2"/>
            <w:tcBorders>
              <w:top w:val="single" w:sz="6" w:space="0" w:color="auto"/>
              <w:left w:val="single" w:sz="12" w:space="0" w:color="auto"/>
              <w:bottom w:val="single" w:sz="12" w:space="0" w:color="auto"/>
              <w:right w:val="single" w:sz="12" w:space="0" w:color="auto"/>
            </w:tcBorders>
            <w:vAlign w:val="center"/>
          </w:tcPr>
          <w:p w:rsidR="007058B0" w:rsidRPr="00BB14AA" w:rsidRDefault="007058B0" w:rsidP="00BB14AA">
            <w:pPr>
              <w:spacing w:line="360" w:lineRule="auto"/>
              <w:jc w:val="center"/>
              <w:rPr>
                <w:b/>
                <w:sz w:val="16"/>
                <w:szCs w:val="16"/>
                <w:lang w:val="lt-LT"/>
              </w:rPr>
            </w:pPr>
            <w:r w:rsidRPr="00BB14AA">
              <w:rPr>
                <w:b/>
                <w:sz w:val="16"/>
                <w:szCs w:val="16"/>
                <w:lang w:val="lt-LT"/>
              </w:rPr>
              <w:t>Bendrosios dotacijos kompensacijos</w:t>
            </w:r>
          </w:p>
        </w:tc>
        <w:tc>
          <w:tcPr>
            <w:tcW w:w="1324" w:type="dxa"/>
            <w:tcBorders>
              <w:top w:val="single" w:sz="6" w:space="0" w:color="auto"/>
              <w:left w:val="single" w:sz="12" w:space="0" w:color="auto"/>
              <w:bottom w:val="single" w:sz="12" w:space="0" w:color="auto"/>
              <w:right w:val="single" w:sz="6" w:space="0" w:color="auto"/>
            </w:tcBorders>
            <w:vAlign w:val="center"/>
          </w:tcPr>
          <w:p w:rsidR="007058B0" w:rsidRPr="00BB14AA" w:rsidRDefault="006E1AC2" w:rsidP="00BB14AA">
            <w:pPr>
              <w:spacing w:line="360" w:lineRule="auto"/>
              <w:jc w:val="center"/>
              <w:rPr>
                <w:b/>
                <w:sz w:val="16"/>
                <w:szCs w:val="16"/>
                <w:lang w:val="lt-LT"/>
              </w:rPr>
            </w:pPr>
            <w:r w:rsidRPr="00BB14AA">
              <w:rPr>
                <w:b/>
                <w:sz w:val="16"/>
                <w:szCs w:val="16"/>
                <w:lang w:val="lt-LT"/>
              </w:rPr>
              <w:t>7384,5</w:t>
            </w:r>
          </w:p>
        </w:tc>
        <w:tc>
          <w:tcPr>
            <w:tcW w:w="1325" w:type="dxa"/>
            <w:tcBorders>
              <w:top w:val="single" w:sz="6" w:space="0" w:color="auto"/>
              <w:left w:val="single" w:sz="6" w:space="0" w:color="auto"/>
              <w:bottom w:val="single" w:sz="12" w:space="0" w:color="auto"/>
              <w:right w:val="single" w:sz="6" w:space="0" w:color="auto"/>
            </w:tcBorders>
            <w:vAlign w:val="center"/>
          </w:tcPr>
          <w:p w:rsidR="007058B0" w:rsidRPr="00BB14AA" w:rsidRDefault="00B474A5" w:rsidP="00BB14AA">
            <w:pPr>
              <w:spacing w:line="360" w:lineRule="auto"/>
              <w:jc w:val="center"/>
              <w:rPr>
                <w:b/>
                <w:sz w:val="16"/>
                <w:szCs w:val="16"/>
                <w:lang w:val="lt-LT"/>
              </w:rPr>
            </w:pPr>
            <w:r w:rsidRPr="00BB14AA">
              <w:rPr>
                <w:b/>
                <w:sz w:val="16"/>
                <w:szCs w:val="16"/>
                <w:lang w:val="lt-LT"/>
              </w:rPr>
              <w:t>45452,5</w:t>
            </w:r>
          </w:p>
        </w:tc>
        <w:tc>
          <w:tcPr>
            <w:tcW w:w="1325" w:type="dxa"/>
            <w:tcBorders>
              <w:top w:val="single" w:sz="6" w:space="0" w:color="auto"/>
              <w:left w:val="single" w:sz="6" w:space="0" w:color="auto"/>
              <w:bottom w:val="single" w:sz="12" w:space="0" w:color="auto"/>
              <w:right w:val="single" w:sz="6" w:space="0" w:color="auto"/>
            </w:tcBorders>
            <w:vAlign w:val="center"/>
          </w:tcPr>
          <w:p w:rsidR="007058B0" w:rsidRPr="00BB14AA" w:rsidRDefault="00B474A5" w:rsidP="00BB14AA">
            <w:pPr>
              <w:spacing w:line="360" w:lineRule="auto"/>
              <w:jc w:val="center"/>
              <w:rPr>
                <w:b/>
                <w:sz w:val="16"/>
                <w:szCs w:val="16"/>
                <w:lang w:val="lt-LT"/>
              </w:rPr>
            </w:pPr>
            <w:r w:rsidRPr="00BB14AA">
              <w:rPr>
                <w:b/>
                <w:sz w:val="16"/>
                <w:szCs w:val="16"/>
                <w:lang w:val="lt-LT"/>
              </w:rPr>
              <w:t>197860,2</w:t>
            </w:r>
          </w:p>
        </w:tc>
        <w:tc>
          <w:tcPr>
            <w:tcW w:w="1325" w:type="dxa"/>
            <w:tcBorders>
              <w:top w:val="single" w:sz="6" w:space="0" w:color="auto"/>
              <w:left w:val="single" w:sz="6" w:space="0" w:color="auto"/>
              <w:bottom w:val="single" w:sz="12" w:space="0" w:color="auto"/>
              <w:right w:val="single" w:sz="6" w:space="0" w:color="auto"/>
            </w:tcBorders>
            <w:vAlign w:val="center"/>
          </w:tcPr>
          <w:p w:rsidR="007058B0" w:rsidRPr="00BB14AA" w:rsidRDefault="00C514F7" w:rsidP="00BB14AA">
            <w:pPr>
              <w:spacing w:line="360" w:lineRule="auto"/>
              <w:jc w:val="center"/>
              <w:rPr>
                <w:b/>
                <w:sz w:val="16"/>
                <w:szCs w:val="16"/>
                <w:lang w:val="lt-LT"/>
              </w:rPr>
            </w:pPr>
            <w:r w:rsidRPr="00BB14AA">
              <w:rPr>
                <w:b/>
                <w:sz w:val="16"/>
                <w:szCs w:val="16"/>
                <w:lang w:val="lt-LT"/>
              </w:rPr>
              <w:t>144366</w:t>
            </w:r>
          </w:p>
        </w:tc>
        <w:tc>
          <w:tcPr>
            <w:tcW w:w="1183" w:type="dxa"/>
            <w:tcBorders>
              <w:top w:val="single" w:sz="6" w:space="0" w:color="auto"/>
              <w:left w:val="single" w:sz="6" w:space="0" w:color="auto"/>
              <w:bottom w:val="single" w:sz="12" w:space="0" w:color="auto"/>
              <w:right w:val="single" w:sz="12" w:space="0" w:color="auto"/>
            </w:tcBorders>
            <w:vAlign w:val="center"/>
          </w:tcPr>
          <w:p w:rsidR="007058B0" w:rsidRPr="00BB14AA" w:rsidRDefault="0007290B" w:rsidP="00BB14AA">
            <w:pPr>
              <w:spacing w:line="360" w:lineRule="auto"/>
              <w:jc w:val="center"/>
              <w:rPr>
                <w:b/>
                <w:sz w:val="16"/>
                <w:szCs w:val="16"/>
                <w:lang w:val="lt-LT"/>
              </w:rPr>
            </w:pPr>
            <w:r w:rsidRPr="00BB14AA">
              <w:rPr>
                <w:b/>
                <w:sz w:val="16"/>
                <w:szCs w:val="16"/>
                <w:lang w:val="lt-LT"/>
              </w:rPr>
              <w:t>178322,1</w:t>
            </w:r>
          </w:p>
        </w:tc>
      </w:tr>
    </w:tbl>
    <w:p w:rsidR="00180746" w:rsidRDefault="00180746" w:rsidP="007C3B56">
      <w:pPr>
        <w:spacing w:line="360" w:lineRule="auto"/>
        <w:rPr>
          <w:b/>
          <w:lang w:val="lt-LT"/>
        </w:rPr>
      </w:pPr>
    </w:p>
    <w:p w:rsidR="00BB14AA" w:rsidRDefault="00BB14AA" w:rsidP="007C3B56">
      <w:pPr>
        <w:spacing w:line="360" w:lineRule="auto"/>
        <w:rPr>
          <w:b/>
          <w:lang w:val="lt-LT"/>
        </w:rPr>
      </w:pPr>
    </w:p>
    <w:p w:rsidR="00BB14AA" w:rsidRDefault="00BB14AA" w:rsidP="007C3B56">
      <w:pPr>
        <w:spacing w:line="360" w:lineRule="auto"/>
        <w:rPr>
          <w:b/>
          <w:lang w:val="lt-LT"/>
        </w:rPr>
      </w:pPr>
    </w:p>
    <w:p w:rsidR="00BB14AA" w:rsidRDefault="00BB14AA" w:rsidP="007C3B56">
      <w:pPr>
        <w:spacing w:line="360" w:lineRule="auto"/>
        <w:rPr>
          <w:b/>
          <w:lang w:val="lt-LT"/>
        </w:rPr>
      </w:pPr>
    </w:p>
    <w:p w:rsidR="00BB14AA" w:rsidRDefault="00BB14AA" w:rsidP="007C3B56">
      <w:pPr>
        <w:spacing w:line="360" w:lineRule="auto"/>
        <w:rPr>
          <w:b/>
          <w:lang w:val="lt-LT"/>
        </w:rPr>
      </w:pPr>
    </w:p>
    <w:p w:rsidR="00BB14AA" w:rsidRDefault="00BB14AA" w:rsidP="007C3B56">
      <w:pPr>
        <w:spacing w:line="360" w:lineRule="auto"/>
        <w:rPr>
          <w:b/>
          <w:lang w:val="lt-LT"/>
        </w:rPr>
      </w:pPr>
    </w:p>
    <w:p w:rsidR="00BB14AA" w:rsidRDefault="00BB14AA" w:rsidP="007C3B56">
      <w:pPr>
        <w:spacing w:line="360" w:lineRule="auto"/>
        <w:rPr>
          <w:b/>
          <w:lang w:val="lt-LT"/>
        </w:rPr>
      </w:pPr>
    </w:p>
    <w:p w:rsidR="00BB14AA" w:rsidRDefault="00BB14AA" w:rsidP="007C3B56">
      <w:pPr>
        <w:spacing w:line="360" w:lineRule="auto"/>
        <w:rPr>
          <w:b/>
          <w:lang w:val="lt-LT"/>
        </w:rPr>
      </w:pPr>
    </w:p>
    <w:p w:rsidR="00BB14AA" w:rsidRDefault="00BB14AA" w:rsidP="007C3B56">
      <w:pPr>
        <w:spacing w:line="360" w:lineRule="auto"/>
        <w:rPr>
          <w:b/>
          <w:lang w:val="lt-LT"/>
        </w:rPr>
      </w:pPr>
    </w:p>
    <w:p w:rsidR="00BB14AA" w:rsidRDefault="00BB14AA" w:rsidP="007C3B56">
      <w:pPr>
        <w:spacing w:line="360" w:lineRule="auto"/>
        <w:rPr>
          <w:b/>
          <w:lang w:val="lt-LT"/>
        </w:rPr>
      </w:pPr>
    </w:p>
    <w:p w:rsidR="00073B90" w:rsidRDefault="00073B90" w:rsidP="007C3B56">
      <w:pPr>
        <w:spacing w:line="360" w:lineRule="auto"/>
        <w:rPr>
          <w:b/>
          <w:lang w:val="lt-LT"/>
        </w:rPr>
      </w:pPr>
    </w:p>
    <w:p w:rsidR="00073B90" w:rsidRDefault="00073B90" w:rsidP="007C3B56">
      <w:pPr>
        <w:spacing w:line="360" w:lineRule="auto"/>
        <w:rPr>
          <w:b/>
          <w:lang w:val="lt-LT"/>
        </w:rPr>
      </w:pPr>
    </w:p>
    <w:p w:rsidR="00073B90" w:rsidRDefault="00073B90" w:rsidP="007C3B56">
      <w:pPr>
        <w:spacing w:line="360" w:lineRule="auto"/>
        <w:rPr>
          <w:b/>
          <w:lang w:val="lt-LT"/>
        </w:rPr>
      </w:pPr>
    </w:p>
    <w:p w:rsidR="004A4EC1" w:rsidRDefault="004A4EC1" w:rsidP="007C3B56">
      <w:pPr>
        <w:spacing w:line="360" w:lineRule="auto"/>
        <w:rPr>
          <w:b/>
          <w:lang w:val="lt-LT"/>
        </w:rPr>
      </w:pPr>
    </w:p>
    <w:p w:rsidR="00073B90" w:rsidRDefault="00073B90" w:rsidP="00073B90">
      <w:pPr>
        <w:spacing w:line="360" w:lineRule="auto"/>
        <w:jc w:val="right"/>
        <w:rPr>
          <w:b/>
          <w:lang w:val="lt-LT"/>
        </w:rPr>
      </w:pPr>
      <w:r>
        <w:rPr>
          <w:b/>
          <w:lang w:val="lt-LT"/>
        </w:rPr>
        <w:lastRenderedPageBreak/>
        <w:t>4 PRIEDAS</w:t>
      </w:r>
    </w:p>
    <w:p w:rsidR="00073B90" w:rsidRDefault="00073B90" w:rsidP="007C3B56">
      <w:pPr>
        <w:spacing w:line="360" w:lineRule="auto"/>
        <w:rPr>
          <w:b/>
          <w:lang w:val="lt-LT"/>
        </w:rPr>
      </w:pPr>
    </w:p>
    <w:p w:rsidR="00C13F18" w:rsidRPr="00DA2839" w:rsidRDefault="00D01880" w:rsidP="00C62571">
      <w:pPr>
        <w:pStyle w:val="Heading4"/>
      </w:pPr>
      <w:bookmarkStart w:id="99" w:name="_Toc385241718"/>
      <w:bookmarkStart w:id="100" w:name="_Toc385241839"/>
      <w:r>
        <w:rPr>
          <w:lang w:val="lt-LT"/>
        </w:rPr>
        <w:t>ES ŠALIŲ NARIŲ POPULIACIJA, TERITORIJA</w:t>
      </w:r>
      <w:r w:rsidR="00073B90">
        <w:rPr>
          <w:lang w:val="lt-LT"/>
        </w:rPr>
        <w:t xml:space="preserve"> IR SUBNACIONALINIŲ LYGMEN</w:t>
      </w:r>
      <w:r w:rsidR="00F043A6">
        <w:rPr>
          <w:lang w:val="lt-LT"/>
        </w:rPr>
        <w:t>Ų SKAIČIUS</w:t>
      </w:r>
      <w:bookmarkEnd w:id="99"/>
      <w:bookmarkEnd w:id="100"/>
      <w:r w:rsidR="00DA2839">
        <w:rPr>
          <w:lang w:val="lt-LT"/>
        </w:rPr>
        <w:t xml:space="preserve"> </w:t>
      </w:r>
      <w:r w:rsidR="00DA2839">
        <w:t>2011 M.</w:t>
      </w:r>
    </w:p>
    <w:p w:rsidR="00073B90" w:rsidRDefault="00073B90" w:rsidP="00073B90">
      <w:pPr>
        <w:spacing w:line="360" w:lineRule="auto"/>
        <w:jc w:val="center"/>
        <w:rPr>
          <w:b/>
          <w:lang w:val="lt-LT"/>
        </w:rPr>
      </w:pPr>
    </w:p>
    <w:tbl>
      <w:tblPr>
        <w:tblW w:w="959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668"/>
        <w:gridCol w:w="62"/>
        <w:gridCol w:w="1497"/>
        <w:gridCol w:w="1805"/>
        <w:gridCol w:w="2159"/>
        <w:gridCol w:w="1272"/>
        <w:gridCol w:w="1135"/>
      </w:tblGrid>
      <w:tr w:rsidR="004A4EC1" w:rsidRPr="004A4EC1" w:rsidTr="00C96EB3">
        <w:trPr>
          <w:jc w:val="center"/>
        </w:trPr>
        <w:tc>
          <w:tcPr>
            <w:tcW w:w="1730" w:type="dxa"/>
            <w:gridSpan w:val="2"/>
            <w:vMerge w:val="restart"/>
            <w:vAlign w:val="center"/>
          </w:tcPr>
          <w:p w:rsidR="004A4EC1" w:rsidRPr="004A4EC1" w:rsidRDefault="004A4EC1" w:rsidP="004A4EC1">
            <w:pPr>
              <w:jc w:val="center"/>
              <w:rPr>
                <w:b/>
                <w:sz w:val="20"/>
                <w:szCs w:val="18"/>
                <w:lang w:val="lt-LT"/>
              </w:rPr>
            </w:pPr>
          </w:p>
        </w:tc>
        <w:tc>
          <w:tcPr>
            <w:tcW w:w="5461" w:type="dxa"/>
            <w:gridSpan w:val="3"/>
            <w:vAlign w:val="center"/>
          </w:tcPr>
          <w:p w:rsidR="004A4EC1" w:rsidRPr="004A4EC1" w:rsidRDefault="004A4EC1" w:rsidP="004A4EC1">
            <w:pPr>
              <w:ind w:left="720" w:hanging="720"/>
              <w:jc w:val="center"/>
              <w:rPr>
                <w:b/>
                <w:sz w:val="20"/>
                <w:szCs w:val="18"/>
                <w:lang w:val="lt-LT"/>
              </w:rPr>
            </w:pPr>
            <w:r w:rsidRPr="004A4EC1">
              <w:rPr>
                <w:b/>
                <w:sz w:val="20"/>
                <w:szCs w:val="18"/>
                <w:lang w:val="lt-LT"/>
              </w:rPr>
              <w:t>Teritorinių subnacionalinių valdymo vienetų skaičius</w:t>
            </w:r>
          </w:p>
        </w:tc>
        <w:tc>
          <w:tcPr>
            <w:tcW w:w="1272" w:type="dxa"/>
            <w:vMerge w:val="restart"/>
            <w:vAlign w:val="center"/>
          </w:tcPr>
          <w:p w:rsidR="004A4EC1" w:rsidRPr="004A4EC1" w:rsidRDefault="004A4EC1" w:rsidP="004A4EC1">
            <w:pPr>
              <w:jc w:val="center"/>
              <w:rPr>
                <w:b/>
                <w:sz w:val="20"/>
                <w:szCs w:val="18"/>
                <w:lang w:val="lt-LT"/>
              </w:rPr>
            </w:pPr>
            <w:r w:rsidRPr="004A4EC1">
              <w:rPr>
                <w:b/>
                <w:sz w:val="20"/>
                <w:szCs w:val="18"/>
                <w:lang w:val="lt-LT"/>
              </w:rPr>
              <w:t>Populiacija</w:t>
            </w:r>
          </w:p>
          <w:p w:rsidR="004A4EC1" w:rsidRPr="004A4EC1" w:rsidRDefault="004A4EC1" w:rsidP="004A4EC1">
            <w:pPr>
              <w:jc w:val="center"/>
              <w:rPr>
                <w:sz w:val="20"/>
                <w:szCs w:val="18"/>
                <w:lang w:val="lt-LT"/>
              </w:rPr>
            </w:pPr>
            <w:r w:rsidRPr="004A4EC1">
              <w:rPr>
                <w:b/>
                <w:sz w:val="20"/>
                <w:szCs w:val="18"/>
                <w:lang w:val="lt-LT"/>
              </w:rPr>
              <w:t>(mln.žm.)</w:t>
            </w:r>
          </w:p>
        </w:tc>
        <w:tc>
          <w:tcPr>
            <w:tcW w:w="1135" w:type="dxa"/>
            <w:vMerge w:val="restart"/>
            <w:vAlign w:val="center"/>
          </w:tcPr>
          <w:p w:rsidR="004A4EC1" w:rsidRPr="004A4EC1" w:rsidRDefault="004A4EC1" w:rsidP="004A4EC1">
            <w:pPr>
              <w:jc w:val="center"/>
              <w:rPr>
                <w:b/>
                <w:sz w:val="20"/>
                <w:szCs w:val="18"/>
                <w:lang w:val="lt-LT"/>
              </w:rPr>
            </w:pPr>
            <w:r w:rsidRPr="004A4EC1">
              <w:rPr>
                <w:b/>
                <w:sz w:val="20"/>
                <w:szCs w:val="18"/>
                <w:lang w:val="lt-LT"/>
              </w:rPr>
              <w:t>Šalies  teritorija (km</w:t>
            </w:r>
            <w:r w:rsidRPr="004A4EC1">
              <w:rPr>
                <w:b/>
                <w:sz w:val="20"/>
                <w:szCs w:val="18"/>
                <w:vertAlign w:val="superscript"/>
                <w:lang w:val="lt-LT"/>
              </w:rPr>
              <w:t>2</w:t>
            </w:r>
            <w:r w:rsidRPr="004A4EC1">
              <w:rPr>
                <w:b/>
                <w:sz w:val="20"/>
                <w:szCs w:val="18"/>
                <w:lang w:val="lt-LT"/>
              </w:rPr>
              <w:t>)</w:t>
            </w:r>
          </w:p>
        </w:tc>
      </w:tr>
      <w:tr w:rsidR="004A4EC1" w:rsidRPr="004A4EC1" w:rsidTr="00C96EB3">
        <w:trPr>
          <w:jc w:val="center"/>
        </w:trPr>
        <w:tc>
          <w:tcPr>
            <w:tcW w:w="1730" w:type="dxa"/>
            <w:gridSpan w:val="2"/>
            <w:vMerge/>
            <w:vAlign w:val="center"/>
          </w:tcPr>
          <w:p w:rsidR="004A4EC1" w:rsidRPr="004A4EC1" w:rsidRDefault="004A4EC1" w:rsidP="004A4EC1">
            <w:pPr>
              <w:jc w:val="center"/>
              <w:rPr>
                <w:b/>
                <w:sz w:val="20"/>
                <w:szCs w:val="18"/>
                <w:lang w:val="lt-LT"/>
              </w:rPr>
            </w:pPr>
          </w:p>
        </w:tc>
        <w:tc>
          <w:tcPr>
            <w:tcW w:w="1497" w:type="dxa"/>
            <w:vAlign w:val="center"/>
          </w:tcPr>
          <w:p w:rsidR="004A4EC1" w:rsidRPr="004A4EC1" w:rsidRDefault="004A4EC1" w:rsidP="004A4EC1">
            <w:pPr>
              <w:jc w:val="center"/>
              <w:rPr>
                <w:b/>
                <w:sz w:val="20"/>
                <w:szCs w:val="18"/>
                <w:lang w:val="lt-LT"/>
              </w:rPr>
            </w:pPr>
            <w:r w:rsidRPr="004A4EC1">
              <w:rPr>
                <w:b/>
                <w:sz w:val="20"/>
                <w:szCs w:val="18"/>
                <w:lang w:val="lt-LT"/>
              </w:rPr>
              <w:t>Pirmas lygis</w:t>
            </w:r>
          </w:p>
        </w:tc>
        <w:tc>
          <w:tcPr>
            <w:tcW w:w="1805" w:type="dxa"/>
            <w:vAlign w:val="center"/>
          </w:tcPr>
          <w:p w:rsidR="004A4EC1" w:rsidRPr="004A4EC1" w:rsidRDefault="004A4EC1" w:rsidP="004A4EC1">
            <w:pPr>
              <w:jc w:val="center"/>
              <w:rPr>
                <w:b/>
                <w:sz w:val="20"/>
                <w:szCs w:val="18"/>
                <w:lang w:val="lt-LT"/>
              </w:rPr>
            </w:pPr>
            <w:r w:rsidRPr="004A4EC1">
              <w:rPr>
                <w:b/>
                <w:sz w:val="20"/>
                <w:szCs w:val="18"/>
                <w:lang w:val="lt-LT"/>
              </w:rPr>
              <w:t>Antras lygis</w:t>
            </w:r>
          </w:p>
        </w:tc>
        <w:tc>
          <w:tcPr>
            <w:tcW w:w="2159" w:type="dxa"/>
            <w:vAlign w:val="center"/>
          </w:tcPr>
          <w:p w:rsidR="004A4EC1" w:rsidRPr="004A4EC1" w:rsidRDefault="004A4EC1" w:rsidP="004A4EC1">
            <w:pPr>
              <w:ind w:left="720" w:hanging="720"/>
              <w:jc w:val="center"/>
              <w:rPr>
                <w:b/>
                <w:sz w:val="20"/>
                <w:szCs w:val="18"/>
                <w:lang w:val="lt-LT"/>
              </w:rPr>
            </w:pPr>
            <w:r w:rsidRPr="004A4EC1">
              <w:rPr>
                <w:b/>
                <w:sz w:val="20"/>
                <w:szCs w:val="18"/>
                <w:lang w:val="lt-LT"/>
              </w:rPr>
              <w:t>Trečias lygis</w:t>
            </w:r>
          </w:p>
        </w:tc>
        <w:tc>
          <w:tcPr>
            <w:tcW w:w="1272" w:type="dxa"/>
            <w:vMerge/>
            <w:vAlign w:val="center"/>
          </w:tcPr>
          <w:p w:rsidR="004A4EC1" w:rsidRPr="004A4EC1" w:rsidRDefault="004A4EC1" w:rsidP="004A4EC1">
            <w:pPr>
              <w:jc w:val="center"/>
              <w:rPr>
                <w:sz w:val="20"/>
                <w:szCs w:val="18"/>
                <w:lang w:val="lt-LT"/>
              </w:rPr>
            </w:pPr>
          </w:p>
        </w:tc>
        <w:tc>
          <w:tcPr>
            <w:tcW w:w="1135" w:type="dxa"/>
            <w:vMerge/>
            <w:vAlign w:val="center"/>
          </w:tcPr>
          <w:p w:rsidR="004A4EC1" w:rsidRPr="004A4EC1" w:rsidRDefault="004A4EC1" w:rsidP="004A4EC1">
            <w:pPr>
              <w:jc w:val="center"/>
              <w:rPr>
                <w:b/>
                <w:sz w:val="20"/>
                <w:szCs w:val="18"/>
                <w:lang w:val="lt-LT"/>
              </w:rPr>
            </w:pPr>
          </w:p>
        </w:tc>
      </w:tr>
      <w:tr w:rsidR="00C13F18" w:rsidRPr="004A4EC1" w:rsidTr="00C96EB3">
        <w:trPr>
          <w:jc w:val="center"/>
        </w:trPr>
        <w:tc>
          <w:tcPr>
            <w:tcW w:w="9598" w:type="dxa"/>
            <w:gridSpan w:val="7"/>
            <w:vAlign w:val="center"/>
          </w:tcPr>
          <w:p w:rsidR="00C13F18" w:rsidRPr="004A4EC1" w:rsidRDefault="00C13F18" w:rsidP="00C13F18">
            <w:pPr>
              <w:rPr>
                <w:b/>
                <w:sz w:val="20"/>
                <w:szCs w:val="18"/>
                <w:lang w:val="lt-LT"/>
              </w:rPr>
            </w:pPr>
            <w:r w:rsidRPr="004A4EC1">
              <w:rPr>
                <w:sz w:val="20"/>
                <w:szCs w:val="18"/>
                <w:lang w:val="lt-LT"/>
              </w:rPr>
              <w:t>Šalys, turinčios vieną subnacionalinį valdžios lygį</w:t>
            </w:r>
          </w:p>
        </w:tc>
      </w:tr>
      <w:tr w:rsidR="00C13F18" w:rsidRPr="004A4EC1" w:rsidTr="00C96EB3">
        <w:trPr>
          <w:jc w:val="center"/>
        </w:trPr>
        <w:tc>
          <w:tcPr>
            <w:tcW w:w="1668" w:type="dxa"/>
            <w:vAlign w:val="center"/>
          </w:tcPr>
          <w:p w:rsidR="009522DF" w:rsidRPr="004A4EC1" w:rsidRDefault="009522DF" w:rsidP="004A4EC1">
            <w:pPr>
              <w:jc w:val="center"/>
              <w:rPr>
                <w:b/>
                <w:sz w:val="20"/>
                <w:szCs w:val="18"/>
                <w:lang w:val="lt-LT"/>
              </w:rPr>
            </w:pPr>
            <w:r w:rsidRPr="004A4EC1">
              <w:rPr>
                <w:b/>
                <w:sz w:val="20"/>
                <w:szCs w:val="18"/>
                <w:lang w:val="lt-LT"/>
              </w:rPr>
              <w:t>Bu</w:t>
            </w:r>
            <w:r w:rsidR="00F043A6">
              <w:rPr>
                <w:b/>
                <w:sz w:val="20"/>
                <w:szCs w:val="18"/>
                <w:lang w:val="lt-LT"/>
              </w:rPr>
              <w:t>l</w:t>
            </w:r>
            <w:r w:rsidRPr="004A4EC1">
              <w:rPr>
                <w:b/>
                <w:sz w:val="20"/>
                <w:szCs w:val="18"/>
                <w:lang w:val="lt-LT"/>
              </w:rPr>
              <w:t>garija</w:t>
            </w:r>
          </w:p>
        </w:tc>
        <w:tc>
          <w:tcPr>
            <w:tcW w:w="1559" w:type="dxa"/>
            <w:gridSpan w:val="2"/>
            <w:vAlign w:val="center"/>
          </w:tcPr>
          <w:p w:rsidR="009522DF" w:rsidRPr="004A4EC1" w:rsidRDefault="009522DF" w:rsidP="004A4EC1">
            <w:pPr>
              <w:jc w:val="center"/>
              <w:rPr>
                <w:sz w:val="20"/>
                <w:szCs w:val="18"/>
                <w:lang w:val="lt-LT"/>
              </w:rPr>
            </w:pPr>
            <w:r w:rsidRPr="004A4EC1">
              <w:rPr>
                <w:sz w:val="20"/>
                <w:szCs w:val="18"/>
              </w:rPr>
              <w:t>264 savivaldyb</w:t>
            </w:r>
            <w:r w:rsidRPr="004A4EC1">
              <w:rPr>
                <w:sz w:val="20"/>
                <w:szCs w:val="18"/>
                <w:lang w:val="lt-LT"/>
              </w:rPr>
              <w:t>ės</w:t>
            </w:r>
          </w:p>
        </w:tc>
        <w:tc>
          <w:tcPr>
            <w:tcW w:w="1805" w:type="dxa"/>
            <w:vAlign w:val="center"/>
          </w:tcPr>
          <w:p w:rsidR="009522DF" w:rsidRPr="004A4EC1" w:rsidRDefault="009522DF" w:rsidP="004A4EC1">
            <w:pPr>
              <w:jc w:val="center"/>
              <w:rPr>
                <w:sz w:val="20"/>
                <w:szCs w:val="18"/>
                <w:lang w:val="lt-LT"/>
              </w:rPr>
            </w:pPr>
          </w:p>
        </w:tc>
        <w:tc>
          <w:tcPr>
            <w:tcW w:w="2159" w:type="dxa"/>
            <w:vAlign w:val="center"/>
          </w:tcPr>
          <w:p w:rsidR="009522DF" w:rsidRPr="004A4EC1" w:rsidRDefault="009522DF" w:rsidP="004A4EC1">
            <w:pPr>
              <w:jc w:val="center"/>
              <w:rPr>
                <w:sz w:val="20"/>
                <w:szCs w:val="18"/>
                <w:lang w:val="lt-LT"/>
              </w:rPr>
            </w:pPr>
          </w:p>
        </w:tc>
        <w:tc>
          <w:tcPr>
            <w:tcW w:w="1272" w:type="dxa"/>
            <w:vAlign w:val="center"/>
          </w:tcPr>
          <w:p w:rsidR="009522DF" w:rsidRPr="004A4EC1" w:rsidRDefault="009522DF" w:rsidP="004A4EC1">
            <w:pPr>
              <w:jc w:val="center"/>
              <w:rPr>
                <w:sz w:val="20"/>
                <w:szCs w:val="18"/>
              </w:rPr>
            </w:pPr>
            <w:r w:rsidRPr="004A4EC1">
              <w:rPr>
                <w:sz w:val="20"/>
                <w:szCs w:val="18"/>
              </w:rPr>
              <w:t>7,37</w:t>
            </w:r>
          </w:p>
        </w:tc>
        <w:tc>
          <w:tcPr>
            <w:tcW w:w="1135" w:type="dxa"/>
            <w:vAlign w:val="center"/>
          </w:tcPr>
          <w:p w:rsidR="009522DF" w:rsidRPr="004A4EC1" w:rsidRDefault="009522DF" w:rsidP="004A4EC1">
            <w:pPr>
              <w:jc w:val="center"/>
              <w:rPr>
                <w:sz w:val="20"/>
                <w:szCs w:val="18"/>
                <w:lang w:val="lt-LT"/>
              </w:rPr>
            </w:pPr>
            <w:r w:rsidRPr="004A4EC1">
              <w:rPr>
                <w:sz w:val="20"/>
                <w:szCs w:val="18"/>
                <w:lang w:val="lt-LT"/>
              </w:rPr>
              <w:t>111002</w:t>
            </w:r>
          </w:p>
        </w:tc>
      </w:tr>
      <w:tr w:rsidR="00C13F18" w:rsidRPr="004A4EC1" w:rsidTr="00C96EB3">
        <w:trPr>
          <w:jc w:val="center"/>
        </w:trPr>
        <w:tc>
          <w:tcPr>
            <w:tcW w:w="1668" w:type="dxa"/>
            <w:vAlign w:val="center"/>
          </w:tcPr>
          <w:p w:rsidR="009522DF" w:rsidRPr="004A4EC1" w:rsidRDefault="009522DF" w:rsidP="004A4EC1">
            <w:pPr>
              <w:jc w:val="center"/>
              <w:rPr>
                <w:b/>
                <w:sz w:val="20"/>
                <w:szCs w:val="18"/>
                <w:lang w:val="lt-LT"/>
              </w:rPr>
            </w:pPr>
            <w:r w:rsidRPr="004A4EC1">
              <w:rPr>
                <w:b/>
                <w:sz w:val="20"/>
                <w:szCs w:val="18"/>
                <w:lang w:val="lt-LT"/>
              </w:rPr>
              <w:t>Kipras</w:t>
            </w:r>
          </w:p>
        </w:tc>
        <w:tc>
          <w:tcPr>
            <w:tcW w:w="1559" w:type="dxa"/>
            <w:gridSpan w:val="2"/>
            <w:vAlign w:val="center"/>
          </w:tcPr>
          <w:p w:rsidR="009522DF" w:rsidRPr="004A4EC1" w:rsidRDefault="009522DF" w:rsidP="004A4EC1">
            <w:pPr>
              <w:jc w:val="center"/>
              <w:rPr>
                <w:sz w:val="20"/>
                <w:szCs w:val="18"/>
              </w:rPr>
            </w:pPr>
            <w:r w:rsidRPr="004A4EC1">
              <w:rPr>
                <w:sz w:val="20"/>
                <w:szCs w:val="18"/>
              </w:rPr>
              <w:t>379 savivaldybės</w:t>
            </w:r>
          </w:p>
        </w:tc>
        <w:tc>
          <w:tcPr>
            <w:tcW w:w="1805" w:type="dxa"/>
            <w:vAlign w:val="center"/>
          </w:tcPr>
          <w:p w:rsidR="009522DF" w:rsidRPr="004A4EC1" w:rsidRDefault="009522DF" w:rsidP="004A4EC1">
            <w:pPr>
              <w:jc w:val="center"/>
              <w:rPr>
                <w:sz w:val="20"/>
                <w:szCs w:val="18"/>
                <w:lang w:val="lt-LT"/>
              </w:rPr>
            </w:pPr>
          </w:p>
        </w:tc>
        <w:tc>
          <w:tcPr>
            <w:tcW w:w="2159" w:type="dxa"/>
            <w:vAlign w:val="center"/>
          </w:tcPr>
          <w:p w:rsidR="009522DF" w:rsidRPr="004A4EC1" w:rsidRDefault="009522DF" w:rsidP="004A4EC1">
            <w:pPr>
              <w:jc w:val="center"/>
              <w:rPr>
                <w:sz w:val="20"/>
                <w:szCs w:val="18"/>
                <w:lang w:val="lt-LT"/>
              </w:rPr>
            </w:pPr>
          </w:p>
        </w:tc>
        <w:tc>
          <w:tcPr>
            <w:tcW w:w="1272" w:type="dxa"/>
            <w:vAlign w:val="center"/>
          </w:tcPr>
          <w:p w:rsidR="009522DF" w:rsidRPr="004A4EC1" w:rsidRDefault="00021799" w:rsidP="004A4EC1">
            <w:pPr>
              <w:jc w:val="center"/>
              <w:rPr>
                <w:sz w:val="20"/>
                <w:szCs w:val="18"/>
                <w:lang w:val="lt-LT"/>
              </w:rPr>
            </w:pPr>
            <w:r w:rsidRPr="004A4EC1">
              <w:rPr>
                <w:sz w:val="20"/>
                <w:szCs w:val="18"/>
                <w:lang w:val="lt-LT"/>
              </w:rPr>
              <w:t>0,84</w:t>
            </w:r>
          </w:p>
        </w:tc>
        <w:tc>
          <w:tcPr>
            <w:tcW w:w="1135" w:type="dxa"/>
            <w:vAlign w:val="center"/>
          </w:tcPr>
          <w:p w:rsidR="009522DF" w:rsidRPr="004A4EC1" w:rsidRDefault="00021799" w:rsidP="004A4EC1">
            <w:pPr>
              <w:jc w:val="center"/>
              <w:rPr>
                <w:sz w:val="20"/>
                <w:szCs w:val="18"/>
                <w:lang w:val="lt-LT"/>
              </w:rPr>
            </w:pPr>
            <w:r w:rsidRPr="004A4EC1">
              <w:rPr>
                <w:sz w:val="20"/>
                <w:szCs w:val="18"/>
                <w:lang w:val="lt-LT"/>
              </w:rPr>
              <w:t>5695</w:t>
            </w:r>
          </w:p>
        </w:tc>
      </w:tr>
      <w:tr w:rsidR="00C13F18" w:rsidRPr="004A4EC1" w:rsidTr="00C96EB3">
        <w:trPr>
          <w:jc w:val="center"/>
        </w:trPr>
        <w:tc>
          <w:tcPr>
            <w:tcW w:w="1668" w:type="dxa"/>
            <w:vAlign w:val="center"/>
          </w:tcPr>
          <w:p w:rsidR="009522DF" w:rsidRPr="004A4EC1" w:rsidRDefault="009522DF" w:rsidP="004A4EC1">
            <w:pPr>
              <w:jc w:val="center"/>
              <w:rPr>
                <w:b/>
                <w:sz w:val="20"/>
                <w:szCs w:val="18"/>
                <w:lang w:val="lt-LT"/>
              </w:rPr>
            </w:pPr>
            <w:r w:rsidRPr="004A4EC1">
              <w:rPr>
                <w:b/>
                <w:sz w:val="20"/>
                <w:szCs w:val="18"/>
                <w:lang w:val="lt-LT"/>
              </w:rPr>
              <w:t>Estija</w:t>
            </w:r>
          </w:p>
        </w:tc>
        <w:tc>
          <w:tcPr>
            <w:tcW w:w="1559" w:type="dxa"/>
            <w:gridSpan w:val="2"/>
            <w:vAlign w:val="center"/>
          </w:tcPr>
          <w:p w:rsidR="009522DF" w:rsidRPr="004A4EC1" w:rsidRDefault="009522DF" w:rsidP="004A4EC1">
            <w:pPr>
              <w:jc w:val="center"/>
              <w:rPr>
                <w:sz w:val="20"/>
                <w:szCs w:val="18"/>
              </w:rPr>
            </w:pPr>
            <w:r w:rsidRPr="004A4EC1">
              <w:rPr>
                <w:sz w:val="20"/>
                <w:szCs w:val="18"/>
              </w:rPr>
              <w:t>226 savivaldybės</w:t>
            </w:r>
          </w:p>
        </w:tc>
        <w:tc>
          <w:tcPr>
            <w:tcW w:w="1805" w:type="dxa"/>
            <w:vAlign w:val="center"/>
          </w:tcPr>
          <w:p w:rsidR="009522DF" w:rsidRPr="004A4EC1" w:rsidRDefault="009522DF" w:rsidP="004A4EC1">
            <w:pPr>
              <w:jc w:val="center"/>
              <w:rPr>
                <w:sz w:val="20"/>
                <w:szCs w:val="18"/>
                <w:lang w:val="lt-LT"/>
              </w:rPr>
            </w:pPr>
          </w:p>
        </w:tc>
        <w:tc>
          <w:tcPr>
            <w:tcW w:w="2159" w:type="dxa"/>
            <w:vAlign w:val="center"/>
          </w:tcPr>
          <w:p w:rsidR="009522DF" w:rsidRPr="004A4EC1" w:rsidRDefault="009522DF" w:rsidP="004A4EC1">
            <w:pPr>
              <w:jc w:val="center"/>
              <w:rPr>
                <w:sz w:val="20"/>
                <w:szCs w:val="18"/>
                <w:lang w:val="lt-LT"/>
              </w:rPr>
            </w:pPr>
          </w:p>
        </w:tc>
        <w:tc>
          <w:tcPr>
            <w:tcW w:w="1272" w:type="dxa"/>
            <w:vAlign w:val="center"/>
          </w:tcPr>
          <w:p w:rsidR="009522DF" w:rsidRPr="004A4EC1" w:rsidRDefault="00021799" w:rsidP="004A4EC1">
            <w:pPr>
              <w:jc w:val="center"/>
              <w:rPr>
                <w:sz w:val="20"/>
                <w:szCs w:val="18"/>
                <w:lang w:val="lt-LT"/>
              </w:rPr>
            </w:pPr>
            <w:r w:rsidRPr="004A4EC1">
              <w:rPr>
                <w:sz w:val="20"/>
                <w:szCs w:val="18"/>
                <w:lang w:val="lt-LT"/>
              </w:rPr>
              <w:t>1,34</w:t>
            </w:r>
          </w:p>
        </w:tc>
        <w:tc>
          <w:tcPr>
            <w:tcW w:w="1135" w:type="dxa"/>
            <w:vAlign w:val="center"/>
          </w:tcPr>
          <w:p w:rsidR="009522DF" w:rsidRPr="004A4EC1" w:rsidRDefault="00021799" w:rsidP="004A4EC1">
            <w:pPr>
              <w:jc w:val="center"/>
              <w:rPr>
                <w:sz w:val="20"/>
                <w:szCs w:val="18"/>
                <w:lang w:val="lt-LT"/>
              </w:rPr>
            </w:pPr>
            <w:r w:rsidRPr="004A4EC1">
              <w:rPr>
                <w:sz w:val="20"/>
                <w:szCs w:val="18"/>
                <w:lang w:val="lt-LT"/>
              </w:rPr>
              <w:t>45227</w:t>
            </w:r>
          </w:p>
        </w:tc>
      </w:tr>
      <w:tr w:rsidR="00C13F18" w:rsidRPr="004A4EC1" w:rsidTr="00C96EB3">
        <w:trPr>
          <w:jc w:val="center"/>
        </w:trPr>
        <w:tc>
          <w:tcPr>
            <w:tcW w:w="1668" w:type="dxa"/>
            <w:vAlign w:val="center"/>
          </w:tcPr>
          <w:p w:rsidR="009522DF" w:rsidRPr="004A4EC1" w:rsidRDefault="009522DF" w:rsidP="004A4EC1">
            <w:pPr>
              <w:jc w:val="center"/>
              <w:rPr>
                <w:b/>
                <w:sz w:val="20"/>
                <w:szCs w:val="18"/>
                <w:lang w:val="lt-LT"/>
              </w:rPr>
            </w:pPr>
            <w:r w:rsidRPr="004A4EC1">
              <w:rPr>
                <w:b/>
                <w:sz w:val="20"/>
                <w:szCs w:val="18"/>
                <w:lang w:val="lt-LT"/>
              </w:rPr>
              <w:t>Suomija</w:t>
            </w:r>
          </w:p>
        </w:tc>
        <w:tc>
          <w:tcPr>
            <w:tcW w:w="1559" w:type="dxa"/>
            <w:gridSpan w:val="2"/>
            <w:vAlign w:val="center"/>
          </w:tcPr>
          <w:p w:rsidR="009522DF" w:rsidRPr="004A4EC1" w:rsidRDefault="009522DF" w:rsidP="004A4EC1">
            <w:pPr>
              <w:jc w:val="center"/>
              <w:rPr>
                <w:sz w:val="20"/>
                <w:szCs w:val="18"/>
              </w:rPr>
            </w:pPr>
            <w:r w:rsidRPr="004A4EC1">
              <w:rPr>
                <w:sz w:val="20"/>
                <w:szCs w:val="18"/>
              </w:rPr>
              <w:t>336 savivaldybės</w:t>
            </w:r>
          </w:p>
        </w:tc>
        <w:tc>
          <w:tcPr>
            <w:tcW w:w="1805" w:type="dxa"/>
            <w:vAlign w:val="center"/>
          </w:tcPr>
          <w:p w:rsidR="009522DF" w:rsidRPr="004A4EC1" w:rsidRDefault="009522DF" w:rsidP="004A4EC1">
            <w:pPr>
              <w:jc w:val="center"/>
              <w:rPr>
                <w:sz w:val="20"/>
                <w:szCs w:val="18"/>
                <w:lang w:val="lt-LT"/>
              </w:rPr>
            </w:pPr>
            <w:r w:rsidRPr="004A4EC1">
              <w:rPr>
                <w:sz w:val="20"/>
                <w:szCs w:val="18"/>
                <w:lang w:val="lt-LT"/>
              </w:rPr>
              <w:t>2 regionai (Kainuu ir Aland)</w:t>
            </w:r>
          </w:p>
        </w:tc>
        <w:tc>
          <w:tcPr>
            <w:tcW w:w="2159" w:type="dxa"/>
            <w:vAlign w:val="center"/>
          </w:tcPr>
          <w:p w:rsidR="009522DF" w:rsidRPr="004A4EC1" w:rsidRDefault="009522DF" w:rsidP="004A4EC1">
            <w:pPr>
              <w:jc w:val="center"/>
              <w:rPr>
                <w:sz w:val="20"/>
                <w:szCs w:val="18"/>
                <w:lang w:val="lt-LT"/>
              </w:rPr>
            </w:pPr>
          </w:p>
        </w:tc>
        <w:tc>
          <w:tcPr>
            <w:tcW w:w="1272" w:type="dxa"/>
            <w:vAlign w:val="center"/>
          </w:tcPr>
          <w:p w:rsidR="009522DF" w:rsidRPr="004A4EC1" w:rsidRDefault="00021799" w:rsidP="004A4EC1">
            <w:pPr>
              <w:jc w:val="center"/>
              <w:rPr>
                <w:sz w:val="20"/>
                <w:szCs w:val="18"/>
                <w:lang w:val="lt-LT"/>
              </w:rPr>
            </w:pPr>
            <w:r w:rsidRPr="004A4EC1">
              <w:rPr>
                <w:sz w:val="20"/>
                <w:szCs w:val="18"/>
                <w:lang w:val="lt-LT"/>
              </w:rPr>
              <w:t>5,37</w:t>
            </w:r>
          </w:p>
        </w:tc>
        <w:tc>
          <w:tcPr>
            <w:tcW w:w="1135" w:type="dxa"/>
            <w:vAlign w:val="center"/>
          </w:tcPr>
          <w:p w:rsidR="009522DF" w:rsidRPr="004A4EC1" w:rsidRDefault="00021799" w:rsidP="004A4EC1">
            <w:pPr>
              <w:jc w:val="center"/>
              <w:rPr>
                <w:sz w:val="20"/>
                <w:szCs w:val="18"/>
                <w:lang w:val="lt-LT"/>
              </w:rPr>
            </w:pPr>
            <w:r w:rsidRPr="004A4EC1">
              <w:rPr>
                <w:sz w:val="20"/>
                <w:szCs w:val="18"/>
                <w:lang w:val="lt-LT"/>
              </w:rPr>
              <w:t>338145</w:t>
            </w:r>
          </w:p>
        </w:tc>
      </w:tr>
      <w:tr w:rsidR="00C13F18" w:rsidRPr="004A4EC1" w:rsidTr="00C96EB3">
        <w:trPr>
          <w:jc w:val="center"/>
        </w:trPr>
        <w:tc>
          <w:tcPr>
            <w:tcW w:w="1668" w:type="dxa"/>
            <w:vAlign w:val="center"/>
          </w:tcPr>
          <w:p w:rsidR="009522DF" w:rsidRPr="004A4EC1" w:rsidRDefault="009522DF" w:rsidP="004A4EC1">
            <w:pPr>
              <w:jc w:val="center"/>
              <w:rPr>
                <w:b/>
                <w:sz w:val="20"/>
                <w:szCs w:val="18"/>
                <w:lang w:val="lt-LT"/>
              </w:rPr>
            </w:pPr>
            <w:r w:rsidRPr="004A4EC1">
              <w:rPr>
                <w:b/>
                <w:sz w:val="20"/>
                <w:szCs w:val="18"/>
                <w:lang w:val="lt-LT"/>
              </w:rPr>
              <w:t>Airija</w:t>
            </w:r>
          </w:p>
        </w:tc>
        <w:tc>
          <w:tcPr>
            <w:tcW w:w="1559" w:type="dxa"/>
            <w:gridSpan w:val="2"/>
            <w:vAlign w:val="center"/>
          </w:tcPr>
          <w:p w:rsidR="009522DF" w:rsidRPr="004A4EC1" w:rsidRDefault="009522DF" w:rsidP="004A4EC1">
            <w:pPr>
              <w:jc w:val="center"/>
              <w:rPr>
                <w:sz w:val="20"/>
                <w:szCs w:val="18"/>
              </w:rPr>
            </w:pPr>
            <w:r w:rsidRPr="004A4EC1">
              <w:rPr>
                <w:sz w:val="20"/>
                <w:szCs w:val="18"/>
              </w:rPr>
              <w:t>114 vietos tarybų</w:t>
            </w:r>
          </w:p>
        </w:tc>
        <w:tc>
          <w:tcPr>
            <w:tcW w:w="1805" w:type="dxa"/>
            <w:vAlign w:val="center"/>
          </w:tcPr>
          <w:p w:rsidR="009522DF" w:rsidRPr="004A4EC1" w:rsidRDefault="009522DF" w:rsidP="004A4EC1">
            <w:pPr>
              <w:jc w:val="center"/>
              <w:rPr>
                <w:sz w:val="20"/>
                <w:szCs w:val="18"/>
                <w:lang w:val="lt-LT"/>
              </w:rPr>
            </w:pPr>
          </w:p>
        </w:tc>
        <w:tc>
          <w:tcPr>
            <w:tcW w:w="2159" w:type="dxa"/>
            <w:vAlign w:val="center"/>
          </w:tcPr>
          <w:p w:rsidR="009522DF" w:rsidRPr="004A4EC1" w:rsidRDefault="009522DF" w:rsidP="004A4EC1">
            <w:pPr>
              <w:jc w:val="center"/>
              <w:rPr>
                <w:sz w:val="20"/>
                <w:szCs w:val="18"/>
                <w:lang w:val="lt-LT"/>
              </w:rPr>
            </w:pPr>
          </w:p>
        </w:tc>
        <w:tc>
          <w:tcPr>
            <w:tcW w:w="1272" w:type="dxa"/>
            <w:vAlign w:val="center"/>
          </w:tcPr>
          <w:p w:rsidR="009522DF" w:rsidRPr="004A4EC1" w:rsidRDefault="00021799" w:rsidP="004A4EC1">
            <w:pPr>
              <w:jc w:val="center"/>
              <w:rPr>
                <w:sz w:val="20"/>
                <w:szCs w:val="18"/>
                <w:lang w:val="lt-LT"/>
              </w:rPr>
            </w:pPr>
            <w:r w:rsidRPr="004A4EC1">
              <w:rPr>
                <w:sz w:val="20"/>
                <w:szCs w:val="18"/>
                <w:lang w:val="lt-LT"/>
              </w:rPr>
              <w:t>4,57</w:t>
            </w:r>
          </w:p>
        </w:tc>
        <w:tc>
          <w:tcPr>
            <w:tcW w:w="1135" w:type="dxa"/>
            <w:vAlign w:val="center"/>
          </w:tcPr>
          <w:p w:rsidR="009522DF" w:rsidRPr="004A4EC1" w:rsidRDefault="00021799" w:rsidP="004A4EC1">
            <w:pPr>
              <w:jc w:val="center"/>
              <w:rPr>
                <w:sz w:val="20"/>
                <w:szCs w:val="18"/>
                <w:lang w:val="lt-LT"/>
              </w:rPr>
            </w:pPr>
            <w:r w:rsidRPr="004A4EC1">
              <w:rPr>
                <w:sz w:val="20"/>
                <w:szCs w:val="18"/>
                <w:lang w:val="lt-LT"/>
              </w:rPr>
              <w:t>69797</w:t>
            </w:r>
          </w:p>
        </w:tc>
      </w:tr>
      <w:tr w:rsidR="00C13F18" w:rsidRPr="004A4EC1" w:rsidTr="00C96EB3">
        <w:trPr>
          <w:jc w:val="center"/>
        </w:trPr>
        <w:tc>
          <w:tcPr>
            <w:tcW w:w="1668" w:type="dxa"/>
            <w:vAlign w:val="center"/>
          </w:tcPr>
          <w:p w:rsidR="009522DF" w:rsidRPr="004A4EC1" w:rsidRDefault="009522DF" w:rsidP="004A4EC1">
            <w:pPr>
              <w:jc w:val="center"/>
              <w:rPr>
                <w:b/>
                <w:sz w:val="20"/>
                <w:szCs w:val="18"/>
                <w:lang w:val="lt-LT"/>
              </w:rPr>
            </w:pPr>
            <w:r w:rsidRPr="004A4EC1">
              <w:rPr>
                <w:b/>
                <w:sz w:val="20"/>
                <w:szCs w:val="18"/>
                <w:lang w:val="lt-LT"/>
              </w:rPr>
              <w:t>Latvija</w:t>
            </w:r>
          </w:p>
        </w:tc>
        <w:tc>
          <w:tcPr>
            <w:tcW w:w="1559" w:type="dxa"/>
            <w:gridSpan w:val="2"/>
            <w:vAlign w:val="center"/>
          </w:tcPr>
          <w:p w:rsidR="009522DF" w:rsidRPr="004A4EC1" w:rsidRDefault="009522DF" w:rsidP="004A4EC1">
            <w:pPr>
              <w:jc w:val="center"/>
              <w:rPr>
                <w:sz w:val="20"/>
                <w:szCs w:val="18"/>
              </w:rPr>
            </w:pPr>
            <w:r w:rsidRPr="004A4EC1">
              <w:rPr>
                <w:sz w:val="20"/>
                <w:szCs w:val="18"/>
              </w:rPr>
              <w:t>119 savivaldybės</w:t>
            </w:r>
          </w:p>
        </w:tc>
        <w:tc>
          <w:tcPr>
            <w:tcW w:w="1805" w:type="dxa"/>
            <w:vAlign w:val="center"/>
          </w:tcPr>
          <w:p w:rsidR="009522DF" w:rsidRPr="004A4EC1" w:rsidRDefault="009522DF" w:rsidP="004A4EC1">
            <w:pPr>
              <w:jc w:val="center"/>
              <w:rPr>
                <w:sz w:val="20"/>
                <w:szCs w:val="18"/>
                <w:lang w:val="lt-LT"/>
              </w:rPr>
            </w:pPr>
          </w:p>
        </w:tc>
        <w:tc>
          <w:tcPr>
            <w:tcW w:w="2159" w:type="dxa"/>
            <w:vAlign w:val="center"/>
          </w:tcPr>
          <w:p w:rsidR="009522DF" w:rsidRPr="004A4EC1" w:rsidRDefault="009522DF" w:rsidP="004A4EC1">
            <w:pPr>
              <w:jc w:val="center"/>
              <w:rPr>
                <w:sz w:val="20"/>
                <w:szCs w:val="18"/>
                <w:lang w:val="lt-LT"/>
              </w:rPr>
            </w:pPr>
          </w:p>
        </w:tc>
        <w:tc>
          <w:tcPr>
            <w:tcW w:w="1272" w:type="dxa"/>
            <w:vAlign w:val="center"/>
          </w:tcPr>
          <w:p w:rsidR="009522DF" w:rsidRPr="004A4EC1" w:rsidRDefault="00021799" w:rsidP="004A4EC1">
            <w:pPr>
              <w:jc w:val="center"/>
              <w:rPr>
                <w:sz w:val="20"/>
                <w:szCs w:val="18"/>
                <w:lang w:val="lt-LT"/>
              </w:rPr>
            </w:pPr>
            <w:r w:rsidRPr="004A4EC1">
              <w:rPr>
                <w:sz w:val="20"/>
                <w:szCs w:val="18"/>
                <w:lang w:val="lt-LT"/>
              </w:rPr>
              <w:t>2,07</w:t>
            </w:r>
          </w:p>
        </w:tc>
        <w:tc>
          <w:tcPr>
            <w:tcW w:w="1135" w:type="dxa"/>
            <w:vAlign w:val="center"/>
          </w:tcPr>
          <w:p w:rsidR="009522DF" w:rsidRPr="004A4EC1" w:rsidRDefault="00021799" w:rsidP="004A4EC1">
            <w:pPr>
              <w:jc w:val="center"/>
              <w:rPr>
                <w:sz w:val="20"/>
                <w:szCs w:val="18"/>
                <w:lang w:val="lt-LT"/>
              </w:rPr>
            </w:pPr>
            <w:r w:rsidRPr="004A4EC1">
              <w:rPr>
                <w:sz w:val="20"/>
                <w:szCs w:val="18"/>
                <w:lang w:val="lt-LT"/>
              </w:rPr>
              <w:t>64589</w:t>
            </w:r>
          </w:p>
        </w:tc>
      </w:tr>
      <w:tr w:rsidR="00C13F18" w:rsidRPr="004A4EC1" w:rsidTr="00C96EB3">
        <w:trPr>
          <w:jc w:val="center"/>
        </w:trPr>
        <w:tc>
          <w:tcPr>
            <w:tcW w:w="1668" w:type="dxa"/>
            <w:vAlign w:val="center"/>
          </w:tcPr>
          <w:p w:rsidR="009522DF" w:rsidRPr="004A4EC1" w:rsidRDefault="009522DF" w:rsidP="004A4EC1">
            <w:pPr>
              <w:jc w:val="center"/>
              <w:rPr>
                <w:b/>
                <w:sz w:val="20"/>
                <w:szCs w:val="18"/>
                <w:lang w:val="lt-LT"/>
              </w:rPr>
            </w:pPr>
            <w:r w:rsidRPr="004A4EC1">
              <w:rPr>
                <w:b/>
                <w:sz w:val="20"/>
                <w:szCs w:val="18"/>
                <w:lang w:val="lt-LT"/>
              </w:rPr>
              <w:t>Lietuva</w:t>
            </w:r>
          </w:p>
        </w:tc>
        <w:tc>
          <w:tcPr>
            <w:tcW w:w="1559" w:type="dxa"/>
            <w:gridSpan w:val="2"/>
            <w:vAlign w:val="center"/>
          </w:tcPr>
          <w:p w:rsidR="009522DF" w:rsidRPr="004A4EC1" w:rsidRDefault="009522DF" w:rsidP="004A4EC1">
            <w:pPr>
              <w:jc w:val="center"/>
              <w:rPr>
                <w:sz w:val="20"/>
                <w:szCs w:val="18"/>
              </w:rPr>
            </w:pPr>
            <w:r w:rsidRPr="004A4EC1">
              <w:rPr>
                <w:sz w:val="20"/>
                <w:szCs w:val="18"/>
              </w:rPr>
              <w:t>60 savivaldybių</w:t>
            </w:r>
          </w:p>
        </w:tc>
        <w:tc>
          <w:tcPr>
            <w:tcW w:w="1805" w:type="dxa"/>
            <w:vAlign w:val="center"/>
          </w:tcPr>
          <w:p w:rsidR="009522DF" w:rsidRPr="004A4EC1" w:rsidRDefault="009522DF" w:rsidP="004A4EC1">
            <w:pPr>
              <w:jc w:val="center"/>
              <w:rPr>
                <w:sz w:val="20"/>
                <w:szCs w:val="18"/>
                <w:lang w:val="lt-LT"/>
              </w:rPr>
            </w:pPr>
          </w:p>
        </w:tc>
        <w:tc>
          <w:tcPr>
            <w:tcW w:w="2159" w:type="dxa"/>
            <w:vAlign w:val="center"/>
          </w:tcPr>
          <w:p w:rsidR="009522DF" w:rsidRPr="004A4EC1" w:rsidRDefault="009522DF" w:rsidP="004A4EC1">
            <w:pPr>
              <w:jc w:val="center"/>
              <w:rPr>
                <w:sz w:val="20"/>
                <w:szCs w:val="18"/>
                <w:lang w:val="lt-LT"/>
              </w:rPr>
            </w:pPr>
          </w:p>
        </w:tc>
        <w:tc>
          <w:tcPr>
            <w:tcW w:w="1272" w:type="dxa"/>
            <w:vAlign w:val="center"/>
          </w:tcPr>
          <w:p w:rsidR="009522DF" w:rsidRPr="004A4EC1" w:rsidRDefault="00021799" w:rsidP="004A4EC1">
            <w:pPr>
              <w:jc w:val="center"/>
              <w:rPr>
                <w:sz w:val="20"/>
                <w:szCs w:val="18"/>
                <w:lang w:val="lt-LT"/>
              </w:rPr>
            </w:pPr>
            <w:r w:rsidRPr="004A4EC1">
              <w:rPr>
                <w:sz w:val="20"/>
                <w:szCs w:val="18"/>
                <w:lang w:val="lt-LT"/>
              </w:rPr>
              <w:t>3,05</w:t>
            </w:r>
          </w:p>
        </w:tc>
        <w:tc>
          <w:tcPr>
            <w:tcW w:w="1135" w:type="dxa"/>
            <w:vAlign w:val="center"/>
          </w:tcPr>
          <w:p w:rsidR="009522DF" w:rsidRPr="004A4EC1" w:rsidRDefault="00021799" w:rsidP="004A4EC1">
            <w:pPr>
              <w:jc w:val="center"/>
              <w:rPr>
                <w:sz w:val="20"/>
                <w:szCs w:val="18"/>
                <w:lang w:val="lt-LT"/>
              </w:rPr>
            </w:pPr>
            <w:r w:rsidRPr="004A4EC1">
              <w:rPr>
                <w:sz w:val="20"/>
                <w:szCs w:val="18"/>
                <w:lang w:val="lt-LT"/>
              </w:rPr>
              <w:t>65300</w:t>
            </w:r>
          </w:p>
        </w:tc>
      </w:tr>
      <w:tr w:rsidR="00C13F18" w:rsidRPr="004A4EC1" w:rsidTr="00C96EB3">
        <w:trPr>
          <w:jc w:val="center"/>
        </w:trPr>
        <w:tc>
          <w:tcPr>
            <w:tcW w:w="1668" w:type="dxa"/>
            <w:vAlign w:val="center"/>
          </w:tcPr>
          <w:p w:rsidR="009522DF" w:rsidRPr="004A4EC1" w:rsidRDefault="009522DF" w:rsidP="004A4EC1">
            <w:pPr>
              <w:jc w:val="center"/>
              <w:rPr>
                <w:b/>
                <w:sz w:val="20"/>
                <w:szCs w:val="18"/>
                <w:lang w:val="lt-LT"/>
              </w:rPr>
            </w:pPr>
            <w:r w:rsidRPr="004A4EC1">
              <w:rPr>
                <w:b/>
                <w:sz w:val="20"/>
                <w:szCs w:val="18"/>
                <w:lang w:val="lt-LT"/>
              </w:rPr>
              <w:t>Liuksemburgas</w:t>
            </w:r>
          </w:p>
        </w:tc>
        <w:tc>
          <w:tcPr>
            <w:tcW w:w="1559" w:type="dxa"/>
            <w:gridSpan w:val="2"/>
            <w:vAlign w:val="center"/>
          </w:tcPr>
          <w:p w:rsidR="009522DF" w:rsidRPr="004A4EC1" w:rsidRDefault="009522DF" w:rsidP="004A4EC1">
            <w:pPr>
              <w:jc w:val="center"/>
              <w:rPr>
                <w:sz w:val="20"/>
                <w:szCs w:val="18"/>
              </w:rPr>
            </w:pPr>
            <w:r w:rsidRPr="004A4EC1">
              <w:rPr>
                <w:sz w:val="20"/>
                <w:szCs w:val="18"/>
              </w:rPr>
              <w:t>106 savivaldybės</w:t>
            </w:r>
          </w:p>
        </w:tc>
        <w:tc>
          <w:tcPr>
            <w:tcW w:w="1805" w:type="dxa"/>
            <w:vAlign w:val="center"/>
          </w:tcPr>
          <w:p w:rsidR="009522DF" w:rsidRPr="004A4EC1" w:rsidRDefault="009522DF" w:rsidP="004A4EC1">
            <w:pPr>
              <w:jc w:val="center"/>
              <w:rPr>
                <w:sz w:val="20"/>
                <w:szCs w:val="18"/>
                <w:lang w:val="lt-LT"/>
              </w:rPr>
            </w:pPr>
          </w:p>
        </w:tc>
        <w:tc>
          <w:tcPr>
            <w:tcW w:w="2159" w:type="dxa"/>
            <w:vAlign w:val="center"/>
          </w:tcPr>
          <w:p w:rsidR="009522DF" w:rsidRPr="004A4EC1" w:rsidRDefault="009522DF" w:rsidP="004A4EC1">
            <w:pPr>
              <w:jc w:val="center"/>
              <w:rPr>
                <w:sz w:val="20"/>
                <w:szCs w:val="18"/>
                <w:lang w:val="lt-LT"/>
              </w:rPr>
            </w:pPr>
          </w:p>
        </w:tc>
        <w:tc>
          <w:tcPr>
            <w:tcW w:w="1272" w:type="dxa"/>
            <w:vAlign w:val="center"/>
          </w:tcPr>
          <w:p w:rsidR="009522DF" w:rsidRPr="004A4EC1" w:rsidRDefault="00021799" w:rsidP="004A4EC1">
            <w:pPr>
              <w:jc w:val="center"/>
              <w:rPr>
                <w:sz w:val="20"/>
                <w:szCs w:val="18"/>
                <w:lang w:val="lt-LT"/>
              </w:rPr>
            </w:pPr>
            <w:r w:rsidRPr="004A4EC1">
              <w:rPr>
                <w:sz w:val="20"/>
                <w:szCs w:val="18"/>
                <w:lang w:val="lt-LT"/>
              </w:rPr>
              <w:t>0,51</w:t>
            </w:r>
          </w:p>
        </w:tc>
        <w:tc>
          <w:tcPr>
            <w:tcW w:w="1135" w:type="dxa"/>
            <w:vAlign w:val="center"/>
          </w:tcPr>
          <w:p w:rsidR="009522DF" w:rsidRPr="004A4EC1" w:rsidRDefault="00021799" w:rsidP="004A4EC1">
            <w:pPr>
              <w:jc w:val="center"/>
              <w:rPr>
                <w:sz w:val="20"/>
                <w:szCs w:val="18"/>
                <w:lang w:val="lt-LT"/>
              </w:rPr>
            </w:pPr>
            <w:r w:rsidRPr="004A4EC1">
              <w:rPr>
                <w:sz w:val="20"/>
                <w:szCs w:val="18"/>
                <w:lang w:val="lt-LT"/>
              </w:rPr>
              <w:t>2586</w:t>
            </w:r>
          </w:p>
        </w:tc>
      </w:tr>
      <w:tr w:rsidR="00C13F18" w:rsidRPr="004A4EC1" w:rsidTr="00C96EB3">
        <w:trPr>
          <w:jc w:val="center"/>
        </w:trPr>
        <w:tc>
          <w:tcPr>
            <w:tcW w:w="1668" w:type="dxa"/>
            <w:vAlign w:val="center"/>
          </w:tcPr>
          <w:p w:rsidR="009522DF" w:rsidRPr="004A4EC1" w:rsidRDefault="009522DF" w:rsidP="004A4EC1">
            <w:pPr>
              <w:jc w:val="center"/>
              <w:rPr>
                <w:b/>
                <w:sz w:val="20"/>
                <w:szCs w:val="18"/>
                <w:lang w:val="lt-LT"/>
              </w:rPr>
            </w:pPr>
            <w:r w:rsidRPr="004A4EC1">
              <w:rPr>
                <w:b/>
                <w:sz w:val="20"/>
                <w:szCs w:val="18"/>
                <w:lang w:val="lt-LT"/>
              </w:rPr>
              <w:t>Malta</w:t>
            </w:r>
          </w:p>
        </w:tc>
        <w:tc>
          <w:tcPr>
            <w:tcW w:w="1559" w:type="dxa"/>
            <w:gridSpan w:val="2"/>
            <w:vAlign w:val="center"/>
          </w:tcPr>
          <w:p w:rsidR="009522DF" w:rsidRPr="004A4EC1" w:rsidRDefault="009522DF" w:rsidP="004A4EC1">
            <w:pPr>
              <w:jc w:val="center"/>
              <w:rPr>
                <w:sz w:val="20"/>
                <w:szCs w:val="18"/>
                <w:lang w:val="lt-LT"/>
              </w:rPr>
            </w:pPr>
            <w:r w:rsidRPr="004A4EC1">
              <w:rPr>
                <w:sz w:val="20"/>
                <w:szCs w:val="18"/>
                <w:lang w:val="lt-LT"/>
              </w:rPr>
              <w:t>68 vietos tarybų</w:t>
            </w:r>
          </w:p>
        </w:tc>
        <w:tc>
          <w:tcPr>
            <w:tcW w:w="1805" w:type="dxa"/>
            <w:vAlign w:val="center"/>
          </w:tcPr>
          <w:p w:rsidR="009522DF" w:rsidRPr="004A4EC1" w:rsidRDefault="009522DF" w:rsidP="004A4EC1">
            <w:pPr>
              <w:jc w:val="center"/>
              <w:rPr>
                <w:sz w:val="20"/>
                <w:szCs w:val="18"/>
                <w:lang w:val="lt-LT"/>
              </w:rPr>
            </w:pPr>
          </w:p>
        </w:tc>
        <w:tc>
          <w:tcPr>
            <w:tcW w:w="2159" w:type="dxa"/>
            <w:vAlign w:val="center"/>
          </w:tcPr>
          <w:p w:rsidR="009522DF" w:rsidRPr="004A4EC1" w:rsidRDefault="009522DF" w:rsidP="004A4EC1">
            <w:pPr>
              <w:jc w:val="center"/>
              <w:rPr>
                <w:sz w:val="20"/>
                <w:szCs w:val="18"/>
                <w:lang w:val="lt-LT"/>
              </w:rPr>
            </w:pPr>
          </w:p>
        </w:tc>
        <w:tc>
          <w:tcPr>
            <w:tcW w:w="1272" w:type="dxa"/>
            <w:vAlign w:val="center"/>
          </w:tcPr>
          <w:p w:rsidR="009522DF" w:rsidRPr="004A4EC1" w:rsidRDefault="00021799" w:rsidP="004A4EC1">
            <w:pPr>
              <w:jc w:val="center"/>
              <w:rPr>
                <w:sz w:val="20"/>
                <w:szCs w:val="18"/>
                <w:lang w:val="lt-LT"/>
              </w:rPr>
            </w:pPr>
            <w:r w:rsidRPr="004A4EC1">
              <w:rPr>
                <w:sz w:val="20"/>
                <w:szCs w:val="18"/>
                <w:lang w:val="lt-LT"/>
              </w:rPr>
              <w:t>0,42</w:t>
            </w:r>
          </w:p>
        </w:tc>
        <w:tc>
          <w:tcPr>
            <w:tcW w:w="1135" w:type="dxa"/>
            <w:vAlign w:val="center"/>
          </w:tcPr>
          <w:p w:rsidR="009522DF" w:rsidRPr="004A4EC1" w:rsidRDefault="00021799" w:rsidP="004A4EC1">
            <w:pPr>
              <w:jc w:val="center"/>
              <w:rPr>
                <w:sz w:val="20"/>
                <w:szCs w:val="18"/>
                <w:lang w:val="lt-LT"/>
              </w:rPr>
            </w:pPr>
            <w:r w:rsidRPr="004A4EC1">
              <w:rPr>
                <w:sz w:val="20"/>
                <w:szCs w:val="18"/>
                <w:lang w:val="lt-LT"/>
              </w:rPr>
              <w:t>316</w:t>
            </w:r>
          </w:p>
        </w:tc>
      </w:tr>
      <w:tr w:rsidR="00C13F18" w:rsidRPr="004A4EC1" w:rsidTr="00C96EB3">
        <w:trPr>
          <w:jc w:val="center"/>
        </w:trPr>
        <w:tc>
          <w:tcPr>
            <w:tcW w:w="1668" w:type="dxa"/>
            <w:vAlign w:val="center"/>
          </w:tcPr>
          <w:p w:rsidR="009522DF" w:rsidRPr="004A4EC1" w:rsidRDefault="009522DF" w:rsidP="004A4EC1">
            <w:pPr>
              <w:jc w:val="center"/>
              <w:rPr>
                <w:b/>
                <w:sz w:val="20"/>
                <w:szCs w:val="18"/>
                <w:lang w:val="lt-LT"/>
              </w:rPr>
            </w:pPr>
            <w:r w:rsidRPr="004A4EC1">
              <w:rPr>
                <w:b/>
                <w:sz w:val="20"/>
                <w:szCs w:val="18"/>
                <w:lang w:val="lt-LT"/>
              </w:rPr>
              <w:t>Portugalija</w:t>
            </w:r>
          </w:p>
        </w:tc>
        <w:tc>
          <w:tcPr>
            <w:tcW w:w="1559" w:type="dxa"/>
            <w:gridSpan w:val="2"/>
            <w:vAlign w:val="center"/>
          </w:tcPr>
          <w:p w:rsidR="009522DF" w:rsidRPr="004A4EC1" w:rsidRDefault="009522DF" w:rsidP="004A4EC1">
            <w:pPr>
              <w:jc w:val="center"/>
              <w:rPr>
                <w:sz w:val="20"/>
                <w:szCs w:val="18"/>
                <w:lang w:val="lt-LT"/>
              </w:rPr>
            </w:pPr>
            <w:r w:rsidRPr="004A4EC1">
              <w:rPr>
                <w:sz w:val="20"/>
                <w:szCs w:val="18"/>
                <w:lang w:val="lt-LT"/>
              </w:rPr>
              <w:t>308 savivaldybės</w:t>
            </w:r>
          </w:p>
        </w:tc>
        <w:tc>
          <w:tcPr>
            <w:tcW w:w="1805" w:type="dxa"/>
            <w:vAlign w:val="center"/>
          </w:tcPr>
          <w:p w:rsidR="009522DF" w:rsidRPr="004A4EC1" w:rsidRDefault="009522DF" w:rsidP="004A4EC1">
            <w:pPr>
              <w:jc w:val="center"/>
              <w:rPr>
                <w:sz w:val="20"/>
                <w:szCs w:val="18"/>
              </w:rPr>
            </w:pPr>
            <w:r w:rsidRPr="004A4EC1">
              <w:rPr>
                <w:sz w:val="20"/>
                <w:szCs w:val="18"/>
              </w:rPr>
              <w:t>2 autonominiai regionai (Madeira ir Azores)</w:t>
            </w:r>
          </w:p>
        </w:tc>
        <w:tc>
          <w:tcPr>
            <w:tcW w:w="2159" w:type="dxa"/>
            <w:vAlign w:val="center"/>
          </w:tcPr>
          <w:p w:rsidR="009522DF" w:rsidRPr="004A4EC1" w:rsidRDefault="009522DF" w:rsidP="004A4EC1">
            <w:pPr>
              <w:jc w:val="center"/>
              <w:rPr>
                <w:sz w:val="20"/>
                <w:szCs w:val="18"/>
                <w:lang w:val="lt-LT"/>
              </w:rPr>
            </w:pPr>
          </w:p>
        </w:tc>
        <w:tc>
          <w:tcPr>
            <w:tcW w:w="1272" w:type="dxa"/>
            <w:vAlign w:val="center"/>
          </w:tcPr>
          <w:p w:rsidR="009522DF" w:rsidRPr="004A4EC1" w:rsidRDefault="00021799" w:rsidP="004A4EC1">
            <w:pPr>
              <w:jc w:val="center"/>
              <w:rPr>
                <w:sz w:val="20"/>
                <w:szCs w:val="18"/>
                <w:lang w:val="lt-LT"/>
              </w:rPr>
            </w:pPr>
            <w:r w:rsidRPr="004A4EC1">
              <w:rPr>
                <w:sz w:val="20"/>
                <w:szCs w:val="18"/>
                <w:lang w:val="lt-LT"/>
              </w:rPr>
              <w:t>10,57</w:t>
            </w:r>
          </w:p>
        </w:tc>
        <w:tc>
          <w:tcPr>
            <w:tcW w:w="1135" w:type="dxa"/>
            <w:vAlign w:val="center"/>
          </w:tcPr>
          <w:p w:rsidR="009522DF" w:rsidRPr="004A4EC1" w:rsidRDefault="00021799" w:rsidP="004A4EC1">
            <w:pPr>
              <w:jc w:val="center"/>
              <w:rPr>
                <w:sz w:val="20"/>
                <w:szCs w:val="18"/>
                <w:lang w:val="lt-LT"/>
              </w:rPr>
            </w:pPr>
            <w:r w:rsidRPr="004A4EC1">
              <w:rPr>
                <w:sz w:val="20"/>
                <w:szCs w:val="18"/>
                <w:lang w:val="lt-LT"/>
              </w:rPr>
              <w:t>92152</w:t>
            </w:r>
          </w:p>
        </w:tc>
      </w:tr>
      <w:tr w:rsidR="00C13F18" w:rsidRPr="004A4EC1" w:rsidTr="00C96EB3">
        <w:trPr>
          <w:jc w:val="center"/>
        </w:trPr>
        <w:tc>
          <w:tcPr>
            <w:tcW w:w="1668" w:type="dxa"/>
            <w:vAlign w:val="center"/>
          </w:tcPr>
          <w:p w:rsidR="009522DF" w:rsidRPr="004A4EC1" w:rsidRDefault="009522DF" w:rsidP="004A4EC1">
            <w:pPr>
              <w:jc w:val="center"/>
              <w:rPr>
                <w:b/>
                <w:sz w:val="20"/>
                <w:szCs w:val="18"/>
                <w:lang w:val="lt-LT"/>
              </w:rPr>
            </w:pPr>
            <w:r w:rsidRPr="004A4EC1">
              <w:rPr>
                <w:b/>
                <w:sz w:val="20"/>
                <w:szCs w:val="18"/>
                <w:lang w:val="lt-LT"/>
              </w:rPr>
              <w:t>Slovėnija</w:t>
            </w:r>
          </w:p>
        </w:tc>
        <w:tc>
          <w:tcPr>
            <w:tcW w:w="1559" w:type="dxa"/>
            <w:gridSpan w:val="2"/>
            <w:vAlign w:val="center"/>
          </w:tcPr>
          <w:p w:rsidR="009522DF" w:rsidRPr="004A4EC1" w:rsidRDefault="009522DF" w:rsidP="004A4EC1">
            <w:pPr>
              <w:jc w:val="center"/>
              <w:rPr>
                <w:sz w:val="20"/>
                <w:szCs w:val="18"/>
                <w:lang w:val="lt-LT"/>
              </w:rPr>
            </w:pPr>
            <w:r w:rsidRPr="004A4EC1">
              <w:rPr>
                <w:sz w:val="20"/>
                <w:szCs w:val="18"/>
                <w:lang w:val="lt-LT"/>
              </w:rPr>
              <w:t>210 savivaldybių</w:t>
            </w:r>
          </w:p>
        </w:tc>
        <w:tc>
          <w:tcPr>
            <w:tcW w:w="1805" w:type="dxa"/>
            <w:vAlign w:val="center"/>
          </w:tcPr>
          <w:p w:rsidR="009522DF" w:rsidRPr="004A4EC1" w:rsidRDefault="009522DF" w:rsidP="004A4EC1">
            <w:pPr>
              <w:jc w:val="center"/>
              <w:rPr>
                <w:sz w:val="20"/>
                <w:szCs w:val="18"/>
                <w:lang w:val="lt-LT"/>
              </w:rPr>
            </w:pPr>
          </w:p>
        </w:tc>
        <w:tc>
          <w:tcPr>
            <w:tcW w:w="2159" w:type="dxa"/>
            <w:vAlign w:val="center"/>
          </w:tcPr>
          <w:p w:rsidR="009522DF" w:rsidRPr="004A4EC1" w:rsidRDefault="009522DF" w:rsidP="004A4EC1">
            <w:pPr>
              <w:jc w:val="center"/>
              <w:rPr>
                <w:sz w:val="20"/>
                <w:szCs w:val="18"/>
                <w:lang w:val="lt-LT"/>
              </w:rPr>
            </w:pPr>
          </w:p>
        </w:tc>
        <w:tc>
          <w:tcPr>
            <w:tcW w:w="1272" w:type="dxa"/>
            <w:vAlign w:val="center"/>
          </w:tcPr>
          <w:p w:rsidR="009522DF" w:rsidRPr="004A4EC1" w:rsidRDefault="00021799" w:rsidP="004A4EC1">
            <w:pPr>
              <w:jc w:val="center"/>
              <w:rPr>
                <w:sz w:val="20"/>
                <w:szCs w:val="18"/>
                <w:lang w:val="lt-LT"/>
              </w:rPr>
            </w:pPr>
            <w:r w:rsidRPr="004A4EC1">
              <w:rPr>
                <w:sz w:val="20"/>
                <w:szCs w:val="18"/>
                <w:lang w:val="lt-LT"/>
              </w:rPr>
              <w:t>2,05</w:t>
            </w:r>
          </w:p>
        </w:tc>
        <w:tc>
          <w:tcPr>
            <w:tcW w:w="1135" w:type="dxa"/>
            <w:vAlign w:val="center"/>
          </w:tcPr>
          <w:p w:rsidR="009522DF" w:rsidRPr="004A4EC1" w:rsidRDefault="00021799" w:rsidP="004A4EC1">
            <w:pPr>
              <w:jc w:val="center"/>
              <w:rPr>
                <w:sz w:val="20"/>
                <w:szCs w:val="18"/>
                <w:lang w:val="lt-LT"/>
              </w:rPr>
            </w:pPr>
            <w:r w:rsidRPr="004A4EC1">
              <w:rPr>
                <w:sz w:val="20"/>
                <w:szCs w:val="18"/>
                <w:lang w:val="lt-LT"/>
              </w:rPr>
              <w:t>20273</w:t>
            </w:r>
          </w:p>
        </w:tc>
      </w:tr>
      <w:tr w:rsidR="00C13F18" w:rsidRPr="004A4EC1" w:rsidTr="00C96EB3">
        <w:trPr>
          <w:jc w:val="center"/>
        </w:trPr>
        <w:tc>
          <w:tcPr>
            <w:tcW w:w="9598" w:type="dxa"/>
            <w:gridSpan w:val="7"/>
            <w:vAlign w:val="center"/>
          </w:tcPr>
          <w:p w:rsidR="00C13F18" w:rsidRPr="004A4EC1" w:rsidRDefault="00C13F18" w:rsidP="00C13F18">
            <w:pPr>
              <w:rPr>
                <w:sz w:val="20"/>
                <w:szCs w:val="18"/>
                <w:lang w:val="lt-LT"/>
              </w:rPr>
            </w:pPr>
            <w:r w:rsidRPr="004A4EC1">
              <w:rPr>
                <w:sz w:val="20"/>
                <w:szCs w:val="18"/>
                <w:lang w:val="lt-LT"/>
              </w:rPr>
              <w:t>Šalys, turinčios du subnacionalinius valdžios lygius</w:t>
            </w:r>
          </w:p>
        </w:tc>
      </w:tr>
      <w:tr w:rsidR="00C13F18" w:rsidRPr="004A4EC1" w:rsidTr="00C96EB3">
        <w:trPr>
          <w:jc w:val="center"/>
        </w:trPr>
        <w:tc>
          <w:tcPr>
            <w:tcW w:w="1730" w:type="dxa"/>
            <w:gridSpan w:val="2"/>
            <w:vAlign w:val="center"/>
          </w:tcPr>
          <w:p w:rsidR="009522DF" w:rsidRPr="004A4EC1" w:rsidRDefault="009522DF" w:rsidP="004A4EC1">
            <w:pPr>
              <w:jc w:val="center"/>
              <w:rPr>
                <w:b/>
                <w:sz w:val="20"/>
                <w:szCs w:val="18"/>
                <w:lang w:val="lt-LT"/>
              </w:rPr>
            </w:pPr>
            <w:r w:rsidRPr="004A4EC1">
              <w:rPr>
                <w:b/>
                <w:sz w:val="20"/>
                <w:szCs w:val="18"/>
                <w:lang w:val="lt-LT"/>
              </w:rPr>
              <w:t>Austrija</w:t>
            </w:r>
          </w:p>
        </w:tc>
        <w:tc>
          <w:tcPr>
            <w:tcW w:w="1497" w:type="dxa"/>
            <w:vAlign w:val="center"/>
          </w:tcPr>
          <w:p w:rsidR="009522DF" w:rsidRPr="004A4EC1" w:rsidRDefault="009522DF" w:rsidP="004A4EC1">
            <w:pPr>
              <w:jc w:val="center"/>
              <w:rPr>
                <w:sz w:val="20"/>
                <w:szCs w:val="18"/>
                <w:lang w:val="lt-LT"/>
              </w:rPr>
            </w:pPr>
            <w:r w:rsidRPr="004A4EC1">
              <w:rPr>
                <w:sz w:val="20"/>
                <w:szCs w:val="18"/>
              </w:rPr>
              <w:t xml:space="preserve">2357 </w:t>
            </w:r>
            <w:r w:rsidRPr="004A4EC1">
              <w:rPr>
                <w:sz w:val="20"/>
                <w:szCs w:val="18"/>
                <w:lang w:val="lt-LT"/>
              </w:rPr>
              <w:t>savivaldybės</w:t>
            </w:r>
          </w:p>
        </w:tc>
        <w:tc>
          <w:tcPr>
            <w:tcW w:w="1805" w:type="dxa"/>
            <w:vAlign w:val="center"/>
          </w:tcPr>
          <w:p w:rsidR="009522DF" w:rsidRPr="004A4EC1" w:rsidRDefault="009522DF" w:rsidP="004A4EC1">
            <w:pPr>
              <w:jc w:val="center"/>
              <w:rPr>
                <w:sz w:val="20"/>
                <w:szCs w:val="18"/>
              </w:rPr>
            </w:pPr>
            <w:r w:rsidRPr="004A4EC1">
              <w:rPr>
                <w:sz w:val="20"/>
                <w:szCs w:val="18"/>
              </w:rPr>
              <w:t>9 federalinės valstijos</w:t>
            </w:r>
          </w:p>
        </w:tc>
        <w:tc>
          <w:tcPr>
            <w:tcW w:w="2159" w:type="dxa"/>
            <w:vAlign w:val="center"/>
          </w:tcPr>
          <w:p w:rsidR="009522DF" w:rsidRPr="004A4EC1" w:rsidRDefault="009522DF" w:rsidP="004A4EC1">
            <w:pPr>
              <w:jc w:val="center"/>
              <w:rPr>
                <w:sz w:val="20"/>
                <w:szCs w:val="18"/>
                <w:lang w:val="lt-LT"/>
              </w:rPr>
            </w:pPr>
          </w:p>
        </w:tc>
        <w:tc>
          <w:tcPr>
            <w:tcW w:w="1272" w:type="dxa"/>
            <w:vAlign w:val="center"/>
          </w:tcPr>
          <w:p w:rsidR="009522DF" w:rsidRPr="004A4EC1" w:rsidRDefault="00021799" w:rsidP="004A4EC1">
            <w:pPr>
              <w:jc w:val="center"/>
              <w:rPr>
                <w:sz w:val="20"/>
                <w:szCs w:val="18"/>
                <w:lang w:val="lt-LT"/>
              </w:rPr>
            </w:pPr>
            <w:r w:rsidRPr="004A4EC1">
              <w:rPr>
                <w:sz w:val="20"/>
                <w:szCs w:val="18"/>
                <w:lang w:val="lt-LT"/>
              </w:rPr>
              <w:t>8,4</w:t>
            </w:r>
          </w:p>
        </w:tc>
        <w:tc>
          <w:tcPr>
            <w:tcW w:w="1135" w:type="dxa"/>
            <w:vAlign w:val="center"/>
          </w:tcPr>
          <w:p w:rsidR="009522DF" w:rsidRPr="004A4EC1" w:rsidRDefault="00021799" w:rsidP="004A4EC1">
            <w:pPr>
              <w:jc w:val="center"/>
              <w:rPr>
                <w:sz w:val="20"/>
                <w:szCs w:val="18"/>
                <w:lang w:val="lt-LT"/>
              </w:rPr>
            </w:pPr>
            <w:r w:rsidRPr="004A4EC1">
              <w:rPr>
                <w:sz w:val="20"/>
                <w:szCs w:val="18"/>
                <w:lang w:val="lt-LT"/>
              </w:rPr>
              <w:t>83871</w:t>
            </w:r>
          </w:p>
        </w:tc>
      </w:tr>
      <w:tr w:rsidR="00C13F18" w:rsidRPr="004A4EC1" w:rsidTr="00C96EB3">
        <w:trPr>
          <w:jc w:val="center"/>
        </w:trPr>
        <w:tc>
          <w:tcPr>
            <w:tcW w:w="1730" w:type="dxa"/>
            <w:gridSpan w:val="2"/>
            <w:vAlign w:val="center"/>
          </w:tcPr>
          <w:p w:rsidR="009522DF" w:rsidRPr="004A4EC1" w:rsidRDefault="009522DF" w:rsidP="004A4EC1">
            <w:pPr>
              <w:jc w:val="center"/>
              <w:rPr>
                <w:b/>
                <w:sz w:val="20"/>
                <w:szCs w:val="18"/>
                <w:lang w:val="lt-LT"/>
              </w:rPr>
            </w:pPr>
            <w:r w:rsidRPr="004A4EC1">
              <w:rPr>
                <w:b/>
                <w:sz w:val="20"/>
                <w:szCs w:val="18"/>
                <w:lang w:val="lt-LT"/>
              </w:rPr>
              <w:t>Čekija</w:t>
            </w:r>
          </w:p>
        </w:tc>
        <w:tc>
          <w:tcPr>
            <w:tcW w:w="1497" w:type="dxa"/>
            <w:vAlign w:val="center"/>
          </w:tcPr>
          <w:p w:rsidR="009522DF" w:rsidRPr="004A4EC1" w:rsidRDefault="009522DF" w:rsidP="004A4EC1">
            <w:pPr>
              <w:jc w:val="center"/>
              <w:rPr>
                <w:sz w:val="20"/>
                <w:szCs w:val="18"/>
              </w:rPr>
            </w:pPr>
            <w:r w:rsidRPr="004A4EC1">
              <w:rPr>
                <w:sz w:val="20"/>
                <w:szCs w:val="18"/>
              </w:rPr>
              <w:t>6249 savivaldybės</w:t>
            </w:r>
          </w:p>
        </w:tc>
        <w:tc>
          <w:tcPr>
            <w:tcW w:w="1805" w:type="dxa"/>
            <w:vAlign w:val="center"/>
          </w:tcPr>
          <w:p w:rsidR="009522DF" w:rsidRPr="004A4EC1" w:rsidRDefault="009522DF" w:rsidP="004A4EC1">
            <w:pPr>
              <w:jc w:val="center"/>
              <w:rPr>
                <w:sz w:val="20"/>
                <w:szCs w:val="18"/>
                <w:lang w:val="lt-LT"/>
              </w:rPr>
            </w:pPr>
            <w:r w:rsidRPr="004A4EC1">
              <w:rPr>
                <w:sz w:val="20"/>
                <w:szCs w:val="18"/>
                <w:lang w:val="lt-LT"/>
              </w:rPr>
              <w:t>14 regionų</w:t>
            </w:r>
          </w:p>
        </w:tc>
        <w:tc>
          <w:tcPr>
            <w:tcW w:w="2159" w:type="dxa"/>
            <w:vAlign w:val="center"/>
          </w:tcPr>
          <w:p w:rsidR="009522DF" w:rsidRPr="004A4EC1" w:rsidRDefault="009522DF" w:rsidP="004A4EC1">
            <w:pPr>
              <w:jc w:val="center"/>
              <w:rPr>
                <w:sz w:val="20"/>
                <w:szCs w:val="18"/>
                <w:lang w:val="lt-LT"/>
              </w:rPr>
            </w:pPr>
          </w:p>
        </w:tc>
        <w:tc>
          <w:tcPr>
            <w:tcW w:w="1272" w:type="dxa"/>
            <w:vAlign w:val="center"/>
          </w:tcPr>
          <w:p w:rsidR="009522DF" w:rsidRPr="004A4EC1" w:rsidRDefault="00021799" w:rsidP="004A4EC1">
            <w:pPr>
              <w:jc w:val="center"/>
              <w:rPr>
                <w:sz w:val="20"/>
                <w:szCs w:val="18"/>
                <w:lang w:val="lt-LT"/>
              </w:rPr>
            </w:pPr>
            <w:r w:rsidRPr="004A4EC1">
              <w:rPr>
                <w:sz w:val="20"/>
                <w:szCs w:val="18"/>
                <w:lang w:val="lt-LT"/>
              </w:rPr>
              <w:t>10,49</w:t>
            </w:r>
          </w:p>
        </w:tc>
        <w:tc>
          <w:tcPr>
            <w:tcW w:w="1135" w:type="dxa"/>
            <w:vAlign w:val="center"/>
          </w:tcPr>
          <w:p w:rsidR="009522DF" w:rsidRPr="004A4EC1" w:rsidRDefault="00021799" w:rsidP="004A4EC1">
            <w:pPr>
              <w:jc w:val="center"/>
              <w:rPr>
                <w:sz w:val="20"/>
                <w:szCs w:val="18"/>
                <w:lang w:val="lt-LT"/>
              </w:rPr>
            </w:pPr>
            <w:r w:rsidRPr="004A4EC1">
              <w:rPr>
                <w:sz w:val="20"/>
                <w:szCs w:val="18"/>
                <w:lang w:val="lt-LT"/>
              </w:rPr>
              <w:t>78868</w:t>
            </w:r>
          </w:p>
        </w:tc>
      </w:tr>
      <w:tr w:rsidR="00C13F18" w:rsidRPr="004A4EC1" w:rsidTr="00C96EB3">
        <w:trPr>
          <w:jc w:val="center"/>
        </w:trPr>
        <w:tc>
          <w:tcPr>
            <w:tcW w:w="1730" w:type="dxa"/>
            <w:gridSpan w:val="2"/>
            <w:vAlign w:val="center"/>
          </w:tcPr>
          <w:p w:rsidR="009522DF" w:rsidRPr="004A4EC1" w:rsidRDefault="009522DF" w:rsidP="004A4EC1">
            <w:pPr>
              <w:jc w:val="center"/>
              <w:rPr>
                <w:b/>
                <w:sz w:val="20"/>
                <w:szCs w:val="18"/>
                <w:lang w:val="lt-LT"/>
              </w:rPr>
            </w:pPr>
            <w:r w:rsidRPr="004A4EC1">
              <w:rPr>
                <w:b/>
                <w:sz w:val="20"/>
                <w:szCs w:val="18"/>
                <w:lang w:val="lt-LT"/>
              </w:rPr>
              <w:t>Danija</w:t>
            </w:r>
          </w:p>
        </w:tc>
        <w:tc>
          <w:tcPr>
            <w:tcW w:w="1497" w:type="dxa"/>
            <w:vAlign w:val="center"/>
          </w:tcPr>
          <w:p w:rsidR="009522DF" w:rsidRPr="004A4EC1" w:rsidRDefault="009522DF" w:rsidP="004A4EC1">
            <w:pPr>
              <w:jc w:val="center"/>
              <w:rPr>
                <w:sz w:val="20"/>
                <w:szCs w:val="18"/>
              </w:rPr>
            </w:pPr>
            <w:r w:rsidRPr="004A4EC1">
              <w:rPr>
                <w:sz w:val="20"/>
                <w:szCs w:val="18"/>
              </w:rPr>
              <w:t>98 savivaldybės</w:t>
            </w:r>
          </w:p>
        </w:tc>
        <w:tc>
          <w:tcPr>
            <w:tcW w:w="1805" w:type="dxa"/>
            <w:vAlign w:val="center"/>
          </w:tcPr>
          <w:p w:rsidR="009522DF" w:rsidRPr="004A4EC1" w:rsidRDefault="009522DF" w:rsidP="004A4EC1">
            <w:pPr>
              <w:jc w:val="center"/>
              <w:rPr>
                <w:sz w:val="20"/>
                <w:szCs w:val="18"/>
                <w:lang w:val="lt-LT"/>
              </w:rPr>
            </w:pPr>
            <w:r w:rsidRPr="004A4EC1">
              <w:rPr>
                <w:sz w:val="20"/>
                <w:szCs w:val="18"/>
                <w:lang w:val="lt-LT"/>
              </w:rPr>
              <w:t>5 regionai</w:t>
            </w:r>
          </w:p>
        </w:tc>
        <w:tc>
          <w:tcPr>
            <w:tcW w:w="2159" w:type="dxa"/>
            <w:vAlign w:val="center"/>
          </w:tcPr>
          <w:p w:rsidR="009522DF" w:rsidRPr="004A4EC1" w:rsidRDefault="009522DF" w:rsidP="004A4EC1">
            <w:pPr>
              <w:jc w:val="center"/>
              <w:rPr>
                <w:sz w:val="20"/>
                <w:szCs w:val="18"/>
                <w:lang w:val="lt-LT"/>
              </w:rPr>
            </w:pPr>
          </w:p>
        </w:tc>
        <w:tc>
          <w:tcPr>
            <w:tcW w:w="1272" w:type="dxa"/>
            <w:vAlign w:val="center"/>
          </w:tcPr>
          <w:p w:rsidR="009522DF" w:rsidRPr="004A4EC1" w:rsidRDefault="00021799" w:rsidP="004A4EC1">
            <w:pPr>
              <w:jc w:val="center"/>
              <w:rPr>
                <w:sz w:val="20"/>
                <w:szCs w:val="18"/>
                <w:lang w:val="lt-LT"/>
              </w:rPr>
            </w:pPr>
            <w:r w:rsidRPr="004A4EC1">
              <w:rPr>
                <w:sz w:val="20"/>
                <w:szCs w:val="18"/>
                <w:lang w:val="lt-LT"/>
              </w:rPr>
              <w:t>5,56</w:t>
            </w:r>
          </w:p>
        </w:tc>
        <w:tc>
          <w:tcPr>
            <w:tcW w:w="1135" w:type="dxa"/>
            <w:vAlign w:val="center"/>
          </w:tcPr>
          <w:p w:rsidR="009522DF" w:rsidRPr="004A4EC1" w:rsidRDefault="00021799" w:rsidP="004A4EC1">
            <w:pPr>
              <w:jc w:val="center"/>
              <w:rPr>
                <w:sz w:val="20"/>
                <w:szCs w:val="18"/>
                <w:lang w:val="lt-LT"/>
              </w:rPr>
            </w:pPr>
            <w:r w:rsidRPr="004A4EC1">
              <w:rPr>
                <w:sz w:val="20"/>
                <w:szCs w:val="18"/>
                <w:lang w:val="lt-LT"/>
              </w:rPr>
              <w:t>43</w:t>
            </w:r>
            <w:r w:rsidR="00237B6E" w:rsidRPr="004A4EC1">
              <w:rPr>
                <w:sz w:val="20"/>
                <w:szCs w:val="18"/>
                <w:lang w:val="lt-LT"/>
              </w:rPr>
              <w:t>098</w:t>
            </w:r>
          </w:p>
        </w:tc>
      </w:tr>
      <w:tr w:rsidR="00C13F18" w:rsidRPr="004A4EC1" w:rsidTr="00C96EB3">
        <w:trPr>
          <w:jc w:val="center"/>
        </w:trPr>
        <w:tc>
          <w:tcPr>
            <w:tcW w:w="1730" w:type="dxa"/>
            <w:gridSpan w:val="2"/>
            <w:vAlign w:val="center"/>
          </w:tcPr>
          <w:p w:rsidR="009522DF" w:rsidRPr="004A4EC1" w:rsidRDefault="009522DF" w:rsidP="004A4EC1">
            <w:pPr>
              <w:jc w:val="center"/>
              <w:rPr>
                <w:b/>
                <w:sz w:val="20"/>
                <w:szCs w:val="18"/>
                <w:lang w:val="lt-LT"/>
              </w:rPr>
            </w:pPr>
            <w:r w:rsidRPr="004A4EC1">
              <w:rPr>
                <w:b/>
                <w:sz w:val="20"/>
                <w:szCs w:val="18"/>
                <w:lang w:val="lt-LT"/>
              </w:rPr>
              <w:t>Graikija</w:t>
            </w:r>
          </w:p>
        </w:tc>
        <w:tc>
          <w:tcPr>
            <w:tcW w:w="1497" w:type="dxa"/>
            <w:vAlign w:val="center"/>
          </w:tcPr>
          <w:p w:rsidR="009522DF" w:rsidRPr="004A4EC1" w:rsidRDefault="009522DF" w:rsidP="004A4EC1">
            <w:pPr>
              <w:jc w:val="center"/>
              <w:rPr>
                <w:sz w:val="20"/>
                <w:szCs w:val="18"/>
              </w:rPr>
            </w:pPr>
            <w:r w:rsidRPr="004A4EC1">
              <w:rPr>
                <w:sz w:val="20"/>
                <w:szCs w:val="18"/>
              </w:rPr>
              <w:t>325 savivaldybės</w:t>
            </w:r>
          </w:p>
        </w:tc>
        <w:tc>
          <w:tcPr>
            <w:tcW w:w="1805" w:type="dxa"/>
            <w:vAlign w:val="center"/>
          </w:tcPr>
          <w:p w:rsidR="009522DF" w:rsidRPr="004A4EC1" w:rsidRDefault="009522DF" w:rsidP="004A4EC1">
            <w:pPr>
              <w:jc w:val="center"/>
              <w:rPr>
                <w:sz w:val="20"/>
                <w:szCs w:val="18"/>
                <w:lang w:val="lt-LT"/>
              </w:rPr>
            </w:pPr>
            <w:r w:rsidRPr="004A4EC1">
              <w:rPr>
                <w:sz w:val="20"/>
                <w:szCs w:val="18"/>
                <w:lang w:val="lt-LT"/>
              </w:rPr>
              <w:t>13 regionų</w:t>
            </w:r>
          </w:p>
        </w:tc>
        <w:tc>
          <w:tcPr>
            <w:tcW w:w="2159" w:type="dxa"/>
            <w:vAlign w:val="center"/>
          </w:tcPr>
          <w:p w:rsidR="009522DF" w:rsidRPr="004A4EC1" w:rsidRDefault="009522DF" w:rsidP="004A4EC1">
            <w:pPr>
              <w:jc w:val="center"/>
              <w:rPr>
                <w:sz w:val="20"/>
                <w:szCs w:val="18"/>
                <w:lang w:val="lt-LT"/>
              </w:rPr>
            </w:pPr>
          </w:p>
        </w:tc>
        <w:tc>
          <w:tcPr>
            <w:tcW w:w="1272" w:type="dxa"/>
            <w:vAlign w:val="center"/>
          </w:tcPr>
          <w:p w:rsidR="009522DF" w:rsidRPr="004A4EC1" w:rsidRDefault="00237B6E" w:rsidP="004A4EC1">
            <w:pPr>
              <w:jc w:val="center"/>
              <w:rPr>
                <w:sz w:val="20"/>
                <w:szCs w:val="18"/>
                <w:lang w:val="lt-LT"/>
              </w:rPr>
            </w:pPr>
            <w:r w:rsidRPr="004A4EC1">
              <w:rPr>
                <w:sz w:val="20"/>
                <w:szCs w:val="18"/>
                <w:lang w:val="lt-LT"/>
              </w:rPr>
              <w:t>11,31</w:t>
            </w:r>
          </w:p>
        </w:tc>
        <w:tc>
          <w:tcPr>
            <w:tcW w:w="1135" w:type="dxa"/>
            <w:vAlign w:val="center"/>
          </w:tcPr>
          <w:p w:rsidR="009522DF" w:rsidRPr="004A4EC1" w:rsidRDefault="00237B6E" w:rsidP="004A4EC1">
            <w:pPr>
              <w:jc w:val="center"/>
              <w:rPr>
                <w:sz w:val="20"/>
                <w:szCs w:val="18"/>
                <w:lang w:val="lt-LT"/>
              </w:rPr>
            </w:pPr>
            <w:r w:rsidRPr="004A4EC1">
              <w:rPr>
                <w:sz w:val="20"/>
                <w:szCs w:val="18"/>
                <w:lang w:val="lt-LT"/>
              </w:rPr>
              <w:t>131957</w:t>
            </w:r>
          </w:p>
        </w:tc>
      </w:tr>
      <w:tr w:rsidR="00C13F18" w:rsidRPr="004A4EC1" w:rsidTr="00C96EB3">
        <w:trPr>
          <w:jc w:val="center"/>
        </w:trPr>
        <w:tc>
          <w:tcPr>
            <w:tcW w:w="1730" w:type="dxa"/>
            <w:gridSpan w:val="2"/>
            <w:vAlign w:val="center"/>
          </w:tcPr>
          <w:p w:rsidR="009522DF" w:rsidRPr="004A4EC1" w:rsidRDefault="009522DF" w:rsidP="004A4EC1">
            <w:pPr>
              <w:jc w:val="center"/>
              <w:rPr>
                <w:b/>
                <w:sz w:val="20"/>
                <w:szCs w:val="18"/>
                <w:lang w:val="lt-LT"/>
              </w:rPr>
            </w:pPr>
            <w:r w:rsidRPr="004A4EC1">
              <w:rPr>
                <w:b/>
                <w:sz w:val="20"/>
                <w:szCs w:val="18"/>
                <w:lang w:val="lt-LT"/>
              </w:rPr>
              <w:t>Vengrija</w:t>
            </w:r>
          </w:p>
        </w:tc>
        <w:tc>
          <w:tcPr>
            <w:tcW w:w="1497" w:type="dxa"/>
            <w:vAlign w:val="center"/>
          </w:tcPr>
          <w:p w:rsidR="009522DF" w:rsidRPr="004A4EC1" w:rsidRDefault="009522DF" w:rsidP="004A4EC1">
            <w:pPr>
              <w:jc w:val="center"/>
              <w:rPr>
                <w:sz w:val="20"/>
                <w:szCs w:val="18"/>
              </w:rPr>
            </w:pPr>
            <w:r w:rsidRPr="004A4EC1">
              <w:rPr>
                <w:sz w:val="20"/>
                <w:szCs w:val="18"/>
              </w:rPr>
              <w:t>3177 savivaldybės</w:t>
            </w:r>
          </w:p>
        </w:tc>
        <w:tc>
          <w:tcPr>
            <w:tcW w:w="1805" w:type="dxa"/>
            <w:vAlign w:val="center"/>
          </w:tcPr>
          <w:p w:rsidR="009522DF" w:rsidRPr="004A4EC1" w:rsidRDefault="009522DF" w:rsidP="004A4EC1">
            <w:pPr>
              <w:jc w:val="center"/>
              <w:rPr>
                <w:sz w:val="20"/>
                <w:szCs w:val="18"/>
              </w:rPr>
            </w:pPr>
            <w:r w:rsidRPr="004A4EC1">
              <w:rPr>
                <w:sz w:val="20"/>
                <w:szCs w:val="18"/>
              </w:rPr>
              <w:t>19 apskričių</w:t>
            </w:r>
          </w:p>
        </w:tc>
        <w:tc>
          <w:tcPr>
            <w:tcW w:w="2159" w:type="dxa"/>
            <w:vAlign w:val="center"/>
          </w:tcPr>
          <w:p w:rsidR="009522DF" w:rsidRPr="004A4EC1" w:rsidRDefault="009522DF" w:rsidP="004A4EC1">
            <w:pPr>
              <w:jc w:val="center"/>
              <w:rPr>
                <w:sz w:val="20"/>
                <w:szCs w:val="18"/>
                <w:lang w:val="lt-LT"/>
              </w:rPr>
            </w:pPr>
          </w:p>
        </w:tc>
        <w:tc>
          <w:tcPr>
            <w:tcW w:w="1272" w:type="dxa"/>
            <w:vAlign w:val="center"/>
          </w:tcPr>
          <w:p w:rsidR="009522DF" w:rsidRPr="004A4EC1" w:rsidRDefault="00237B6E" w:rsidP="004A4EC1">
            <w:pPr>
              <w:jc w:val="center"/>
              <w:rPr>
                <w:sz w:val="20"/>
                <w:szCs w:val="18"/>
                <w:lang w:val="lt-LT"/>
              </w:rPr>
            </w:pPr>
            <w:r w:rsidRPr="004A4EC1">
              <w:rPr>
                <w:sz w:val="20"/>
                <w:szCs w:val="18"/>
                <w:lang w:val="lt-LT"/>
              </w:rPr>
              <w:t>9,99</w:t>
            </w:r>
          </w:p>
        </w:tc>
        <w:tc>
          <w:tcPr>
            <w:tcW w:w="1135" w:type="dxa"/>
            <w:vAlign w:val="center"/>
          </w:tcPr>
          <w:p w:rsidR="009522DF" w:rsidRPr="004A4EC1" w:rsidRDefault="00237B6E" w:rsidP="004A4EC1">
            <w:pPr>
              <w:jc w:val="center"/>
              <w:rPr>
                <w:sz w:val="20"/>
                <w:szCs w:val="18"/>
                <w:lang w:val="lt-LT"/>
              </w:rPr>
            </w:pPr>
            <w:r w:rsidRPr="004A4EC1">
              <w:rPr>
                <w:sz w:val="20"/>
                <w:szCs w:val="18"/>
                <w:lang w:val="lt-LT"/>
              </w:rPr>
              <w:t>93029</w:t>
            </w:r>
          </w:p>
        </w:tc>
      </w:tr>
      <w:tr w:rsidR="00C13F18" w:rsidRPr="004A4EC1" w:rsidTr="00C96EB3">
        <w:trPr>
          <w:jc w:val="center"/>
        </w:trPr>
        <w:tc>
          <w:tcPr>
            <w:tcW w:w="1730" w:type="dxa"/>
            <w:gridSpan w:val="2"/>
            <w:vAlign w:val="center"/>
          </w:tcPr>
          <w:p w:rsidR="009522DF" w:rsidRPr="004A4EC1" w:rsidRDefault="009522DF" w:rsidP="004A4EC1">
            <w:pPr>
              <w:jc w:val="center"/>
              <w:rPr>
                <w:b/>
                <w:sz w:val="20"/>
                <w:szCs w:val="18"/>
                <w:lang w:val="lt-LT"/>
              </w:rPr>
            </w:pPr>
            <w:r w:rsidRPr="004A4EC1">
              <w:rPr>
                <w:b/>
                <w:sz w:val="20"/>
                <w:szCs w:val="18"/>
                <w:lang w:val="lt-LT"/>
              </w:rPr>
              <w:t>Nyderlandai</w:t>
            </w:r>
          </w:p>
        </w:tc>
        <w:tc>
          <w:tcPr>
            <w:tcW w:w="1497" w:type="dxa"/>
            <w:vAlign w:val="center"/>
          </w:tcPr>
          <w:p w:rsidR="009522DF" w:rsidRPr="004A4EC1" w:rsidRDefault="009522DF" w:rsidP="004A4EC1">
            <w:pPr>
              <w:jc w:val="center"/>
              <w:rPr>
                <w:sz w:val="20"/>
                <w:szCs w:val="18"/>
              </w:rPr>
            </w:pPr>
            <w:r w:rsidRPr="004A4EC1">
              <w:rPr>
                <w:sz w:val="20"/>
                <w:szCs w:val="18"/>
              </w:rPr>
              <w:t>418 savivaldybės</w:t>
            </w:r>
          </w:p>
        </w:tc>
        <w:tc>
          <w:tcPr>
            <w:tcW w:w="1805" w:type="dxa"/>
            <w:vAlign w:val="center"/>
          </w:tcPr>
          <w:p w:rsidR="009522DF" w:rsidRPr="004A4EC1" w:rsidRDefault="009522DF" w:rsidP="004A4EC1">
            <w:pPr>
              <w:jc w:val="center"/>
              <w:rPr>
                <w:sz w:val="20"/>
                <w:szCs w:val="18"/>
                <w:lang w:val="lt-LT"/>
              </w:rPr>
            </w:pPr>
            <w:r w:rsidRPr="004A4EC1">
              <w:rPr>
                <w:sz w:val="20"/>
                <w:szCs w:val="18"/>
                <w:lang w:val="lt-LT"/>
              </w:rPr>
              <w:t>12 provincijų</w:t>
            </w:r>
          </w:p>
        </w:tc>
        <w:tc>
          <w:tcPr>
            <w:tcW w:w="2159" w:type="dxa"/>
            <w:vAlign w:val="center"/>
          </w:tcPr>
          <w:p w:rsidR="009522DF" w:rsidRPr="004A4EC1" w:rsidRDefault="009522DF" w:rsidP="004A4EC1">
            <w:pPr>
              <w:jc w:val="center"/>
              <w:rPr>
                <w:sz w:val="20"/>
                <w:szCs w:val="18"/>
                <w:lang w:val="lt-LT"/>
              </w:rPr>
            </w:pPr>
          </w:p>
        </w:tc>
        <w:tc>
          <w:tcPr>
            <w:tcW w:w="1272" w:type="dxa"/>
            <w:vAlign w:val="center"/>
          </w:tcPr>
          <w:p w:rsidR="009522DF" w:rsidRPr="004A4EC1" w:rsidRDefault="00237B6E" w:rsidP="004A4EC1">
            <w:pPr>
              <w:jc w:val="center"/>
              <w:rPr>
                <w:sz w:val="20"/>
                <w:szCs w:val="18"/>
                <w:lang w:val="lt-LT"/>
              </w:rPr>
            </w:pPr>
            <w:r w:rsidRPr="004A4EC1">
              <w:rPr>
                <w:sz w:val="20"/>
                <w:szCs w:val="18"/>
                <w:lang w:val="lt-LT"/>
              </w:rPr>
              <w:t>16,66</w:t>
            </w:r>
          </w:p>
        </w:tc>
        <w:tc>
          <w:tcPr>
            <w:tcW w:w="1135" w:type="dxa"/>
            <w:vAlign w:val="center"/>
          </w:tcPr>
          <w:p w:rsidR="009522DF" w:rsidRPr="004A4EC1" w:rsidRDefault="00237B6E" w:rsidP="004A4EC1">
            <w:pPr>
              <w:jc w:val="center"/>
              <w:rPr>
                <w:sz w:val="20"/>
                <w:szCs w:val="18"/>
                <w:lang w:val="lt-LT"/>
              </w:rPr>
            </w:pPr>
            <w:r w:rsidRPr="004A4EC1">
              <w:rPr>
                <w:sz w:val="20"/>
                <w:szCs w:val="18"/>
                <w:lang w:val="lt-LT"/>
              </w:rPr>
              <w:t>41528</w:t>
            </w:r>
          </w:p>
        </w:tc>
      </w:tr>
      <w:tr w:rsidR="00C13F18" w:rsidRPr="004A4EC1" w:rsidTr="00C96EB3">
        <w:trPr>
          <w:jc w:val="center"/>
        </w:trPr>
        <w:tc>
          <w:tcPr>
            <w:tcW w:w="1730" w:type="dxa"/>
            <w:gridSpan w:val="2"/>
            <w:vAlign w:val="center"/>
          </w:tcPr>
          <w:p w:rsidR="009522DF" w:rsidRPr="004A4EC1" w:rsidRDefault="009522DF" w:rsidP="004A4EC1">
            <w:pPr>
              <w:jc w:val="center"/>
              <w:rPr>
                <w:b/>
                <w:sz w:val="20"/>
                <w:szCs w:val="18"/>
                <w:lang w:val="lt-LT"/>
              </w:rPr>
            </w:pPr>
            <w:r w:rsidRPr="004A4EC1">
              <w:rPr>
                <w:b/>
                <w:sz w:val="20"/>
                <w:szCs w:val="18"/>
                <w:lang w:val="lt-LT"/>
              </w:rPr>
              <w:t>Rumunija</w:t>
            </w:r>
          </w:p>
        </w:tc>
        <w:tc>
          <w:tcPr>
            <w:tcW w:w="1497" w:type="dxa"/>
            <w:vAlign w:val="center"/>
          </w:tcPr>
          <w:p w:rsidR="009522DF" w:rsidRPr="004A4EC1" w:rsidRDefault="009522DF" w:rsidP="004A4EC1">
            <w:pPr>
              <w:jc w:val="center"/>
              <w:rPr>
                <w:sz w:val="20"/>
                <w:szCs w:val="18"/>
                <w:lang w:val="lt-LT"/>
              </w:rPr>
            </w:pPr>
            <w:r w:rsidRPr="004A4EC1">
              <w:rPr>
                <w:sz w:val="20"/>
                <w:szCs w:val="18"/>
              </w:rPr>
              <w:t>3181 vietos vald</w:t>
            </w:r>
            <w:r w:rsidRPr="004A4EC1">
              <w:rPr>
                <w:sz w:val="20"/>
                <w:szCs w:val="18"/>
                <w:lang w:val="lt-LT"/>
              </w:rPr>
              <w:t>žios institucijos</w:t>
            </w:r>
          </w:p>
        </w:tc>
        <w:tc>
          <w:tcPr>
            <w:tcW w:w="1805" w:type="dxa"/>
            <w:vAlign w:val="center"/>
          </w:tcPr>
          <w:p w:rsidR="009522DF" w:rsidRPr="004A4EC1" w:rsidRDefault="009522DF" w:rsidP="004A4EC1">
            <w:pPr>
              <w:jc w:val="center"/>
              <w:rPr>
                <w:sz w:val="20"/>
                <w:szCs w:val="18"/>
                <w:lang w:val="lt-LT"/>
              </w:rPr>
            </w:pPr>
            <w:r w:rsidRPr="004A4EC1">
              <w:rPr>
                <w:sz w:val="20"/>
                <w:szCs w:val="18"/>
                <w:lang w:val="lt-LT"/>
              </w:rPr>
              <w:t>41 departamentai</w:t>
            </w:r>
          </w:p>
        </w:tc>
        <w:tc>
          <w:tcPr>
            <w:tcW w:w="2159" w:type="dxa"/>
            <w:vAlign w:val="center"/>
          </w:tcPr>
          <w:p w:rsidR="009522DF" w:rsidRPr="004A4EC1" w:rsidRDefault="009522DF" w:rsidP="004A4EC1">
            <w:pPr>
              <w:jc w:val="center"/>
              <w:rPr>
                <w:sz w:val="20"/>
                <w:szCs w:val="18"/>
                <w:lang w:val="lt-LT"/>
              </w:rPr>
            </w:pPr>
          </w:p>
        </w:tc>
        <w:tc>
          <w:tcPr>
            <w:tcW w:w="1272" w:type="dxa"/>
            <w:vAlign w:val="center"/>
          </w:tcPr>
          <w:p w:rsidR="009522DF" w:rsidRPr="004A4EC1" w:rsidRDefault="00237B6E" w:rsidP="004A4EC1">
            <w:pPr>
              <w:jc w:val="center"/>
              <w:rPr>
                <w:sz w:val="20"/>
                <w:szCs w:val="18"/>
                <w:lang w:val="lt-LT"/>
              </w:rPr>
            </w:pPr>
            <w:r w:rsidRPr="004A4EC1">
              <w:rPr>
                <w:sz w:val="20"/>
                <w:szCs w:val="18"/>
                <w:lang w:val="lt-LT"/>
              </w:rPr>
              <w:t>21,41</w:t>
            </w:r>
          </w:p>
        </w:tc>
        <w:tc>
          <w:tcPr>
            <w:tcW w:w="1135" w:type="dxa"/>
            <w:vAlign w:val="center"/>
          </w:tcPr>
          <w:p w:rsidR="009522DF" w:rsidRPr="004A4EC1" w:rsidRDefault="00237B6E" w:rsidP="004A4EC1">
            <w:pPr>
              <w:jc w:val="center"/>
              <w:rPr>
                <w:sz w:val="20"/>
                <w:szCs w:val="18"/>
                <w:lang w:val="lt-LT"/>
              </w:rPr>
            </w:pPr>
            <w:r w:rsidRPr="004A4EC1">
              <w:rPr>
                <w:sz w:val="20"/>
                <w:szCs w:val="18"/>
                <w:lang w:val="lt-LT"/>
              </w:rPr>
              <w:t>238391</w:t>
            </w:r>
          </w:p>
        </w:tc>
      </w:tr>
      <w:tr w:rsidR="00C13F18" w:rsidRPr="004A4EC1" w:rsidTr="00C96EB3">
        <w:trPr>
          <w:jc w:val="center"/>
        </w:trPr>
        <w:tc>
          <w:tcPr>
            <w:tcW w:w="1730" w:type="dxa"/>
            <w:gridSpan w:val="2"/>
            <w:vAlign w:val="center"/>
          </w:tcPr>
          <w:p w:rsidR="009522DF" w:rsidRPr="004A4EC1" w:rsidRDefault="009522DF" w:rsidP="004A4EC1">
            <w:pPr>
              <w:jc w:val="center"/>
              <w:rPr>
                <w:b/>
                <w:sz w:val="20"/>
                <w:szCs w:val="18"/>
                <w:lang w:val="lt-LT"/>
              </w:rPr>
            </w:pPr>
            <w:r w:rsidRPr="004A4EC1">
              <w:rPr>
                <w:b/>
                <w:sz w:val="20"/>
                <w:szCs w:val="18"/>
                <w:lang w:val="lt-LT"/>
              </w:rPr>
              <w:t>Slovakija</w:t>
            </w:r>
          </w:p>
        </w:tc>
        <w:tc>
          <w:tcPr>
            <w:tcW w:w="1497" w:type="dxa"/>
            <w:vAlign w:val="center"/>
          </w:tcPr>
          <w:p w:rsidR="009522DF" w:rsidRPr="004A4EC1" w:rsidRDefault="009522DF" w:rsidP="004A4EC1">
            <w:pPr>
              <w:jc w:val="center"/>
              <w:rPr>
                <w:sz w:val="20"/>
                <w:szCs w:val="18"/>
                <w:lang w:val="lt-LT"/>
              </w:rPr>
            </w:pPr>
            <w:r w:rsidRPr="004A4EC1">
              <w:rPr>
                <w:sz w:val="20"/>
                <w:szCs w:val="18"/>
              </w:rPr>
              <w:t>2930 savivaldybi</w:t>
            </w:r>
            <w:r w:rsidRPr="004A4EC1">
              <w:rPr>
                <w:sz w:val="20"/>
                <w:szCs w:val="18"/>
                <w:lang w:val="lt-LT"/>
              </w:rPr>
              <w:t>ų</w:t>
            </w:r>
          </w:p>
        </w:tc>
        <w:tc>
          <w:tcPr>
            <w:tcW w:w="1805" w:type="dxa"/>
            <w:vAlign w:val="center"/>
          </w:tcPr>
          <w:p w:rsidR="009522DF" w:rsidRPr="004A4EC1" w:rsidRDefault="009522DF" w:rsidP="004A4EC1">
            <w:pPr>
              <w:jc w:val="center"/>
              <w:rPr>
                <w:sz w:val="20"/>
                <w:szCs w:val="18"/>
                <w:lang w:val="lt-LT"/>
              </w:rPr>
            </w:pPr>
            <w:r w:rsidRPr="004A4EC1">
              <w:rPr>
                <w:sz w:val="20"/>
                <w:szCs w:val="18"/>
                <w:lang w:val="lt-LT"/>
              </w:rPr>
              <w:t>8 regionai</w:t>
            </w:r>
          </w:p>
        </w:tc>
        <w:tc>
          <w:tcPr>
            <w:tcW w:w="2159" w:type="dxa"/>
            <w:vAlign w:val="center"/>
          </w:tcPr>
          <w:p w:rsidR="009522DF" w:rsidRPr="004A4EC1" w:rsidRDefault="009522DF" w:rsidP="004A4EC1">
            <w:pPr>
              <w:jc w:val="center"/>
              <w:rPr>
                <w:sz w:val="20"/>
                <w:szCs w:val="18"/>
                <w:lang w:val="lt-LT"/>
              </w:rPr>
            </w:pPr>
          </w:p>
        </w:tc>
        <w:tc>
          <w:tcPr>
            <w:tcW w:w="1272" w:type="dxa"/>
            <w:vAlign w:val="center"/>
          </w:tcPr>
          <w:p w:rsidR="009522DF" w:rsidRPr="004A4EC1" w:rsidRDefault="00237B6E" w:rsidP="004A4EC1">
            <w:pPr>
              <w:jc w:val="center"/>
              <w:rPr>
                <w:sz w:val="20"/>
                <w:szCs w:val="18"/>
                <w:lang w:val="lt-LT"/>
              </w:rPr>
            </w:pPr>
            <w:r w:rsidRPr="004A4EC1">
              <w:rPr>
                <w:sz w:val="20"/>
                <w:szCs w:val="18"/>
                <w:lang w:val="lt-LT"/>
              </w:rPr>
              <w:t>5,39</w:t>
            </w:r>
          </w:p>
        </w:tc>
        <w:tc>
          <w:tcPr>
            <w:tcW w:w="1135" w:type="dxa"/>
            <w:vAlign w:val="center"/>
          </w:tcPr>
          <w:p w:rsidR="009522DF" w:rsidRPr="004A4EC1" w:rsidRDefault="00237B6E" w:rsidP="004A4EC1">
            <w:pPr>
              <w:jc w:val="center"/>
              <w:rPr>
                <w:sz w:val="20"/>
                <w:szCs w:val="18"/>
                <w:lang w:val="lt-LT"/>
              </w:rPr>
            </w:pPr>
            <w:r w:rsidRPr="004A4EC1">
              <w:rPr>
                <w:sz w:val="20"/>
                <w:szCs w:val="18"/>
                <w:lang w:val="lt-LT"/>
              </w:rPr>
              <w:t>49034</w:t>
            </w:r>
          </w:p>
        </w:tc>
      </w:tr>
      <w:tr w:rsidR="00C13F18" w:rsidRPr="004A4EC1" w:rsidTr="00C96EB3">
        <w:trPr>
          <w:jc w:val="center"/>
        </w:trPr>
        <w:tc>
          <w:tcPr>
            <w:tcW w:w="1730" w:type="dxa"/>
            <w:gridSpan w:val="2"/>
            <w:vAlign w:val="center"/>
          </w:tcPr>
          <w:p w:rsidR="009522DF" w:rsidRPr="004A4EC1" w:rsidRDefault="009522DF" w:rsidP="004A4EC1">
            <w:pPr>
              <w:jc w:val="center"/>
              <w:rPr>
                <w:b/>
                <w:sz w:val="20"/>
                <w:szCs w:val="18"/>
                <w:lang w:val="lt-LT"/>
              </w:rPr>
            </w:pPr>
            <w:r w:rsidRPr="004A4EC1">
              <w:rPr>
                <w:b/>
                <w:sz w:val="20"/>
                <w:szCs w:val="18"/>
                <w:lang w:val="lt-LT"/>
              </w:rPr>
              <w:t>Švedija</w:t>
            </w:r>
          </w:p>
        </w:tc>
        <w:tc>
          <w:tcPr>
            <w:tcW w:w="1497" w:type="dxa"/>
            <w:vAlign w:val="center"/>
          </w:tcPr>
          <w:p w:rsidR="009522DF" w:rsidRPr="004A4EC1" w:rsidRDefault="009522DF" w:rsidP="004A4EC1">
            <w:pPr>
              <w:jc w:val="center"/>
              <w:rPr>
                <w:sz w:val="20"/>
                <w:szCs w:val="18"/>
              </w:rPr>
            </w:pPr>
            <w:r w:rsidRPr="004A4EC1">
              <w:rPr>
                <w:sz w:val="20"/>
                <w:szCs w:val="18"/>
              </w:rPr>
              <w:t>290 savivaldybių</w:t>
            </w:r>
          </w:p>
        </w:tc>
        <w:tc>
          <w:tcPr>
            <w:tcW w:w="1805" w:type="dxa"/>
            <w:vAlign w:val="center"/>
          </w:tcPr>
          <w:p w:rsidR="009522DF" w:rsidRPr="004A4EC1" w:rsidRDefault="009522DF" w:rsidP="004A4EC1">
            <w:pPr>
              <w:jc w:val="center"/>
              <w:rPr>
                <w:sz w:val="20"/>
                <w:szCs w:val="18"/>
                <w:lang w:val="lt-LT"/>
              </w:rPr>
            </w:pPr>
            <w:r w:rsidRPr="004A4EC1">
              <w:rPr>
                <w:sz w:val="20"/>
                <w:szCs w:val="18"/>
                <w:lang w:val="lt-LT"/>
              </w:rPr>
              <w:t>20 apskričių iš kurių 4 regionai</w:t>
            </w:r>
          </w:p>
        </w:tc>
        <w:tc>
          <w:tcPr>
            <w:tcW w:w="2159" w:type="dxa"/>
            <w:vAlign w:val="center"/>
          </w:tcPr>
          <w:p w:rsidR="009522DF" w:rsidRPr="004A4EC1" w:rsidRDefault="009522DF" w:rsidP="004A4EC1">
            <w:pPr>
              <w:jc w:val="center"/>
              <w:rPr>
                <w:sz w:val="20"/>
                <w:szCs w:val="18"/>
                <w:lang w:val="lt-LT"/>
              </w:rPr>
            </w:pPr>
          </w:p>
        </w:tc>
        <w:tc>
          <w:tcPr>
            <w:tcW w:w="1272" w:type="dxa"/>
            <w:vAlign w:val="center"/>
          </w:tcPr>
          <w:p w:rsidR="009522DF" w:rsidRPr="004A4EC1" w:rsidRDefault="00237B6E" w:rsidP="004A4EC1">
            <w:pPr>
              <w:jc w:val="center"/>
              <w:rPr>
                <w:sz w:val="20"/>
                <w:szCs w:val="18"/>
                <w:lang w:val="lt-LT"/>
              </w:rPr>
            </w:pPr>
            <w:r w:rsidRPr="004A4EC1">
              <w:rPr>
                <w:sz w:val="20"/>
                <w:szCs w:val="18"/>
                <w:lang w:val="lt-LT"/>
              </w:rPr>
              <w:t>9,42</w:t>
            </w:r>
          </w:p>
        </w:tc>
        <w:tc>
          <w:tcPr>
            <w:tcW w:w="1135" w:type="dxa"/>
            <w:vAlign w:val="center"/>
          </w:tcPr>
          <w:p w:rsidR="009522DF" w:rsidRPr="004A4EC1" w:rsidRDefault="00237B6E" w:rsidP="004A4EC1">
            <w:pPr>
              <w:jc w:val="center"/>
              <w:rPr>
                <w:sz w:val="20"/>
                <w:szCs w:val="18"/>
                <w:lang w:val="lt-LT"/>
              </w:rPr>
            </w:pPr>
            <w:r w:rsidRPr="004A4EC1">
              <w:rPr>
                <w:sz w:val="20"/>
                <w:szCs w:val="18"/>
                <w:lang w:val="lt-LT"/>
              </w:rPr>
              <w:t>449964</w:t>
            </w:r>
          </w:p>
        </w:tc>
      </w:tr>
      <w:tr w:rsidR="00C13F18" w:rsidRPr="004A4EC1" w:rsidTr="00C96EB3">
        <w:trPr>
          <w:jc w:val="center"/>
        </w:trPr>
        <w:tc>
          <w:tcPr>
            <w:tcW w:w="9598" w:type="dxa"/>
            <w:gridSpan w:val="7"/>
            <w:vAlign w:val="center"/>
          </w:tcPr>
          <w:p w:rsidR="00C13F18" w:rsidRPr="004A4EC1" w:rsidRDefault="00C13F18" w:rsidP="00C13F18">
            <w:pPr>
              <w:rPr>
                <w:sz w:val="20"/>
                <w:szCs w:val="18"/>
                <w:lang w:val="lt-LT"/>
              </w:rPr>
            </w:pPr>
            <w:r w:rsidRPr="004A4EC1">
              <w:rPr>
                <w:sz w:val="20"/>
                <w:szCs w:val="18"/>
                <w:lang w:val="lt-LT"/>
              </w:rPr>
              <w:t>Šalys, turinčios tris subnacionalinius valdžios lygius</w:t>
            </w:r>
          </w:p>
        </w:tc>
      </w:tr>
      <w:tr w:rsidR="00C13F18" w:rsidRPr="004A4EC1" w:rsidTr="00C96EB3">
        <w:trPr>
          <w:jc w:val="center"/>
        </w:trPr>
        <w:tc>
          <w:tcPr>
            <w:tcW w:w="1730" w:type="dxa"/>
            <w:gridSpan w:val="2"/>
            <w:vAlign w:val="center"/>
          </w:tcPr>
          <w:p w:rsidR="009522DF" w:rsidRPr="004A4EC1" w:rsidRDefault="009522DF" w:rsidP="004A4EC1">
            <w:pPr>
              <w:jc w:val="center"/>
              <w:rPr>
                <w:b/>
                <w:sz w:val="20"/>
                <w:szCs w:val="18"/>
                <w:lang w:val="lt-LT"/>
              </w:rPr>
            </w:pPr>
            <w:r w:rsidRPr="004A4EC1">
              <w:rPr>
                <w:b/>
                <w:sz w:val="20"/>
                <w:szCs w:val="18"/>
                <w:lang w:val="lt-LT"/>
              </w:rPr>
              <w:t>Belgija</w:t>
            </w:r>
          </w:p>
        </w:tc>
        <w:tc>
          <w:tcPr>
            <w:tcW w:w="1497" w:type="dxa"/>
            <w:vAlign w:val="center"/>
          </w:tcPr>
          <w:p w:rsidR="009522DF" w:rsidRPr="004A4EC1" w:rsidRDefault="009522DF" w:rsidP="004A4EC1">
            <w:pPr>
              <w:jc w:val="center"/>
              <w:rPr>
                <w:sz w:val="20"/>
                <w:szCs w:val="18"/>
              </w:rPr>
            </w:pPr>
            <w:r w:rsidRPr="004A4EC1">
              <w:rPr>
                <w:sz w:val="20"/>
                <w:szCs w:val="18"/>
              </w:rPr>
              <w:t>589 savivaldybės</w:t>
            </w:r>
          </w:p>
        </w:tc>
        <w:tc>
          <w:tcPr>
            <w:tcW w:w="1805" w:type="dxa"/>
            <w:vAlign w:val="center"/>
          </w:tcPr>
          <w:p w:rsidR="009522DF" w:rsidRPr="004A4EC1" w:rsidRDefault="009522DF" w:rsidP="004A4EC1">
            <w:pPr>
              <w:jc w:val="center"/>
              <w:rPr>
                <w:sz w:val="20"/>
                <w:szCs w:val="18"/>
                <w:lang w:val="lt-LT"/>
              </w:rPr>
            </w:pPr>
            <w:r w:rsidRPr="004A4EC1">
              <w:rPr>
                <w:sz w:val="20"/>
                <w:szCs w:val="18"/>
                <w:lang w:val="lt-LT"/>
              </w:rPr>
              <w:t>10 provincijos</w:t>
            </w:r>
          </w:p>
        </w:tc>
        <w:tc>
          <w:tcPr>
            <w:tcW w:w="2159" w:type="dxa"/>
            <w:vAlign w:val="center"/>
          </w:tcPr>
          <w:p w:rsidR="009522DF" w:rsidRPr="004A4EC1" w:rsidRDefault="009522DF" w:rsidP="004A4EC1">
            <w:pPr>
              <w:jc w:val="center"/>
              <w:rPr>
                <w:sz w:val="20"/>
                <w:szCs w:val="18"/>
                <w:lang w:val="lt-LT"/>
              </w:rPr>
            </w:pPr>
            <w:r w:rsidRPr="004A4EC1">
              <w:rPr>
                <w:sz w:val="20"/>
                <w:szCs w:val="18"/>
                <w:lang w:val="lt-LT"/>
              </w:rPr>
              <w:t>6 bendruomenės ir regionai</w:t>
            </w:r>
          </w:p>
        </w:tc>
        <w:tc>
          <w:tcPr>
            <w:tcW w:w="1272" w:type="dxa"/>
            <w:vAlign w:val="center"/>
          </w:tcPr>
          <w:p w:rsidR="009522DF" w:rsidRPr="004A4EC1" w:rsidRDefault="00237B6E" w:rsidP="004A4EC1">
            <w:pPr>
              <w:jc w:val="center"/>
              <w:rPr>
                <w:sz w:val="20"/>
                <w:szCs w:val="18"/>
                <w:lang w:val="lt-LT"/>
              </w:rPr>
            </w:pPr>
            <w:r w:rsidRPr="004A4EC1">
              <w:rPr>
                <w:sz w:val="20"/>
                <w:szCs w:val="18"/>
                <w:lang w:val="lt-LT"/>
              </w:rPr>
              <w:t>11</w:t>
            </w:r>
          </w:p>
        </w:tc>
        <w:tc>
          <w:tcPr>
            <w:tcW w:w="1135" w:type="dxa"/>
            <w:vAlign w:val="center"/>
          </w:tcPr>
          <w:p w:rsidR="009522DF" w:rsidRPr="004A4EC1" w:rsidRDefault="00237B6E" w:rsidP="004A4EC1">
            <w:pPr>
              <w:jc w:val="center"/>
              <w:rPr>
                <w:sz w:val="20"/>
                <w:szCs w:val="18"/>
                <w:lang w:val="lt-LT"/>
              </w:rPr>
            </w:pPr>
            <w:r w:rsidRPr="004A4EC1">
              <w:rPr>
                <w:sz w:val="20"/>
                <w:szCs w:val="18"/>
                <w:lang w:val="lt-LT"/>
              </w:rPr>
              <w:t>30528</w:t>
            </w:r>
          </w:p>
        </w:tc>
      </w:tr>
      <w:tr w:rsidR="0029680E" w:rsidRPr="004A4EC1" w:rsidTr="00C96EB3">
        <w:trPr>
          <w:jc w:val="center"/>
        </w:trPr>
        <w:tc>
          <w:tcPr>
            <w:tcW w:w="1730" w:type="dxa"/>
            <w:gridSpan w:val="2"/>
            <w:vAlign w:val="center"/>
          </w:tcPr>
          <w:p w:rsidR="0029680E" w:rsidRDefault="0029680E" w:rsidP="004A4EC1">
            <w:pPr>
              <w:jc w:val="center"/>
              <w:rPr>
                <w:b/>
                <w:sz w:val="20"/>
                <w:szCs w:val="18"/>
                <w:lang w:val="lt-LT"/>
              </w:rPr>
            </w:pPr>
          </w:p>
          <w:p w:rsidR="0029680E" w:rsidRDefault="0029680E" w:rsidP="004A4EC1">
            <w:pPr>
              <w:jc w:val="center"/>
              <w:rPr>
                <w:b/>
                <w:sz w:val="20"/>
                <w:szCs w:val="18"/>
                <w:lang w:val="lt-LT"/>
              </w:rPr>
            </w:pPr>
          </w:p>
          <w:p w:rsidR="0029680E" w:rsidRPr="004A4EC1" w:rsidRDefault="0029680E" w:rsidP="004A4EC1">
            <w:pPr>
              <w:jc w:val="center"/>
              <w:rPr>
                <w:b/>
                <w:sz w:val="20"/>
                <w:szCs w:val="18"/>
                <w:lang w:val="lt-LT"/>
              </w:rPr>
            </w:pPr>
          </w:p>
        </w:tc>
        <w:tc>
          <w:tcPr>
            <w:tcW w:w="1497" w:type="dxa"/>
            <w:vAlign w:val="center"/>
          </w:tcPr>
          <w:p w:rsidR="0029680E" w:rsidRPr="004A4EC1" w:rsidRDefault="0029680E" w:rsidP="004A4EC1">
            <w:pPr>
              <w:jc w:val="center"/>
              <w:rPr>
                <w:sz w:val="20"/>
                <w:szCs w:val="18"/>
              </w:rPr>
            </w:pPr>
          </w:p>
        </w:tc>
        <w:tc>
          <w:tcPr>
            <w:tcW w:w="1805" w:type="dxa"/>
            <w:vAlign w:val="center"/>
          </w:tcPr>
          <w:p w:rsidR="0029680E" w:rsidRPr="004A4EC1" w:rsidRDefault="0029680E" w:rsidP="004A4EC1">
            <w:pPr>
              <w:jc w:val="center"/>
              <w:rPr>
                <w:sz w:val="20"/>
                <w:szCs w:val="18"/>
                <w:lang w:val="lt-LT"/>
              </w:rPr>
            </w:pPr>
          </w:p>
        </w:tc>
        <w:tc>
          <w:tcPr>
            <w:tcW w:w="2159" w:type="dxa"/>
            <w:vAlign w:val="center"/>
          </w:tcPr>
          <w:p w:rsidR="0029680E" w:rsidRPr="004A4EC1" w:rsidRDefault="0029680E" w:rsidP="004A4EC1">
            <w:pPr>
              <w:jc w:val="center"/>
              <w:rPr>
                <w:sz w:val="20"/>
                <w:szCs w:val="18"/>
                <w:lang w:val="lt-LT"/>
              </w:rPr>
            </w:pPr>
          </w:p>
        </w:tc>
        <w:tc>
          <w:tcPr>
            <w:tcW w:w="2407" w:type="dxa"/>
            <w:gridSpan w:val="2"/>
            <w:vAlign w:val="center"/>
          </w:tcPr>
          <w:p w:rsidR="0029680E" w:rsidRPr="0029680E" w:rsidRDefault="0029680E" w:rsidP="004A4EC1">
            <w:pPr>
              <w:jc w:val="center"/>
              <w:rPr>
                <w:b/>
                <w:sz w:val="20"/>
                <w:szCs w:val="18"/>
                <w:lang w:val="lt-LT"/>
              </w:rPr>
            </w:pPr>
            <w:r w:rsidRPr="0029680E">
              <w:rPr>
                <w:b/>
                <w:sz w:val="20"/>
                <w:szCs w:val="18"/>
                <w:lang w:val="lt-LT"/>
              </w:rPr>
              <w:t>4 priedo tęsinys</w:t>
            </w:r>
          </w:p>
        </w:tc>
      </w:tr>
      <w:tr w:rsidR="00C13F18" w:rsidRPr="004A4EC1" w:rsidTr="00C96EB3">
        <w:trPr>
          <w:jc w:val="center"/>
        </w:trPr>
        <w:tc>
          <w:tcPr>
            <w:tcW w:w="1730" w:type="dxa"/>
            <w:gridSpan w:val="2"/>
            <w:vAlign w:val="center"/>
          </w:tcPr>
          <w:p w:rsidR="009522DF" w:rsidRPr="004A4EC1" w:rsidRDefault="009522DF" w:rsidP="004A4EC1">
            <w:pPr>
              <w:jc w:val="center"/>
              <w:rPr>
                <w:b/>
                <w:sz w:val="20"/>
                <w:szCs w:val="18"/>
                <w:lang w:val="lt-LT"/>
              </w:rPr>
            </w:pPr>
            <w:r w:rsidRPr="004A4EC1">
              <w:rPr>
                <w:b/>
                <w:sz w:val="20"/>
                <w:szCs w:val="18"/>
                <w:lang w:val="lt-LT"/>
              </w:rPr>
              <w:t>Prancūzija</w:t>
            </w:r>
          </w:p>
        </w:tc>
        <w:tc>
          <w:tcPr>
            <w:tcW w:w="1497" w:type="dxa"/>
            <w:vAlign w:val="center"/>
          </w:tcPr>
          <w:p w:rsidR="009522DF" w:rsidRPr="004A4EC1" w:rsidRDefault="009522DF" w:rsidP="004A4EC1">
            <w:pPr>
              <w:jc w:val="center"/>
              <w:rPr>
                <w:sz w:val="20"/>
                <w:szCs w:val="18"/>
              </w:rPr>
            </w:pPr>
            <w:r w:rsidRPr="004A4EC1">
              <w:rPr>
                <w:sz w:val="20"/>
                <w:szCs w:val="18"/>
              </w:rPr>
              <w:t>36697 savivaldybės</w:t>
            </w:r>
          </w:p>
        </w:tc>
        <w:tc>
          <w:tcPr>
            <w:tcW w:w="1805" w:type="dxa"/>
            <w:vAlign w:val="center"/>
          </w:tcPr>
          <w:p w:rsidR="009522DF" w:rsidRPr="004A4EC1" w:rsidRDefault="009522DF" w:rsidP="004A4EC1">
            <w:pPr>
              <w:jc w:val="center"/>
              <w:rPr>
                <w:sz w:val="20"/>
                <w:szCs w:val="18"/>
                <w:lang w:val="lt-LT"/>
              </w:rPr>
            </w:pPr>
            <w:r w:rsidRPr="004A4EC1">
              <w:rPr>
                <w:sz w:val="20"/>
                <w:szCs w:val="18"/>
                <w:lang w:val="lt-LT"/>
              </w:rPr>
              <w:t>102 departamentai</w:t>
            </w:r>
          </w:p>
        </w:tc>
        <w:tc>
          <w:tcPr>
            <w:tcW w:w="2159" w:type="dxa"/>
            <w:vAlign w:val="center"/>
          </w:tcPr>
          <w:p w:rsidR="009522DF" w:rsidRPr="004A4EC1" w:rsidRDefault="009522DF" w:rsidP="004A4EC1">
            <w:pPr>
              <w:jc w:val="center"/>
              <w:rPr>
                <w:sz w:val="20"/>
                <w:szCs w:val="18"/>
                <w:lang w:val="lt-LT"/>
              </w:rPr>
            </w:pPr>
            <w:r w:rsidRPr="004A4EC1">
              <w:rPr>
                <w:sz w:val="20"/>
                <w:szCs w:val="18"/>
                <w:lang w:val="lt-LT"/>
              </w:rPr>
              <w:t>27 regionai</w:t>
            </w:r>
          </w:p>
        </w:tc>
        <w:tc>
          <w:tcPr>
            <w:tcW w:w="1272" w:type="dxa"/>
            <w:vAlign w:val="center"/>
          </w:tcPr>
          <w:p w:rsidR="009522DF" w:rsidRPr="004A4EC1" w:rsidRDefault="00237B6E" w:rsidP="004A4EC1">
            <w:pPr>
              <w:jc w:val="center"/>
              <w:rPr>
                <w:sz w:val="20"/>
                <w:szCs w:val="18"/>
                <w:lang w:val="lt-LT"/>
              </w:rPr>
            </w:pPr>
            <w:r w:rsidRPr="004A4EC1">
              <w:rPr>
                <w:sz w:val="20"/>
                <w:szCs w:val="18"/>
                <w:lang w:val="lt-LT"/>
              </w:rPr>
              <w:t>65,05</w:t>
            </w:r>
          </w:p>
        </w:tc>
        <w:tc>
          <w:tcPr>
            <w:tcW w:w="1135" w:type="dxa"/>
            <w:vAlign w:val="center"/>
          </w:tcPr>
          <w:p w:rsidR="009522DF" w:rsidRPr="004A4EC1" w:rsidRDefault="00237B6E" w:rsidP="004A4EC1">
            <w:pPr>
              <w:jc w:val="center"/>
              <w:rPr>
                <w:sz w:val="20"/>
                <w:szCs w:val="18"/>
                <w:lang w:val="lt-LT"/>
              </w:rPr>
            </w:pPr>
            <w:r w:rsidRPr="004A4EC1">
              <w:rPr>
                <w:sz w:val="20"/>
                <w:szCs w:val="18"/>
                <w:lang w:val="lt-LT"/>
              </w:rPr>
              <w:t>663210</w:t>
            </w:r>
          </w:p>
        </w:tc>
      </w:tr>
      <w:tr w:rsidR="00C13F18" w:rsidRPr="004A4EC1" w:rsidTr="00C96EB3">
        <w:trPr>
          <w:jc w:val="center"/>
        </w:trPr>
        <w:tc>
          <w:tcPr>
            <w:tcW w:w="1730" w:type="dxa"/>
            <w:gridSpan w:val="2"/>
            <w:vAlign w:val="center"/>
          </w:tcPr>
          <w:p w:rsidR="009522DF" w:rsidRPr="004A4EC1" w:rsidRDefault="009522DF" w:rsidP="004A4EC1">
            <w:pPr>
              <w:jc w:val="center"/>
              <w:rPr>
                <w:b/>
                <w:sz w:val="20"/>
                <w:szCs w:val="18"/>
                <w:lang w:val="lt-LT"/>
              </w:rPr>
            </w:pPr>
            <w:r w:rsidRPr="004A4EC1">
              <w:rPr>
                <w:b/>
                <w:sz w:val="20"/>
                <w:szCs w:val="18"/>
                <w:lang w:val="lt-LT"/>
              </w:rPr>
              <w:t>Vokietija</w:t>
            </w:r>
          </w:p>
        </w:tc>
        <w:tc>
          <w:tcPr>
            <w:tcW w:w="1497" w:type="dxa"/>
            <w:vAlign w:val="center"/>
          </w:tcPr>
          <w:p w:rsidR="009522DF" w:rsidRPr="004A4EC1" w:rsidRDefault="009522DF" w:rsidP="004A4EC1">
            <w:pPr>
              <w:jc w:val="center"/>
              <w:rPr>
                <w:sz w:val="20"/>
                <w:szCs w:val="18"/>
              </w:rPr>
            </w:pPr>
            <w:r w:rsidRPr="004A4EC1">
              <w:rPr>
                <w:sz w:val="20"/>
                <w:szCs w:val="18"/>
              </w:rPr>
              <w:t>11553 savivaldybės</w:t>
            </w:r>
          </w:p>
        </w:tc>
        <w:tc>
          <w:tcPr>
            <w:tcW w:w="1805" w:type="dxa"/>
            <w:vAlign w:val="center"/>
          </w:tcPr>
          <w:p w:rsidR="009522DF" w:rsidRPr="004A4EC1" w:rsidRDefault="009522DF" w:rsidP="004A4EC1">
            <w:pPr>
              <w:jc w:val="center"/>
              <w:rPr>
                <w:sz w:val="20"/>
                <w:szCs w:val="18"/>
                <w:lang w:val="lt-LT"/>
              </w:rPr>
            </w:pPr>
            <w:r w:rsidRPr="004A4EC1">
              <w:rPr>
                <w:sz w:val="20"/>
                <w:szCs w:val="18"/>
                <w:lang w:val="lt-LT"/>
              </w:rPr>
              <w:t>301 kaimo apylinkės</w:t>
            </w:r>
          </w:p>
        </w:tc>
        <w:tc>
          <w:tcPr>
            <w:tcW w:w="2159" w:type="dxa"/>
            <w:vAlign w:val="center"/>
          </w:tcPr>
          <w:p w:rsidR="009522DF" w:rsidRPr="004A4EC1" w:rsidRDefault="009522DF" w:rsidP="004A4EC1">
            <w:pPr>
              <w:jc w:val="center"/>
              <w:rPr>
                <w:sz w:val="20"/>
                <w:szCs w:val="18"/>
                <w:lang w:val="lt-LT"/>
              </w:rPr>
            </w:pPr>
            <w:r w:rsidRPr="004A4EC1">
              <w:rPr>
                <w:sz w:val="20"/>
                <w:szCs w:val="18"/>
                <w:lang w:val="lt-LT"/>
              </w:rPr>
              <w:t>16 federalinių valstijų</w:t>
            </w:r>
          </w:p>
        </w:tc>
        <w:tc>
          <w:tcPr>
            <w:tcW w:w="1272" w:type="dxa"/>
            <w:vAlign w:val="center"/>
          </w:tcPr>
          <w:p w:rsidR="009522DF" w:rsidRPr="004A4EC1" w:rsidRDefault="00237B6E" w:rsidP="004A4EC1">
            <w:pPr>
              <w:jc w:val="center"/>
              <w:rPr>
                <w:sz w:val="20"/>
                <w:szCs w:val="18"/>
                <w:lang w:val="lt-LT"/>
              </w:rPr>
            </w:pPr>
            <w:r w:rsidRPr="004A4EC1">
              <w:rPr>
                <w:sz w:val="20"/>
                <w:szCs w:val="18"/>
                <w:lang w:val="lt-LT"/>
              </w:rPr>
              <w:t>81,75</w:t>
            </w:r>
          </w:p>
        </w:tc>
        <w:tc>
          <w:tcPr>
            <w:tcW w:w="1135" w:type="dxa"/>
            <w:vAlign w:val="center"/>
          </w:tcPr>
          <w:p w:rsidR="009522DF" w:rsidRPr="004A4EC1" w:rsidRDefault="00237B6E" w:rsidP="004A4EC1">
            <w:pPr>
              <w:jc w:val="center"/>
              <w:rPr>
                <w:sz w:val="20"/>
                <w:szCs w:val="18"/>
                <w:lang w:val="lt-LT"/>
              </w:rPr>
            </w:pPr>
            <w:r w:rsidRPr="004A4EC1">
              <w:rPr>
                <w:sz w:val="20"/>
                <w:szCs w:val="18"/>
                <w:lang w:val="lt-LT"/>
              </w:rPr>
              <w:t>357027</w:t>
            </w:r>
          </w:p>
        </w:tc>
      </w:tr>
      <w:tr w:rsidR="00C13F18" w:rsidRPr="004A4EC1" w:rsidTr="00C96EB3">
        <w:trPr>
          <w:jc w:val="center"/>
        </w:trPr>
        <w:tc>
          <w:tcPr>
            <w:tcW w:w="1730" w:type="dxa"/>
            <w:gridSpan w:val="2"/>
            <w:vAlign w:val="center"/>
          </w:tcPr>
          <w:p w:rsidR="009522DF" w:rsidRPr="004A4EC1" w:rsidRDefault="009522DF" w:rsidP="004A4EC1">
            <w:pPr>
              <w:jc w:val="center"/>
              <w:rPr>
                <w:b/>
                <w:sz w:val="20"/>
                <w:szCs w:val="18"/>
                <w:lang w:val="lt-LT"/>
              </w:rPr>
            </w:pPr>
            <w:r w:rsidRPr="004A4EC1">
              <w:rPr>
                <w:b/>
                <w:sz w:val="20"/>
                <w:szCs w:val="18"/>
                <w:lang w:val="lt-LT"/>
              </w:rPr>
              <w:t>Italija</w:t>
            </w:r>
          </w:p>
        </w:tc>
        <w:tc>
          <w:tcPr>
            <w:tcW w:w="1497" w:type="dxa"/>
            <w:vAlign w:val="center"/>
          </w:tcPr>
          <w:p w:rsidR="009522DF" w:rsidRPr="004A4EC1" w:rsidRDefault="009522DF" w:rsidP="004A4EC1">
            <w:pPr>
              <w:jc w:val="center"/>
              <w:rPr>
                <w:sz w:val="20"/>
                <w:szCs w:val="18"/>
              </w:rPr>
            </w:pPr>
            <w:r w:rsidRPr="004A4EC1">
              <w:rPr>
                <w:sz w:val="20"/>
                <w:szCs w:val="18"/>
              </w:rPr>
              <w:t>8094 savivaldybės</w:t>
            </w:r>
          </w:p>
        </w:tc>
        <w:tc>
          <w:tcPr>
            <w:tcW w:w="1805" w:type="dxa"/>
            <w:vAlign w:val="center"/>
          </w:tcPr>
          <w:p w:rsidR="009522DF" w:rsidRPr="004A4EC1" w:rsidRDefault="009522DF" w:rsidP="004A4EC1">
            <w:pPr>
              <w:jc w:val="center"/>
              <w:rPr>
                <w:sz w:val="20"/>
                <w:szCs w:val="18"/>
                <w:lang w:val="lt-LT"/>
              </w:rPr>
            </w:pPr>
            <w:r w:rsidRPr="004A4EC1">
              <w:rPr>
                <w:sz w:val="20"/>
                <w:szCs w:val="18"/>
                <w:lang w:val="lt-LT"/>
              </w:rPr>
              <w:t>110 provincijos</w:t>
            </w:r>
          </w:p>
        </w:tc>
        <w:tc>
          <w:tcPr>
            <w:tcW w:w="2159" w:type="dxa"/>
            <w:vAlign w:val="center"/>
          </w:tcPr>
          <w:p w:rsidR="009522DF" w:rsidRPr="004A4EC1" w:rsidRDefault="009522DF" w:rsidP="004A4EC1">
            <w:pPr>
              <w:jc w:val="center"/>
              <w:rPr>
                <w:sz w:val="20"/>
                <w:szCs w:val="18"/>
                <w:lang w:val="lt-LT"/>
              </w:rPr>
            </w:pPr>
            <w:r w:rsidRPr="004A4EC1">
              <w:rPr>
                <w:sz w:val="20"/>
                <w:szCs w:val="18"/>
                <w:lang w:val="lt-LT"/>
              </w:rPr>
              <w:t>20 regionų iš kurių 5 su specialiu statusu</w:t>
            </w:r>
          </w:p>
        </w:tc>
        <w:tc>
          <w:tcPr>
            <w:tcW w:w="1272" w:type="dxa"/>
            <w:vAlign w:val="center"/>
          </w:tcPr>
          <w:p w:rsidR="009522DF" w:rsidRPr="004A4EC1" w:rsidRDefault="00237B6E" w:rsidP="004A4EC1">
            <w:pPr>
              <w:jc w:val="center"/>
              <w:rPr>
                <w:sz w:val="20"/>
                <w:szCs w:val="18"/>
                <w:lang w:val="lt-LT"/>
              </w:rPr>
            </w:pPr>
            <w:r w:rsidRPr="004A4EC1">
              <w:rPr>
                <w:sz w:val="20"/>
                <w:szCs w:val="18"/>
                <w:lang w:val="lt-LT"/>
              </w:rPr>
              <w:t>60,63</w:t>
            </w:r>
          </w:p>
        </w:tc>
        <w:tc>
          <w:tcPr>
            <w:tcW w:w="1135" w:type="dxa"/>
            <w:vAlign w:val="center"/>
          </w:tcPr>
          <w:p w:rsidR="009522DF" w:rsidRPr="004A4EC1" w:rsidRDefault="00237B6E" w:rsidP="004A4EC1">
            <w:pPr>
              <w:jc w:val="center"/>
              <w:rPr>
                <w:sz w:val="20"/>
                <w:szCs w:val="18"/>
                <w:lang w:val="lt-LT"/>
              </w:rPr>
            </w:pPr>
            <w:r w:rsidRPr="004A4EC1">
              <w:rPr>
                <w:sz w:val="20"/>
                <w:szCs w:val="18"/>
                <w:lang w:val="lt-LT"/>
              </w:rPr>
              <w:t>301336</w:t>
            </w:r>
          </w:p>
        </w:tc>
      </w:tr>
      <w:tr w:rsidR="00C13F18" w:rsidRPr="004A4EC1" w:rsidTr="00C96EB3">
        <w:trPr>
          <w:jc w:val="center"/>
        </w:trPr>
        <w:tc>
          <w:tcPr>
            <w:tcW w:w="1730" w:type="dxa"/>
            <w:gridSpan w:val="2"/>
            <w:vAlign w:val="center"/>
          </w:tcPr>
          <w:p w:rsidR="009522DF" w:rsidRPr="004A4EC1" w:rsidRDefault="009522DF" w:rsidP="004A4EC1">
            <w:pPr>
              <w:jc w:val="center"/>
              <w:rPr>
                <w:b/>
                <w:sz w:val="20"/>
                <w:szCs w:val="18"/>
                <w:lang w:val="lt-LT"/>
              </w:rPr>
            </w:pPr>
            <w:r w:rsidRPr="004A4EC1">
              <w:rPr>
                <w:b/>
                <w:sz w:val="20"/>
                <w:szCs w:val="18"/>
                <w:lang w:val="lt-LT"/>
              </w:rPr>
              <w:t>Lenkija</w:t>
            </w:r>
          </w:p>
        </w:tc>
        <w:tc>
          <w:tcPr>
            <w:tcW w:w="1497" w:type="dxa"/>
            <w:vAlign w:val="center"/>
          </w:tcPr>
          <w:p w:rsidR="009522DF" w:rsidRPr="004A4EC1" w:rsidRDefault="009522DF" w:rsidP="004A4EC1">
            <w:pPr>
              <w:jc w:val="center"/>
              <w:rPr>
                <w:sz w:val="20"/>
                <w:szCs w:val="18"/>
              </w:rPr>
            </w:pPr>
            <w:r w:rsidRPr="004A4EC1">
              <w:rPr>
                <w:sz w:val="20"/>
                <w:szCs w:val="18"/>
              </w:rPr>
              <w:t>2479 savivaldybės</w:t>
            </w:r>
          </w:p>
        </w:tc>
        <w:tc>
          <w:tcPr>
            <w:tcW w:w="1805" w:type="dxa"/>
            <w:vAlign w:val="center"/>
          </w:tcPr>
          <w:p w:rsidR="009522DF" w:rsidRPr="004A4EC1" w:rsidRDefault="009522DF" w:rsidP="004A4EC1">
            <w:pPr>
              <w:jc w:val="center"/>
              <w:rPr>
                <w:sz w:val="20"/>
                <w:szCs w:val="18"/>
                <w:lang w:val="lt-LT"/>
              </w:rPr>
            </w:pPr>
            <w:r w:rsidRPr="004A4EC1">
              <w:rPr>
                <w:sz w:val="20"/>
                <w:szCs w:val="18"/>
                <w:lang w:val="lt-LT"/>
              </w:rPr>
              <w:t>379 apskritys</w:t>
            </w:r>
          </w:p>
        </w:tc>
        <w:tc>
          <w:tcPr>
            <w:tcW w:w="2159" w:type="dxa"/>
            <w:vAlign w:val="center"/>
          </w:tcPr>
          <w:p w:rsidR="009522DF" w:rsidRPr="004A4EC1" w:rsidRDefault="009522DF" w:rsidP="004A4EC1">
            <w:pPr>
              <w:jc w:val="center"/>
              <w:rPr>
                <w:sz w:val="20"/>
                <w:szCs w:val="18"/>
                <w:lang w:val="lt-LT"/>
              </w:rPr>
            </w:pPr>
            <w:r w:rsidRPr="004A4EC1">
              <w:rPr>
                <w:sz w:val="20"/>
                <w:szCs w:val="18"/>
                <w:lang w:val="lt-LT"/>
              </w:rPr>
              <w:t>16 regionų</w:t>
            </w:r>
          </w:p>
        </w:tc>
        <w:tc>
          <w:tcPr>
            <w:tcW w:w="1272" w:type="dxa"/>
            <w:vAlign w:val="center"/>
          </w:tcPr>
          <w:p w:rsidR="009522DF" w:rsidRPr="004A4EC1" w:rsidRDefault="00237B6E" w:rsidP="004A4EC1">
            <w:pPr>
              <w:jc w:val="center"/>
              <w:rPr>
                <w:sz w:val="20"/>
                <w:szCs w:val="18"/>
                <w:lang w:val="lt-LT"/>
              </w:rPr>
            </w:pPr>
            <w:r w:rsidRPr="004A4EC1">
              <w:rPr>
                <w:sz w:val="20"/>
                <w:szCs w:val="18"/>
                <w:lang w:val="lt-LT"/>
              </w:rPr>
              <w:t>38,53</w:t>
            </w:r>
          </w:p>
        </w:tc>
        <w:tc>
          <w:tcPr>
            <w:tcW w:w="1135" w:type="dxa"/>
            <w:vAlign w:val="center"/>
          </w:tcPr>
          <w:p w:rsidR="009522DF" w:rsidRPr="004A4EC1" w:rsidRDefault="00237B6E" w:rsidP="004A4EC1">
            <w:pPr>
              <w:jc w:val="center"/>
              <w:rPr>
                <w:sz w:val="20"/>
                <w:szCs w:val="18"/>
                <w:lang w:val="lt-LT"/>
              </w:rPr>
            </w:pPr>
            <w:r w:rsidRPr="004A4EC1">
              <w:rPr>
                <w:sz w:val="20"/>
                <w:szCs w:val="18"/>
                <w:lang w:val="lt-LT"/>
              </w:rPr>
              <w:t>312685</w:t>
            </w:r>
          </w:p>
        </w:tc>
      </w:tr>
      <w:tr w:rsidR="00C13F18" w:rsidRPr="004A4EC1" w:rsidTr="00C96EB3">
        <w:trPr>
          <w:jc w:val="center"/>
        </w:trPr>
        <w:tc>
          <w:tcPr>
            <w:tcW w:w="1730" w:type="dxa"/>
            <w:gridSpan w:val="2"/>
            <w:vAlign w:val="center"/>
          </w:tcPr>
          <w:p w:rsidR="009522DF" w:rsidRPr="004A4EC1" w:rsidRDefault="009522DF" w:rsidP="004A4EC1">
            <w:pPr>
              <w:jc w:val="center"/>
              <w:rPr>
                <w:b/>
                <w:sz w:val="20"/>
                <w:szCs w:val="18"/>
                <w:lang w:val="lt-LT"/>
              </w:rPr>
            </w:pPr>
            <w:r w:rsidRPr="004A4EC1">
              <w:rPr>
                <w:b/>
                <w:sz w:val="20"/>
                <w:szCs w:val="18"/>
                <w:lang w:val="lt-LT"/>
              </w:rPr>
              <w:t>Ispanija</w:t>
            </w:r>
          </w:p>
        </w:tc>
        <w:tc>
          <w:tcPr>
            <w:tcW w:w="1497" w:type="dxa"/>
            <w:vAlign w:val="center"/>
          </w:tcPr>
          <w:p w:rsidR="009522DF" w:rsidRPr="004A4EC1" w:rsidRDefault="009522DF" w:rsidP="004A4EC1">
            <w:pPr>
              <w:jc w:val="center"/>
              <w:rPr>
                <w:sz w:val="20"/>
                <w:szCs w:val="18"/>
              </w:rPr>
            </w:pPr>
            <w:r w:rsidRPr="004A4EC1">
              <w:rPr>
                <w:sz w:val="20"/>
                <w:szCs w:val="18"/>
              </w:rPr>
              <w:t>8116 savivaldybės</w:t>
            </w:r>
          </w:p>
        </w:tc>
        <w:tc>
          <w:tcPr>
            <w:tcW w:w="1805" w:type="dxa"/>
            <w:vAlign w:val="center"/>
          </w:tcPr>
          <w:p w:rsidR="009522DF" w:rsidRPr="004A4EC1" w:rsidRDefault="009522DF" w:rsidP="004A4EC1">
            <w:pPr>
              <w:jc w:val="center"/>
              <w:rPr>
                <w:sz w:val="20"/>
                <w:szCs w:val="18"/>
                <w:lang w:val="lt-LT"/>
              </w:rPr>
            </w:pPr>
            <w:r w:rsidRPr="004A4EC1">
              <w:rPr>
                <w:sz w:val="20"/>
                <w:szCs w:val="18"/>
                <w:lang w:val="lt-LT"/>
              </w:rPr>
              <w:t>52 provincijos</w:t>
            </w:r>
          </w:p>
        </w:tc>
        <w:tc>
          <w:tcPr>
            <w:tcW w:w="2159" w:type="dxa"/>
            <w:vAlign w:val="center"/>
          </w:tcPr>
          <w:p w:rsidR="009522DF" w:rsidRPr="004A4EC1" w:rsidRDefault="009522DF" w:rsidP="004A4EC1">
            <w:pPr>
              <w:jc w:val="center"/>
              <w:rPr>
                <w:sz w:val="20"/>
                <w:szCs w:val="18"/>
                <w:lang w:val="lt-LT"/>
              </w:rPr>
            </w:pPr>
            <w:r w:rsidRPr="004A4EC1">
              <w:rPr>
                <w:sz w:val="20"/>
                <w:szCs w:val="18"/>
                <w:lang w:val="lt-LT"/>
              </w:rPr>
              <w:t>17 2</w:t>
            </w:r>
          </w:p>
        </w:tc>
        <w:tc>
          <w:tcPr>
            <w:tcW w:w="1272" w:type="dxa"/>
            <w:vAlign w:val="center"/>
          </w:tcPr>
          <w:p w:rsidR="009522DF" w:rsidRPr="004A4EC1" w:rsidRDefault="00237B6E" w:rsidP="004A4EC1">
            <w:pPr>
              <w:jc w:val="center"/>
              <w:rPr>
                <w:sz w:val="20"/>
                <w:szCs w:val="18"/>
                <w:lang w:val="lt-LT"/>
              </w:rPr>
            </w:pPr>
            <w:r w:rsidRPr="004A4EC1">
              <w:rPr>
                <w:sz w:val="20"/>
                <w:szCs w:val="18"/>
                <w:lang w:val="lt-LT"/>
              </w:rPr>
              <w:t>46,15</w:t>
            </w:r>
          </w:p>
        </w:tc>
        <w:tc>
          <w:tcPr>
            <w:tcW w:w="1135" w:type="dxa"/>
            <w:vAlign w:val="center"/>
          </w:tcPr>
          <w:p w:rsidR="009522DF" w:rsidRPr="004A4EC1" w:rsidRDefault="00237B6E" w:rsidP="004A4EC1">
            <w:pPr>
              <w:jc w:val="center"/>
              <w:rPr>
                <w:sz w:val="20"/>
                <w:szCs w:val="18"/>
                <w:lang w:val="lt-LT"/>
              </w:rPr>
            </w:pPr>
            <w:r w:rsidRPr="004A4EC1">
              <w:rPr>
                <w:sz w:val="20"/>
                <w:szCs w:val="18"/>
                <w:lang w:val="lt-LT"/>
              </w:rPr>
              <w:t>505997</w:t>
            </w:r>
          </w:p>
        </w:tc>
      </w:tr>
      <w:tr w:rsidR="00C13F18" w:rsidRPr="004A4EC1" w:rsidTr="00C96EB3">
        <w:trPr>
          <w:jc w:val="center"/>
        </w:trPr>
        <w:tc>
          <w:tcPr>
            <w:tcW w:w="1730" w:type="dxa"/>
            <w:gridSpan w:val="2"/>
            <w:vAlign w:val="center"/>
          </w:tcPr>
          <w:p w:rsidR="009522DF" w:rsidRPr="004A4EC1" w:rsidRDefault="009522DF" w:rsidP="004A4EC1">
            <w:pPr>
              <w:jc w:val="center"/>
              <w:rPr>
                <w:b/>
                <w:sz w:val="20"/>
                <w:szCs w:val="18"/>
                <w:lang w:val="lt-LT"/>
              </w:rPr>
            </w:pPr>
            <w:r w:rsidRPr="004A4EC1">
              <w:rPr>
                <w:b/>
                <w:sz w:val="20"/>
                <w:szCs w:val="18"/>
                <w:lang w:val="lt-LT"/>
              </w:rPr>
              <w:t>Jungtinė Karalystė</w:t>
            </w:r>
          </w:p>
        </w:tc>
        <w:tc>
          <w:tcPr>
            <w:tcW w:w="1497" w:type="dxa"/>
            <w:vAlign w:val="center"/>
          </w:tcPr>
          <w:p w:rsidR="009522DF" w:rsidRPr="004A4EC1" w:rsidRDefault="009522DF" w:rsidP="004A4EC1">
            <w:pPr>
              <w:jc w:val="center"/>
              <w:rPr>
                <w:sz w:val="20"/>
                <w:szCs w:val="18"/>
              </w:rPr>
            </w:pPr>
            <w:r w:rsidRPr="004A4EC1">
              <w:rPr>
                <w:sz w:val="20"/>
                <w:szCs w:val="18"/>
              </w:rPr>
              <w:t>406 vietos valdžios institucijos</w:t>
            </w:r>
          </w:p>
        </w:tc>
        <w:tc>
          <w:tcPr>
            <w:tcW w:w="1805" w:type="dxa"/>
            <w:vAlign w:val="center"/>
          </w:tcPr>
          <w:p w:rsidR="009522DF" w:rsidRPr="004A4EC1" w:rsidRDefault="009522DF" w:rsidP="004A4EC1">
            <w:pPr>
              <w:jc w:val="center"/>
              <w:rPr>
                <w:sz w:val="20"/>
                <w:szCs w:val="18"/>
                <w:lang w:val="lt-LT"/>
              </w:rPr>
            </w:pPr>
            <w:r w:rsidRPr="004A4EC1">
              <w:rPr>
                <w:sz w:val="20"/>
                <w:szCs w:val="18"/>
                <w:lang w:val="lt-LT"/>
              </w:rPr>
              <w:t>28 apskritys</w:t>
            </w:r>
          </w:p>
        </w:tc>
        <w:tc>
          <w:tcPr>
            <w:tcW w:w="2159" w:type="dxa"/>
            <w:vAlign w:val="center"/>
          </w:tcPr>
          <w:p w:rsidR="009522DF" w:rsidRPr="004A4EC1" w:rsidRDefault="009522DF" w:rsidP="004A4EC1">
            <w:pPr>
              <w:jc w:val="center"/>
              <w:rPr>
                <w:sz w:val="20"/>
                <w:szCs w:val="18"/>
                <w:lang w:val="lt-LT"/>
              </w:rPr>
            </w:pPr>
            <w:r w:rsidRPr="004A4EC1">
              <w:rPr>
                <w:sz w:val="20"/>
                <w:szCs w:val="18"/>
                <w:lang w:val="lt-LT"/>
              </w:rPr>
              <w:t>3 atskirtos tautos (Škotija, Velsas ir Šiaurės Airija)</w:t>
            </w:r>
          </w:p>
        </w:tc>
        <w:tc>
          <w:tcPr>
            <w:tcW w:w="1272" w:type="dxa"/>
            <w:vAlign w:val="center"/>
          </w:tcPr>
          <w:p w:rsidR="009522DF" w:rsidRPr="004A4EC1" w:rsidRDefault="00237B6E" w:rsidP="004A4EC1">
            <w:pPr>
              <w:jc w:val="center"/>
              <w:rPr>
                <w:sz w:val="20"/>
                <w:szCs w:val="18"/>
                <w:lang w:val="lt-LT"/>
              </w:rPr>
            </w:pPr>
            <w:r w:rsidRPr="004A4EC1">
              <w:rPr>
                <w:sz w:val="20"/>
                <w:szCs w:val="18"/>
                <w:lang w:val="lt-LT"/>
              </w:rPr>
              <w:t>63</w:t>
            </w:r>
          </w:p>
        </w:tc>
        <w:tc>
          <w:tcPr>
            <w:tcW w:w="1135" w:type="dxa"/>
            <w:vAlign w:val="center"/>
          </w:tcPr>
          <w:p w:rsidR="009522DF" w:rsidRPr="004A4EC1" w:rsidRDefault="00237B6E" w:rsidP="004A4EC1">
            <w:pPr>
              <w:jc w:val="center"/>
              <w:rPr>
                <w:sz w:val="20"/>
                <w:szCs w:val="18"/>
                <w:lang w:val="lt-LT"/>
              </w:rPr>
            </w:pPr>
            <w:r w:rsidRPr="004A4EC1">
              <w:rPr>
                <w:sz w:val="20"/>
                <w:szCs w:val="18"/>
                <w:lang w:val="lt-LT"/>
              </w:rPr>
              <w:t>243820</w:t>
            </w:r>
          </w:p>
        </w:tc>
      </w:tr>
      <w:tr w:rsidR="00C13F18" w:rsidRPr="004A4EC1" w:rsidTr="00C96EB3">
        <w:trPr>
          <w:jc w:val="center"/>
        </w:trPr>
        <w:tc>
          <w:tcPr>
            <w:tcW w:w="1730" w:type="dxa"/>
            <w:gridSpan w:val="2"/>
            <w:vAlign w:val="center"/>
          </w:tcPr>
          <w:p w:rsidR="009522DF" w:rsidRPr="004A4EC1" w:rsidRDefault="009522DF" w:rsidP="004A4EC1">
            <w:pPr>
              <w:jc w:val="center"/>
              <w:rPr>
                <w:b/>
                <w:sz w:val="20"/>
                <w:szCs w:val="18"/>
              </w:rPr>
            </w:pPr>
            <w:r w:rsidRPr="004A4EC1">
              <w:rPr>
                <w:b/>
                <w:sz w:val="20"/>
                <w:szCs w:val="18"/>
                <w:lang w:val="lt-LT"/>
              </w:rPr>
              <w:t>Iš viso EU</w:t>
            </w:r>
            <w:r w:rsidRPr="004A4EC1">
              <w:rPr>
                <w:b/>
                <w:sz w:val="20"/>
                <w:szCs w:val="18"/>
              </w:rPr>
              <w:t>27</w:t>
            </w:r>
          </w:p>
        </w:tc>
        <w:tc>
          <w:tcPr>
            <w:tcW w:w="1497" w:type="dxa"/>
            <w:vAlign w:val="center"/>
          </w:tcPr>
          <w:p w:rsidR="009522DF" w:rsidRPr="004A4EC1" w:rsidRDefault="009522DF" w:rsidP="004A4EC1">
            <w:pPr>
              <w:jc w:val="center"/>
              <w:rPr>
                <w:sz w:val="20"/>
                <w:szCs w:val="18"/>
              </w:rPr>
            </w:pPr>
            <w:r w:rsidRPr="004A4EC1">
              <w:rPr>
                <w:sz w:val="20"/>
                <w:szCs w:val="18"/>
              </w:rPr>
              <w:t>89149 savivaldybės ir vietos valdžios institucijos</w:t>
            </w:r>
          </w:p>
        </w:tc>
        <w:tc>
          <w:tcPr>
            <w:tcW w:w="1805" w:type="dxa"/>
            <w:vAlign w:val="center"/>
          </w:tcPr>
          <w:p w:rsidR="009522DF" w:rsidRPr="004A4EC1" w:rsidRDefault="009522DF" w:rsidP="004A4EC1">
            <w:pPr>
              <w:jc w:val="center"/>
              <w:rPr>
                <w:sz w:val="20"/>
                <w:szCs w:val="18"/>
                <w:lang w:val="lt-LT"/>
              </w:rPr>
            </w:pPr>
            <w:r w:rsidRPr="004A4EC1">
              <w:rPr>
                <w:sz w:val="20"/>
                <w:szCs w:val="18"/>
                <w:lang w:val="lt-LT"/>
              </w:rPr>
              <w:t>1126 regionės ir tarpinės institucijos</w:t>
            </w:r>
          </w:p>
        </w:tc>
        <w:tc>
          <w:tcPr>
            <w:tcW w:w="2159" w:type="dxa"/>
            <w:vAlign w:val="center"/>
          </w:tcPr>
          <w:p w:rsidR="009522DF" w:rsidRPr="004A4EC1" w:rsidRDefault="009522DF" w:rsidP="004A4EC1">
            <w:pPr>
              <w:jc w:val="center"/>
              <w:rPr>
                <w:sz w:val="20"/>
                <w:szCs w:val="18"/>
                <w:lang w:val="lt-LT"/>
              </w:rPr>
            </w:pPr>
            <w:r w:rsidRPr="004A4EC1">
              <w:rPr>
                <w:sz w:val="20"/>
                <w:szCs w:val="18"/>
                <w:lang w:val="lt-LT"/>
              </w:rPr>
              <w:t>105 regionai</w:t>
            </w:r>
          </w:p>
        </w:tc>
        <w:tc>
          <w:tcPr>
            <w:tcW w:w="1272" w:type="dxa"/>
            <w:vAlign w:val="center"/>
          </w:tcPr>
          <w:p w:rsidR="009522DF" w:rsidRPr="00C229E3" w:rsidRDefault="00C229E3" w:rsidP="004A4EC1">
            <w:pPr>
              <w:jc w:val="center"/>
              <w:rPr>
                <w:sz w:val="20"/>
                <w:szCs w:val="18"/>
              </w:rPr>
            </w:pPr>
            <w:r>
              <w:rPr>
                <w:sz w:val="20"/>
                <w:szCs w:val="18"/>
              </w:rPr>
              <w:t>502,9</w:t>
            </w:r>
          </w:p>
        </w:tc>
        <w:tc>
          <w:tcPr>
            <w:tcW w:w="1135" w:type="dxa"/>
            <w:vAlign w:val="center"/>
          </w:tcPr>
          <w:p w:rsidR="009522DF" w:rsidRPr="004A4EC1" w:rsidRDefault="00C229E3" w:rsidP="004A4EC1">
            <w:pPr>
              <w:jc w:val="center"/>
              <w:rPr>
                <w:sz w:val="20"/>
                <w:szCs w:val="18"/>
                <w:lang w:val="lt-LT"/>
              </w:rPr>
            </w:pPr>
            <w:r>
              <w:rPr>
                <w:sz w:val="20"/>
                <w:szCs w:val="18"/>
                <w:lang w:val="lt-LT"/>
              </w:rPr>
              <w:t>4439425</w:t>
            </w:r>
          </w:p>
        </w:tc>
      </w:tr>
    </w:tbl>
    <w:p w:rsidR="00BB14AA" w:rsidRPr="00073B90" w:rsidRDefault="00073B90" w:rsidP="007C3B56">
      <w:pPr>
        <w:spacing w:line="360" w:lineRule="auto"/>
        <w:rPr>
          <w:b/>
          <w:sz w:val="20"/>
          <w:lang w:val="lt-LT"/>
        </w:rPr>
      </w:pPr>
      <w:r w:rsidRPr="00073B90">
        <w:rPr>
          <w:b/>
          <w:sz w:val="20"/>
          <w:lang w:val="lt-LT"/>
        </w:rPr>
        <w:t xml:space="preserve">Šaltinis: </w:t>
      </w:r>
      <w:r>
        <w:rPr>
          <w:sz w:val="20"/>
          <w:lang w:val="lt-LT"/>
        </w:rPr>
        <w:t>Dexia ir CEMR ataskaitos</w:t>
      </w:r>
    </w:p>
    <w:p w:rsidR="00BB14AA" w:rsidRDefault="00BB14AA" w:rsidP="007C3B56">
      <w:pPr>
        <w:spacing w:line="360" w:lineRule="auto"/>
        <w:rPr>
          <w:b/>
          <w:lang w:val="lt-LT"/>
        </w:rPr>
      </w:pPr>
    </w:p>
    <w:p w:rsidR="000550EB" w:rsidRDefault="000550EB" w:rsidP="007C3B56">
      <w:pPr>
        <w:spacing w:line="360" w:lineRule="auto"/>
        <w:rPr>
          <w:b/>
          <w:lang w:val="lt-LT"/>
        </w:rPr>
      </w:pPr>
    </w:p>
    <w:p w:rsidR="000550EB" w:rsidRDefault="000550EB" w:rsidP="007C3B56">
      <w:pPr>
        <w:spacing w:line="360" w:lineRule="auto"/>
        <w:rPr>
          <w:b/>
          <w:lang w:val="lt-LT"/>
        </w:rPr>
      </w:pPr>
    </w:p>
    <w:p w:rsidR="000550EB" w:rsidRDefault="000550EB" w:rsidP="007C3B56">
      <w:pPr>
        <w:spacing w:line="360" w:lineRule="auto"/>
        <w:rPr>
          <w:b/>
          <w:lang w:val="lt-LT"/>
        </w:rPr>
      </w:pPr>
    </w:p>
    <w:p w:rsidR="000550EB" w:rsidRDefault="000550EB" w:rsidP="007C3B56">
      <w:pPr>
        <w:spacing w:line="360" w:lineRule="auto"/>
        <w:rPr>
          <w:b/>
          <w:lang w:val="lt-LT"/>
        </w:rPr>
      </w:pPr>
    </w:p>
    <w:p w:rsidR="000550EB" w:rsidRDefault="000550EB" w:rsidP="007C3B56">
      <w:pPr>
        <w:spacing w:line="360" w:lineRule="auto"/>
        <w:rPr>
          <w:b/>
          <w:lang w:val="lt-LT"/>
        </w:rPr>
      </w:pPr>
    </w:p>
    <w:p w:rsidR="000550EB" w:rsidRDefault="000550EB" w:rsidP="007C3B56">
      <w:pPr>
        <w:spacing w:line="360" w:lineRule="auto"/>
        <w:rPr>
          <w:b/>
          <w:lang w:val="lt-LT"/>
        </w:rPr>
      </w:pPr>
    </w:p>
    <w:p w:rsidR="000550EB" w:rsidRDefault="000550EB" w:rsidP="007C3B56">
      <w:pPr>
        <w:spacing w:line="360" w:lineRule="auto"/>
        <w:rPr>
          <w:b/>
          <w:lang w:val="lt-LT"/>
        </w:rPr>
      </w:pPr>
    </w:p>
    <w:p w:rsidR="000550EB" w:rsidRDefault="000550EB" w:rsidP="007C3B56">
      <w:pPr>
        <w:spacing w:line="360" w:lineRule="auto"/>
        <w:rPr>
          <w:b/>
          <w:lang w:val="lt-LT"/>
        </w:rPr>
      </w:pPr>
    </w:p>
    <w:p w:rsidR="000550EB" w:rsidRDefault="000550EB" w:rsidP="007C3B56">
      <w:pPr>
        <w:spacing w:line="360" w:lineRule="auto"/>
        <w:rPr>
          <w:b/>
          <w:lang w:val="lt-LT"/>
        </w:rPr>
      </w:pPr>
    </w:p>
    <w:p w:rsidR="000550EB" w:rsidRDefault="000550EB" w:rsidP="007C3B56">
      <w:pPr>
        <w:spacing w:line="360" w:lineRule="auto"/>
        <w:rPr>
          <w:b/>
          <w:lang w:val="lt-LT"/>
        </w:rPr>
      </w:pPr>
    </w:p>
    <w:p w:rsidR="000550EB" w:rsidRDefault="000550EB" w:rsidP="007C3B56">
      <w:pPr>
        <w:spacing w:line="360" w:lineRule="auto"/>
        <w:rPr>
          <w:b/>
          <w:lang w:val="lt-LT"/>
        </w:rPr>
      </w:pPr>
    </w:p>
    <w:p w:rsidR="000550EB" w:rsidRDefault="000550EB" w:rsidP="007C3B56">
      <w:pPr>
        <w:spacing w:line="360" w:lineRule="auto"/>
        <w:rPr>
          <w:b/>
          <w:lang w:val="lt-LT"/>
        </w:rPr>
      </w:pPr>
    </w:p>
    <w:p w:rsidR="000550EB" w:rsidRDefault="000550EB" w:rsidP="007C3B56">
      <w:pPr>
        <w:spacing w:line="360" w:lineRule="auto"/>
        <w:rPr>
          <w:b/>
          <w:lang w:val="lt-LT"/>
        </w:rPr>
      </w:pPr>
    </w:p>
    <w:p w:rsidR="000550EB" w:rsidRDefault="000550EB" w:rsidP="007C3B56">
      <w:pPr>
        <w:spacing w:line="360" w:lineRule="auto"/>
        <w:rPr>
          <w:b/>
          <w:lang w:val="lt-LT"/>
        </w:rPr>
      </w:pPr>
    </w:p>
    <w:p w:rsidR="000550EB" w:rsidRDefault="000550EB" w:rsidP="007C3B56">
      <w:pPr>
        <w:spacing w:line="360" w:lineRule="auto"/>
        <w:rPr>
          <w:b/>
          <w:lang w:val="lt-LT"/>
        </w:rPr>
      </w:pPr>
    </w:p>
    <w:p w:rsidR="000550EB" w:rsidRDefault="000550EB" w:rsidP="007C3B56">
      <w:pPr>
        <w:spacing w:line="360" w:lineRule="auto"/>
        <w:rPr>
          <w:b/>
          <w:lang w:val="lt-LT"/>
        </w:rPr>
      </w:pPr>
    </w:p>
    <w:p w:rsidR="000550EB" w:rsidRDefault="000550EB" w:rsidP="007C3B56">
      <w:pPr>
        <w:spacing w:line="360" w:lineRule="auto"/>
        <w:rPr>
          <w:b/>
          <w:lang w:val="lt-LT"/>
        </w:rPr>
      </w:pPr>
    </w:p>
    <w:p w:rsidR="000550EB" w:rsidRDefault="000550EB" w:rsidP="007C3B56">
      <w:pPr>
        <w:spacing w:line="360" w:lineRule="auto"/>
        <w:rPr>
          <w:b/>
          <w:lang w:val="lt-LT"/>
        </w:rPr>
      </w:pPr>
    </w:p>
    <w:p w:rsidR="00BB14AA" w:rsidRDefault="00BB14AA" w:rsidP="007C3B56">
      <w:pPr>
        <w:spacing w:line="360" w:lineRule="auto"/>
        <w:rPr>
          <w:b/>
          <w:lang w:val="lt-LT"/>
        </w:rPr>
      </w:pPr>
    </w:p>
    <w:p w:rsidR="00A31D10" w:rsidRPr="00A31D10" w:rsidRDefault="00A31D10" w:rsidP="00A31D10">
      <w:pPr>
        <w:spacing w:line="360" w:lineRule="auto"/>
        <w:jc w:val="right"/>
        <w:rPr>
          <w:b/>
        </w:rPr>
      </w:pPr>
      <w:r>
        <w:rPr>
          <w:b/>
        </w:rPr>
        <w:lastRenderedPageBreak/>
        <w:t>5 PRIEDAS</w:t>
      </w:r>
    </w:p>
    <w:p w:rsidR="00A61C06" w:rsidRDefault="00A61C06" w:rsidP="00C62571">
      <w:pPr>
        <w:pStyle w:val="Heading4"/>
        <w:rPr>
          <w:lang w:val="lt-LT"/>
        </w:rPr>
      </w:pPr>
      <w:bookmarkStart w:id="101" w:name="_Toc385241719"/>
      <w:bookmarkStart w:id="102" w:name="_Toc385241840"/>
      <w:r>
        <w:rPr>
          <w:lang w:val="lt-LT"/>
        </w:rPr>
        <w:t xml:space="preserve">ES ŠALIŲ NARIŲ </w:t>
      </w:r>
      <w:r w:rsidR="00E03AEA">
        <w:rPr>
          <w:lang w:val="lt-LT"/>
        </w:rPr>
        <w:t xml:space="preserve">IŠLAIDOS PAGAL SUBSEKTORIUS </w:t>
      </w:r>
      <w:r w:rsidR="00E03AEA">
        <w:t>2012 M. MLN. EUR</w:t>
      </w:r>
      <w:r w:rsidR="00E03AEA">
        <w:rPr>
          <w:lang w:val="lt-LT"/>
        </w:rPr>
        <w:t>Ų</w:t>
      </w:r>
      <w:bookmarkEnd w:id="101"/>
      <w:bookmarkEnd w:id="102"/>
    </w:p>
    <w:p w:rsidR="00A31D10" w:rsidRPr="00E03AEA" w:rsidRDefault="00A31D10" w:rsidP="007C3B56">
      <w:pPr>
        <w:spacing w:line="360" w:lineRule="auto"/>
        <w:rPr>
          <w:b/>
          <w:lang w:val="lt-L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2410"/>
        <w:gridCol w:w="1843"/>
        <w:gridCol w:w="1717"/>
        <w:gridCol w:w="1717"/>
      </w:tblGrid>
      <w:tr w:rsidR="00880BC7" w:rsidRPr="00387C0F" w:rsidTr="00A31D10">
        <w:trPr>
          <w:jc w:val="center"/>
        </w:trPr>
        <w:tc>
          <w:tcPr>
            <w:tcW w:w="817" w:type="dxa"/>
            <w:tcBorders>
              <w:top w:val="single" w:sz="12" w:space="0" w:color="auto"/>
              <w:left w:val="single" w:sz="12" w:space="0" w:color="auto"/>
              <w:bottom w:val="single" w:sz="12" w:space="0" w:color="auto"/>
              <w:right w:val="single" w:sz="6" w:space="0" w:color="auto"/>
            </w:tcBorders>
            <w:shd w:val="clear" w:color="auto" w:fill="auto"/>
            <w:vAlign w:val="center"/>
          </w:tcPr>
          <w:p w:rsidR="00C402C1" w:rsidRPr="0073127B" w:rsidRDefault="00C402C1" w:rsidP="0073127B">
            <w:pPr>
              <w:spacing w:line="360" w:lineRule="auto"/>
              <w:jc w:val="center"/>
              <w:rPr>
                <w:sz w:val="18"/>
                <w:szCs w:val="18"/>
                <w:lang w:val="lt-LT"/>
              </w:rPr>
            </w:pPr>
          </w:p>
        </w:tc>
        <w:tc>
          <w:tcPr>
            <w:tcW w:w="2410" w:type="dxa"/>
            <w:tcBorders>
              <w:top w:val="single" w:sz="12" w:space="0" w:color="auto"/>
              <w:left w:val="single" w:sz="6" w:space="0" w:color="auto"/>
              <w:bottom w:val="single" w:sz="12" w:space="0" w:color="auto"/>
              <w:right w:val="single" w:sz="6" w:space="0" w:color="auto"/>
            </w:tcBorders>
            <w:shd w:val="clear" w:color="auto" w:fill="auto"/>
            <w:vAlign w:val="center"/>
          </w:tcPr>
          <w:tbl>
            <w:tblPr>
              <w:tblW w:w="1865" w:type="dxa"/>
              <w:tblCellMar>
                <w:left w:w="0" w:type="dxa"/>
                <w:right w:w="0" w:type="dxa"/>
              </w:tblCellMar>
              <w:tblLook w:val="04A0" w:firstRow="1" w:lastRow="0" w:firstColumn="1" w:lastColumn="0" w:noHBand="0" w:noVBand="1"/>
            </w:tblPr>
            <w:tblGrid>
              <w:gridCol w:w="1865"/>
            </w:tblGrid>
            <w:tr w:rsidR="00C402C1" w:rsidRPr="008E4AF8" w:rsidTr="00387C0F">
              <w:trPr>
                <w:trHeight w:val="389"/>
              </w:trPr>
              <w:tc>
                <w:tcPr>
                  <w:tcW w:w="1865" w:type="dxa"/>
                  <w:tcBorders>
                    <w:top w:val="nil"/>
                    <w:left w:val="nil"/>
                    <w:bottom w:val="nil"/>
                    <w:right w:val="nil"/>
                  </w:tcBorders>
                  <w:shd w:val="clear" w:color="auto" w:fill="auto"/>
                  <w:noWrap/>
                  <w:tcMar>
                    <w:top w:w="15" w:type="dxa"/>
                    <w:left w:w="15" w:type="dxa"/>
                    <w:bottom w:w="0" w:type="dxa"/>
                    <w:right w:w="15" w:type="dxa"/>
                  </w:tcMar>
                  <w:vAlign w:val="center"/>
                  <w:hideMark/>
                </w:tcPr>
                <w:p w:rsidR="00C402C1" w:rsidRPr="008E4AF8" w:rsidRDefault="00387C0F" w:rsidP="00387C0F">
                  <w:pPr>
                    <w:jc w:val="center"/>
                    <w:rPr>
                      <w:b/>
                      <w:bCs/>
                      <w:sz w:val="18"/>
                      <w:szCs w:val="18"/>
                    </w:rPr>
                  </w:pPr>
                  <w:r w:rsidRPr="008E4AF8">
                    <w:rPr>
                      <w:b/>
                      <w:bCs/>
                      <w:sz w:val="18"/>
                      <w:szCs w:val="18"/>
                    </w:rPr>
                    <w:t>Centrinė valdžia</w:t>
                  </w:r>
                </w:p>
              </w:tc>
            </w:tr>
          </w:tbl>
          <w:p w:rsidR="00C402C1" w:rsidRPr="0073127B" w:rsidRDefault="00C402C1" w:rsidP="0073127B">
            <w:pPr>
              <w:jc w:val="center"/>
              <w:rPr>
                <w:b/>
                <w:sz w:val="18"/>
                <w:szCs w:val="18"/>
              </w:rPr>
            </w:pPr>
          </w:p>
        </w:tc>
        <w:tc>
          <w:tcPr>
            <w:tcW w:w="1843" w:type="dxa"/>
            <w:tcBorders>
              <w:top w:val="single" w:sz="12" w:space="0" w:color="auto"/>
              <w:left w:val="single" w:sz="6" w:space="0" w:color="auto"/>
              <w:bottom w:val="single" w:sz="12" w:space="0" w:color="auto"/>
              <w:right w:val="single" w:sz="6" w:space="0" w:color="auto"/>
            </w:tcBorders>
            <w:shd w:val="clear" w:color="auto" w:fill="auto"/>
            <w:vAlign w:val="center"/>
          </w:tcPr>
          <w:p w:rsidR="00C402C1" w:rsidRPr="0073127B" w:rsidRDefault="00387C0F" w:rsidP="0073127B">
            <w:pPr>
              <w:jc w:val="center"/>
              <w:rPr>
                <w:b/>
                <w:sz w:val="18"/>
                <w:szCs w:val="18"/>
              </w:rPr>
            </w:pPr>
            <w:r w:rsidRPr="0073127B">
              <w:rPr>
                <w:b/>
                <w:sz w:val="18"/>
                <w:szCs w:val="18"/>
              </w:rPr>
              <w:t>Regioninė valdžia</w:t>
            </w:r>
          </w:p>
        </w:tc>
        <w:tc>
          <w:tcPr>
            <w:tcW w:w="1717" w:type="dxa"/>
            <w:tcBorders>
              <w:top w:val="single" w:sz="12" w:space="0" w:color="auto"/>
              <w:left w:val="single" w:sz="6" w:space="0" w:color="auto"/>
              <w:bottom w:val="single" w:sz="12" w:space="0" w:color="auto"/>
              <w:right w:val="single" w:sz="6" w:space="0" w:color="auto"/>
            </w:tcBorders>
            <w:shd w:val="clear" w:color="auto" w:fill="auto"/>
            <w:vAlign w:val="center"/>
          </w:tcPr>
          <w:p w:rsidR="00C402C1" w:rsidRPr="0073127B" w:rsidRDefault="00387C0F" w:rsidP="0073127B">
            <w:pPr>
              <w:jc w:val="center"/>
              <w:rPr>
                <w:b/>
                <w:sz w:val="18"/>
                <w:szCs w:val="18"/>
              </w:rPr>
            </w:pPr>
            <w:r w:rsidRPr="0073127B">
              <w:rPr>
                <w:b/>
                <w:sz w:val="18"/>
                <w:szCs w:val="18"/>
              </w:rPr>
              <w:t>Vietinė valdžia</w:t>
            </w:r>
          </w:p>
        </w:tc>
        <w:tc>
          <w:tcPr>
            <w:tcW w:w="1717" w:type="dxa"/>
            <w:tcBorders>
              <w:top w:val="single" w:sz="12" w:space="0" w:color="auto"/>
              <w:left w:val="single" w:sz="6" w:space="0" w:color="auto"/>
              <w:bottom w:val="single" w:sz="12" w:space="0" w:color="auto"/>
              <w:right w:val="single" w:sz="12" w:space="0" w:color="auto"/>
            </w:tcBorders>
            <w:shd w:val="clear" w:color="auto" w:fill="auto"/>
            <w:vAlign w:val="center"/>
          </w:tcPr>
          <w:p w:rsidR="00C402C1" w:rsidRPr="0073127B" w:rsidRDefault="00387C0F" w:rsidP="0073127B">
            <w:pPr>
              <w:jc w:val="center"/>
              <w:rPr>
                <w:b/>
                <w:sz w:val="18"/>
                <w:szCs w:val="18"/>
              </w:rPr>
            </w:pPr>
            <w:r w:rsidRPr="0073127B">
              <w:rPr>
                <w:b/>
                <w:sz w:val="18"/>
                <w:szCs w:val="18"/>
              </w:rPr>
              <w:t>Socialinė apsauga</w:t>
            </w:r>
          </w:p>
        </w:tc>
      </w:tr>
      <w:tr w:rsidR="00880BC7" w:rsidRPr="00387C0F" w:rsidTr="00A31D10">
        <w:trPr>
          <w:jc w:val="center"/>
        </w:trPr>
        <w:tc>
          <w:tcPr>
            <w:tcW w:w="817" w:type="dxa"/>
            <w:tcBorders>
              <w:top w:val="single" w:sz="12" w:space="0" w:color="auto"/>
              <w:left w:val="single" w:sz="12" w:space="0" w:color="auto"/>
              <w:bottom w:val="single" w:sz="12" w:space="0" w:color="auto"/>
              <w:right w:val="single" w:sz="6" w:space="0" w:color="auto"/>
            </w:tcBorders>
            <w:shd w:val="clear" w:color="auto" w:fill="auto"/>
            <w:vAlign w:val="center"/>
          </w:tcPr>
          <w:p w:rsidR="00C402C1" w:rsidRPr="0073127B" w:rsidRDefault="00C402C1" w:rsidP="0073127B">
            <w:pPr>
              <w:spacing w:line="360" w:lineRule="auto"/>
              <w:jc w:val="center"/>
              <w:rPr>
                <w:b/>
                <w:sz w:val="18"/>
                <w:szCs w:val="18"/>
                <w:lang w:val="lt-LT"/>
              </w:rPr>
            </w:pPr>
            <w:r w:rsidRPr="0073127B">
              <w:rPr>
                <w:b/>
                <w:sz w:val="18"/>
                <w:szCs w:val="18"/>
                <w:lang w:val="lt-LT"/>
              </w:rPr>
              <w:t>EU27</w:t>
            </w:r>
          </w:p>
        </w:tc>
        <w:tc>
          <w:tcPr>
            <w:tcW w:w="2410" w:type="dxa"/>
            <w:tcBorders>
              <w:top w:val="single" w:sz="12" w:space="0" w:color="auto"/>
              <w:left w:val="single" w:sz="6" w:space="0" w:color="auto"/>
              <w:bottom w:val="single" w:sz="12" w:space="0" w:color="auto"/>
              <w:right w:val="single" w:sz="6" w:space="0" w:color="auto"/>
            </w:tcBorders>
            <w:shd w:val="clear" w:color="auto" w:fill="auto"/>
            <w:vAlign w:val="center"/>
          </w:tcPr>
          <w:p w:rsidR="00C402C1" w:rsidRPr="0073127B" w:rsidRDefault="00443899" w:rsidP="0073127B">
            <w:pPr>
              <w:spacing w:line="360" w:lineRule="auto"/>
              <w:jc w:val="center"/>
              <w:rPr>
                <w:b/>
                <w:sz w:val="18"/>
                <w:szCs w:val="18"/>
                <w:lang w:val="lt-LT"/>
              </w:rPr>
            </w:pPr>
            <w:r w:rsidRPr="0073127B">
              <w:rPr>
                <w:b/>
                <w:sz w:val="18"/>
                <w:szCs w:val="18"/>
                <w:lang w:val="lt-LT"/>
              </w:rPr>
              <w:t>3483233</w:t>
            </w:r>
          </w:p>
        </w:tc>
        <w:tc>
          <w:tcPr>
            <w:tcW w:w="1843" w:type="dxa"/>
            <w:tcBorders>
              <w:top w:val="single" w:sz="12" w:space="0" w:color="auto"/>
              <w:left w:val="single" w:sz="6" w:space="0" w:color="auto"/>
              <w:bottom w:val="single" w:sz="12" w:space="0" w:color="auto"/>
              <w:right w:val="single" w:sz="6" w:space="0" w:color="auto"/>
            </w:tcBorders>
            <w:shd w:val="clear" w:color="auto" w:fill="auto"/>
            <w:vAlign w:val="center"/>
          </w:tcPr>
          <w:p w:rsidR="00C402C1" w:rsidRPr="0073127B" w:rsidRDefault="00443899" w:rsidP="0073127B">
            <w:pPr>
              <w:spacing w:line="360" w:lineRule="auto"/>
              <w:jc w:val="center"/>
              <w:rPr>
                <w:b/>
                <w:sz w:val="18"/>
                <w:szCs w:val="18"/>
                <w:lang w:val="lt-LT"/>
              </w:rPr>
            </w:pPr>
            <w:r w:rsidRPr="0073127B">
              <w:rPr>
                <w:b/>
                <w:sz w:val="18"/>
                <w:szCs w:val="18"/>
                <w:lang w:val="lt-LT"/>
              </w:rPr>
              <w:t>613799,5</w:t>
            </w:r>
          </w:p>
        </w:tc>
        <w:tc>
          <w:tcPr>
            <w:tcW w:w="1717" w:type="dxa"/>
            <w:tcBorders>
              <w:top w:val="single" w:sz="12" w:space="0" w:color="auto"/>
              <w:left w:val="single" w:sz="6" w:space="0" w:color="auto"/>
              <w:bottom w:val="single" w:sz="12" w:space="0" w:color="auto"/>
              <w:right w:val="single" w:sz="6" w:space="0" w:color="auto"/>
            </w:tcBorders>
            <w:shd w:val="clear" w:color="auto" w:fill="auto"/>
            <w:vAlign w:val="center"/>
          </w:tcPr>
          <w:p w:rsidR="00C402C1" w:rsidRPr="0073127B" w:rsidRDefault="00443899" w:rsidP="0073127B">
            <w:pPr>
              <w:spacing w:line="360" w:lineRule="auto"/>
              <w:jc w:val="center"/>
              <w:rPr>
                <w:b/>
                <w:sz w:val="18"/>
                <w:szCs w:val="18"/>
                <w:lang w:val="lt-LT"/>
              </w:rPr>
            </w:pPr>
            <w:r w:rsidRPr="0073127B">
              <w:rPr>
                <w:b/>
                <w:sz w:val="18"/>
                <w:szCs w:val="18"/>
                <w:lang w:val="lt-LT"/>
              </w:rPr>
              <w:t>1526276</w:t>
            </w:r>
          </w:p>
        </w:tc>
        <w:tc>
          <w:tcPr>
            <w:tcW w:w="1717" w:type="dxa"/>
            <w:tcBorders>
              <w:top w:val="single" w:sz="12" w:space="0" w:color="auto"/>
              <w:left w:val="single" w:sz="6" w:space="0" w:color="auto"/>
              <w:bottom w:val="single" w:sz="12" w:space="0" w:color="auto"/>
              <w:right w:val="single" w:sz="12" w:space="0" w:color="auto"/>
            </w:tcBorders>
            <w:shd w:val="clear" w:color="auto" w:fill="auto"/>
            <w:vAlign w:val="center"/>
          </w:tcPr>
          <w:p w:rsidR="00C402C1" w:rsidRPr="0073127B" w:rsidRDefault="00443899" w:rsidP="0073127B">
            <w:pPr>
              <w:spacing w:line="360" w:lineRule="auto"/>
              <w:jc w:val="center"/>
              <w:rPr>
                <w:b/>
                <w:sz w:val="18"/>
                <w:szCs w:val="18"/>
                <w:lang w:val="lt-LT"/>
              </w:rPr>
            </w:pPr>
            <w:r w:rsidRPr="0073127B">
              <w:rPr>
                <w:b/>
                <w:sz w:val="18"/>
                <w:szCs w:val="18"/>
                <w:lang w:val="lt-LT"/>
              </w:rPr>
              <w:t>2099413</w:t>
            </w:r>
          </w:p>
        </w:tc>
      </w:tr>
      <w:tr w:rsidR="00880BC7" w:rsidRPr="00387C0F" w:rsidTr="00A31D10">
        <w:trPr>
          <w:jc w:val="center"/>
        </w:trPr>
        <w:tc>
          <w:tcPr>
            <w:tcW w:w="817" w:type="dxa"/>
            <w:tcBorders>
              <w:top w:val="single" w:sz="12" w:space="0" w:color="auto"/>
              <w:left w:val="single" w:sz="12" w:space="0" w:color="auto"/>
              <w:bottom w:val="single" w:sz="6" w:space="0" w:color="auto"/>
              <w:right w:val="single" w:sz="12" w:space="0" w:color="auto"/>
            </w:tcBorders>
            <w:shd w:val="clear" w:color="auto" w:fill="auto"/>
            <w:vAlign w:val="center"/>
          </w:tcPr>
          <w:p w:rsidR="00C402C1" w:rsidRPr="0073127B" w:rsidRDefault="00C402C1" w:rsidP="0073127B">
            <w:pPr>
              <w:spacing w:line="360" w:lineRule="auto"/>
              <w:jc w:val="center"/>
              <w:rPr>
                <w:b/>
                <w:sz w:val="18"/>
                <w:szCs w:val="18"/>
                <w:lang w:val="lt-LT"/>
              </w:rPr>
            </w:pPr>
            <w:r w:rsidRPr="0073127B">
              <w:rPr>
                <w:b/>
                <w:sz w:val="18"/>
                <w:szCs w:val="18"/>
                <w:lang w:val="lt-LT"/>
              </w:rPr>
              <w:t>LT</w:t>
            </w:r>
          </w:p>
        </w:tc>
        <w:tc>
          <w:tcPr>
            <w:tcW w:w="2410" w:type="dxa"/>
            <w:tcBorders>
              <w:top w:val="single" w:sz="12" w:space="0" w:color="auto"/>
              <w:left w:val="single" w:sz="12" w:space="0" w:color="auto"/>
              <w:bottom w:val="single" w:sz="6" w:space="0" w:color="auto"/>
              <w:right w:val="single" w:sz="6" w:space="0" w:color="auto"/>
            </w:tcBorders>
            <w:shd w:val="clear" w:color="auto" w:fill="auto"/>
            <w:vAlign w:val="center"/>
          </w:tcPr>
          <w:p w:rsidR="00C402C1" w:rsidRPr="0073127B" w:rsidRDefault="00443899" w:rsidP="0073127B">
            <w:pPr>
              <w:spacing w:line="360" w:lineRule="auto"/>
              <w:jc w:val="center"/>
              <w:rPr>
                <w:sz w:val="18"/>
                <w:szCs w:val="18"/>
                <w:lang w:val="lt-LT"/>
              </w:rPr>
            </w:pPr>
            <w:r w:rsidRPr="0073127B">
              <w:rPr>
                <w:sz w:val="18"/>
                <w:szCs w:val="18"/>
                <w:lang w:val="lt-LT"/>
              </w:rPr>
              <w:t>7024,1</w:t>
            </w:r>
          </w:p>
        </w:tc>
        <w:tc>
          <w:tcPr>
            <w:tcW w:w="1843" w:type="dxa"/>
            <w:tcBorders>
              <w:top w:val="single" w:sz="12" w:space="0" w:color="auto"/>
              <w:left w:val="single" w:sz="6" w:space="0" w:color="auto"/>
              <w:bottom w:val="single" w:sz="6" w:space="0" w:color="auto"/>
              <w:right w:val="single" w:sz="6" w:space="0" w:color="auto"/>
            </w:tcBorders>
            <w:shd w:val="clear" w:color="auto" w:fill="auto"/>
            <w:vAlign w:val="center"/>
          </w:tcPr>
          <w:p w:rsidR="00C402C1" w:rsidRPr="0073127B" w:rsidRDefault="00C402C1" w:rsidP="0073127B">
            <w:pPr>
              <w:spacing w:line="360" w:lineRule="auto"/>
              <w:jc w:val="center"/>
              <w:rPr>
                <w:sz w:val="18"/>
                <w:szCs w:val="18"/>
                <w:lang w:val="lt-LT"/>
              </w:rPr>
            </w:pPr>
          </w:p>
        </w:tc>
        <w:tc>
          <w:tcPr>
            <w:tcW w:w="1717" w:type="dxa"/>
            <w:tcBorders>
              <w:top w:val="single" w:sz="12" w:space="0" w:color="auto"/>
              <w:left w:val="single" w:sz="6" w:space="0" w:color="auto"/>
              <w:bottom w:val="single" w:sz="6" w:space="0" w:color="auto"/>
              <w:right w:val="single" w:sz="6" w:space="0" w:color="auto"/>
            </w:tcBorders>
            <w:shd w:val="clear" w:color="auto" w:fill="auto"/>
            <w:vAlign w:val="center"/>
          </w:tcPr>
          <w:p w:rsidR="00C402C1" w:rsidRPr="0073127B" w:rsidRDefault="005232AB" w:rsidP="0073127B">
            <w:pPr>
              <w:spacing w:line="360" w:lineRule="auto"/>
              <w:jc w:val="center"/>
              <w:rPr>
                <w:sz w:val="18"/>
                <w:szCs w:val="18"/>
                <w:lang w:val="lt-LT"/>
              </w:rPr>
            </w:pPr>
            <w:r w:rsidRPr="0073127B">
              <w:rPr>
                <w:sz w:val="18"/>
                <w:szCs w:val="18"/>
                <w:lang w:val="lt-LT"/>
              </w:rPr>
              <w:t>3109</w:t>
            </w:r>
          </w:p>
        </w:tc>
        <w:tc>
          <w:tcPr>
            <w:tcW w:w="1717" w:type="dxa"/>
            <w:tcBorders>
              <w:top w:val="single" w:sz="12" w:space="0" w:color="auto"/>
              <w:left w:val="single" w:sz="6" w:space="0" w:color="auto"/>
              <w:bottom w:val="single" w:sz="6" w:space="0" w:color="auto"/>
              <w:right w:val="single" w:sz="12" w:space="0" w:color="auto"/>
            </w:tcBorders>
            <w:shd w:val="clear" w:color="auto" w:fill="auto"/>
            <w:vAlign w:val="center"/>
          </w:tcPr>
          <w:p w:rsidR="00C402C1" w:rsidRPr="0073127B" w:rsidRDefault="005232AB" w:rsidP="0073127B">
            <w:pPr>
              <w:spacing w:line="360" w:lineRule="auto"/>
              <w:jc w:val="center"/>
              <w:rPr>
                <w:sz w:val="18"/>
                <w:szCs w:val="18"/>
                <w:lang w:val="lt-LT"/>
              </w:rPr>
            </w:pPr>
            <w:r w:rsidRPr="0073127B">
              <w:rPr>
                <w:sz w:val="18"/>
                <w:szCs w:val="18"/>
                <w:lang w:val="lt-LT"/>
              </w:rPr>
              <w:t>4295,5</w:t>
            </w:r>
          </w:p>
        </w:tc>
      </w:tr>
      <w:tr w:rsidR="00880BC7" w:rsidRPr="00387C0F" w:rsidTr="00A31D10">
        <w:trPr>
          <w:jc w:val="center"/>
        </w:trPr>
        <w:tc>
          <w:tcPr>
            <w:tcW w:w="817" w:type="dxa"/>
            <w:tcBorders>
              <w:top w:val="single" w:sz="6" w:space="0" w:color="auto"/>
              <w:left w:val="single" w:sz="12" w:space="0" w:color="auto"/>
              <w:bottom w:val="single" w:sz="6" w:space="0" w:color="auto"/>
              <w:right w:val="single" w:sz="12" w:space="0" w:color="auto"/>
            </w:tcBorders>
            <w:shd w:val="clear" w:color="auto" w:fill="auto"/>
            <w:vAlign w:val="center"/>
          </w:tcPr>
          <w:p w:rsidR="00C402C1" w:rsidRPr="0073127B" w:rsidRDefault="00C402C1" w:rsidP="0073127B">
            <w:pPr>
              <w:spacing w:line="360" w:lineRule="auto"/>
              <w:jc w:val="center"/>
              <w:rPr>
                <w:b/>
                <w:sz w:val="18"/>
                <w:szCs w:val="18"/>
                <w:lang w:val="lt-LT"/>
              </w:rPr>
            </w:pPr>
            <w:r w:rsidRPr="0073127B">
              <w:rPr>
                <w:b/>
                <w:sz w:val="18"/>
                <w:szCs w:val="18"/>
                <w:lang w:val="lt-LT"/>
              </w:rPr>
              <w:t>BE</w:t>
            </w:r>
          </w:p>
        </w:tc>
        <w:tc>
          <w:tcPr>
            <w:tcW w:w="2410" w:type="dxa"/>
            <w:tcBorders>
              <w:top w:val="single" w:sz="6" w:space="0" w:color="auto"/>
              <w:left w:val="single" w:sz="12" w:space="0" w:color="auto"/>
              <w:bottom w:val="single" w:sz="6" w:space="0" w:color="auto"/>
              <w:right w:val="single" w:sz="6" w:space="0" w:color="auto"/>
            </w:tcBorders>
            <w:shd w:val="clear" w:color="auto" w:fill="auto"/>
            <w:vAlign w:val="center"/>
          </w:tcPr>
          <w:p w:rsidR="00C402C1" w:rsidRPr="0073127B" w:rsidRDefault="005232AB" w:rsidP="0073127B">
            <w:pPr>
              <w:jc w:val="center"/>
              <w:rPr>
                <w:bCs/>
                <w:sz w:val="18"/>
                <w:szCs w:val="18"/>
              </w:rPr>
            </w:pPr>
            <w:r w:rsidRPr="0073127B">
              <w:rPr>
                <w:bCs/>
                <w:sz w:val="18"/>
                <w:szCs w:val="18"/>
              </w:rPr>
              <w:t>118298,2</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C402C1" w:rsidRPr="0073127B" w:rsidRDefault="005232AB" w:rsidP="0073127B">
            <w:pPr>
              <w:jc w:val="center"/>
              <w:rPr>
                <w:bCs/>
                <w:sz w:val="18"/>
                <w:szCs w:val="18"/>
              </w:rPr>
            </w:pPr>
            <w:r w:rsidRPr="0073127B">
              <w:rPr>
                <w:bCs/>
                <w:sz w:val="18"/>
                <w:szCs w:val="18"/>
              </w:rPr>
              <w:t>57610,2</w:t>
            </w:r>
          </w:p>
        </w:tc>
        <w:tc>
          <w:tcPr>
            <w:tcW w:w="1717" w:type="dxa"/>
            <w:tcBorders>
              <w:top w:val="single" w:sz="6" w:space="0" w:color="auto"/>
              <w:left w:val="single" w:sz="6" w:space="0" w:color="auto"/>
              <w:bottom w:val="single" w:sz="6" w:space="0" w:color="auto"/>
              <w:right w:val="single" w:sz="6" w:space="0" w:color="auto"/>
            </w:tcBorders>
            <w:shd w:val="clear" w:color="auto" w:fill="auto"/>
            <w:vAlign w:val="center"/>
          </w:tcPr>
          <w:p w:rsidR="00C402C1" w:rsidRPr="0073127B" w:rsidRDefault="005232AB" w:rsidP="0073127B">
            <w:pPr>
              <w:jc w:val="center"/>
              <w:rPr>
                <w:bCs/>
                <w:sz w:val="18"/>
                <w:szCs w:val="18"/>
              </w:rPr>
            </w:pPr>
            <w:r w:rsidRPr="0073127B">
              <w:rPr>
                <w:bCs/>
                <w:sz w:val="18"/>
                <w:szCs w:val="18"/>
              </w:rPr>
              <w:t>27569,4</w:t>
            </w:r>
          </w:p>
        </w:tc>
        <w:tc>
          <w:tcPr>
            <w:tcW w:w="1717" w:type="dxa"/>
            <w:tcBorders>
              <w:top w:val="single" w:sz="6" w:space="0" w:color="auto"/>
              <w:left w:val="single" w:sz="6" w:space="0" w:color="auto"/>
              <w:bottom w:val="single" w:sz="6" w:space="0" w:color="auto"/>
              <w:right w:val="single" w:sz="12" w:space="0" w:color="auto"/>
            </w:tcBorders>
            <w:shd w:val="clear" w:color="auto" w:fill="auto"/>
            <w:vAlign w:val="center"/>
          </w:tcPr>
          <w:p w:rsidR="00C402C1" w:rsidRPr="0073127B" w:rsidRDefault="005232AB" w:rsidP="0073127B">
            <w:pPr>
              <w:jc w:val="center"/>
              <w:rPr>
                <w:bCs/>
                <w:sz w:val="18"/>
                <w:szCs w:val="18"/>
              </w:rPr>
            </w:pPr>
            <w:r w:rsidRPr="0073127B">
              <w:rPr>
                <w:bCs/>
                <w:sz w:val="18"/>
                <w:szCs w:val="18"/>
              </w:rPr>
              <w:t>83294,2</w:t>
            </w:r>
          </w:p>
        </w:tc>
      </w:tr>
      <w:tr w:rsidR="00880BC7" w:rsidRPr="00387C0F" w:rsidTr="00A31D10">
        <w:trPr>
          <w:jc w:val="center"/>
        </w:trPr>
        <w:tc>
          <w:tcPr>
            <w:tcW w:w="817" w:type="dxa"/>
            <w:tcBorders>
              <w:top w:val="single" w:sz="6" w:space="0" w:color="auto"/>
              <w:left w:val="single" w:sz="12" w:space="0" w:color="auto"/>
              <w:bottom w:val="single" w:sz="6" w:space="0" w:color="auto"/>
              <w:right w:val="single" w:sz="12" w:space="0" w:color="auto"/>
            </w:tcBorders>
            <w:shd w:val="clear" w:color="auto" w:fill="auto"/>
            <w:vAlign w:val="center"/>
          </w:tcPr>
          <w:p w:rsidR="00C402C1" w:rsidRPr="0073127B" w:rsidRDefault="00C402C1" w:rsidP="0073127B">
            <w:pPr>
              <w:spacing w:line="360" w:lineRule="auto"/>
              <w:jc w:val="center"/>
              <w:rPr>
                <w:b/>
                <w:sz w:val="18"/>
                <w:szCs w:val="18"/>
                <w:lang w:val="lt-LT"/>
              </w:rPr>
            </w:pPr>
            <w:r w:rsidRPr="0073127B">
              <w:rPr>
                <w:b/>
                <w:sz w:val="18"/>
                <w:szCs w:val="18"/>
                <w:lang w:val="lt-LT"/>
              </w:rPr>
              <w:t>BG</w:t>
            </w:r>
          </w:p>
        </w:tc>
        <w:tc>
          <w:tcPr>
            <w:tcW w:w="2410" w:type="dxa"/>
            <w:tcBorders>
              <w:top w:val="single" w:sz="6" w:space="0" w:color="auto"/>
              <w:left w:val="single" w:sz="12" w:space="0" w:color="auto"/>
              <w:bottom w:val="single" w:sz="6" w:space="0" w:color="auto"/>
              <w:right w:val="single" w:sz="6" w:space="0" w:color="auto"/>
            </w:tcBorders>
            <w:shd w:val="clear" w:color="auto" w:fill="auto"/>
            <w:vAlign w:val="center"/>
          </w:tcPr>
          <w:p w:rsidR="00C402C1" w:rsidRPr="0073127B" w:rsidRDefault="005232AB" w:rsidP="0073127B">
            <w:pPr>
              <w:jc w:val="center"/>
              <w:rPr>
                <w:bCs/>
                <w:sz w:val="18"/>
                <w:szCs w:val="18"/>
              </w:rPr>
            </w:pPr>
            <w:r w:rsidRPr="0073127B">
              <w:rPr>
                <w:bCs/>
                <w:sz w:val="18"/>
                <w:szCs w:val="18"/>
              </w:rPr>
              <w:t>10958,7</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C402C1" w:rsidRPr="0073127B" w:rsidRDefault="00C402C1" w:rsidP="0073127B">
            <w:pPr>
              <w:spacing w:line="360" w:lineRule="auto"/>
              <w:jc w:val="center"/>
              <w:rPr>
                <w:sz w:val="18"/>
                <w:szCs w:val="18"/>
                <w:lang w:val="lt-LT"/>
              </w:rPr>
            </w:pPr>
          </w:p>
        </w:tc>
        <w:tc>
          <w:tcPr>
            <w:tcW w:w="1717" w:type="dxa"/>
            <w:tcBorders>
              <w:top w:val="single" w:sz="6" w:space="0" w:color="auto"/>
              <w:left w:val="single" w:sz="6" w:space="0" w:color="auto"/>
              <w:bottom w:val="single" w:sz="6" w:space="0" w:color="auto"/>
              <w:right w:val="single" w:sz="6" w:space="0" w:color="auto"/>
            </w:tcBorders>
            <w:shd w:val="clear" w:color="auto" w:fill="auto"/>
            <w:vAlign w:val="center"/>
          </w:tcPr>
          <w:p w:rsidR="00C402C1" w:rsidRPr="0073127B" w:rsidRDefault="005232AB" w:rsidP="0073127B">
            <w:pPr>
              <w:jc w:val="center"/>
              <w:rPr>
                <w:bCs/>
                <w:sz w:val="18"/>
                <w:szCs w:val="18"/>
              </w:rPr>
            </w:pPr>
            <w:r w:rsidRPr="0073127B">
              <w:rPr>
                <w:bCs/>
                <w:sz w:val="18"/>
                <w:szCs w:val="18"/>
              </w:rPr>
              <w:t>2700,7</w:t>
            </w:r>
          </w:p>
        </w:tc>
        <w:tc>
          <w:tcPr>
            <w:tcW w:w="1717" w:type="dxa"/>
            <w:tcBorders>
              <w:top w:val="single" w:sz="6" w:space="0" w:color="auto"/>
              <w:left w:val="single" w:sz="6" w:space="0" w:color="auto"/>
              <w:bottom w:val="single" w:sz="6" w:space="0" w:color="auto"/>
              <w:right w:val="single" w:sz="12" w:space="0" w:color="auto"/>
            </w:tcBorders>
            <w:shd w:val="clear" w:color="auto" w:fill="auto"/>
            <w:vAlign w:val="center"/>
          </w:tcPr>
          <w:p w:rsidR="00C402C1" w:rsidRPr="0073127B" w:rsidRDefault="005232AB" w:rsidP="0073127B">
            <w:pPr>
              <w:jc w:val="center"/>
              <w:rPr>
                <w:bCs/>
                <w:sz w:val="18"/>
                <w:szCs w:val="18"/>
              </w:rPr>
            </w:pPr>
            <w:r w:rsidRPr="0073127B">
              <w:rPr>
                <w:bCs/>
                <w:sz w:val="18"/>
                <w:szCs w:val="18"/>
              </w:rPr>
              <w:t>5656,3</w:t>
            </w:r>
          </w:p>
        </w:tc>
      </w:tr>
      <w:tr w:rsidR="00880BC7" w:rsidRPr="00387C0F" w:rsidTr="00A31D10">
        <w:trPr>
          <w:jc w:val="center"/>
        </w:trPr>
        <w:tc>
          <w:tcPr>
            <w:tcW w:w="817" w:type="dxa"/>
            <w:tcBorders>
              <w:top w:val="single" w:sz="6" w:space="0" w:color="auto"/>
              <w:left w:val="single" w:sz="12" w:space="0" w:color="auto"/>
              <w:bottom w:val="single" w:sz="6" w:space="0" w:color="auto"/>
              <w:right w:val="single" w:sz="12" w:space="0" w:color="auto"/>
            </w:tcBorders>
            <w:shd w:val="clear" w:color="auto" w:fill="auto"/>
            <w:vAlign w:val="center"/>
          </w:tcPr>
          <w:p w:rsidR="00C402C1" w:rsidRPr="0073127B" w:rsidRDefault="00C402C1" w:rsidP="0073127B">
            <w:pPr>
              <w:spacing w:line="360" w:lineRule="auto"/>
              <w:jc w:val="center"/>
              <w:rPr>
                <w:b/>
                <w:sz w:val="18"/>
                <w:szCs w:val="18"/>
                <w:lang w:val="lt-LT"/>
              </w:rPr>
            </w:pPr>
            <w:r w:rsidRPr="0073127B">
              <w:rPr>
                <w:b/>
                <w:sz w:val="18"/>
                <w:szCs w:val="18"/>
                <w:lang w:val="lt-LT"/>
              </w:rPr>
              <w:t>CZ</w:t>
            </w:r>
          </w:p>
        </w:tc>
        <w:tc>
          <w:tcPr>
            <w:tcW w:w="2410" w:type="dxa"/>
            <w:tcBorders>
              <w:top w:val="single" w:sz="6" w:space="0" w:color="auto"/>
              <w:left w:val="single" w:sz="12" w:space="0" w:color="auto"/>
              <w:bottom w:val="single" w:sz="6" w:space="0" w:color="auto"/>
              <w:right w:val="single" w:sz="6" w:space="0" w:color="auto"/>
            </w:tcBorders>
            <w:shd w:val="clear" w:color="auto" w:fill="auto"/>
            <w:vAlign w:val="center"/>
          </w:tcPr>
          <w:p w:rsidR="00C402C1" w:rsidRPr="0073127B" w:rsidRDefault="005232AB" w:rsidP="0073127B">
            <w:pPr>
              <w:jc w:val="center"/>
              <w:rPr>
                <w:bCs/>
                <w:sz w:val="18"/>
                <w:szCs w:val="18"/>
              </w:rPr>
            </w:pPr>
            <w:r w:rsidRPr="0073127B">
              <w:rPr>
                <w:bCs/>
                <w:sz w:val="18"/>
                <w:szCs w:val="18"/>
              </w:rPr>
              <w:t>47507,3</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C402C1" w:rsidRPr="0073127B" w:rsidRDefault="00C402C1" w:rsidP="0073127B">
            <w:pPr>
              <w:spacing w:line="360" w:lineRule="auto"/>
              <w:jc w:val="center"/>
              <w:rPr>
                <w:sz w:val="18"/>
                <w:szCs w:val="18"/>
                <w:lang w:val="lt-LT"/>
              </w:rPr>
            </w:pPr>
          </w:p>
        </w:tc>
        <w:tc>
          <w:tcPr>
            <w:tcW w:w="1717" w:type="dxa"/>
            <w:tcBorders>
              <w:top w:val="single" w:sz="6" w:space="0" w:color="auto"/>
              <w:left w:val="single" w:sz="6" w:space="0" w:color="auto"/>
              <w:bottom w:val="single" w:sz="6" w:space="0" w:color="auto"/>
              <w:right w:val="single" w:sz="6" w:space="0" w:color="auto"/>
            </w:tcBorders>
            <w:shd w:val="clear" w:color="auto" w:fill="auto"/>
            <w:vAlign w:val="center"/>
          </w:tcPr>
          <w:p w:rsidR="00C402C1" w:rsidRPr="0073127B" w:rsidRDefault="005232AB" w:rsidP="0073127B">
            <w:pPr>
              <w:jc w:val="center"/>
              <w:rPr>
                <w:bCs/>
                <w:sz w:val="18"/>
                <w:szCs w:val="18"/>
              </w:rPr>
            </w:pPr>
            <w:r w:rsidRPr="0073127B">
              <w:rPr>
                <w:bCs/>
                <w:sz w:val="18"/>
                <w:szCs w:val="18"/>
              </w:rPr>
              <w:t>15707,6</w:t>
            </w:r>
          </w:p>
        </w:tc>
        <w:tc>
          <w:tcPr>
            <w:tcW w:w="1717" w:type="dxa"/>
            <w:tcBorders>
              <w:top w:val="single" w:sz="6" w:space="0" w:color="auto"/>
              <w:left w:val="single" w:sz="6" w:space="0" w:color="auto"/>
              <w:bottom w:val="single" w:sz="6" w:space="0" w:color="auto"/>
              <w:right w:val="single" w:sz="12" w:space="0" w:color="auto"/>
            </w:tcBorders>
            <w:shd w:val="clear" w:color="auto" w:fill="auto"/>
            <w:vAlign w:val="center"/>
          </w:tcPr>
          <w:p w:rsidR="00C402C1" w:rsidRPr="0073127B" w:rsidRDefault="005232AB" w:rsidP="0073127B">
            <w:pPr>
              <w:jc w:val="center"/>
              <w:rPr>
                <w:bCs/>
                <w:sz w:val="18"/>
                <w:szCs w:val="18"/>
              </w:rPr>
            </w:pPr>
            <w:r w:rsidRPr="0073127B">
              <w:rPr>
                <w:bCs/>
                <w:sz w:val="18"/>
                <w:szCs w:val="18"/>
              </w:rPr>
              <w:t>9205,5</w:t>
            </w:r>
          </w:p>
        </w:tc>
      </w:tr>
      <w:tr w:rsidR="00880BC7" w:rsidRPr="00387C0F" w:rsidTr="00A31D10">
        <w:trPr>
          <w:jc w:val="center"/>
        </w:trPr>
        <w:tc>
          <w:tcPr>
            <w:tcW w:w="817" w:type="dxa"/>
            <w:tcBorders>
              <w:top w:val="single" w:sz="6" w:space="0" w:color="auto"/>
              <w:left w:val="single" w:sz="12" w:space="0" w:color="auto"/>
              <w:bottom w:val="single" w:sz="6" w:space="0" w:color="auto"/>
              <w:right w:val="single" w:sz="12" w:space="0" w:color="auto"/>
            </w:tcBorders>
            <w:shd w:val="clear" w:color="auto" w:fill="auto"/>
            <w:vAlign w:val="center"/>
          </w:tcPr>
          <w:p w:rsidR="00C402C1" w:rsidRPr="0073127B" w:rsidRDefault="00C402C1" w:rsidP="0073127B">
            <w:pPr>
              <w:spacing w:line="360" w:lineRule="auto"/>
              <w:jc w:val="center"/>
              <w:rPr>
                <w:b/>
                <w:sz w:val="18"/>
                <w:szCs w:val="18"/>
                <w:lang w:val="lt-LT"/>
              </w:rPr>
            </w:pPr>
            <w:r w:rsidRPr="0073127B">
              <w:rPr>
                <w:b/>
                <w:sz w:val="18"/>
                <w:szCs w:val="18"/>
                <w:lang w:val="lt-LT"/>
              </w:rPr>
              <w:t>DK</w:t>
            </w:r>
          </w:p>
        </w:tc>
        <w:tc>
          <w:tcPr>
            <w:tcW w:w="2410" w:type="dxa"/>
            <w:tcBorders>
              <w:top w:val="single" w:sz="6" w:space="0" w:color="auto"/>
              <w:left w:val="single" w:sz="12" w:space="0" w:color="auto"/>
              <w:bottom w:val="single" w:sz="6" w:space="0" w:color="auto"/>
              <w:right w:val="single" w:sz="6" w:space="0" w:color="auto"/>
            </w:tcBorders>
            <w:shd w:val="clear" w:color="auto" w:fill="auto"/>
            <w:vAlign w:val="center"/>
          </w:tcPr>
          <w:p w:rsidR="00C402C1" w:rsidRPr="0073127B" w:rsidRDefault="005232AB" w:rsidP="0073127B">
            <w:pPr>
              <w:jc w:val="center"/>
              <w:rPr>
                <w:bCs/>
                <w:sz w:val="18"/>
                <w:szCs w:val="18"/>
              </w:rPr>
            </w:pPr>
            <w:r w:rsidRPr="0073127B">
              <w:rPr>
                <w:bCs/>
                <w:sz w:val="18"/>
                <w:szCs w:val="18"/>
              </w:rPr>
              <w:t>107793,8</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C402C1" w:rsidRPr="0073127B" w:rsidRDefault="00C402C1" w:rsidP="0073127B">
            <w:pPr>
              <w:spacing w:line="360" w:lineRule="auto"/>
              <w:jc w:val="center"/>
              <w:rPr>
                <w:sz w:val="18"/>
                <w:szCs w:val="18"/>
                <w:lang w:val="lt-LT"/>
              </w:rPr>
            </w:pPr>
          </w:p>
        </w:tc>
        <w:tc>
          <w:tcPr>
            <w:tcW w:w="1717" w:type="dxa"/>
            <w:tcBorders>
              <w:top w:val="single" w:sz="6" w:space="0" w:color="auto"/>
              <w:left w:val="single" w:sz="6" w:space="0" w:color="auto"/>
              <w:bottom w:val="single" w:sz="6" w:space="0" w:color="auto"/>
              <w:right w:val="single" w:sz="6" w:space="0" w:color="auto"/>
            </w:tcBorders>
            <w:shd w:val="clear" w:color="auto" w:fill="auto"/>
            <w:vAlign w:val="center"/>
          </w:tcPr>
          <w:p w:rsidR="00C402C1" w:rsidRPr="0073127B" w:rsidRDefault="005232AB" w:rsidP="0073127B">
            <w:pPr>
              <w:jc w:val="center"/>
              <w:rPr>
                <w:bCs/>
                <w:sz w:val="18"/>
                <w:szCs w:val="18"/>
              </w:rPr>
            </w:pPr>
            <w:r w:rsidRPr="0073127B">
              <w:rPr>
                <w:bCs/>
                <w:sz w:val="18"/>
                <w:szCs w:val="18"/>
              </w:rPr>
              <w:t>92856,5</w:t>
            </w:r>
          </w:p>
        </w:tc>
        <w:tc>
          <w:tcPr>
            <w:tcW w:w="1717" w:type="dxa"/>
            <w:tcBorders>
              <w:top w:val="single" w:sz="6" w:space="0" w:color="auto"/>
              <w:left w:val="single" w:sz="6" w:space="0" w:color="auto"/>
              <w:bottom w:val="single" w:sz="6" w:space="0" w:color="auto"/>
              <w:right w:val="single" w:sz="12" w:space="0" w:color="auto"/>
            </w:tcBorders>
            <w:shd w:val="clear" w:color="auto" w:fill="auto"/>
            <w:vAlign w:val="center"/>
          </w:tcPr>
          <w:p w:rsidR="00C402C1" w:rsidRPr="0073127B" w:rsidRDefault="005232AB" w:rsidP="0073127B">
            <w:pPr>
              <w:jc w:val="center"/>
              <w:rPr>
                <w:bCs/>
                <w:sz w:val="18"/>
                <w:szCs w:val="18"/>
              </w:rPr>
            </w:pPr>
            <w:r w:rsidRPr="0073127B">
              <w:rPr>
                <w:bCs/>
                <w:sz w:val="18"/>
                <w:szCs w:val="18"/>
              </w:rPr>
              <w:t>11891,7</w:t>
            </w:r>
          </w:p>
        </w:tc>
      </w:tr>
      <w:tr w:rsidR="00880BC7" w:rsidRPr="00387C0F" w:rsidTr="00A31D10">
        <w:trPr>
          <w:jc w:val="center"/>
        </w:trPr>
        <w:tc>
          <w:tcPr>
            <w:tcW w:w="817" w:type="dxa"/>
            <w:tcBorders>
              <w:top w:val="single" w:sz="6" w:space="0" w:color="auto"/>
              <w:left w:val="single" w:sz="12" w:space="0" w:color="auto"/>
              <w:bottom w:val="single" w:sz="6" w:space="0" w:color="auto"/>
              <w:right w:val="single" w:sz="12" w:space="0" w:color="auto"/>
            </w:tcBorders>
            <w:shd w:val="clear" w:color="auto" w:fill="auto"/>
            <w:vAlign w:val="center"/>
          </w:tcPr>
          <w:p w:rsidR="00C402C1" w:rsidRPr="0073127B" w:rsidRDefault="00C402C1" w:rsidP="0073127B">
            <w:pPr>
              <w:spacing w:line="360" w:lineRule="auto"/>
              <w:jc w:val="center"/>
              <w:rPr>
                <w:b/>
                <w:sz w:val="18"/>
                <w:szCs w:val="18"/>
                <w:lang w:val="lt-LT"/>
              </w:rPr>
            </w:pPr>
            <w:r w:rsidRPr="0073127B">
              <w:rPr>
                <w:b/>
                <w:sz w:val="18"/>
                <w:szCs w:val="18"/>
                <w:lang w:val="lt-LT"/>
              </w:rPr>
              <w:t>DE</w:t>
            </w:r>
          </w:p>
        </w:tc>
        <w:tc>
          <w:tcPr>
            <w:tcW w:w="2410" w:type="dxa"/>
            <w:tcBorders>
              <w:top w:val="single" w:sz="6" w:space="0" w:color="auto"/>
              <w:left w:val="single" w:sz="12" w:space="0" w:color="auto"/>
              <w:bottom w:val="single" w:sz="6" w:space="0" w:color="auto"/>
              <w:right w:val="single" w:sz="6" w:space="0" w:color="auto"/>
            </w:tcBorders>
            <w:shd w:val="clear" w:color="auto" w:fill="auto"/>
            <w:vAlign w:val="center"/>
          </w:tcPr>
          <w:p w:rsidR="00C402C1" w:rsidRPr="0073127B" w:rsidRDefault="005232AB" w:rsidP="0073127B">
            <w:pPr>
              <w:jc w:val="center"/>
              <w:rPr>
                <w:bCs/>
                <w:sz w:val="18"/>
                <w:szCs w:val="18"/>
              </w:rPr>
            </w:pPr>
            <w:r w:rsidRPr="0073127B">
              <w:rPr>
                <w:bCs/>
                <w:sz w:val="18"/>
                <w:szCs w:val="18"/>
              </w:rPr>
              <w:t>369600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C402C1" w:rsidRPr="0073127B" w:rsidRDefault="005232AB" w:rsidP="0073127B">
            <w:pPr>
              <w:jc w:val="center"/>
              <w:rPr>
                <w:bCs/>
                <w:sz w:val="18"/>
                <w:szCs w:val="18"/>
              </w:rPr>
            </w:pPr>
            <w:r w:rsidRPr="0073127B">
              <w:rPr>
                <w:bCs/>
                <w:sz w:val="18"/>
                <w:szCs w:val="18"/>
              </w:rPr>
              <w:t>341770</w:t>
            </w:r>
          </w:p>
        </w:tc>
        <w:tc>
          <w:tcPr>
            <w:tcW w:w="1717" w:type="dxa"/>
            <w:tcBorders>
              <w:top w:val="single" w:sz="6" w:space="0" w:color="auto"/>
              <w:left w:val="single" w:sz="6" w:space="0" w:color="auto"/>
              <w:bottom w:val="single" w:sz="6" w:space="0" w:color="auto"/>
              <w:right w:val="single" w:sz="6" w:space="0" w:color="auto"/>
            </w:tcBorders>
            <w:shd w:val="clear" w:color="auto" w:fill="auto"/>
            <w:vAlign w:val="center"/>
          </w:tcPr>
          <w:p w:rsidR="00C402C1" w:rsidRPr="0073127B" w:rsidRDefault="005232AB" w:rsidP="0073127B">
            <w:pPr>
              <w:jc w:val="center"/>
              <w:rPr>
                <w:bCs/>
                <w:sz w:val="18"/>
                <w:szCs w:val="18"/>
              </w:rPr>
            </w:pPr>
            <w:r w:rsidRPr="0073127B">
              <w:rPr>
                <w:bCs/>
                <w:sz w:val="18"/>
                <w:szCs w:val="18"/>
              </w:rPr>
              <w:t>202630</w:t>
            </w:r>
          </w:p>
        </w:tc>
        <w:tc>
          <w:tcPr>
            <w:tcW w:w="1717" w:type="dxa"/>
            <w:tcBorders>
              <w:top w:val="single" w:sz="6" w:space="0" w:color="auto"/>
              <w:left w:val="single" w:sz="6" w:space="0" w:color="auto"/>
              <w:bottom w:val="single" w:sz="6" w:space="0" w:color="auto"/>
              <w:right w:val="single" w:sz="12" w:space="0" w:color="auto"/>
            </w:tcBorders>
            <w:shd w:val="clear" w:color="auto" w:fill="auto"/>
            <w:vAlign w:val="center"/>
          </w:tcPr>
          <w:p w:rsidR="00C402C1" w:rsidRPr="0073127B" w:rsidRDefault="005232AB" w:rsidP="0073127B">
            <w:pPr>
              <w:jc w:val="center"/>
              <w:rPr>
                <w:bCs/>
                <w:sz w:val="18"/>
                <w:szCs w:val="18"/>
              </w:rPr>
            </w:pPr>
            <w:r w:rsidRPr="0073127B">
              <w:rPr>
                <w:bCs/>
                <w:sz w:val="18"/>
                <w:szCs w:val="18"/>
              </w:rPr>
              <w:t>521330</w:t>
            </w:r>
          </w:p>
        </w:tc>
      </w:tr>
      <w:tr w:rsidR="00880BC7" w:rsidRPr="00387C0F" w:rsidTr="00A31D10">
        <w:trPr>
          <w:jc w:val="center"/>
        </w:trPr>
        <w:tc>
          <w:tcPr>
            <w:tcW w:w="817" w:type="dxa"/>
            <w:tcBorders>
              <w:top w:val="single" w:sz="6" w:space="0" w:color="auto"/>
              <w:left w:val="single" w:sz="12" w:space="0" w:color="auto"/>
              <w:bottom w:val="single" w:sz="6" w:space="0" w:color="auto"/>
              <w:right w:val="single" w:sz="12" w:space="0" w:color="auto"/>
            </w:tcBorders>
            <w:shd w:val="clear" w:color="auto" w:fill="auto"/>
            <w:vAlign w:val="center"/>
          </w:tcPr>
          <w:p w:rsidR="00C402C1" w:rsidRPr="0073127B" w:rsidRDefault="00C402C1" w:rsidP="0073127B">
            <w:pPr>
              <w:spacing w:line="360" w:lineRule="auto"/>
              <w:jc w:val="center"/>
              <w:rPr>
                <w:b/>
                <w:sz w:val="18"/>
                <w:szCs w:val="18"/>
                <w:lang w:val="lt-LT"/>
              </w:rPr>
            </w:pPr>
            <w:r w:rsidRPr="0073127B">
              <w:rPr>
                <w:b/>
                <w:sz w:val="18"/>
                <w:szCs w:val="18"/>
                <w:lang w:val="lt-LT"/>
              </w:rPr>
              <w:t>EE</w:t>
            </w:r>
          </w:p>
        </w:tc>
        <w:tc>
          <w:tcPr>
            <w:tcW w:w="2410" w:type="dxa"/>
            <w:tcBorders>
              <w:top w:val="single" w:sz="6" w:space="0" w:color="auto"/>
              <w:left w:val="single" w:sz="12" w:space="0" w:color="auto"/>
              <w:bottom w:val="single" w:sz="6" w:space="0" w:color="auto"/>
              <w:right w:val="single" w:sz="6" w:space="0" w:color="auto"/>
            </w:tcBorders>
            <w:shd w:val="clear" w:color="auto" w:fill="auto"/>
            <w:vAlign w:val="center"/>
          </w:tcPr>
          <w:p w:rsidR="00C402C1" w:rsidRPr="0073127B" w:rsidRDefault="005232AB" w:rsidP="0073127B">
            <w:pPr>
              <w:jc w:val="center"/>
              <w:rPr>
                <w:bCs/>
                <w:sz w:val="18"/>
                <w:szCs w:val="18"/>
              </w:rPr>
            </w:pPr>
            <w:r w:rsidRPr="0073127B">
              <w:rPr>
                <w:bCs/>
                <w:sz w:val="18"/>
                <w:szCs w:val="18"/>
              </w:rPr>
              <w:t>5163,7</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C402C1" w:rsidRPr="0073127B" w:rsidRDefault="00C402C1" w:rsidP="0073127B">
            <w:pPr>
              <w:spacing w:line="360" w:lineRule="auto"/>
              <w:jc w:val="center"/>
              <w:rPr>
                <w:sz w:val="18"/>
                <w:szCs w:val="18"/>
                <w:lang w:val="lt-LT"/>
              </w:rPr>
            </w:pPr>
          </w:p>
        </w:tc>
        <w:tc>
          <w:tcPr>
            <w:tcW w:w="1717" w:type="dxa"/>
            <w:tcBorders>
              <w:top w:val="single" w:sz="6" w:space="0" w:color="auto"/>
              <w:left w:val="single" w:sz="6" w:space="0" w:color="auto"/>
              <w:bottom w:val="single" w:sz="6" w:space="0" w:color="auto"/>
              <w:right w:val="single" w:sz="6" w:space="0" w:color="auto"/>
            </w:tcBorders>
            <w:shd w:val="clear" w:color="auto" w:fill="auto"/>
            <w:vAlign w:val="center"/>
          </w:tcPr>
          <w:p w:rsidR="00C402C1" w:rsidRPr="0073127B" w:rsidRDefault="005232AB" w:rsidP="0073127B">
            <w:pPr>
              <w:jc w:val="center"/>
              <w:rPr>
                <w:bCs/>
                <w:sz w:val="18"/>
                <w:szCs w:val="18"/>
              </w:rPr>
            </w:pPr>
            <w:r w:rsidRPr="0073127B">
              <w:rPr>
                <w:bCs/>
                <w:sz w:val="18"/>
                <w:szCs w:val="18"/>
              </w:rPr>
              <w:t>1731,2</w:t>
            </w:r>
          </w:p>
        </w:tc>
        <w:tc>
          <w:tcPr>
            <w:tcW w:w="1717" w:type="dxa"/>
            <w:tcBorders>
              <w:top w:val="single" w:sz="6" w:space="0" w:color="auto"/>
              <w:left w:val="single" w:sz="6" w:space="0" w:color="auto"/>
              <w:bottom w:val="single" w:sz="6" w:space="0" w:color="auto"/>
              <w:right w:val="single" w:sz="12" w:space="0" w:color="auto"/>
            </w:tcBorders>
            <w:shd w:val="clear" w:color="auto" w:fill="auto"/>
            <w:vAlign w:val="center"/>
          </w:tcPr>
          <w:p w:rsidR="00C402C1" w:rsidRPr="0073127B" w:rsidRDefault="005232AB" w:rsidP="0073127B">
            <w:pPr>
              <w:jc w:val="center"/>
              <w:rPr>
                <w:bCs/>
                <w:sz w:val="18"/>
                <w:szCs w:val="18"/>
              </w:rPr>
            </w:pPr>
            <w:r w:rsidRPr="0073127B">
              <w:rPr>
                <w:bCs/>
                <w:sz w:val="18"/>
                <w:szCs w:val="18"/>
              </w:rPr>
              <w:t>905,6</w:t>
            </w:r>
          </w:p>
        </w:tc>
      </w:tr>
      <w:tr w:rsidR="00880BC7" w:rsidRPr="00387C0F" w:rsidTr="00A31D10">
        <w:trPr>
          <w:jc w:val="center"/>
        </w:trPr>
        <w:tc>
          <w:tcPr>
            <w:tcW w:w="817" w:type="dxa"/>
            <w:tcBorders>
              <w:top w:val="single" w:sz="6" w:space="0" w:color="auto"/>
              <w:left w:val="single" w:sz="12" w:space="0" w:color="auto"/>
              <w:bottom w:val="single" w:sz="6" w:space="0" w:color="auto"/>
              <w:right w:val="single" w:sz="12" w:space="0" w:color="auto"/>
            </w:tcBorders>
            <w:shd w:val="clear" w:color="auto" w:fill="auto"/>
            <w:vAlign w:val="center"/>
          </w:tcPr>
          <w:p w:rsidR="00C402C1" w:rsidRPr="0073127B" w:rsidRDefault="00C402C1" w:rsidP="0073127B">
            <w:pPr>
              <w:spacing w:line="360" w:lineRule="auto"/>
              <w:jc w:val="center"/>
              <w:rPr>
                <w:b/>
                <w:sz w:val="18"/>
                <w:szCs w:val="18"/>
                <w:lang w:val="lt-LT"/>
              </w:rPr>
            </w:pPr>
            <w:r w:rsidRPr="0073127B">
              <w:rPr>
                <w:b/>
                <w:sz w:val="18"/>
                <w:szCs w:val="18"/>
                <w:lang w:val="lt-LT"/>
              </w:rPr>
              <w:t>IE</w:t>
            </w:r>
          </w:p>
        </w:tc>
        <w:tc>
          <w:tcPr>
            <w:tcW w:w="2410" w:type="dxa"/>
            <w:tcBorders>
              <w:top w:val="single" w:sz="6" w:space="0" w:color="auto"/>
              <w:left w:val="single" w:sz="12" w:space="0" w:color="auto"/>
              <w:bottom w:val="single" w:sz="6" w:space="0" w:color="auto"/>
              <w:right w:val="single" w:sz="6" w:space="0" w:color="auto"/>
            </w:tcBorders>
            <w:shd w:val="clear" w:color="auto" w:fill="auto"/>
            <w:vAlign w:val="center"/>
          </w:tcPr>
          <w:p w:rsidR="00C402C1" w:rsidRPr="0073127B" w:rsidRDefault="005232AB" w:rsidP="0073127B">
            <w:pPr>
              <w:jc w:val="center"/>
              <w:rPr>
                <w:bCs/>
                <w:sz w:val="18"/>
                <w:szCs w:val="18"/>
              </w:rPr>
            </w:pPr>
            <w:r w:rsidRPr="0073127B">
              <w:rPr>
                <w:bCs/>
                <w:sz w:val="18"/>
                <w:szCs w:val="18"/>
              </w:rPr>
              <w:t>59054,1</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C402C1" w:rsidRPr="0073127B" w:rsidRDefault="00C402C1" w:rsidP="0073127B">
            <w:pPr>
              <w:spacing w:line="360" w:lineRule="auto"/>
              <w:jc w:val="center"/>
              <w:rPr>
                <w:sz w:val="18"/>
                <w:szCs w:val="18"/>
                <w:lang w:val="lt-LT"/>
              </w:rPr>
            </w:pPr>
          </w:p>
        </w:tc>
        <w:tc>
          <w:tcPr>
            <w:tcW w:w="1717" w:type="dxa"/>
            <w:tcBorders>
              <w:top w:val="single" w:sz="6" w:space="0" w:color="auto"/>
              <w:left w:val="single" w:sz="6" w:space="0" w:color="auto"/>
              <w:bottom w:val="single" w:sz="6" w:space="0" w:color="auto"/>
              <w:right w:val="single" w:sz="6" w:space="0" w:color="auto"/>
            </w:tcBorders>
            <w:shd w:val="clear" w:color="auto" w:fill="auto"/>
            <w:vAlign w:val="center"/>
          </w:tcPr>
          <w:p w:rsidR="00C402C1" w:rsidRPr="0073127B" w:rsidRDefault="005232AB" w:rsidP="0073127B">
            <w:pPr>
              <w:jc w:val="center"/>
              <w:rPr>
                <w:bCs/>
                <w:sz w:val="18"/>
                <w:szCs w:val="18"/>
              </w:rPr>
            </w:pPr>
            <w:r w:rsidRPr="0073127B">
              <w:rPr>
                <w:bCs/>
                <w:sz w:val="18"/>
                <w:szCs w:val="18"/>
              </w:rPr>
              <w:t>8494</w:t>
            </w:r>
          </w:p>
        </w:tc>
        <w:tc>
          <w:tcPr>
            <w:tcW w:w="1717" w:type="dxa"/>
            <w:tcBorders>
              <w:top w:val="single" w:sz="6" w:space="0" w:color="auto"/>
              <w:left w:val="single" w:sz="6" w:space="0" w:color="auto"/>
              <w:bottom w:val="single" w:sz="6" w:space="0" w:color="auto"/>
              <w:right w:val="single" w:sz="12" w:space="0" w:color="auto"/>
            </w:tcBorders>
            <w:shd w:val="clear" w:color="auto" w:fill="auto"/>
            <w:vAlign w:val="center"/>
          </w:tcPr>
          <w:p w:rsidR="00C402C1" w:rsidRPr="0073127B" w:rsidRDefault="005232AB" w:rsidP="0073127B">
            <w:pPr>
              <w:jc w:val="center"/>
              <w:rPr>
                <w:bCs/>
                <w:sz w:val="18"/>
                <w:szCs w:val="18"/>
              </w:rPr>
            </w:pPr>
            <w:r w:rsidRPr="0073127B">
              <w:rPr>
                <w:bCs/>
                <w:sz w:val="18"/>
                <w:szCs w:val="18"/>
              </w:rPr>
              <w:t>8873,8</w:t>
            </w:r>
          </w:p>
        </w:tc>
      </w:tr>
      <w:tr w:rsidR="00880BC7" w:rsidRPr="00387C0F" w:rsidTr="00A31D10">
        <w:trPr>
          <w:jc w:val="center"/>
        </w:trPr>
        <w:tc>
          <w:tcPr>
            <w:tcW w:w="817" w:type="dxa"/>
            <w:tcBorders>
              <w:top w:val="single" w:sz="6" w:space="0" w:color="auto"/>
              <w:left w:val="single" w:sz="12" w:space="0" w:color="auto"/>
              <w:bottom w:val="single" w:sz="6" w:space="0" w:color="auto"/>
              <w:right w:val="single" w:sz="12" w:space="0" w:color="auto"/>
            </w:tcBorders>
            <w:shd w:val="clear" w:color="auto" w:fill="auto"/>
            <w:vAlign w:val="center"/>
          </w:tcPr>
          <w:p w:rsidR="00C402C1" w:rsidRPr="0073127B" w:rsidRDefault="00C402C1" w:rsidP="0073127B">
            <w:pPr>
              <w:spacing w:line="360" w:lineRule="auto"/>
              <w:jc w:val="center"/>
              <w:rPr>
                <w:b/>
                <w:sz w:val="18"/>
                <w:szCs w:val="18"/>
                <w:lang w:val="lt-LT"/>
              </w:rPr>
            </w:pPr>
            <w:r w:rsidRPr="0073127B">
              <w:rPr>
                <w:b/>
                <w:sz w:val="18"/>
                <w:szCs w:val="18"/>
                <w:lang w:val="lt-LT"/>
              </w:rPr>
              <w:t>EL</w:t>
            </w:r>
          </w:p>
        </w:tc>
        <w:tc>
          <w:tcPr>
            <w:tcW w:w="2410" w:type="dxa"/>
            <w:tcBorders>
              <w:top w:val="single" w:sz="6" w:space="0" w:color="auto"/>
              <w:left w:val="single" w:sz="12" w:space="0" w:color="auto"/>
              <w:bottom w:val="single" w:sz="6" w:space="0" w:color="auto"/>
              <w:right w:val="single" w:sz="6" w:space="0" w:color="auto"/>
            </w:tcBorders>
            <w:shd w:val="clear" w:color="auto" w:fill="auto"/>
            <w:vAlign w:val="center"/>
          </w:tcPr>
          <w:p w:rsidR="00C402C1" w:rsidRPr="0073127B" w:rsidRDefault="005232AB" w:rsidP="0073127B">
            <w:pPr>
              <w:jc w:val="center"/>
              <w:rPr>
                <w:bCs/>
                <w:sz w:val="18"/>
                <w:szCs w:val="18"/>
              </w:rPr>
            </w:pPr>
            <w:r w:rsidRPr="0073127B">
              <w:rPr>
                <w:bCs/>
                <w:sz w:val="18"/>
                <w:szCs w:val="18"/>
              </w:rPr>
              <w:t>77588</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C402C1" w:rsidRPr="0073127B" w:rsidRDefault="00C402C1" w:rsidP="0073127B">
            <w:pPr>
              <w:jc w:val="center"/>
              <w:rPr>
                <w:bCs/>
                <w:sz w:val="18"/>
                <w:szCs w:val="18"/>
              </w:rPr>
            </w:pPr>
          </w:p>
        </w:tc>
        <w:tc>
          <w:tcPr>
            <w:tcW w:w="1717" w:type="dxa"/>
            <w:tcBorders>
              <w:top w:val="single" w:sz="6" w:space="0" w:color="auto"/>
              <w:left w:val="single" w:sz="6" w:space="0" w:color="auto"/>
              <w:bottom w:val="single" w:sz="6" w:space="0" w:color="auto"/>
              <w:right w:val="single" w:sz="6" w:space="0" w:color="auto"/>
            </w:tcBorders>
            <w:shd w:val="clear" w:color="auto" w:fill="auto"/>
            <w:vAlign w:val="center"/>
          </w:tcPr>
          <w:p w:rsidR="00C402C1" w:rsidRPr="0073127B" w:rsidRDefault="005232AB" w:rsidP="0073127B">
            <w:pPr>
              <w:jc w:val="center"/>
              <w:rPr>
                <w:bCs/>
                <w:sz w:val="18"/>
                <w:szCs w:val="18"/>
              </w:rPr>
            </w:pPr>
            <w:r w:rsidRPr="0073127B">
              <w:rPr>
                <w:bCs/>
                <w:sz w:val="18"/>
                <w:szCs w:val="18"/>
              </w:rPr>
              <w:t>6242</w:t>
            </w:r>
          </w:p>
        </w:tc>
        <w:tc>
          <w:tcPr>
            <w:tcW w:w="1717" w:type="dxa"/>
            <w:tcBorders>
              <w:top w:val="single" w:sz="6" w:space="0" w:color="auto"/>
              <w:left w:val="single" w:sz="6" w:space="0" w:color="auto"/>
              <w:bottom w:val="single" w:sz="6" w:space="0" w:color="auto"/>
              <w:right w:val="single" w:sz="12" w:space="0" w:color="auto"/>
            </w:tcBorders>
            <w:shd w:val="clear" w:color="auto" w:fill="auto"/>
            <w:vAlign w:val="center"/>
          </w:tcPr>
          <w:p w:rsidR="00C402C1" w:rsidRPr="0073127B" w:rsidRDefault="005232AB" w:rsidP="0073127B">
            <w:pPr>
              <w:spacing w:line="360" w:lineRule="auto"/>
              <w:jc w:val="center"/>
              <w:rPr>
                <w:sz w:val="18"/>
                <w:szCs w:val="18"/>
                <w:lang w:val="lt-LT"/>
              </w:rPr>
            </w:pPr>
            <w:r w:rsidRPr="0073127B">
              <w:rPr>
                <w:sz w:val="18"/>
                <w:szCs w:val="18"/>
                <w:lang w:val="lt-LT"/>
              </w:rPr>
              <w:t>43669</w:t>
            </w:r>
          </w:p>
        </w:tc>
      </w:tr>
      <w:tr w:rsidR="00880BC7" w:rsidRPr="00387C0F" w:rsidTr="00A31D10">
        <w:trPr>
          <w:jc w:val="center"/>
        </w:trPr>
        <w:tc>
          <w:tcPr>
            <w:tcW w:w="817" w:type="dxa"/>
            <w:tcBorders>
              <w:top w:val="single" w:sz="6" w:space="0" w:color="auto"/>
              <w:left w:val="single" w:sz="12" w:space="0" w:color="auto"/>
              <w:bottom w:val="single" w:sz="6" w:space="0" w:color="auto"/>
              <w:right w:val="single" w:sz="12" w:space="0" w:color="auto"/>
            </w:tcBorders>
            <w:shd w:val="clear" w:color="auto" w:fill="auto"/>
            <w:vAlign w:val="center"/>
          </w:tcPr>
          <w:p w:rsidR="00C402C1" w:rsidRPr="0073127B" w:rsidRDefault="00C402C1" w:rsidP="0073127B">
            <w:pPr>
              <w:spacing w:line="360" w:lineRule="auto"/>
              <w:jc w:val="center"/>
              <w:rPr>
                <w:b/>
                <w:sz w:val="18"/>
                <w:szCs w:val="18"/>
                <w:lang w:val="lt-LT"/>
              </w:rPr>
            </w:pPr>
            <w:r w:rsidRPr="0073127B">
              <w:rPr>
                <w:b/>
                <w:sz w:val="18"/>
                <w:szCs w:val="18"/>
                <w:lang w:val="lt-LT"/>
              </w:rPr>
              <w:t>ES</w:t>
            </w:r>
          </w:p>
        </w:tc>
        <w:tc>
          <w:tcPr>
            <w:tcW w:w="2410" w:type="dxa"/>
            <w:tcBorders>
              <w:top w:val="single" w:sz="6" w:space="0" w:color="auto"/>
              <w:left w:val="single" w:sz="12" w:space="0" w:color="auto"/>
              <w:bottom w:val="single" w:sz="6" w:space="0" w:color="auto"/>
              <w:right w:val="single" w:sz="6" w:space="0" w:color="auto"/>
            </w:tcBorders>
            <w:shd w:val="clear" w:color="auto" w:fill="auto"/>
            <w:vAlign w:val="center"/>
          </w:tcPr>
          <w:p w:rsidR="00C402C1" w:rsidRPr="0073127B" w:rsidRDefault="005232AB" w:rsidP="0073127B">
            <w:pPr>
              <w:jc w:val="center"/>
              <w:rPr>
                <w:bCs/>
                <w:sz w:val="18"/>
                <w:szCs w:val="18"/>
              </w:rPr>
            </w:pPr>
            <w:r w:rsidRPr="0073127B">
              <w:rPr>
                <w:bCs/>
                <w:sz w:val="18"/>
                <w:szCs w:val="18"/>
              </w:rPr>
              <w:t>214373</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C402C1" w:rsidRPr="0073127B" w:rsidRDefault="005232AB" w:rsidP="0073127B">
            <w:pPr>
              <w:jc w:val="center"/>
              <w:rPr>
                <w:bCs/>
                <w:sz w:val="18"/>
                <w:szCs w:val="18"/>
              </w:rPr>
            </w:pPr>
            <w:r w:rsidRPr="0073127B">
              <w:rPr>
                <w:bCs/>
                <w:sz w:val="18"/>
                <w:szCs w:val="18"/>
              </w:rPr>
              <w:t>186042</w:t>
            </w:r>
          </w:p>
        </w:tc>
        <w:tc>
          <w:tcPr>
            <w:tcW w:w="1717" w:type="dxa"/>
            <w:tcBorders>
              <w:top w:val="single" w:sz="6" w:space="0" w:color="auto"/>
              <w:left w:val="single" w:sz="6" w:space="0" w:color="auto"/>
              <w:bottom w:val="single" w:sz="6" w:space="0" w:color="auto"/>
              <w:right w:val="single" w:sz="6" w:space="0" w:color="auto"/>
            </w:tcBorders>
            <w:shd w:val="clear" w:color="auto" w:fill="auto"/>
            <w:vAlign w:val="center"/>
          </w:tcPr>
          <w:p w:rsidR="00C402C1" w:rsidRPr="0073127B" w:rsidRDefault="005232AB" w:rsidP="0073127B">
            <w:pPr>
              <w:jc w:val="center"/>
              <w:rPr>
                <w:bCs/>
                <w:sz w:val="18"/>
                <w:szCs w:val="18"/>
              </w:rPr>
            </w:pPr>
            <w:r w:rsidRPr="0073127B">
              <w:rPr>
                <w:bCs/>
                <w:sz w:val="18"/>
                <w:szCs w:val="18"/>
              </w:rPr>
              <w:t>61497</w:t>
            </w:r>
          </w:p>
        </w:tc>
        <w:tc>
          <w:tcPr>
            <w:tcW w:w="1717" w:type="dxa"/>
            <w:tcBorders>
              <w:top w:val="single" w:sz="6" w:space="0" w:color="auto"/>
              <w:left w:val="single" w:sz="6" w:space="0" w:color="auto"/>
              <w:bottom w:val="single" w:sz="6" w:space="0" w:color="auto"/>
              <w:right w:val="single" w:sz="12" w:space="0" w:color="auto"/>
            </w:tcBorders>
            <w:shd w:val="clear" w:color="auto" w:fill="auto"/>
            <w:vAlign w:val="center"/>
          </w:tcPr>
          <w:p w:rsidR="00C402C1" w:rsidRPr="0073127B" w:rsidRDefault="005232AB" w:rsidP="0073127B">
            <w:pPr>
              <w:jc w:val="center"/>
              <w:rPr>
                <w:bCs/>
                <w:sz w:val="18"/>
                <w:szCs w:val="18"/>
              </w:rPr>
            </w:pPr>
            <w:r w:rsidRPr="0073127B">
              <w:rPr>
                <w:bCs/>
                <w:sz w:val="18"/>
                <w:szCs w:val="18"/>
              </w:rPr>
              <w:t>160405</w:t>
            </w:r>
          </w:p>
        </w:tc>
      </w:tr>
      <w:tr w:rsidR="00880BC7" w:rsidRPr="00387C0F" w:rsidTr="00A31D10">
        <w:trPr>
          <w:jc w:val="center"/>
        </w:trPr>
        <w:tc>
          <w:tcPr>
            <w:tcW w:w="817" w:type="dxa"/>
            <w:tcBorders>
              <w:top w:val="single" w:sz="6" w:space="0" w:color="auto"/>
              <w:left w:val="single" w:sz="12" w:space="0" w:color="auto"/>
              <w:bottom w:val="single" w:sz="6" w:space="0" w:color="auto"/>
              <w:right w:val="single" w:sz="12" w:space="0" w:color="auto"/>
            </w:tcBorders>
            <w:shd w:val="clear" w:color="auto" w:fill="auto"/>
            <w:vAlign w:val="center"/>
          </w:tcPr>
          <w:p w:rsidR="005232AB" w:rsidRPr="0073127B" w:rsidRDefault="005232AB" w:rsidP="0073127B">
            <w:pPr>
              <w:spacing w:line="360" w:lineRule="auto"/>
              <w:jc w:val="center"/>
              <w:rPr>
                <w:b/>
                <w:sz w:val="18"/>
                <w:szCs w:val="18"/>
                <w:lang w:val="lt-LT"/>
              </w:rPr>
            </w:pPr>
            <w:r w:rsidRPr="0073127B">
              <w:rPr>
                <w:b/>
                <w:sz w:val="18"/>
                <w:szCs w:val="18"/>
                <w:lang w:val="lt-LT"/>
              </w:rPr>
              <w:t>FR</w:t>
            </w:r>
          </w:p>
        </w:tc>
        <w:tc>
          <w:tcPr>
            <w:tcW w:w="2410" w:type="dxa"/>
            <w:tcBorders>
              <w:top w:val="single" w:sz="6" w:space="0" w:color="auto"/>
              <w:left w:val="single" w:sz="12" w:space="0" w:color="auto"/>
              <w:bottom w:val="single" w:sz="6" w:space="0" w:color="auto"/>
              <w:right w:val="single" w:sz="6" w:space="0" w:color="auto"/>
            </w:tcBorders>
            <w:shd w:val="clear" w:color="auto" w:fill="auto"/>
            <w:vAlign w:val="center"/>
          </w:tcPr>
          <w:p w:rsidR="005232AB" w:rsidRPr="0073127B" w:rsidRDefault="005232AB" w:rsidP="0073127B">
            <w:pPr>
              <w:jc w:val="center"/>
              <w:rPr>
                <w:bCs/>
                <w:sz w:val="18"/>
                <w:szCs w:val="18"/>
              </w:rPr>
            </w:pPr>
            <w:r w:rsidRPr="0073127B">
              <w:rPr>
                <w:bCs/>
                <w:sz w:val="18"/>
                <w:szCs w:val="18"/>
              </w:rPr>
              <w:t>453084,5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5232AB" w:rsidRPr="0073127B" w:rsidRDefault="005232AB" w:rsidP="0073127B">
            <w:pPr>
              <w:jc w:val="center"/>
              <w:rPr>
                <w:bCs/>
                <w:sz w:val="18"/>
                <w:szCs w:val="18"/>
              </w:rPr>
            </w:pPr>
          </w:p>
        </w:tc>
        <w:tc>
          <w:tcPr>
            <w:tcW w:w="1717" w:type="dxa"/>
            <w:tcBorders>
              <w:top w:val="single" w:sz="6" w:space="0" w:color="auto"/>
              <w:left w:val="single" w:sz="6" w:space="0" w:color="auto"/>
              <w:bottom w:val="single" w:sz="6" w:space="0" w:color="auto"/>
              <w:right w:val="single" w:sz="6" w:space="0" w:color="auto"/>
            </w:tcBorders>
            <w:shd w:val="clear" w:color="auto" w:fill="auto"/>
            <w:vAlign w:val="center"/>
          </w:tcPr>
          <w:p w:rsidR="005232AB" w:rsidRPr="0073127B" w:rsidRDefault="005232AB" w:rsidP="0073127B">
            <w:pPr>
              <w:jc w:val="center"/>
              <w:rPr>
                <w:bCs/>
                <w:sz w:val="18"/>
                <w:szCs w:val="18"/>
              </w:rPr>
            </w:pPr>
            <w:r w:rsidRPr="0073127B">
              <w:rPr>
                <w:bCs/>
                <w:sz w:val="18"/>
                <w:szCs w:val="18"/>
              </w:rPr>
              <w:t>242484,5</w:t>
            </w:r>
          </w:p>
        </w:tc>
        <w:tc>
          <w:tcPr>
            <w:tcW w:w="1717" w:type="dxa"/>
            <w:tcBorders>
              <w:top w:val="single" w:sz="6" w:space="0" w:color="auto"/>
              <w:left w:val="single" w:sz="6" w:space="0" w:color="auto"/>
              <w:bottom w:val="single" w:sz="6" w:space="0" w:color="auto"/>
              <w:right w:val="single" w:sz="12" w:space="0" w:color="auto"/>
            </w:tcBorders>
            <w:shd w:val="clear" w:color="auto" w:fill="auto"/>
            <w:vAlign w:val="center"/>
          </w:tcPr>
          <w:p w:rsidR="005232AB" w:rsidRPr="0073127B" w:rsidRDefault="005232AB" w:rsidP="0073127B">
            <w:pPr>
              <w:jc w:val="center"/>
              <w:rPr>
                <w:bCs/>
                <w:sz w:val="18"/>
                <w:szCs w:val="18"/>
              </w:rPr>
            </w:pPr>
            <w:r w:rsidRPr="0073127B">
              <w:rPr>
                <w:bCs/>
                <w:sz w:val="18"/>
                <w:szCs w:val="18"/>
              </w:rPr>
              <w:t>549025,5</w:t>
            </w:r>
          </w:p>
        </w:tc>
      </w:tr>
      <w:tr w:rsidR="00880BC7" w:rsidRPr="00387C0F" w:rsidTr="00A31D10">
        <w:trPr>
          <w:jc w:val="center"/>
        </w:trPr>
        <w:tc>
          <w:tcPr>
            <w:tcW w:w="817" w:type="dxa"/>
            <w:tcBorders>
              <w:top w:val="single" w:sz="6" w:space="0" w:color="auto"/>
              <w:left w:val="single" w:sz="12" w:space="0" w:color="auto"/>
              <w:bottom w:val="single" w:sz="6" w:space="0" w:color="auto"/>
              <w:right w:val="single" w:sz="12" w:space="0" w:color="auto"/>
            </w:tcBorders>
            <w:shd w:val="clear" w:color="auto" w:fill="auto"/>
            <w:vAlign w:val="center"/>
          </w:tcPr>
          <w:p w:rsidR="00C402C1" w:rsidRPr="0073127B" w:rsidRDefault="00C402C1" w:rsidP="0073127B">
            <w:pPr>
              <w:spacing w:line="360" w:lineRule="auto"/>
              <w:jc w:val="center"/>
              <w:rPr>
                <w:b/>
                <w:sz w:val="18"/>
                <w:szCs w:val="18"/>
                <w:lang w:val="lt-LT"/>
              </w:rPr>
            </w:pPr>
            <w:r w:rsidRPr="0073127B">
              <w:rPr>
                <w:b/>
                <w:sz w:val="18"/>
                <w:szCs w:val="18"/>
                <w:lang w:val="lt-LT"/>
              </w:rPr>
              <w:t>IT</w:t>
            </w:r>
          </w:p>
        </w:tc>
        <w:tc>
          <w:tcPr>
            <w:tcW w:w="2410" w:type="dxa"/>
            <w:tcBorders>
              <w:top w:val="single" w:sz="6" w:space="0" w:color="auto"/>
              <w:left w:val="single" w:sz="12" w:space="0" w:color="auto"/>
              <w:bottom w:val="single" w:sz="6" w:space="0" w:color="auto"/>
              <w:right w:val="single" w:sz="6" w:space="0" w:color="auto"/>
            </w:tcBorders>
            <w:shd w:val="clear" w:color="auto" w:fill="auto"/>
            <w:vAlign w:val="center"/>
          </w:tcPr>
          <w:p w:rsidR="00C402C1" w:rsidRPr="0073127B" w:rsidRDefault="005232AB" w:rsidP="0073127B">
            <w:pPr>
              <w:jc w:val="center"/>
              <w:rPr>
                <w:bCs/>
                <w:sz w:val="18"/>
                <w:szCs w:val="18"/>
              </w:rPr>
            </w:pPr>
            <w:r w:rsidRPr="0073127B">
              <w:rPr>
                <w:bCs/>
                <w:sz w:val="18"/>
                <w:szCs w:val="18"/>
              </w:rPr>
              <w:t>448093</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C402C1" w:rsidRPr="0073127B" w:rsidRDefault="00C402C1" w:rsidP="0073127B">
            <w:pPr>
              <w:spacing w:line="360" w:lineRule="auto"/>
              <w:jc w:val="center"/>
              <w:rPr>
                <w:sz w:val="18"/>
                <w:szCs w:val="18"/>
                <w:lang w:val="lt-LT"/>
              </w:rPr>
            </w:pPr>
          </w:p>
        </w:tc>
        <w:tc>
          <w:tcPr>
            <w:tcW w:w="1717" w:type="dxa"/>
            <w:tcBorders>
              <w:top w:val="single" w:sz="6" w:space="0" w:color="auto"/>
              <w:left w:val="single" w:sz="6" w:space="0" w:color="auto"/>
              <w:bottom w:val="single" w:sz="6" w:space="0" w:color="auto"/>
              <w:right w:val="single" w:sz="6" w:space="0" w:color="auto"/>
            </w:tcBorders>
            <w:shd w:val="clear" w:color="auto" w:fill="auto"/>
            <w:vAlign w:val="center"/>
          </w:tcPr>
          <w:p w:rsidR="00C402C1" w:rsidRPr="0073127B" w:rsidRDefault="005232AB" w:rsidP="0073127B">
            <w:pPr>
              <w:jc w:val="center"/>
              <w:rPr>
                <w:bCs/>
                <w:sz w:val="18"/>
                <w:szCs w:val="18"/>
              </w:rPr>
            </w:pPr>
            <w:r w:rsidRPr="0073127B">
              <w:rPr>
                <w:bCs/>
                <w:sz w:val="18"/>
                <w:szCs w:val="18"/>
              </w:rPr>
              <w:t>236137</w:t>
            </w:r>
          </w:p>
        </w:tc>
        <w:tc>
          <w:tcPr>
            <w:tcW w:w="1717" w:type="dxa"/>
            <w:tcBorders>
              <w:top w:val="single" w:sz="6" w:space="0" w:color="auto"/>
              <w:left w:val="single" w:sz="6" w:space="0" w:color="auto"/>
              <w:bottom w:val="single" w:sz="6" w:space="0" w:color="auto"/>
              <w:right w:val="single" w:sz="12" w:space="0" w:color="auto"/>
            </w:tcBorders>
            <w:shd w:val="clear" w:color="auto" w:fill="auto"/>
            <w:vAlign w:val="center"/>
          </w:tcPr>
          <w:p w:rsidR="00C402C1" w:rsidRPr="0073127B" w:rsidRDefault="005232AB" w:rsidP="0073127B">
            <w:pPr>
              <w:jc w:val="center"/>
              <w:rPr>
                <w:bCs/>
                <w:sz w:val="18"/>
                <w:szCs w:val="18"/>
              </w:rPr>
            </w:pPr>
            <w:r w:rsidRPr="0073127B">
              <w:rPr>
                <w:bCs/>
                <w:sz w:val="18"/>
                <w:szCs w:val="18"/>
              </w:rPr>
              <w:t>317970</w:t>
            </w:r>
          </w:p>
        </w:tc>
      </w:tr>
      <w:tr w:rsidR="00880BC7" w:rsidRPr="00387C0F" w:rsidTr="00A31D10">
        <w:trPr>
          <w:jc w:val="center"/>
        </w:trPr>
        <w:tc>
          <w:tcPr>
            <w:tcW w:w="817" w:type="dxa"/>
            <w:tcBorders>
              <w:top w:val="single" w:sz="6" w:space="0" w:color="auto"/>
              <w:left w:val="single" w:sz="12" w:space="0" w:color="auto"/>
              <w:bottom w:val="single" w:sz="6" w:space="0" w:color="auto"/>
              <w:right w:val="single" w:sz="12" w:space="0" w:color="auto"/>
            </w:tcBorders>
            <w:shd w:val="clear" w:color="auto" w:fill="auto"/>
            <w:vAlign w:val="center"/>
          </w:tcPr>
          <w:p w:rsidR="00C402C1" w:rsidRPr="0073127B" w:rsidRDefault="00C402C1" w:rsidP="0073127B">
            <w:pPr>
              <w:spacing w:line="360" w:lineRule="auto"/>
              <w:jc w:val="center"/>
              <w:rPr>
                <w:b/>
                <w:sz w:val="18"/>
                <w:szCs w:val="18"/>
                <w:lang w:val="lt-LT"/>
              </w:rPr>
            </w:pPr>
            <w:r w:rsidRPr="0073127B">
              <w:rPr>
                <w:b/>
                <w:sz w:val="18"/>
                <w:szCs w:val="18"/>
                <w:lang w:val="lt-LT"/>
              </w:rPr>
              <w:t>CY</w:t>
            </w:r>
          </w:p>
        </w:tc>
        <w:tc>
          <w:tcPr>
            <w:tcW w:w="2410" w:type="dxa"/>
            <w:tcBorders>
              <w:top w:val="single" w:sz="6" w:space="0" w:color="auto"/>
              <w:left w:val="single" w:sz="12" w:space="0" w:color="auto"/>
              <w:bottom w:val="single" w:sz="6" w:space="0" w:color="auto"/>
              <w:right w:val="single" w:sz="6" w:space="0" w:color="auto"/>
            </w:tcBorders>
            <w:shd w:val="clear" w:color="auto" w:fill="auto"/>
            <w:vAlign w:val="center"/>
          </w:tcPr>
          <w:p w:rsidR="00C402C1" w:rsidRPr="0073127B" w:rsidRDefault="005232AB" w:rsidP="0073127B">
            <w:pPr>
              <w:jc w:val="center"/>
              <w:rPr>
                <w:bCs/>
                <w:sz w:val="18"/>
                <w:szCs w:val="18"/>
              </w:rPr>
            </w:pPr>
            <w:r w:rsidRPr="0073127B">
              <w:rPr>
                <w:bCs/>
                <w:sz w:val="18"/>
                <w:szCs w:val="18"/>
              </w:rPr>
              <w:t>6593,4</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C402C1" w:rsidRPr="0073127B" w:rsidRDefault="00C402C1" w:rsidP="0073127B">
            <w:pPr>
              <w:spacing w:line="360" w:lineRule="auto"/>
              <w:jc w:val="center"/>
              <w:rPr>
                <w:sz w:val="18"/>
                <w:szCs w:val="18"/>
                <w:lang w:val="lt-LT"/>
              </w:rPr>
            </w:pPr>
          </w:p>
        </w:tc>
        <w:tc>
          <w:tcPr>
            <w:tcW w:w="1717" w:type="dxa"/>
            <w:tcBorders>
              <w:top w:val="single" w:sz="6" w:space="0" w:color="auto"/>
              <w:left w:val="single" w:sz="6" w:space="0" w:color="auto"/>
              <w:bottom w:val="single" w:sz="6" w:space="0" w:color="auto"/>
              <w:right w:val="single" w:sz="6" w:space="0" w:color="auto"/>
            </w:tcBorders>
            <w:shd w:val="clear" w:color="auto" w:fill="auto"/>
            <w:vAlign w:val="center"/>
          </w:tcPr>
          <w:p w:rsidR="00C402C1" w:rsidRPr="0073127B" w:rsidRDefault="005232AB" w:rsidP="0073127B">
            <w:pPr>
              <w:spacing w:line="360" w:lineRule="auto"/>
              <w:jc w:val="center"/>
              <w:rPr>
                <w:sz w:val="18"/>
                <w:szCs w:val="18"/>
                <w:lang w:val="lt-LT"/>
              </w:rPr>
            </w:pPr>
            <w:r w:rsidRPr="0073127B">
              <w:rPr>
                <w:sz w:val="18"/>
                <w:szCs w:val="18"/>
                <w:lang w:val="lt-LT"/>
              </w:rPr>
              <w:t>354,1</w:t>
            </w:r>
          </w:p>
        </w:tc>
        <w:tc>
          <w:tcPr>
            <w:tcW w:w="1717" w:type="dxa"/>
            <w:tcBorders>
              <w:top w:val="single" w:sz="6" w:space="0" w:color="auto"/>
              <w:left w:val="single" w:sz="6" w:space="0" w:color="auto"/>
              <w:bottom w:val="single" w:sz="6" w:space="0" w:color="auto"/>
              <w:right w:val="single" w:sz="12" w:space="0" w:color="auto"/>
            </w:tcBorders>
            <w:shd w:val="clear" w:color="auto" w:fill="auto"/>
            <w:vAlign w:val="center"/>
          </w:tcPr>
          <w:p w:rsidR="00C402C1" w:rsidRPr="0073127B" w:rsidRDefault="00E344D9" w:rsidP="0073127B">
            <w:pPr>
              <w:spacing w:line="360" w:lineRule="auto"/>
              <w:jc w:val="center"/>
              <w:rPr>
                <w:sz w:val="18"/>
                <w:szCs w:val="18"/>
                <w:lang w:val="lt-LT"/>
              </w:rPr>
            </w:pPr>
            <w:r w:rsidRPr="0073127B">
              <w:rPr>
                <w:sz w:val="18"/>
                <w:szCs w:val="18"/>
                <w:lang w:val="lt-LT"/>
              </w:rPr>
              <w:t>1579,6</w:t>
            </w:r>
          </w:p>
        </w:tc>
      </w:tr>
      <w:tr w:rsidR="00880BC7" w:rsidRPr="00387C0F" w:rsidTr="00A31D10">
        <w:trPr>
          <w:jc w:val="center"/>
        </w:trPr>
        <w:tc>
          <w:tcPr>
            <w:tcW w:w="817" w:type="dxa"/>
            <w:tcBorders>
              <w:top w:val="single" w:sz="6" w:space="0" w:color="auto"/>
              <w:left w:val="single" w:sz="12" w:space="0" w:color="auto"/>
              <w:bottom w:val="single" w:sz="6" w:space="0" w:color="auto"/>
              <w:right w:val="single" w:sz="12" w:space="0" w:color="auto"/>
            </w:tcBorders>
            <w:shd w:val="clear" w:color="auto" w:fill="auto"/>
            <w:vAlign w:val="center"/>
          </w:tcPr>
          <w:p w:rsidR="00C402C1" w:rsidRPr="0073127B" w:rsidRDefault="00C402C1" w:rsidP="0073127B">
            <w:pPr>
              <w:spacing w:line="360" w:lineRule="auto"/>
              <w:jc w:val="center"/>
              <w:rPr>
                <w:b/>
                <w:sz w:val="18"/>
                <w:szCs w:val="18"/>
                <w:lang w:val="lt-LT"/>
              </w:rPr>
            </w:pPr>
            <w:r w:rsidRPr="0073127B">
              <w:rPr>
                <w:b/>
                <w:sz w:val="18"/>
                <w:szCs w:val="18"/>
                <w:lang w:val="lt-LT"/>
              </w:rPr>
              <w:t>LV</w:t>
            </w:r>
          </w:p>
        </w:tc>
        <w:tc>
          <w:tcPr>
            <w:tcW w:w="2410" w:type="dxa"/>
            <w:tcBorders>
              <w:top w:val="single" w:sz="6" w:space="0" w:color="auto"/>
              <w:left w:val="single" w:sz="12" w:space="0" w:color="auto"/>
              <w:bottom w:val="single" w:sz="6" w:space="0" w:color="auto"/>
              <w:right w:val="single" w:sz="6" w:space="0" w:color="auto"/>
            </w:tcBorders>
            <w:shd w:val="clear" w:color="auto" w:fill="auto"/>
            <w:vAlign w:val="center"/>
          </w:tcPr>
          <w:p w:rsidR="00C402C1" w:rsidRPr="0073127B" w:rsidRDefault="00E344D9" w:rsidP="0073127B">
            <w:pPr>
              <w:spacing w:line="360" w:lineRule="auto"/>
              <w:jc w:val="center"/>
              <w:rPr>
                <w:sz w:val="18"/>
                <w:szCs w:val="18"/>
                <w:lang w:val="lt-LT"/>
              </w:rPr>
            </w:pPr>
            <w:r w:rsidRPr="0073127B">
              <w:rPr>
                <w:sz w:val="18"/>
                <w:szCs w:val="18"/>
                <w:lang w:val="lt-LT"/>
              </w:rPr>
              <w:t>4671,4</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C402C1" w:rsidRPr="0073127B" w:rsidRDefault="00C402C1" w:rsidP="0073127B">
            <w:pPr>
              <w:spacing w:line="360" w:lineRule="auto"/>
              <w:jc w:val="center"/>
              <w:rPr>
                <w:sz w:val="18"/>
                <w:szCs w:val="18"/>
                <w:lang w:val="lt-LT"/>
              </w:rPr>
            </w:pPr>
          </w:p>
        </w:tc>
        <w:tc>
          <w:tcPr>
            <w:tcW w:w="1717" w:type="dxa"/>
            <w:tcBorders>
              <w:top w:val="single" w:sz="6" w:space="0" w:color="auto"/>
              <w:left w:val="single" w:sz="6" w:space="0" w:color="auto"/>
              <w:bottom w:val="single" w:sz="6" w:space="0" w:color="auto"/>
              <w:right w:val="single" w:sz="6" w:space="0" w:color="auto"/>
            </w:tcBorders>
            <w:shd w:val="clear" w:color="auto" w:fill="auto"/>
            <w:vAlign w:val="center"/>
          </w:tcPr>
          <w:p w:rsidR="00C402C1" w:rsidRPr="0073127B" w:rsidRDefault="00E344D9" w:rsidP="0073127B">
            <w:pPr>
              <w:spacing w:line="360" w:lineRule="auto"/>
              <w:jc w:val="center"/>
              <w:rPr>
                <w:sz w:val="18"/>
                <w:szCs w:val="18"/>
                <w:lang w:val="lt-LT"/>
              </w:rPr>
            </w:pPr>
            <w:r w:rsidRPr="0073127B">
              <w:rPr>
                <w:sz w:val="18"/>
                <w:szCs w:val="18"/>
                <w:lang w:val="lt-LT"/>
              </w:rPr>
              <w:t>2208,3</w:t>
            </w:r>
          </w:p>
        </w:tc>
        <w:tc>
          <w:tcPr>
            <w:tcW w:w="1717" w:type="dxa"/>
            <w:tcBorders>
              <w:top w:val="single" w:sz="6" w:space="0" w:color="auto"/>
              <w:left w:val="single" w:sz="6" w:space="0" w:color="auto"/>
              <w:bottom w:val="single" w:sz="6" w:space="0" w:color="auto"/>
              <w:right w:val="single" w:sz="12" w:space="0" w:color="auto"/>
            </w:tcBorders>
            <w:shd w:val="clear" w:color="auto" w:fill="auto"/>
            <w:vAlign w:val="center"/>
          </w:tcPr>
          <w:p w:rsidR="00C402C1" w:rsidRPr="0073127B" w:rsidRDefault="00E344D9" w:rsidP="0073127B">
            <w:pPr>
              <w:spacing w:line="360" w:lineRule="auto"/>
              <w:jc w:val="center"/>
              <w:rPr>
                <w:sz w:val="18"/>
                <w:szCs w:val="18"/>
                <w:lang w:val="lt-LT"/>
              </w:rPr>
            </w:pPr>
            <w:r w:rsidRPr="0073127B">
              <w:rPr>
                <w:sz w:val="18"/>
                <w:szCs w:val="18"/>
                <w:lang w:val="lt-LT"/>
              </w:rPr>
              <w:t>2014,5</w:t>
            </w:r>
          </w:p>
        </w:tc>
      </w:tr>
      <w:tr w:rsidR="00880BC7" w:rsidRPr="00387C0F" w:rsidTr="00A31D10">
        <w:trPr>
          <w:jc w:val="center"/>
        </w:trPr>
        <w:tc>
          <w:tcPr>
            <w:tcW w:w="817" w:type="dxa"/>
            <w:tcBorders>
              <w:top w:val="single" w:sz="6" w:space="0" w:color="auto"/>
              <w:left w:val="single" w:sz="12" w:space="0" w:color="auto"/>
              <w:bottom w:val="single" w:sz="6" w:space="0" w:color="auto"/>
              <w:right w:val="single" w:sz="12" w:space="0" w:color="auto"/>
            </w:tcBorders>
            <w:shd w:val="clear" w:color="auto" w:fill="auto"/>
            <w:vAlign w:val="center"/>
          </w:tcPr>
          <w:p w:rsidR="00C402C1" w:rsidRPr="0073127B" w:rsidRDefault="00C402C1" w:rsidP="0073127B">
            <w:pPr>
              <w:spacing w:line="360" w:lineRule="auto"/>
              <w:jc w:val="center"/>
              <w:rPr>
                <w:b/>
                <w:sz w:val="18"/>
                <w:szCs w:val="18"/>
                <w:lang w:val="lt-LT"/>
              </w:rPr>
            </w:pPr>
            <w:r w:rsidRPr="0073127B">
              <w:rPr>
                <w:b/>
                <w:sz w:val="18"/>
                <w:szCs w:val="18"/>
                <w:lang w:val="lt-LT"/>
              </w:rPr>
              <w:t>LU</w:t>
            </w:r>
          </w:p>
        </w:tc>
        <w:tc>
          <w:tcPr>
            <w:tcW w:w="2410" w:type="dxa"/>
            <w:tcBorders>
              <w:top w:val="single" w:sz="6" w:space="0" w:color="auto"/>
              <w:left w:val="single" w:sz="12" w:space="0" w:color="auto"/>
              <w:bottom w:val="single" w:sz="6" w:space="0" w:color="auto"/>
              <w:right w:val="single" w:sz="6" w:space="0" w:color="auto"/>
            </w:tcBorders>
            <w:shd w:val="clear" w:color="auto" w:fill="auto"/>
            <w:vAlign w:val="center"/>
          </w:tcPr>
          <w:p w:rsidR="00C402C1" w:rsidRPr="0073127B" w:rsidRDefault="00E344D9" w:rsidP="0073127B">
            <w:pPr>
              <w:jc w:val="center"/>
              <w:rPr>
                <w:bCs/>
                <w:sz w:val="18"/>
                <w:szCs w:val="18"/>
              </w:rPr>
            </w:pPr>
            <w:r w:rsidRPr="0073127B">
              <w:rPr>
                <w:bCs/>
                <w:sz w:val="18"/>
                <w:szCs w:val="18"/>
              </w:rPr>
              <w:t>13713,1</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C402C1" w:rsidRPr="0073127B" w:rsidRDefault="00C402C1" w:rsidP="0073127B">
            <w:pPr>
              <w:spacing w:line="360" w:lineRule="auto"/>
              <w:jc w:val="center"/>
              <w:rPr>
                <w:sz w:val="18"/>
                <w:szCs w:val="18"/>
                <w:lang w:val="lt-LT"/>
              </w:rPr>
            </w:pPr>
          </w:p>
        </w:tc>
        <w:tc>
          <w:tcPr>
            <w:tcW w:w="1717" w:type="dxa"/>
            <w:tcBorders>
              <w:top w:val="single" w:sz="6" w:space="0" w:color="auto"/>
              <w:left w:val="single" w:sz="6" w:space="0" w:color="auto"/>
              <w:bottom w:val="single" w:sz="6" w:space="0" w:color="auto"/>
              <w:right w:val="single" w:sz="6" w:space="0" w:color="auto"/>
            </w:tcBorders>
            <w:shd w:val="clear" w:color="auto" w:fill="auto"/>
            <w:vAlign w:val="center"/>
          </w:tcPr>
          <w:p w:rsidR="00C402C1" w:rsidRPr="0073127B" w:rsidRDefault="00E344D9" w:rsidP="0073127B">
            <w:pPr>
              <w:spacing w:line="360" w:lineRule="auto"/>
              <w:jc w:val="center"/>
              <w:rPr>
                <w:sz w:val="18"/>
                <w:szCs w:val="18"/>
                <w:lang w:val="lt-LT"/>
              </w:rPr>
            </w:pPr>
            <w:r w:rsidRPr="0073127B">
              <w:rPr>
                <w:sz w:val="18"/>
                <w:szCs w:val="18"/>
                <w:lang w:val="lt-LT"/>
              </w:rPr>
              <w:t>2348</w:t>
            </w:r>
          </w:p>
        </w:tc>
        <w:tc>
          <w:tcPr>
            <w:tcW w:w="1717" w:type="dxa"/>
            <w:tcBorders>
              <w:top w:val="single" w:sz="6" w:space="0" w:color="auto"/>
              <w:left w:val="single" w:sz="6" w:space="0" w:color="auto"/>
              <w:bottom w:val="single" w:sz="6" w:space="0" w:color="auto"/>
              <w:right w:val="single" w:sz="12" w:space="0" w:color="auto"/>
            </w:tcBorders>
            <w:shd w:val="clear" w:color="auto" w:fill="auto"/>
            <w:vAlign w:val="center"/>
          </w:tcPr>
          <w:p w:rsidR="00C402C1" w:rsidRPr="0073127B" w:rsidRDefault="00E344D9" w:rsidP="0073127B">
            <w:pPr>
              <w:spacing w:line="360" w:lineRule="auto"/>
              <w:jc w:val="center"/>
              <w:rPr>
                <w:sz w:val="18"/>
                <w:szCs w:val="18"/>
                <w:lang w:val="lt-LT"/>
              </w:rPr>
            </w:pPr>
            <w:r w:rsidRPr="0073127B">
              <w:rPr>
                <w:sz w:val="18"/>
                <w:szCs w:val="18"/>
                <w:lang w:val="lt-LT"/>
              </w:rPr>
              <w:t>7957,8</w:t>
            </w:r>
          </w:p>
        </w:tc>
      </w:tr>
      <w:tr w:rsidR="00880BC7" w:rsidRPr="00387C0F" w:rsidTr="00A31D10">
        <w:trPr>
          <w:jc w:val="center"/>
        </w:trPr>
        <w:tc>
          <w:tcPr>
            <w:tcW w:w="817" w:type="dxa"/>
            <w:tcBorders>
              <w:top w:val="single" w:sz="6" w:space="0" w:color="auto"/>
              <w:left w:val="single" w:sz="12" w:space="0" w:color="auto"/>
              <w:bottom w:val="single" w:sz="6" w:space="0" w:color="auto"/>
              <w:right w:val="single" w:sz="12" w:space="0" w:color="auto"/>
            </w:tcBorders>
            <w:shd w:val="clear" w:color="auto" w:fill="auto"/>
            <w:vAlign w:val="center"/>
          </w:tcPr>
          <w:p w:rsidR="00C402C1" w:rsidRPr="0073127B" w:rsidRDefault="00C402C1" w:rsidP="0073127B">
            <w:pPr>
              <w:spacing w:line="360" w:lineRule="auto"/>
              <w:jc w:val="center"/>
              <w:rPr>
                <w:b/>
                <w:sz w:val="18"/>
                <w:szCs w:val="18"/>
                <w:lang w:val="lt-LT"/>
              </w:rPr>
            </w:pPr>
            <w:r w:rsidRPr="0073127B">
              <w:rPr>
                <w:b/>
                <w:sz w:val="18"/>
                <w:szCs w:val="18"/>
                <w:lang w:val="lt-LT"/>
              </w:rPr>
              <w:t>HU</w:t>
            </w:r>
          </w:p>
        </w:tc>
        <w:tc>
          <w:tcPr>
            <w:tcW w:w="2410" w:type="dxa"/>
            <w:tcBorders>
              <w:top w:val="single" w:sz="6" w:space="0" w:color="auto"/>
              <w:left w:val="single" w:sz="12" w:space="0" w:color="auto"/>
              <w:bottom w:val="single" w:sz="6" w:space="0" w:color="auto"/>
              <w:right w:val="single" w:sz="6" w:space="0" w:color="auto"/>
            </w:tcBorders>
            <w:shd w:val="clear" w:color="auto" w:fill="auto"/>
            <w:vAlign w:val="center"/>
          </w:tcPr>
          <w:p w:rsidR="00C402C1" w:rsidRPr="0073127B" w:rsidRDefault="00E344D9" w:rsidP="0073127B">
            <w:pPr>
              <w:spacing w:line="360" w:lineRule="auto"/>
              <w:jc w:val="center"/>
              <w:rPr>
                <w:sz w:val="18"/>
                <w:szCs w:val="18"/>
                <w:lang w:val="lt-LT"/>
              </w:rPr>
            </w:pPr>
            <w:r w:rsidRPr="0073127B">
              <w:rPr>
                <w:sz w:val="18"/>
                <w:szCs w:val="18"/>
                <w:lang w:val="lt-LT"/>
              </w:rPr>
              <w:t>32507,1</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C402C1" w:rsidRPr="0073127B" w:rsidRDefault="00C402C1" w:rsidP="0073127B">
            <w:pPr>
              <w:spacing w:line="360" w:lineRule="auto"/>
              <w:jc w:val="center"/>
              <w:rPr>
                <w:sz w:val="18"/>
                <w:szCs w:val="18"/>
                <w:lang w:val="lt-LT"/>
              </w:rPr>
            </w:pPr>
          </w:p>
        </w:tc>
        <w:tc>
          <w:tcPr>
            <w:tcW w:w="1717" w:type="dxa"/>
            <w:tcBorders>
              <w:top w:val="single" w:sz="6" w:space="0" w:color="auto"/>
              <w:left w:val="single" w:sz="6" w:space="0" w:color="auto"/>
              <w:bottom w:val="single" w:sz="6" w:space="0" w:color="auto"/>
              <w:right w:val="single" w:sz="6" w:space="0" w:color="auto"/>
            </w:tcBorders>
            <w:shd w:val="clear" w:color="auto" w:fill="auto"/>
            <w:vAlign w:val="center"/>
          </w:tcPr>
          <w:p w:rsidR="00C402C1" w:rsidRPr="0073127B" w:rsidRDefault="00E344D9" w:rsidP="0073127B">
            <w:pPr>
              <w:spacing w:line="360" w:lineRule="auto"/>
              <w:jc w:val="center"/>
              <w:rPr>
                <w:sz w:val="18"/>
                <w:szCs w:val="18"/>
                <w:lang w:val="lt-LT"/>
              </w:rPr>
            </w:pPr>
            <w:r w:rsidRPr="0073127B">
              <w:rPr>
                <w:sz w:val="18"/>
                <w:szCs w:val="18"/>
                <w:lang w:val="lt-LT"/>
              </w:rPr>
              <w:t>9005,4</w:t>
            </w:r>
          </w:p>
        </w:tc>
        <w:tc>
          <w:tcPr>
            <w:tcW w:w="1717" w:type="dxa"/>
            <w:tcBorders>
              <w:top w:val="single" w:sz="6" w:space="0" w:color="auto"/>
              <w:left w:val="single" w:sz="6" w:space="0" w:color="auto"/>
              <w:bottom w:val="single" w:sz="6" w:space="0" w:color="auto"/>
              <w:right w:val="single" w:sz="12" w:space="0" w:color="auto"/>
            </w:tcBorders>
            <w:shd w:val="clear" w:color="auto" w:fill="auto"/>
            <w:vAlign w:val="center"/>
          </w:tcPr>
          <w:p w:rsidR="00C402C1" w:rsidRPr="0073127B" w:rsidRDefault="00E344D9" w:rsidP="0073127B">
            <w:pPr>
              <w:spacing w:line="360" w:lineRule="auto"/>
              <w:jc w:val="center"/>
              <w:rPr>
                <w:sz w:val="18"/>
                <w:szCs w:val="18"/>
                <w:lang w:val="lt-LT"/>
              </w:rPr>
            </w:pPr>
            <w:r w:rsidRPr="0073127B">
              <w:rPr>
                <w:sz w:val="18"/>
                <w:szCs w:val="18"/>
                <w:lang w:val="lt-LT"/>
              </w:rPr>
              <w:t>15349,5</w:t>
            </w:r>
          </w:p>
        </w:tc>
      </w:tr>
      <w:tr w:rsidR="00880BC7" w:rsidRPr="00387C0F" w:rsidTr="00A31D10">
        <w:trPr>
          <w:jc w:val="center"/>
        </w:trPr>
        <w:tc>
          <w:tcPr>
            <w:tcW w:w="817" w:type="dxa"/>
            <w:tcBorders>
              <w:top w:val="single" w:sz="6" w:space="0" w:color="auto"/>
              <w:left w:val="single" w:sz="12" w:space="0" w:color="auto"/>
              <w:bottom w:val="single" w:sz="6" w:space="0" w:color="auto"/>
              <w:right w:val="single" w:sz="12" w:space="0" w:color="auto"/>
            </w:tcBorders>
            <w:shd w:val="clear" w:color="auto" w:fill="auto"/>
            <w:vAlign w:val="center"/>
          </w:tcPr>
          <w:p w:rsidR="00C402C1" w:rsidRPr="0073127B" w:rsidRDefault="00C402C1" w:rsidP="0073127B">
            <w:pPr>
              <w:spacing w:line="360" w:lineRule="auto"/>
              <w:jc w:val="center"/>
              <w:rPr>
                <w:b/>
                <w:sz w:val="18"/>
                <w:szCs w:val="18"/>
                <w:lang w:val="lt-LT"/>
              </w:rPr>
            </w:pPr>
            <w:r w:rsidRPr="0073127B">
              <w:rPr>
                <w:b/>
                <w:sz w:val="18"/>
                <w:szCs w:val="18"/>
                <w:lang w:val="lt-LT"/>
              </w:rPr>
              <w:t>MT</w:t>
            </w:r>
          </w:p>
        </w:tc>
        <w:tc>
          <w:tcPr>
            <w:tcW w:w="2410" w:type="dxa"/>
            <w:tcBorders>
              <w:top w:val="single" w:sz="6" w:space="0" w:color="auto"/>
              <w:left w:val="single" w:sz="12" w:space="0" w:color="auto"/>
              <w:bottom w:val="single" w:sz="6" w:space="0" w:color="auto"/>
              <w:right w:val="single" w:sz="6" w:space="0" w:color="auto"/>
            </w:tcBorders>
            <w:shd w:val="clear" w:color="auto" w:fill="auto"/>
            <w:vAlign w:val="center"/>
          </w:tcPr>
          <w:p w:rsidR="00C402C1" w:rsidRPr="0073127B" w:rsidRDefault="00E344D9" w:rsidP="0073127B">
            <w:pPr>
              <w:spacing w:line="360" w:lineRule="auto"/>
              <w:jc w:val="center"/>
              <w:rPr>
                <w:sz w:val="18"/>
                <w:szCs w:val="18"/>
                <w:lang w:val="lt-LT"/>
              </w:rPr>
            </w:pPr>
            <w:r w:rsidRPr="0073127B">
              <w:rPr>
                <w:sz w:val="18"/>
                <w:szCs w:val="18"/>
                <w:lang w:val="lt-LT"/>
              </w:rPr>
              <w:t>2941,9</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C402C1" w:rsidRPr="0073127B" w:rsidRDefault="00C402C1" w:rsidP="0073127B">
            <w:pPr>
              <w:spacing w:line="360" w:lineRule="auto"/>
              <w:jc w:val="center"/>
              <w:rPr>
                <w:sz w:val="18"/>
                <w:szCs w:val="18"/>
                <w:lang w:val="lt-LT"/>
              </w:rPr>
            </w:pPr>
          </w:p>
        </w:tc>
        <w:tc>
          <w:tcPr>
            <w:tcW w:w="1717" w:type="dxa"/>
            <w:tcBorders>
              <w:top w:val="single" w:sz="6" w:space="0" w:color="auto"/>
              <w:left w:val="single" w:sz="6" w:space="0" w:color="auto"/>
              <w:bottom w:val="single" w:sz="6" w:space="0" w:color="auto"/>
              <w:right w:val="single" w:sz="6" w:space="0" w:color="auto"/>
            </w:tcBorders>
            <w:shd w:val="clear" w:color="auto" w:fill="auto"/>
            <w:vAlign w:val="center"/>
          </w:tcPr>
          <w:p w:rsidR="00C402C1" w:rsidRPr="0073127B" w:rsidRDefault="006D7635" w:rsidP="0073127B">
            <w:pPr>
              <w:spacing w:line="360" w:lineRule="auto"/>
              <w:jc w:val="center"/>
              <w:rPr>
                <w:sz w:val="18"/>
                <w:szCs w:val="18"/>
                <w:lang w:val="lt-LT"/>
              </w:rPr>
            </w:pPr>
            <w:r w:rsidRPr="0073127B">
              <w:rPr>
                <w:sz w:val="18"/>
                <w:szCs w:val="18"/>
                <w:lang w:val="lt-LT"/>
              </w:rPr>
              <w:t>54,4</w:t>
            </w:r>
          </w:p>
        </w:tc>
        <w:tc>
          <w:tcPr>
            <w:tcW w:w="1717" w:type="dxa"/>
            <w:tcBorders>
              <w:top w:val="single" w:sz="6" w:space="0" w:color="auto"/>
              <w:left w:val="single" w:sz="6" w:space="0" w:color="auto"/>
              <w:bottom w:val="single" w:sz="6" w:space="0" w:color="auto"/>
              <w:right w:val="single" w:sz="12" w:space="0" w:color="auto"/>
            </w:tcBorders>
            <w:shd w:val="clear" w:color="auto" w:fill="auto"/>
            <w:vAlign w:val="center"/>
          </w:tcPr>
          <w:p w:rsidR="00C402C1" w:rsidRPr="0073127B" w:rsidRDefault="00C402C1" w:rsidP="0073127B">
            <w:pPr>
              <w:spacing w:line="360" w:lineRule="auto"/>
              <w:jc w:val="center"/>
              <w:rPr>
                <w:sz w:val="18"/>
                <w:szCs w:val="18"/>
                <w:lang w:val="lt-LT"/>
              </w:rPr>
            </w:pPr>
          </w:p>
        </w:tc>
      </w:tr>
      <w:tr w:rsidR="00880BC7" w:rsidRPr="00387C0F" w:rsidTr="00A31D10">
        <w:trPr>
          <w:jc w:val="center"/>
        </w:trPr>
        <w:tc>
          <w:tcPr>
            <w:tcW w:w="817" w:type="dxa"/>
            <w:tcBorders>
              <w:top w:val="single" w:sz="6" w:space="0" w:color="auto"/>
              <w:left w:val="single" w:sz="12" w:space="0" w:color="auto"/>
              <w:bottom w:val="single" w:sz="6" w:space="0" w:color="auto"/>
              <w:right w:val="single" w:sz="12" w:space="0" w:color="auto"/>
            </w:tcBorders>
            <w:shd w:val="clear" w:color="auto" w:fill="auto"/>
            <w:vAlign w:val="center"/>
          </w:tcPr>
          <w:p w:rsidR="00C402C1" w:rsidRPr="0073127B" w:rsidRDefault="00C402C1" w:rsidP="0073127B">
            <w:pPr>
              <w:spacing w:line="360" w:lineRule="auto"/>
              <w:jc w:val="center"/>
              <w:rPr>
                <w:b/>
                <w:sz w:val="18"/>
                <w:szCs w:val="18"/>
                <w:lang w:val="lt-LT"/>
              </w:rPr>
            </w:pPr>
            <w:r w:rsidRPr="0073127B">
              <w:rPr>
                <w:b/>
                <w:sz w:val="18"/>
                <w:szCs w:val="18"/>
                <w:lang w:val="lt-LT"/>
              </w:rPr>
              <w:t>NL</w:t>
            </w:r>
          </w:p>
        </w:tc>
        <w:tc>
          <w:tcPr>
            <w:tcW w:w="2410" w:type="dxa"/>
            <w:tcBorders>
              <w:top w:val="single" w:sz="6" w:space="0" w:color="auto"/>
              <w:left w:val="single" w:sz="12" w:space="0" w:color="auto"/>
              <w:bottom w:val="single" w:sz="6" w:space="0" w:color="auto"/>
              <w:right w:val="single" w:sz="6" w:space="0" w:color="auto"/>
            </w:tcBorders>
            <w:shd w:val="clear" w:color="auto" w:fill="auto"/>
            <w:vAlign w:val="center"/>
          </w:tcPr>
          <w:p w:rsidR="00C402C1" w:rsidRPr="0073127B" w:rsidRDefault="006D7635" w:rsidP="0073127B">
            <w:pPr>
              <w:spacing w:line="360" w:lineRule="auto"/>
              <w:jc w:val="center"/>
              <w:rPr>
                <w:sz w:val="18"/>
                <w:szCs w:val="18"/>
                <w:lang w:val="lt-LT"/>
              </w:rPr>
            </w:pPr>
            <w:r w:rsidRPr="0073127B">
              <w:rPr>
                <w:sz w:val="18"/>
                <w:szCs w:val="18"/>
                <w:lang w:val="lt-LT"/>
              </w:rPr>
              <w:t>173373</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C402C1" w:rsidRPr="0073127B" w:rsidRDefault="00C402C1" w:rsidP="0073127B">
            <w:pPr>
              <w:spacing w:line="360" w:lineRule="auto"/>
              <w:jc w:val="center"/>
              <w:rPr>
                <w:sz w:val="18"/>
                <w:szCs w:val="18"/>
                <w:lang w:val="lt-LT"/>
              </w:rPr>
            </w:pPr>
          </w:p>
        </w:tc>
        <w:tc>
          <w:tcPr>
            <w:tcW w:w="1717" w:type="dxa"/>
            <w:tcBorders>
              <w:top w:val="single" w:sz="6" w:space="0" w:color="auto"/>
              <w:left w:val="single" w:sz="6" w:space="0" w:color="auto"/>
              <w:bottom w:val="single" w:sz="6" w:space="0" w:color="auto"/>
              <w:right w:val="single" w:sz="6" w:space="0" w:color="auto"/>
            </w:tcBorders>
            <w:shd w:val="clear" w:color="auto" w:fill="auto"/>
            <w:vAlign w:val="center"/>
          </w:tcPr>
          <w:p w:rsidR="00C402C1" w:rsidRPr="0073127B" w:rsidRDefault="006D7635" w:rsidP="0073127B">
            <w:pPr>
              <w:spacing w:line="360" w:lineRule="auto"/>
              <w:jc w:val="center"/>
              <w:rPr>
                <w:sz w:val="18"/>
                <w:szCs w:val="18"/>
                <w:lang w:val="lt-LT"/>
              </w:rPr>
            </w:pPr>
            <w:r w:rsidRPr="0073127B">
              <w:rPr>
                <w:sz w:val="18"/>
                <w:szCs w:val="18"/>
                <w:lang w:val="lt-LT"/>
              </w:rPr>
              <w:t>97819</w:t>
            </w:r>
          </w:p>
        </w:tc>
        <w:tc>
          <w:tcPr>
            <w:tcW w:w="1717" w:type="dxa"/>
            <w:tcBorders>
              <w:top w:val="single" w:sz="6" w:space="0" w:color="auto"/>
              <w:left w:val="single" w:sz="6" w:space="0" w:color="auto"/>
              <w:bottom w:val="single" w:sz="6" w:space="0" w:color="auto"/>
              <w:right w:val="single" w:sz="12" w:space="0" w:color="auto"/>
            </w:tcBorders>
            <w:shd w:val="clear" w:color="auto" w:fill="auto"/>
            <w:vAlign w:val="center"/>
          </w:tcPr>
          <w:p w:rsidR="00C402C1" w:rsidRPr="0073127B" w:rsidRDefault="006D7635" w:rsidP="0073127B">
            <w:pPr>
              <w:spacing w:line="360" w:lineRule="auto"/>
              <w:jc w:val="center"/>
              <w:rPr>
                <w:sz w:val="18"/>
                <w:szCs w:val="18"/>
                <w:lang w:val="lt-LT"/>
              </w:rPr>
            </w:pPr>
            <w:r w:rsidRPr="0073127B">
              <w:rPr>
                <w:sz w:val="18"/>
                <w:szCs w:val="18"/>
                <w:lang w:val="lt-LT"/>
              </w:rPr>
              <w:t>118279</w:t>
            </w:r>
          </w:p>
        </w:tc>
      </w:tr>
      <w:tr w:rsidR="00880BC7" w:rsidRPr="00387C0F" w:rsidTr="00A31D10">
        <w:trPr>
          <w:jc w:val="center"/>
        </w:trPr>
        <w:tc>
          <w:tcPr>
            <w:tcW w:w="817" w:type="dxa"/>
            <w:tcBorders>
              <w:top w:val="single" w:sz="6" w:space="0" w:color="auto"/>
              <w:left w:val="single" w:sz="12" w:space="0" w:color="auto"/>
              <w:bottom w:val="single" w:sz="6" w:space="0" w:color="auto"/>
              <w:right w:val="single" w:sz="12" w:space="0" w:color="auto"/>
            </w:tcBorders>
            <w:shd w:val="clear" w:color="auto" w:fill="auto"/>
            <w:vAlign w:val="center"/>
          </w:tcPr>
          <w:p w:rsidR="00C402C1" w:rsidRPr="0073127B" w:rsidRDefault="00C402C1" w:rsidP="0073127B">
            <w:pPr>
              <w:spacing w:line="360" w:lineRule="auto"/>
              <w:jc w:val="center"/>
              <w:rPr>
                <w:b/>
                <w:sz w:val="18"/>
                <w:szCs w:val="18"/>
                <w:lang w:val="lt-LT"/>
              </w:rPr>
            </w:pPr>
            <w:r w:rsidRPr="0073127B">
              <w:rPr>
                <w:b/>
                <w:sz w:val="18"/>
                <w:szCs w:val="18"/>
                <w:lang w:val="lt-LT"/>
              </w:rPr>
              <w:t>AT</w:t>
            </w:r>
          </w:p>
        </w:tc>
        <w:tc>
          <w:tcPr>
            <w:tcW w:w="2410" w:type="dxa"/>
            <w:tcBorders>
              <w:top w:val="single" w:sz="6" w:space="0" w:color="auto"/>
              <w:left w:val="single" w:sz="12" w:space="0" w:color="auto"/>
              <w:bottom w:val="single" w:sz="6" w:space="0" w:color="auto"/>
              <w:right w:val="single" w:sz="6" w:space="0" w:color="auto"/>
            </w:tcBorders>
            <w:shd w:val="clear" w:color="auto" w:fill="auto"/>
            <w:vAlign w:val="center"/>
          </w:tcPr>
          <w:p w:rsidR="00C402C1" w:rsidRPr="0073127B" w:rsidRDefault="006D7635" w:rsidP="0073127B">
            <w:pPr>
              <w:spacing w:line="360" w:lineRule="auto"/>
              <w:jc w:val="center"/>
              <w:rPr>
                <w:sz w:val="18"/>
                <w:szCs w:val="18"/>
                <w:lang w:val="lt-LT"/>
              </w:rPr>
            </w:pPr>
            <w:r w:rsidRPr="0073127B">
              <w:rPr>
                <w:sz w:val="18"/>
                <w:szCs w:val="18"/>
                <w:lang w:val="lt-LT"/>
              </w:rPr>
              <w:t>82311,3</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C402C1" w:rsidRPr="0073127B" w:rsidRDefault="006D7635" w:rsidP="0073127B">
            <w:pPr>
              <w:spacing w:line="360" w:lineRule="auto"/>
              <w:jc w:val="center"/>
              <w:rPr>
                <w:sz w:val="18"/>
                <w:szCs w:val="18"/>
                <w:lang w:val="lt-LT"/>
              </w:rPr>
            </w:pPr>
            <w:r w:rsidRPr="0073127B">
              <w:rPr>
                <w:sz w:val="18"/>
                <w:szCs w:val="18"/>
                <w:lang w:val="lt-LT"/>
              </w:rPr>
              <w:t>28377,3</w:t>
            </w:r>
          </w:p>
        </w:tc>
        <w:tc>
          <w:tcPr>
            <w:tcW w:w="1717" w:type="dxa"/>
            <w:tcBorders>
              <w:top w:val="single" w:sz="6" w:space="0" w:color="auto"/>
              <w:left w:val="single" w:sz="6" w:space="0" w:color="auto"/>
              <w:bottom w:val="single" w:sz="6" w:space="0" w:color="auto"/>
              <w:right w:val="single" w:sz="6" w:space="0" w:color="auto"/>
            </w:tcBorders>
            <w:shd w:val="clear" w:color="auto" w:fill="auto"/>
            <w:vAlign w:val="center"/>
          </w:tcPr>
          <w:p w:rsidR="00C402C1" w:rsidRPr="0073127B" w:rsidRDefault="006D7635" w:rsidP="0073127B">
            <w:pPr>
              <w:spacing w:line="360" w:lineRule="auto"/>
              <w:jc w:val="center"/>
              <w:rPr>
                <w:sz w:val="18"/>
                <w:szCs w:val="18"/>
                <w:lang w:val="lt-LT"/>
              </w:rPr>
            </w:pPr>
            <w:r w:rsidRPr="0073127B">
              <w:rPr>
                <w:sz w:val="18"/>
                <w:szCs w:val="18"/>
                <w:lang w:val="lt-LT"/>
              </w:rPr>
              <w:t>24163,5</w:t>
            </w:r>
          </w:p>
        </w:tc>
        <w:tc>
          <w:tcPr>
            <w:tcW w:w="1717" w:type="dxa"/>
            <w:tcBorders>
              <w:top w:val="single" w:sz="6" w:space="0" w:color="auto"/>
              <w:left w:val="single" w:sz="6" w:space="0" w:color="auto"/>
              <w:bottom w:val="single" w:sz="6" w:space="0" w:color="auto"/>
              <w:right w:val="single" w:sz="12" w:space="0" w:color="auto"/>
            </w:tcBorders>
            <w:shd w:val="clear" w:color="auto" w:fill="auto"/>
            <w:vAlign w:val="center"/>
          </w:tcPr>
          <w:p w:rsidR="00C402C1" w:rsidRPr="0073127B" w:rsidRDefault="006D7635" w:rsidP="0073127B">
            <w:pPr>
              <w:spacing w:line="360" w:lineRule="auto"/>
              <w:jc w:val="center"/>
              <w:rPr>
                <w:sz w:val="18"/>
                <w:szCs w:val="18"/>
                <w:lang w:val="lt-LT"/>
              </w:rPr>
            </w:pPr>
            <w:r w:rsidRPr="0073127B">
              <w:rPr>
                <w:sz w:val="18"/>
                <w:szCs w:val="18"/>
                <w:lang w:val="lt-LT"/>
              </w:rPr>
              <w:t>54632,8</w:t>
            </w:r>
          </w:p>
        </w:tc>
      </w:tr>
      <w:tr w:rsidR="00880BC7" w:rsidRPr="00387C0F" w:rsidTr="00A31D10">
        <w:trPr>
          <w:jc w:val="center"/>
        </w:trPr>
        <w:tc>
          <w:tcPr>
            <w:tcW w:w="817" w:type="dxa"/>
            <w:tcBorders>
              <w:top w:val="single" w:sz="6" w:space="0" w:color="auto"/>
              <w:left w:val="single" w:sz="12" w:space="0" w:color="auto"/>
              <w:bottom w:val="single" w:sz="6" w:space="0" w:color="auto"/>
              <w:right w:val="single" w:sz="12" w:space="0" w:color="auto"/>
            </w:tcBorders>
            <w:shd w:val="clear" w:color="auto" w:fill="auto"/>
            <w:vAlign w:val="center"/>
          </w:tcPr>
          <w:p w:rsidR="00C402C1" w:rsidRPr="0073127B" w:rsidRDefault="00C402C1" w:rsidP="0073127B">
            <w:pPr>
              <w:spacing w:line="360" w:lineRule="auto"/>
              <w:jc w:val="center"/>
              <w:rPr>
                <w:b/>
                <w:sz w:val="18"/>
                <w:szCs w:val="18"/>
                <w:lang w:val="lt-LT"/>
              </w:rPr>
            </w:pPr>
            <w:r w:rsidRPr="0073127B">
              <w:rPr>
                <w:b/>
                <w:sz w:val="18"/>
                <w:szCs w:val="18"/>
                <w:lang w:val="lt-LT"/>
              </w:rPr>
              <w:t>PL</w:t>
            </w:r>
          </w:p>
        </w:tc>
        <w:tc>
          <w:tcPr>
            <w:tcW w:w="2410" w:type="dxa"/>
            <w:tcBorders>
              <w:top w:val="single" w:sz="6" w:space="0" w:color="auto"/>
              <w:left w:val="single" w:sz="12" w:space="0" w:color="auto"/>
              <w:bottom w:val="single" w:sz="6" w:space="0" w:color="auto"/>
              <w:right w:val="single" w:sz="6" w:space="0" w:color="auto"/>
            </w:tcBorders>
            <w:shd w:val="clear" w:color="auto" w:fill="auto"/>
            <w:vAlign w:val="center"/>
          </w:tcPr>
          <w:p w:rsidR="00C402C1" w:rsidRPr="0073127B" w:rsidRDefault="006D7635" w:rsidP="0073127B">
            <w:pPr>
              <w:spacing w:line="360" w:lineRule="auto"/>
              <w:jc w:val="center"/>
              <w:rPr>
                <w:sz w:val="18"/>
                <w:szCs w:val="18"/>
                <w:lang w:val="lt-LT"/>
              </w:rPr>
            </w:pPr>
            <w:r w:rsidRPr="0073127B">
              <w:rPr>
                <w:sz w:val="18"/>
                <w:szCs w:val="18"/>
                <w:lang w:val="lt-LT"/>
              </w:rPr>
              <w:t>90433,2</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C402C1" w:rsidRPr="0073127B" w:rsidRDefault="00C402C1" w:rsidP="0073127B">
            <w:pPr>
              <w:spacing w:line="360" w:lineRule="auto"/>
              <w:jc w:val="center"/>
              <w:rPr>
                <w:sz w:val="18"/>
                <w:szCs w:val="18"/>
                <w:lang w:val="lt-LT"/>
              </w:rPr>
            </w:pPr>
          </w:p>
        </w:tc>
        <w:tc>
          <w:tcPr>
            <w:tcW w:w="1717" w:type="dxa"/>
            <w:tcBorders>
              <w:top w:val="single" w:sz="6" w:space="0" w:color="auto"/>
              <w:left w:val="single" w:sz="6" w:space="0" w:color="auto"/>
              <w:bottom w:val="single" w:sz="6" w:space="0" w:color="auto"/>
              <w:right w:val="single" w:sz="6" w:space="0" w:color="auto"/>
            </w:tcBorders>
            <w:shd w:val="clear" w:color="auto" w:fill="auto"/>
            <w:vAlign w:val="center"/>
          </w:tcPr>
          <w:p w:rsidR="00C402C1" w:rsidRPr="0073127B" w:rsidRDefault="006D7635" w:rsidP="0073127B">
            <w:pPr>
              <w:spacing w:line="360" w:lineRule="auto"/>
              <w:jc w:val="center"/>
              <w:rPr>
                <w:sz w:val="18"/>
                <w:szCs w:val="18"/>
                <w:lang w:val="lt-LT"/>
              </w:rPr>
            </w:pPr>
            <w:r w:rsidRPr="0073127B">
              <w:rPr>
                <w:sz w:val="18"/>
                <w:szCs w:val="18"/>
                <w:lang w:val="lt-LT"/>
              </w:rPr>
              <w:t>50580,4</w:t>
            </w:r>
          </w:p>
        </w:tc>
        <w:tc>
          <w:tcPr>
            <w:tcW w:w="1717" w:type="dxa"/>
            <w:tcBorders>
              <w:top w:val="single" w:sz="6" w:space="0" w:color="auto"/>
              <w:left w:val="single" w:sz="6" w:space="0" w:color="auto"/>
              <w:bottom w:val="single" w:sz="6" w:space="0" w:color="auto"/>
              <w:right w:val="single" w:sz="12" w:space="0" w:color="auto"/>
            </w:tcBorders>
            <w:shd w:val="clear" w:color="auto" w:fill="auto"/>
            <w:vAlign w:val="center"/>
          </w:tcPr>
          <w:p w:rsidR="00C402C1" w:rsidRPr="0073127B" w:rsidRDefault="006D7635" w:rsidP="0073127B">
            <w:pPr>
              <w:spacing w:line="360" w:lineRule="auto"/>
              <w:jc w:val="center"/>
              <w:rPr>
                <w:sz w:val="18"/>
                <w:szCs w:val="18"/>
                <w:lang w:val="lt-LT"/>
              </w:rPr>
            </w:pPr>
            <w:r w:rsidRPr="0073127B">
              <w:rPr>
                <w:sz w:val="18"/>
                <w:szCs w:val="18"/>
                <w:lang w:val="lt-LT"/>
              </w:rPr>
              <w:t>63186,4</w:t>
            </w:r>
          </w:p>
        </w:tc>
      </w:tr>
      <w:tr w:rsidR="00880BC7" w:rsidRPr="00387C0F" w:rsidTr="00A31D10">
        <w:trPr>
          <w:jc w:val="center"/>
        </w:trPr>
        <w:tc>
          <w:tcPr>
            <w:tcW w:w="817" w:type="dxa"/>
            <w:tcBorders>
              <w:top w:val="single" w:sz="6" w:space="0" w:color="auto"/>
              <w:left w:val="single" w:sz="12" w:space="0" w:color="auto"/>
              <w:bottom w:val="single" w:sz="6" w:space="0" w:color="auto"/>
              <w:right w:val="single" w:sz="12" w:space="0" w:color="auto"/>
            </w:tcBorders>
            <w:shd w:val="clear" w:color="auto" w:fill="auto"/>
            <w:vAlign w:val="center"/>
          </w:tcPr>
          <w:p w:rsidR="00C402C1" w:rsidRPr="0073127B" w:rsidRDefault="00C402C1" w:rsidP="0073127B">
            <w:pPr>
              <w:spacing w:line="360" w:lineRule="auto"/>
              <w:jc w:val="center"/>
              <w:rPr>
                <w:b/>
                <w:sz w:val="18"/>
                <w:szCs w:val="18"/>
                <w:lang w:val="lt-LT"/>
              </w:rPr>
            </w:pPr>
            <w:r w:rsidRPr="0073127B">
              <w:rPr>
                <w:b/>
                <w:sz w:val="18"/>
                <w:szCs w:val="18"/>
                <w:lang w:val="lt-LT"/>
              </w:rPr>
              <w:t>PT</w:t>
            </w:r>
          </w:p>
        </w:tc>
        <w:tc>
          <w:tcPr>
            <w:tcW w:w="2410" w:type="dxa"/>
            <w:tcBorders>
              <w:top w:val="single" w:sz="6" w:space="0" w:color="auto"/>
              <w:left w:val="single" w:sz="12" w:space="0" w:color="auto"/>
              <w:bottom w:val="single" w:sz="6" w:space="0" w:color="auto"/>
              <w:right w:val="single" w:sz="6" w:space="0" w:color="auto"/>
            </w:tcBorders>
            <w:shd w:val="clear" w:color="auto" w:fill="auto"/>
            <w:vAlign w:val="center"/>
          </w:tcPr>
          <w:p w:rsidR="00C402C1" w:rsidRPr="0073127B" w:rsidRDefault="006D7635" w:rsidP="0073127B">
            <w:pPr>
              <w:spacing w:line="360" w:lineRule="auto"/>
              <w:jc w:val="center"/>
              <w:rPr>
                <w:sz w:val="18"/>
                <w:szCs w:val="18"/>
                <w:lang w:val="lt-LT"/>
              </w:rPr>
            </w:pPr>
            <w:r w:rsidRPr="0073127B">
              <w:rPr>
                <w:sz w:val="18"/>
                <w:szCs w:val="18"/>
                <w:lang w:val="lt-LT"/>
              </w:rPr>
              <w:t>58175,2</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C402C1" w:rsidRPr="0073127B" w:rsidRDefault="00C402C1" w:rsidP="0073127B">
            <w:pPr>
              <w:spacing w:line="360" w:lineRule="auto"/>
              <w:jc w:val="center"/>
              <w:rPr>
                <w:sz w:val="18"/>
                <w:szCs w:val="18"/>
                <w:lang w:val="lt-LT"/>
              </w:rPr>
            </w:pPr>
          </w:p>
        </w:tc>
        <w:tc>
          <w:tcPr>
            <w:tcW w:w="1717" w:type="dxa"/>
            <w:tcBorders>
              <w:top w:val="single" w:sz="6" w:space="0" w:color="auto"/>
              <w:left w:val="single" w:sz="6" w:space="0" w:color="auto"/>
              <w:bottom w:val="single" w:sz="6" w:space="0" w:color="auto"/>
              <w:right w:val="single" w:sz="6" w:space="0" w:color="auto"/>
            </w:tcBorders>
            <w:shd w:val="clear" w:color="auto" w:fill="auto"/>
            <w:vAlign w:val="center"/>
          </w:tcPr>
          <w:p w:rsidR="00C402C1" w:rsidRPr="0073127B" w:rsidRDefault="006D7635" w:rsidP="0073127B">
            <w:pPr>
              <w:spacing w:line="360" w:lineRule="auto"/>
              <w:jc w:val="center"/>
              <w:rPr>
                <w:sz w:val="18"/>
                <w:szCs w:val="18"/>
                <w:lang w:val="lt-LT"/>
              </w:rPr>
            </w:pPr>
            <w:r w:rsidRPr="0073127B">
              <w:rPr>
                <w:sz w:val="18"/>
                <w:szCs w:val="18"/>
                <w:lang w:val="lt-LT"/>
              </w:rPr>
              <w:t>9862,8</w:t>
            </w:r>
          </w:p>
        </w:tc>
        <w:tc>
          <w:tcPr>
            <w:tcW w:w="1717" w:type="dxa"/>
            <w:tcBorders>
              <w:top w:val="single" w:sz="6" w:space="0" w:color="auto"/>
              <w:left w:val="single" w:sz="6" w:space="0" w:color="auto"/>
              <w:bottom w:val="single" w:sz="6" w:space="0" w:color="auto"/>
              <w:right w:val="single" w:sz="12" w:space="0" w:color="auto"/>
            </w:tcBorders>
            <w:shd w:val="clear" w:color="auto" w:fill="auto"/>
            <w:vAlign w:val="center"/>
          </w:tcPr>
          <w:p w:rsidR="00C402C1" w:rsidRPr="0073127B" w:rsidRDefault="006D7635" w:rsidP="0073127B">
            <w:pPr>
              <w:spacing w:line="360" w:lineRule="auto"/>
              <w:jc w:val="center"/>
              <w:rPr>
                <w:sz w:val="18"/>
                <w:szCs w:val="18"/>
                <w:lang w:val="lt-LT"/>
              </w:rPr>
            </w:pPr>
            <w:r w:rsidRPr="0073127B">
              <w:rPr>
                <w:sz w:val="18"/>
                <w:szCs w:val="18"/>
                <w:lang w:val="lt-LT"/>
              </w:rPr>
              <w:t>22694</w:t>
            </w:r>
          </w:p>
        </w:tc>
      </w:tr>
      <w:tr w:rsidR="00880BC7" w:rsidRPr="00387C0F" w:rsidTr="00A31D10">
        <w:trPr>
          <w:jc w:val="center"/>
        </w:trPr>
        <w:tc>
          <w:tcPr>
            <w:tcW w:w="817" w:type="dxa"/>
            <w:tcBorders>
              <w:top w:val="single" w:sz="6" w:space="0" w:color="auto"/>
              <w:left w:val="single" w:sz="12" w:space="0" w:color="auto"/>
              <w:bottom w:val="single" w:sz="6" w:space="0" w:color="auto"/>
              <w:right w:val="single" w:sz="12" w:space="0" w:color="auto"/>
            </w:tcBorders>
            <w:shd w:val="clear" w:color="auto" w:fill="auto"/>
            <w:vAlign w:val="center"/>
          </w:tcPr>
          <w:p w:rsidR="00C402C1" w:rsidRPr="0073127B" w:rsidRDefault="00C402C1" w:rsidP="0073127B">
            <w:pPr>
              <w:spacing w:line="360" w:lineRule="auto"/>
              <w:jc w:val="center"/>
              <w:rPr>
                <w:b/>
                <w:sz w:val="18"/>
                <w:szCs w:val="18"/>
                <w:lang w:val="lt-LT"/>
              </w:rPr>
            </w:pPr>
            <w:r w:rsidRPr="0073127B">
              <w:rPr>
                <w:b/>
                <w:sz w:val="18"/>
                <w:szCs w:val="18"/>
                <w:lang w:val="lt-LT"/>
              </w:rPr>
              <w:t>RO</w:t>
            </w:r>
          </w:p>
        </w:tc>
        <w:tc>
          <w:tcPr>
            <w:tcW w:w="2410" w:type="dxa"/>
            <w:tcBorders>
              <w:top w:val="single" w:sz="6" w:space="0" w:color="auto"/>
              <w:left w:val="single" w:sz="12" w:space="0" w:color="auto"/>
              <w:bottom w:val="single" w:sz="6" w:space="0" w:color="auto"/>
              <w:right w:val="single" w:sz="6" w:space="0" w:color="auto"/>
            </w:tcBorders>
            <w:shd w:val="clear" w:color="auto" w:fill="auto"/>
            <w:vAlign w:val="center"/>
          </w:tcPr>
          <w:p w:rsidR="00C402C1" w:rsidRPr="0073127B" w:rsidRDefault="006D7635" w:rsidP="0073127B">
            <w:pPr>
              <w:spacing w:line="360" w:lineRule="auto"/>
              <w:jc w:val="center"/>
              <w:rPr>
                <w:sz w:val="18"/>
                <w:szCs w:val="18"/>
                <w:lang w:val="lt-LT"/>
              </w:rPr>
            </w:pPr>
            <w:r w:rsidRPr="0073127B">
              <w:rPr>
                <w:sz w:val="18"/>
                <w:szCs w:val="18"/>
                <w:lang w:val="lt-LT"/>
              </w:rPr>
              <w:t>32960,9</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C402C1" w:rsidRPr="0073127B" w:rsidRDefault="00C402C1" w:rsidP="0073127B">
            <w:pPr>
              <w:spacing w:line="360" w:lineRule="auto"/>
              <w:jc w:val="center"/>
              <w:rPr>
                <w:sz w:val="18"/>
                <w:szCs w:val="18"/>
                <w:lang w:val="lt-LT"/>
              </w:rPr>
            </w:pPr>
          </w:p>
        </w:tc>
        <w:tc>
          <w:tcPr>
            <w:tcW w:w="1717" w:type="dxa"/>
            <w:tcBorders>
              <w:top w:val="single" w:sz="6" w:space="0" w:color="auto"/>
              <w:left w:val="single" w:sz="6" w:space="0" w:color="auto"/>
              <w:bottom w:val="single" w:sz="6" w:space="0" w:color="auto"/>
              <w:right w:val="single" w:sz="6" w:space="0" w:color="auto"/>
            </w:tcBorders>
            <w:shd w:val="clear" w:color="auto" w:fill="auto"/>
            <w:vAlign w:val="center"/>
          </w:tcPr>
          <w:p w:rsidR="00C402C1" w:rsidRPr="0073127B" w:rsidRDefault="006D7635" w:rsidP="0073127B">
            <w:pPr>
              <w:spacing w:line="360" w:lineRule="auto"/>
              <w:jc w:val="center"/>
              <w:rPr>
                <w:sz w:val="18"/>
                <w:szCs w:val="18"/>
                <w:lang w:val="lt-LT"/>
              </w:rPr>
            </w:pPr>
            <w:r w:rsidRPr="0073127B">
              <w:rPr>
                <w:sz w:val="18"/>
                <w:szCs w:val="18"/>
                <w:lang w:val="lt-LT"/>
              </w:rPr>
              <w:t>12721,3</w:t>
            </w:r>
          </w:p>
        </w:tc>
        <w:tc>
          <w:tcPr>
            <w:tcW w:w="1717" w:type="dxa"/>
            <w:tcBorders>
              <w:top w:val="single" w:sz="6" w:space="0" w:color="auto"/>
              <w:left w:val="single" w:sz="6" w:space="0" w:color="auto"/>
              <w:bottom w:val="single" w:sz="6" w:space="0" w:color="auto"/>
              <w:right w:val="single" w:sz="12" w:space="0" w:color="auto"/>
            </w:tcBorders>
            <w:shd w:val="clear" w:color="auto" w:fill="auto"/>
            <w:vAlign w:val="center"/>
          </w:tcPr>
          <w:p w:rsidR="00C402C1" w:rsidRPr="0073127B" w:rsidRDefault="006D7635" w:rsidP="0073127B">
            <w:pPr>
              <w:spacing w:line="360" w:lineRule="auto"/>
              <w:jc w:val="center"/>
              <w:rPr>
                <w:sz w:val="18"/>
                <w:szCs w:val="18"/>
                <w:lang w:val="lt-LT"/>
              </w:rPr>
            </w:pPr>
            <w:r w:rsidRPr="0073127B">
              <w:rPr>
                <w:sz w:val="18"/>
                <w:szCs w:val="18"/>
                <w:lang w:val="lt-LT"/>
              </w:rPr>
              <w:t>15856,9</w:t>
            </w:r>
          </w:p>
        </w:tc>
      </w:tr>
      <w:tr w:rsidR="00880BC7" w:rsidRPr="00387C0F" w:rsidTr="00A31D10">
        <w:trPr>
          <w:jc w:val="center"/>
        </w:trPr>
        <w:tc>
          <w:tcPr>
            <w:tcW w:w="817" w:type="dxa"/>
            <w:tcBorders>
              <w:top w:val="single" w:sz="6" w:space="0" w:color="auto"/>
              <w:left w:val="single" w:sz="12" w:space="0" w:color="auto"/>
              <w:bottom w:val="single" w:sz="6" w:space="0" w:color="auto"/>
              <w:right w:val="single" w:sz="12" w:space="0" w:color="auto"/>
            </w:tcBorders>
            <w:shd w:val="clear" w:color="auto" w:fill="auto"/>
            <w:vAlign w:val="center"/>
          </w:tcPr>
          <w:p w:rsidR="00C402C1" w:rsidRPr="0073127B" w:rsidRDefault="00C402C1" w:rsidP="0073127B">
            <w:pPr>
              <w:spacing w:line="360" w:lineRule="auto"/>
              <w:jc w:val="center"/>
              <w:rPr>
                <w:b/>
                <w:sz w:val="18"/>
                <w:szCs w:val="18"/>
                <w:lang w:val="lt-LT"/>
              </w:rPr>
            </w:pPr>
            <w:r w:rsidRPr="0073127B">
              <w:rPr>
                <w:b/>
                <w:sz w:val="18"/>
                <w:szCs w:val="18"/>
                <w:lang w:val="lt-LT"/>
              </w:rPr>
              <w:t>SI</w:t>
            </w:r>
          </w:p>
        </w:tc>
        <w:tc>
          <w:tcPr>
            <w:tcW w:w="2410" w:type="dxa"/>
            <w:tcBorders>
              <w:top w:val="single" w:sz="6" w:space="0" w:color="auto"/>
              <w:left w:val="single" w:sz="12" w:space="0" w:color="auto"/>
              <w:bottom w:val="single" w:sz="6" w:space="0" w:color="auto"/>
              <w:right w:val="single" w:sz="6" w:space="0" w:color="auto"/>
            </w:tcBorders>
            <w:shd w:val="clear" w:color="auto" w:fill="auto"/>
            <w:vAlign w:val="center"/>
          </w:tcPr>
          <w:p w:rsidR="00C402C1" w:rsidRPr="0073127B" w:rsidRDefault="006D7635" w:rsidP="0073127B">
            <w:pPr>
              <w:spacing w:line="360" w:lineRule="auto"/>
              <w:jc w:val="center"/>
              <w:rPr>
                <w:sz w:val="18"/>
                <w:szCs w:val="18"/>
                <w:lang w:val="lt-LT"/>
              </w:rPr>
            </w:pPr>
            <w:r w:rsidRPr="0073127B">
              <w:rPr>
                <w:sz w:val="18"/>
                <w:szCs w:val="18"/>
                <w:lang w:val="lt-LT"/>
              </w:rPr>
              <w:t>10412,3</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C402C1" w:rsidRPr="0073127B" w:rsidRDefault="00C402C1" w:rsidP="0073127B">
            <w:pPr>
              <w:spacing w:line="360" w:lineRule="auto"/>
              <w:jc w:val="center"/>
              <w:rPr>
                <w:sz w:val="18"/>
                <w:szCs w:val="18"/>
                <w:lang w:val="lt-LT"/>
              </w:rPr>
            </w:pPr>
          </w:p>
        </w:tc>
        <w:tc>
          <w:tcPr>
            <w:tcW w:w="1717" w:type="dxa"/>
            <w:tcBorders>
              <w:top w:val="single" w:sz="6" w:space="0" w:color="auto"/>
              <w:left w:val="single" w:sz="6" w:space="0" w:color="auto"/>
              <w:bottom w:val="single" w:sz="6" w:space="0" w:color="auto"/>
              <w:right w:val="single" w:sz="6" w:space="0" w:color="auto"/>
            </w:tcBorders>
            <w:shd w:val="clear" w:color="auto" w:fill="auto"/>
            <w:vAlign w:val="center"/>
          </w:tcPr>
          <w:p w:rsidR="00C402C1" w:rsidRPr="0073127B" w:rsidRDefault="006D7635" w:rsidP="0073127B">
            <w:pPr>
              <w:spacing w:line="360" w:lineRule="auto"/>
              <w:jc w:val="center"/>
              <w:rPr>
                <w:sz w:val="18"/>
                <w:szCs w:val="18"/>
                <w:lang w:val="lt-LT"/>
              </w:rPr>
            </w:pPr>
            <w:r w:rsidRPr="0073127B">
              <w:rPr>
                <w:sz w:val="18"/>
                <w:szCs w:val="18"/>
                <w:lang w:val="lt-LT"/>
              </w:rPr>
              <w:t>3394,2</w:t>
            </w:r>
          </w:p>
        </w:tc>
        <w:tc>
          <w:tcPr>
            <w:tcW w:w="1717" w:type="dxa"/>
            <w:tcBorders>
              <w:top w:val="single" w:sz="6" w:space="0" w:color="auto"/>
              <w:left w:val="single" w:sz="6" w:space="0" w:color="auto"/>
              <w:bottom w:val="single" w:sz="6" w:space="0" w:color="auto"/>
              <w:right w:val="single" w:sz="12" w:space="0" w:color="auto"/>
            </w:tcBorders>
            <w:shd w:val="clear" w:color="auto" w:fill="auto"/>
            <w:vAlign w:val="center"/>
          </w:tcPr>
          <w:p w:rsidR="00C402C1" w:rsidRPr="0073127B" w:rsidRDefault="006D7635" w:rsidP="0073127B">
            <w:pPr>
              <w:spacing w:line="360" w:lineRule="auto"/>
              <w:jc w:val="center"/>
              <w:rPr>
                <w:sz w:val="18"/>
                <w:szCs w:val="18"/>
                <w:lang w:val="lt-LT"/>
              </w:rPr>
            </w:pPr>
            <w:r w:rsidRPr="0073127B">
              <w:rPr>
                <w:sz w:val="18"/>
                <w:szCs w:val="18"/>
                <w:lang w:val="lt-LT"/>
              </w:rPr>
              <w:t>6902,6</w:t>
            </w:r>
          </w:p>
        </w:tc>
      </w:tr>
      <w:tr w:rsidR="00880BC7" w:rsidRPr="00387C0F" w:rsidTr="00A31D10">
        <w:trPr>
          <w:jc w:val="center"/>
        </w:trPr>
        <w:tc>
          <w:tcPr>
            <w:tcW w:w="817" w:type="dxa"/>
            <w:tcBorders>
              <w:top w:val="single" w:sz="6" w:space="0" w:color="auto"/>
              <w:left w:val="single" w:sz="12" w:space="0" w:color="auto"/>
              <w:bottom w:val="single" w:sz="6" w:space="0" w:color="auto"/>
              <w:right w:val="single" w:sz="12" w:space="0" w:color="auto"/>
            </w:tcBorders>
            <w:shd w:val="clear" w:color="auto" w:fill="auto"/>
            <w:vAlign w:val="center"/>
          </w:tcPr>
          <w:p w:rsidR="00C402C1" w:rsidRPr="0073127B" w:rsidRDefault="00C402C1" w:rsidP="0073127B">
            <w:pPr>
              <w:spacing w:line="360" w:lineRule="auto"/>
              <w:jc w:val="center"/>
              <w:rPr>
                <w:b/>
                <w:sz w:val="18"/>
                <w:szCs w:val="18"/>
                <w:lang w:val="lt-LT"/>
              </w:rPr>
            </w:pPr>
            <w:r w:rsidRPr="0073127B">
              <w:rPr>
                <w:b/>
                <w:sz w:val="18"/>
                <w:szCs w:val="18"/>
                <w:lang w:val="lt-LT"/>
              </w:rPr>
              <w:t>SK</w:t>
            </w:r>
          </w:p>
        </w:tc>
        <w:tc>
          <w:tcPr>
            <w:tcW w:w="2410" w:type="dxa"/>
            <w:tcBorders>
              <w:top w:val="single" w:sz="6" w:space="0" w:color="auto"/>
              <w:left w:val="single" w:sz="12" w:space="0" w:color="auto"/>
              <w:bottom w:val="single" w:sz="6" w:space="0" w:color="auto"/>
              <w:right w:val="single" w:sz="6" w:space="0" w:color="auto"/>
            </w:tcBorders>
            <w:shd w:val="clear" w:color="auto" w:fill="auto"/>
            <w:vAlign w:val="center"/>
          </w:tcPr>
          <w:p w:rsidR="00C402C1" w:rsidRPr="0073127B" w:rsidRDefault="006D7635" w:rsidP="0073127B">
            <w:pPr>
              <w:spacing w:line="360" w:lineRule="auto"/>
              <w:jc w:val="center"/>
              <w:rPr>
                <w:sz w:val="18"/>
                <w:szCs w:val="18"/>
                <w:lang w:val="lt-LT"/>
              </w:rPr>
            </w:pPr>
            <w:r w:rsidRPr="0073127B">
              <w:rPr>
                <w:sz w:val="18"/>
                <w:szCs w:val="18"/>
                <w:lang w:val="lt-LT"/>
              </w:rPr>
              <w:t>15315,8</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C402C1" w:rsidRPr="0073127B" w:rsidRDefault="00C402C1" w:rsidP="0073127B">
            <w:pPr>
              <w:spacing w:line="360" w:lineRule="auto"/>
              <w:jc w:val="center"/>
              <w:rPr>
                <w:sz w:val="18"/>
                <w:szCs w:val="18"/>
                <w:lang w:val="lt-LT"/>
              </w:rPr>
            </w:pPr>
          </w:p>
        </w:tc>
        <w:tc>
          <w:tcPr>
            <w:tcW w:w="1717" w:type="dxa"/>
            <w:tcBorders>
              <w:top w:val="single" w:sz="6" w:space="0" w:color="auto"/>
              <w:left w:val="single" w:sz="6" w:space="0" w:color="auto"/>
              <w:bottom w:val="single" w:sz="6" w:space="0" w:color="auto"/>
              <w:right w:val="single" w:sz="6" w:space="0" w:color="auto"/>
            </w:tcBorders>
            <w:shd w:val="clear" w:color="auto" w:fill="auto"/>
            <w:vAlign w:val="center"/>
          </w:tcPr>
          <w:p w:rsidR="00C402C1" w:rsidRPr="0073127B" w:rsidRDefault="006D7635" w:rsidP="0073127B">
            <w:pPr>
              <w:spacing w:line="360" w:lineRule="auto"/>
              <w:jc w:val="center"/>
              <w:rPr>
                <w:sz w:val="18"/>
                <w:szCs w:val="18"/>
                <w:lang w:val="lt-LT"/>
              </w:rPr>
            </w:pPr>
            <w:r w:rsidRPr="0073127B">
              <w:rPr>
                <w:sz w:val="18"/>
                <w:szCs w:val="18"/>
                <w:lang w:val="lt-LT"/>
              </w:rPr>
              <w:t>4505</w:t>
            </w:r>
          </w:p>
        </w:tc>
        <w:tc>
          <w:tcPr>
            <w:tcW w:w="1717" w:type="dxa"/>
            <w:tcBorders>
              <w:top w:val="single" w:sz="6" w:space="0" w:color="auto"/>
              <w:left w:val="single" w:sz="6" w:space="0" w:color="auto"/>
              <w:bottom w:val="single" w:sz="6" w:space="0" w:color="auto"/>
              <w:right w:val="single" w:sz="12" w:space="0" w:color="auto"/>
            </w:tcBorders>
            <w:shd w:val="clear" w:color="auto" w:fill="auto"/>
            <w:vAlign w:val="center"/>
          </w:tcPr>
          <w:p w:rsidR="00C402C1" w:rsidRPr="0073127B" w:rsidRDefault="006D7635" w:rsidP="0073127B">
            <w:pPr>
              <w:spacing w:line="360" w:lineRule="auto"/>
              <w:jc w:val="center"/>
              <w:rPr>
                <w:sz w:val="18"/>
                <w:szCs w:val="18"/>
                <w:lang w:val="lt-LT"/>
              </w:rPr>
            </w:pPr>
            <w:r w:rsidRPr="0073127B">
              <w:rPr>
                <w:sz w:val="18"/>
                <w:szCs w:val="18"/>
                <w:lang w:val="lt-LT"/>
              </w:rPr>
              <w:t>10134,1</w:t>
            </w:r>
          </w:p>
        </w:tc>
      </w:tr>
      <w:tr w:rsidR="00880BC7" w:rsidRPr="00387C0F" w:rsidTr="00A31D10">
        <w:trPr>
          <w:jc w:val="center"/>
        </w:trPr>
        <w:tc>
          <w:tcPr>
            <w:tcW w:w="817" w:type="dxa"/>
            <w:tcBorders>
              <w:top w:val="single" w:sz="6" w:space="0" w:color="auto"/>
              <w:left w:val="single" w:sz="12" w:space="0" w:color="auto"/>
              <w:bottom w:val="single" w:sz="6" w:space="0" w:color="auto"/>
              <w:right w:val="single" w:sz="12" w:space="0" w:color="auto"/>
            </w:tcBorders>
            <w:shd w:val="clear" w:color="auto" w:fill="auto"/>
            <w:vAlign w:val="center"/>
          </w:tcPr>
          <w:p w:rsidR="00C402C1" w:rsidRPr="0073127B" w:rsidRDefault="00C402C1" w:rsidP="0073127B">
            <w:pPr>
              <w:spacing w:line="360" w:lineRule="auto"/>
              <w:jc w:val="center"/>
              <w:rPr>
                <w:b/>
                <w:sz w:val="18"/>
                <w:szCs w:val="18"/>
                <w:lang w:val="lt-LT"/>
              </w:rPr>
            </w:pPr>
            <w:r w:rsidRPr="0073127B">
              <w:rPr>
                <w:b/>
                <w:sz w:val="18"/>
                <w:szCs w:val="18"/>
                <w:lang w:val="lt-LT"/>
              </w:rPr>
              <w:t>FI</w:t>
            </w:r>
          </w:p>
        </w:tc>
        <w:tc>
          <w:tcPr>
            <w:tcW w:w="2410" w:type="dxa"/>
            <w:tcBorders>
              <w:top w:val="single" w:sz="6" w:space="0" w:color="auto"/>
              <w:left w:val="single" w:sz="12" w:space="0" w:color="auto"/>
              <w:bottom w:val="single" w:sz="6" w:space="0" w:color="auto"/>
              <w:right w:val="single" w:sz="6" w:space="0" w:color="auto"/>
            </w:tcBorders>
            <w:shd w:val="clear" w:color="auto" w:fill="auto"/>
            <w:vAlign w:val="center"/>
          </w:tcPr>
          <w:p w:rsidR="00C402C1" w:rsidRPr="0073127B" w:rsidRDefault="006D7635" w:rsidP="0073127B">
            <w:pPr>
              <w:spacing w:line="360" w:lineRule="auto"/>
              <w:jc w:val="center"/>
              <w:rPr>
                <w:sz w:val="18"/>
                <w:szCs w:val="18"/>
                <w:lang w:val="lt-LT"/>
              </w:rPr>
            </w:pPr>
            <w:r w:rsidRPr="0073127B">
              <w:rPr>
                <w:sz w:val="18"/>
                <w:szCs w:val="18"/>
                <w:lang w:val="lt-LT"/>
              </w:rPr>
              <w:t>53897</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C402C1" w:rsidRPr="0073127B" w:rsidRDefault="00C402C1" w:rsidP="0073127B">
            <w:pPr>
              <w:spacing w:line="360" w:lineRule="auto"/>
              <w:jc w:val="center"/>
              <w:rPr>
                <w:sz w:val="18"/>
                <w:szCs w:val="18"/>
                <w:lang w:val="lt-LT"/>
              </w:rPr>
            </w:pPr>
          </w:p>
        </w:tc>
        <w:tc>
          <w:tcPr>
            <w:tcW w:w="1717" w:type="dxa"/>
            <w:tcBorders>
              <w:top w:val="single" w:sz="6" w:space="0" w:color="auto"/>
              <w:left w:val="single" w:sz="6" w:space="0" w:color="auto"/>
              <w:bottom w:val="single" w:sz="6" w:space="0" w:color="auto"/>
              <w:right w:val="single" w:sz="6" w:space="0" w:color="auto"/>
            </w:tcBorders>
            <w:shd w:val="clear" w:color="auto" w:fill="auto"/>
            <w:vAlign w:val="center"/>
          </w:tcPr>
          <w:p w:rsidR="00C402C1" w:rsidRPr="0073127B" w:rsidRDefault="006D7635" w:rsidP="0073127B">
            <w:pPr>
              <w:spacing w:line="360" w:lineRule="auto"/>
              <w:jc w:val="center"/>
              <w:rPr>
                <w:sz w:val="18"/>
                <w:szCs w:val="18"/>
                <w:lang w:val="lt-LT"/>
              </w:rPr>
            </w:pPr>
            <w:r w:rsidRPr="0073127B">
              <w:rPr>
                <w:sz w:val="18"/>
                <w:szCs w:val="18"/>
                <w:lang w:val="lt-LT"/>
              </w:rPr>
              <w:t>44802</w:t>
            </w:r>
          </w:p>
        </w:tc>
        <w:tc>
          <w:tcPr>
            <w:tcW w:w="1717" w:type="dxa"/>
            <w:tcBorders>
              <w:top w:val="single" w:sz="6" w:space="0" w:color="auto"/>
              <w:left w:val="single" w:sz="6" w:space="0" w:color="auto"/>
              <w:bottom w:val="single" w:sz="6" w:space="0" w:color="auto"/>
              <w:right w:val="single" w:sz="12" w:space="0" w:color="auto"/>
            </w:tcBorders>
            <w:shd w:val="clear" w:color="auto" w:fill="auto"/>
            <w:vAlign w:val="center"/>
          </w:tcPr>
          <w:p w:rsidR="00C402C1" w:rsidRPr="0073127B" w:rsidRDefault="006D7635" w:rsidP="0073127B">
            <w:pPr>
              <w:spacing w:line="360" w:lineRule="auto"/>
              <w:jc w:val="center"/>
              <w:rPr>
                <w:sz w:val="18"/>
                <w:szCs w:val="18"/>
                <w:lang w:val="lt-LT"/>
              </w:rPr>
            </w:pPr>
            <w:r w:rsidRPr="0073127B">
              <w:rPr>
                <w:sz w:val="18"/>
                <w:szCs w:val="18"/>
                <w:lang w:val="lt-LT"/>
              </w:rPr>
              <w:t>36719</w:t>
            </w:r>
          </w:p>
        </w:tc>
      </w:tr>
      <w:tr w:rsidR="00880BC7" w:rsidRPr="00387C0F" w:rsidTr="00A31D10">
        <w:trPr>
          <w:jc w:val="center"/>
        </w:trPr>
        <w:tc>
          <w:tcPr>
            <w:tcW w:w="817" w:type="dxa"/>
            <w:tcBorders>
              <w:top w:val="single" w:sz="6" w:space="0" w:color="auto"/>
              <w:left w:val="single" w:sz="12" w:space="0" w:color="auto"/>
              <w:bottom w:val="single" w:sz="6" w:space="0" w:color="auto"/>
              <w:right w:val="single" w:sz="12" w:space="0" w:color="auto"/>
            </w:tcBorders>
            <w:shd w:val="clear" w:color="auto" w:fill="auto"/>
            <w:vAlign w:val="center"/>
          </w:tcPr>
          <w:p w:rsidR="00C402C1" w:rsidRPr="0073127B" w:rsidRDefault="00C402C1" w:rsidP="0073127B">
            <w:pPr>
              <w:spacing w:line="360" w:lineRule="auto"/>
              <w:jc w:val="center"/>
              <w:rPr>
                <w:b/>
                <w:sz w:val="18"/>
                <w:szCs w:val="18"/>
                <w:lang w:val="lt-LT"/>
              </w:rPr>
            </w:pPr>
            <w:r w:rsidRPr="0073127B">
              <w:rPr>
                <w:b/>
                <w:sz w:val="18"/>
                <w:szCs w:val="18"/>
                <w:lang w:val="lt-LT"/>
              </w:rPr>
              <w:t>SE</w:t>
            </w:r>
          </w:p>
        </w:tc>
        <w:tc>
          <w:tcPr>
            <w:tcW w:w="2410" w:type="dxa"/>
            <w:tcBorders>
              <w:top w:val="single" w:sz="6" w:space="0" w:color="auto"/>
              <w:left w:val="single" w:sz="12" w:space="0" w:color="auto"/>
              <w:bottom w:val="single" w:sz="6" w:space="0" w:color="auto"/>
              <w:right w:val="single" w:sz="6" w:space="0" w:color="auto"/>
            </w:tcBorders>
            <w:shd w:val="clear" w:color="auto" w:fill="auto"/>
            <w:vAlign w:val="center"/>
          </w:tcPr>
          <w:p w:rsidR="00C402C1" w:rsidRPr="0073127B" w:rsidRDefault="006D7635" w:rsidP="0073127B">
            <w:pPr>
              <w:spacing w:line="360" w:lineRule="auto"/>
              <w:jc w:val="center"/>
              <w:rPr>
                <w:sz w:val="18"/>
                <w:szCs w:val="18"/>
                <w:lang w:val="lt-LT"/>
              </w:rPr>
            </w:pPr>
            <w:r w:rsidRPr="0073127B">
              <w:rPr>
                <w:sz w:val="18"/>
                <w:szCs w:val="18"/>
                <w:lang w:val="lt-LT"/>
              </w:rPr>
              <w:t>119235,9</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C402C1" w:rsidRPr="0073127B" w:rsidRDefault="00C402C1" w:rsidP="0073127B">
            <w:pPr>
              <w:spacing w:line="360" w:lineRule="auto"/>
              <w:jc w:val="center"/>
              <w:rPr>
                <w:sz w:val="18"/>
                <w:szCs w:val="18"/>
                <w:lang w:val="lt-LT"/>
              </w:rPr>
            </w:pPr>
          </w:p>
        </w:tc>
        <w:tc>
          <w:tcPr>
            <w:tcW w:w="1717" w:type="dxa"/>
            <w:tcBorders>
              <w:top w:val="single" w:sz="6" w:space="0" w:color="auto"/>
              <w:left w:val="single" w:sz="6" w:space="0" w:color="auto"/>
              <w:bottom w:val="single" w:sz="6" w:space="0" w:color="auto"/>
              <w:right w:val="single" w:sz="6" w:space="0" w:color="auto"/>
            </w:tcBorders>
            <w:shd w:val="clear" w:color="auto" w:fill="auto"/>
            <w:vAlign w:val="center"/>
          </w:tcPr>
          <w:p w:rsidR="00C402C1" w:rsidRPr="0073127B" w:rsidRDefault="006D7635" w:rsidP="0073127B">
            <w:pPr>
              <w:spacing w:line="360" w:lineRule="auto"/>
              <w:jc w:val="center"/>
              <w:rPr>
                <w:sz w:val="18"/>
                <w:szCs w:val="18"/>
                <w:lang w:val="lt-LT"/>
              </w:rPr>
            </w:pPr>
            <w:r w:rsidRPr="0073127B">
              <w:rPr>
                <w:sz w:val="18"/>
                <w:szCs w:val="18"/>
                <w:lang w:val="lt-LT"/>
              </w:rPr>
              <w:t>104177,2</w:t>
            </w:r>
          </w:p>
        </w:tc>
        <w:tc>
          <w:tcPr>
            <w:tcW w:w="1717" w:type="dxa"/>
            <w:tcBorders>
              <w:top w:val="single" w:sz="6" w:space="0" w:color="auto"/>
              <w:left w:val="single" w:sz="6" w:space="0" w:color="auto"/>
              <w:bottom w:val="single" w:sz="6" w:space="0" w:color="auto"/>
              <w:right w:val="single" w:sz="12" w:space="0" w:color="auto"/>
            </w:tcBorders>
            <w:shd w:val="clear" w:color="auto" w:fill="auto"/>
            <w:vAlign w:val="center"/>
          </w:tcPr>
          <w:p w:rsidR="00C402C1" w:rsidRPr="0073127B" w:rsidRDefault="006D7635" w:rsidP="0073127B">
            <w:pPr>
              <w:spacing w:line="360" w:lineRule="auto"/>
              <w:jc w:val="center"/>
              <w:rPr>
                <w:sz w:val="18"/>
                <w:szCs w:val="18"/>
                <w:lang w:val="lt-LT"/>
              </w:rPr>
            </w:pPr>
            <w:r w:rsidRPr="0073127B">
              <w:rPr>
                <w:sz w:val="18"/>
                <w:szCs w:val="18"/>
                <w:lang w:val="lt-LT"/>
              </w:rPr>
              <w:t>27584</w:t>
            </w:r>
          </w:p>
        </w:tc>
      </w:tr>
      <w:tr w:rsidR="00880BC7" w:rsidRPr="00387C0F" w:rsidTr="00A31D10">
        <w:trPr>
          <w:jc w:val="center"/>
        </w:trPr>
        <w:tc>
          <w:tcPr>
            <w:tcW w:w="817" w:type="dxa"/>
            <w:tcBorders>
              <w:top w:val="single" w:sz="6" w:space="0" w:color="auto"/>
              <w:left w:val="single" w:sz="12" w:space="0" w:color="auto"/>
              <w:bottom w:val="single" w:sz="12" w:space="0" w:color="auto"/>
              <w:right w:val="single" w:sz="12" w:space="0" w:color="auto"/>
            </w:tcBorders>
            <w:shd w:val="clear" w:color="auto" w:fill="auto"/>
            <w:vAlign w:val="center"/>
          </w:tcPr>
          <w:p w:rsidR="00C402C1" w:rsidRPr="0073127B" w:rsidRDefault="00C402C1" w:rsidP="0073127B">
            <w:pPr>
              <w:spacing w:line="360" w:lineRule="auto"/>
              <w:jc w:val="center"/>
              <w:rPr>
                <w:b/>
                <w:sz w:val="18"/>
                <w:szCs w:val="18"/>
                <w:lang w:val="lt-LT"/>
              </w:rPr>
            </w:pPr>
            <w:r w:rsidRPr="0073127B">
              <w:rPr>
                <w:b/>
                <w:sz w:val="18"/>
                <w:szCs w:val="18"/>
                <w:lang w:val="lt-LT"/>
              </w:rPr>
              <w:t>UK</w:t>
            </w:r>
          </w:p>
        </w:tc>
        <w:tc>
          <w:tcPr>
            <w:tcW w:w="2410" w:type="dxa"/>
            <w:tcBorders>
              <w:top w:val="single" w:sz="6" w:space="0" w:color="auto"/>
              <w:left w:val="single" w:sz="12" w:space="0" w:color="auto"/>
              <w:bottom w:val="single" w:sz="12" w:space="0" w:color="auto"/>
              <w:right w:val="single" w:sz="6" w:space="0" w:color="auto"/>
            </w:tcBorders>
            <w:shd w:val="clear" w:color="auto" w:fill="auto"/>
            <w:vAlign w:val="center"/>
          </w:tcPr>
          <w:p w:rsidR="00C402C1" w:rsidRPr="0073127B" w:rsidRDefault="006D7635" w:rsidP="0073127B">
            <w:pPr>
              <w:spacing w:line="360" w:lineRule="auto"/>
              <w:jc w:val="center"/>
              <w:rPr>
                <w:sz w:val="18"/>
                <w:szCs w:val="18"/>
                <w:lang w:val="lt-LT"/>
              </w:rPr>
            </w:pPr>
            <w:r w:rsidRPr="0073127B">
              <w:rPr>
                <w:sz w:val="18"/>
                <w:szCs w:val="18"/>
                <w:lang w:val="lt-LT"/>
              </w:rPr>
              <w:t>868152</w:t>
            </w:r>
          </w:p>
        </w:tc>
        <w:tc>
          <w:tcPr>
            <w:tcW w:w="1843" w:type="dxa"/>
            <w:tcBorders>
              <w:top w:val="single" w:sz="6" w:space="0" w:color="auto"/>
              <w:left w:val="single" w:sz="6" w:space="0" w:color="auto"/>
              <w:bottom w:val="single" w:sz="12" w:space="0" w:color="auto"/>
              <w:right w:val="single" w:sz="6" w:space="0" w:color="auto"/>
            </w:tcBorders>
            <w:shd w:val="clear" w:color="auto" w:fill="auto"/>
            <w:vAlign w:val="center"/>
          </w:tcPr>
          <w:p w:rsidR="00C402C1" w:rsidRPr="0073127B" w:rsidRDefault="00C402C1" w:rsidP="0073127B">
            <w:pPr>
              <w:spacing w:line="360" w:lineRule="auto"/>
              <w:jc w:val="center"/>
              <w:rPr>
                <w:sz w:val="18"/>
                <w:szCs w:val="18"/>
                <w:lang w:val="lt-LT"/>
              </w:rPr>
            </w:pPr>
          </w:p>
        </w:tc>
        <w:tc>
          <w:tcPr>
            <w:tcW w:w="1717" w:type="dxa"/>
            <w:tcBorders>
              <w:top w:val="single" w:sz="6" w:space="0" w:color="auto"/>
              <w:left w:val="single" w:sz="6" w:space="0" w:color="auto"/>
              <w:bottom w:val="single" w:sz="12" w:space="0" w:color="auto"/>
              <w:right w:val="single" w:sz="6" w:space="0" w:color="auto"/>
            </w:tcBorders>
            <w:shd w:val="clear" w:color="auto" w:fill="auto"/>
            <w:vAlign w:val="center"/>
          </w:tcPr>
          <w:p w:rsidR="00C402C1" w:rsidRPr="0073127B" w:rsidRDefault="006D7635" w:rsidP="0073127B">
            <w:pPr>
              <w:spacing w:line="360" w:lineRule="auto"/>
              <w:jc w:val="center"/>
              <w:rPr>
                <w:sz w:val="18"/>
                <w:szCs w:val="18"/>
                <w:lang w:val="lt-LT"/>
              </w:rPr>
            </w:pPr>
            <w:r w:rsidRPr="0073127B">
              <w:rPr>
                <w:sz w:val="18"/>
                <w:szCs w:val="18"/>
                <w:lang w:val="lt-LT"/>
              </w:rPr>
              <w:t>259121,7</w:t>
            </w:r>
          </w:p>
        </w:tc>
        <w:tc>
          <w:tcPr>
            <w:tcW w:w="1717" w:type="dxa"/>
            <w:tcBorders>
              <w:top w:val="single" w:sz="6" w:space="0" w:color="auto"/>
              <w:left w:val="single" w:sz="6" w:space="0" w:color="auto"/>
              <w:bottom w:val="single" w:sz="12" w:space="0" w:color="auto"/>
              <w:right w:val="single" w:sz="12" w:space="0" w:color="auto"/>
            </w:tcBorders>
            <w:shd w:val="clear" w:color="auto" w:fill="auto"/>
            <w:vAlign w:val="center"/>
          </w:tcPr>
          <w:p w:rsidR="00C402C1" w:rsidRPr="0073127B" w:rsidRDefault="00C402C1" w:rsidP="0073127B">
            <w:pPr>
              <w:spacing w:line="360" w:lineRule="auto"/>
              <w:jc w:val="center"/>
              <w:rPr>
                <w:sz w:val="18"/>
                <w:szCs w:val="18"/>
                <w:lang w:val="lt-LT"/>
              </w:rPr>
            </w:pPr>
          </w:p>
        </w:tc>
      </w:tr>
    </w:tbl>
    <w:p w:rsidR="00C402C1" w:rsidRDefault="0022778F" w:rsidP="007C3B56">
      <w:pPr>
        <w:spacing w:line="360" w:lineRule="auto"/>
        <w:rPr>
          <w:sz w:val="20"/>
          <w:szCs w:val="20"/>
          <w:lang w:val="lt-LT"/>
        </w:rPr>
      </w:pPr>
      <w:r w:rsidRPr="0022778F">
        <w:rPr>
          <w:b/>
          <w:sz w:val="20"/>
          <w:szCs w:val="20"/>
          <w:lang w:val="lt-LT"/>
        </w:rPr>
        <w:t xml:space="preserve">Šaltinis: </w:t>
      </w:r>
      <w:r w:rsidRPr="0022778F">
        <w:rPr>
          <w:sz w:val="20"/>
          <w:szCs w:val="20"/>
          <w:lang w:val="lt-LT"/>
        </w:rPr>
        <w:t>Eurostat duomenys</w:t>
      </w:r>
    </w:p>
    <w:p w:rsidR="00EE4556" w:rsidRDefault="00EE4556" w:rsidP="007C3B56">
      <w:pPr>
        <w:spacing w:line="360" w:lineRule="auto"/>
        <w:rPr>
          <w:sz w:val="20"/>
          <w:szCs w:val="20"/>
          <w:lang w:val="lt-LT"/>
        </w:rPr>
      </w:pPr>
    </w:p>
    <w:p w:rsidR="00686F33" w:rsidRDefault="00686F33" w:rsidP="007C3B56">
      <w:pPr>
        <w:spacing w:line="360" w:lineRule="auto"/>
        <w:rPr>
          <w:sz w:val="20"/>
          <w:szCs w:val="20"/>
          <w:lang w:val="lt-LT"/>
        </w:rPr>
      </w:pPr>
    </w:p>
    <w:p w:rsidR="00686F33" w:rsidRDefault="00686F33" w:rsidP="007C3B56">
      <w:pPr>
        <w:spacing w:line="360" w:lineRule="auto"/>
        <w:rPr>
          <w:sz w:val="20"/>
          <w:szCs w:val="20"/>
          <w:lang w:val="lt-LT"/>
        </w:rPr>
      </w:pPr>
    </w:p>
    <w:p w:rsidR="00686F33" w:rsidRDefault="00686F33" w:rsidP="007C3B56">
      <w:pPr>
        <w:spacing w:line="360" w:lineRule="auto"/>
        <w:rPr>
          <w:sz w:val="20"/>
          <w:szCs w:val="20"/>
          <w:lang w:val="lt-LT"/>
        </w:rPr>
      </w:pPr>
    </w:p>
    <w:p w:rsidR="00686F33" w:rsidRDefault="00686F33" w:rsidP="007C3B56">
      <w:pPr>
        <w:spacing w:line="360" w:lineRule="auto"/>
        <w:rPr>
          <w:sz w:val="20"/>
          <w:szCs w:val="20"/>
          <w:lang w:val="lt-LT"/>
        </w:rPr>
      </w:pPr>
    </w:p>
    <w:p w:rsidR="0029680E" w:rsidRDefault="0029680E" w:rsidP="007C3B56">
      <w:pPr>
        <w:spacing w:line="360" w:lineRule="auto"/>
        <w:rPr>
          <w:sz w:val="20"/>
          <w:szCs w:val="20"/>
          <w:lang w:val="lt-LT"/>
        </w:rPr>
      </w:pPr>
    </w:p>
    <w:p w:rsidR="00A31D10" w:rsidRDefault="00A31D10" w:rsidP="007C3B56">
      <w:pPr>
        <w:spacing w:line="360" w:lineRule="auto"/>
        <w:rPr>
          <w:sz w:val="20"/>
          <w:szCs w:val="20"/>
          <w:lang w:val="lt-LT"/>
        </w:rPr>
      </w:pPr>
    </w:p>
    <w:p w:rsidR="00A31D10" w:rsidRPr="005A3A2B" w:rsidRDefault="005A3A2B" w:rsidP="005A3A2B">
      <w:pPr>
        <w:spacing w:line="360" w:lineRule="auto"/>
        <w:jc w:val="right"/>
        <w:rPr>
          <w:b/>
          <w:szCs w:val="20"/>
          <w:lang w:val="lt-LT"/>
        </w:rPr>
      </w:pPr>
      <w:r w:rsidRPr="005A3A2B">
        <w:rPr>
          <w:b/>
          <w:szCs w:val="20"/>
          <w:lang w:val="lt-LT"/>
        </w:rPr>
        <w:t>6 PRIEDAS</w:t>
      </w:r>
    </w:p>
    <w:p w:rsidR="00686F33" w:rsidRDefault="002B4143" w:rsidP="00C62571">
      <w:pPr>
        <w:pStyle w:val="Heading4"/>
        <w:rPr>
          <w:lang w:val="lt-LT"/>
        </w:rPr>
      </w:pPr>
      <w:bookmarkStart w:id="103" w:name="_Toc385241720"/>
      <w:bookmarkStart w:id="104" w:name="_Toc385241841"/>
      <w:r w:rsidRPr="002B4143">
        <w:rPr>
          <w:lang w:val="lt-LT"/>
        </w:rPr>
        <w:t>SUBNACIONALINIŲ VALDŽIOS INSTITUCIJŲ IŠLAIDŲ IR PAJAMŲ DALIS VALDŽIOS SEKTORIAUS IŠLAIDOSE, IŠLAIDŲ DALIS BVP IR VALDŽIOS SEKTORIAUS IŠLAIDŲ DALIS BVP</w:t>
      </w:r>
      <w:r>
        <w:rPr>
          <w:lang w:val="lt-LT"/>
        </w:rPr>
        <w:t>, PROC.</w:t>
      </w:r>
      <w:bookmarkEnd w:id="103"/>
      <w:bookmarkEnd w:id="104"/>
    </w:p>
    <w:p w:rsidR="002B4143" w:rsidRPr="002B4143" w:rsidRDefault="002B4143" w:rsidP="002B4143">
      <w:pPr>
        <w:spacing w:line="360" w:lineRule="auto"/>
        <w:jc w:val="center"/>
        <w:rPr>
          <w:b/>
          <w:szCs w:val="20"/>
          <w:lang w:val="lt-L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5"/>
        <w:gridCol w:w="1865"/>
        <w:gridCol w:w="1984"/>
        <w:gridCol w:w="1843"/>
        <w:gridCol w:w="1573"/>
      </w:tblGrid>
      <w:tr w:rsidR="00A16588" w:rsidRPr="005A3A2B" w:rsidTr="00C96EB3">
        <w:trPr>
          <w:trHeight w:val="1766"/>
          <w:jc w:val="center"/>
        </w:trPr>
        <w:tc>
          <w:tcPr>
            <w:tcW w:w="795" w:type="dxa"/>
          </w:tcPr>
          <w:p w:rsidR="00A16588" w:rsidRPr="005A3A2B" w:rsidRDefault="00A16588" w:rsidP="005A3A2B">
            <w:pPr>
              <w:rPr>
                <w:sz w:val="20"/>
                <w:szCs w:val="20"/>
                <w:lang w:val="lt-LT"/>
              </w:rPr>
            </w:pPr>
          </w:p>
        </w:tc>
        <w:tc>
          <w:tcPr>
            <w:tcW w:w="1865" w:type="dxa"/>
          </w:tcPr>
          <w:p w:rsidR="00A16588" w:rsidRPr="005A3A2B" w:rsidRDefault="00A16588" w:rsidP="005A3A2B">
            <w:pPr>
              <w:rPr>
                <w:b/>
                <w:sz w:val="20"/>
                <w:szCs w:val="20"/>
                <w:lang w:val="lt-LT"/>
              </w:rPr>
            </w:pPr>
            <w:r w:rsidRPr="005A3A2B">
              <w:rPr>
                <w:b/>
                <w:sz w:val="20"/>
                <w:szCs w:val="20"/>
                <w:lang w:val="lt-LT"/>
              </w:rPr>
              <w:t>Valdžios sektoriaus išlaidų dalis, kurią sudaro subnacionalinių valdžios institucijų išlaidos, proc.</w:t>
            </w:r>
          </w:p>
        </w:tc>
        <w:tc>
          <w:tcPr>
            <w:tcW w:w="1984" w:type="dxa"/>
          </w:tcPr>
          <w:p w:rsidR="00A16588" w:rsidRPr="005A3A2B" w:rsidRDefault="00A16588" w:rsidP="005A3A2B">
            <w:pPr>
              <w:rPr>
                <w:b/>
                <w:sz w:val="20"/>
                <w:szCs w:val="20"/>
                <w:lang w:val="lt-LT"/>
              </w:rPr>
            </w:pPr>
            <w:r w:rsidRPr="005A3A2B">
              <w:rPr>
                <w:b/>
                <w:sz w:val="20"/>
                <w:szCs w:val="20"/>
                <w:lang w:val="lt-LT"/>
              </w:rPr>
              <w:t>Subnacionalinių valdžios</w:t>
            </w:r>
            <w:r w:rsidR="002B4143">
              <w:rPr>
                <w:b/>
                <w:sz w:val="20"/>
                <w:szCs w:val="20"/>
                <w:lang w:val="lt-LT"/>
              </w:rPr>
              <w:t xml:space="preserve"> institucijų</w:t>
            </w:r>
            <w:r w:rsidRPr="005A3A2B">
              <w:rPr>
                <w:b/>
                <w:sz w:val="20"/>
                <w:szCs w:val="20"/>
                <w:lang w:val="lt-LT"/>
              </w:rPr>
              <w:t xml:space="preserve"> išlaidų dalis BVP</w:t>
            </w:r>
          </w:p>
        </w:tc>
        <w:tc>
          <w:tcPr>
            <w:tcW w:w="1843" w:type="dxa"/>
          </w:tcPr>
          <w:p w:rsidR="00A16588" w:rsidRPr="005A3A2B" w:rsidRDefault="00A16588" w:rsidP="005A3A2B">
            <w:pPr>
              <w:rPr>
                <w:b/>
                <w:sz w:val="20"/>
                <w:szCs w:val="20"/>
                <w:lang w:val="lt-LT"/>
              </w:rPr>
            </w:pPr>
            <w:r w:rsidRPr="005A3A2B">
              <w:rPr>
                <w:b/>
                <w:sz w:val="20"/>
                <w:szCs w:val="20"/>
                <w:lang w:val="lt-LT"/>
              </w:rPr>
              <w:t>Valdžios sektoriaus išlaidų dalis BVP</w:t>
            </w:r>
          </w:p>
        </w:tc>
        <w:tc>
          <w:tcPr>
            <w:tcW w:w="1559" w:type="dxa"/>
          </w:tcPr>
          <w:p w:rsidR="00A16588" w:rsidRPr="005A3A2B" w:rsidRDefault="00A16588" w:rsidP="005A3A2B">
            <w:pPr>
              <w:rPr>
                <w:b/>
                <w:sz w:val="20"/>
                <w:szCs w:val="20"/>
                <w:lang w:val="lt-LT"/>
              </w:rPr>
            </w:pPr>
            <w:r w:rsidRPr="005A3A2B">
              <w:rPr>
                <w:b/>
                <w:sz w:val="20"/>
                <w:szCs w:val="20"/>
                <w:lang w:val="lt-LT"/>
              </w:rPr>
              <w:t>Valdžios sektoriaus pajamų dalis, kurią sudaro subnacionalinių valdžios institucijų pajamos, proc.</w:t>
            </w:r>
          </w:p>
        </w:tc>
      </w:tr>
      <w:tr w:rsidR="00A16588" w:rsidRPr="005A3A2B" w:rsidTr="00C96EB3">
        <w:trPr>
          <w:jc w:val="center"/>
        </w:trPr>
        <w:tc>
          <w:tcPr>
            <w:tcW w:w="795" w:type="dxa"/>
            <w:vAlign w:val="center"/>
          </w:tcPr>
          <w:p w:rsidR="00A16588" w:rsidRPr="005A3A2B" w:rsidRDefault="00A16588" w:rsidP="005A3A2B">
            <w:pPr>
              <w:jc w:val="center"/>
              <w:rPr>
                <w:sz w:val="20"/>
                <w:szCs w:val="20"/>
              </w:rPr>
            </w:pPr>
            <w:r w:rsidRPr="005A3A2B">
              <w:rPr>
                <w:sz w:val="20"/>
                <w:szCs w:val="20"/>
              </w:rPr>
              <w:t>EU27</w:t>
            </w:r>
          </w:p>
        </w:tc>
        <w:tc>
          <w:tcPr>
            <w:tcW w:w="1865" w:type="dxa"/>
            <w:vAlign w:val="center"/>
          </w:tcPr>
          <w:p w:rsidR="00A16588" w:rsidRPr="005A3A2B" w:rsidRDefault="00A16588" w:rsidP="005A3A2B">
            <w:pPr>
              <w:jc w:val="center"/>
              <w:rPr>
                <w:sz w:val="20"/>
                <w:szCs w:val="20"/>
                <w:lang w:val="lt-LT"/>
              </w:rPr>
            </w:pPr>
            <w:r w:rsidRPr="005A3A2B">
              <w:rPr>
                <w:sz w:val="20"/>
                <w:szCs w:val="20"/>
                <w:lang w:val="lt-LT"/>
              </w:rPr>
              <w:t>28,9</w:t>
            </w:r>
          </w:p>
        </w:tc>
        <w:tc>
          <w:tcPr>
            <w:tcW w:w="1984" w:type="dxa"/>
            <w:vAlign w:val="center"/>
          </w:tcPr>
          <w:p w:rsidR="00A16588" w:rsidRPr="005A3A2B" w:rsidRDefault="00A16588" w:rsidP="005A3A2B">
            <w:pPr>
              <w:jc w:val="center"/>
              <w:rPr>
                <w:sz w:val="20"/>
                <w:szCs w:val="20"/>
              </w:rPr>
            </w:pPr>
            <w:r w:rsidRPr="005A3A2B">
              <w:rPr>
                <w:sz w:val="20"/>
                <w:szCs w:val="20"/>
              </w:rPr>
              <w:t>14,6</w:t>
            </w:r>
          </w:p>
        </w:tc>
        <w:tc>
          <w:tcPr>
            <w:tcW w:w="1843" w:type="dxa"/>
            <w:vAlign w:val="center"/>
          </w:tcPr>
          <w:p w:rsidR="00A16588" w:rsidRPr="005A3A2B" w:rsidRDefault="00A16588" w:rsidP="005A3A2B">
            <w:pPr>
              <w:jc w:val="center"/>
              <w:rPr>
                <w:sz w:val="20"/>
                <w:szCs w:val="20"/>
              </w:rPr>
            </w:pPr>
            <w:r w:rsidRPr="005A3A2B">
              <w:rPr>
                <w:sz w:val="20"/>
                <w:szCs w:val="20"/>
              </w:rPr>
              <w:t>49,3</w:t>
            </w:r>
          </w:p>
        </w:tc>
        <w:tc>
          <w:tcPr>
            <w:tcW w:w="1559" w:type="dxa"/>
            <w:vAlign w:val="center"/>
          </w:tcPr>
          <w:p w:rsidR="00A16588" w:rsidRPr="005A3A2B" w:rsidRDefault="006F0A6F" w:rsidP="005A3A2B">
            <w:pPr>
              <w:jc w:val="center"/>
              <w:rPr>
                <w:sz w:val="20"/>
                <w:szCs w:val="20"/>
              </w:rPr>
            </w:pPr>
            <w:r w:rsidRPr="005A3A2B">
              <w:rPr>
                <w:sz w:val="20"/>
                <w:szCs w:val="20"/>
              </w:rPr>
              <w:t>36</w:t>
            </w:r>
          </w:p>
        </w:tc>
      </w:tr>
      <w:tr w:rsidR="00A16588" w:rsidRPr="005A3A2B" w:rsidTr="00C96EB3">
        <w:trPr>
          <w:jc w:val="center"/>
        </w:trPr>
        <w:tc>
          <w:tcPr>
            <w:tcW w:w="795" w:type="dxa"/>
            <w:vAlign w:val="center"/>
          </w:tcPr>
          <w:p w:rsidR="00A16588" w:rsidRPr="005A3A2B" w:rsidRDefault="00A16588" w:rsidP="005A3A2B">
            <w:pPr>
              <w:jc w:val="center"/>
              <w:rPr>
                <w:sz w:val="20"/>
                <w:szCs w:val="20"/>
              </w:rPr>
            </w:pPr>
            <w:r w:rsidRPr="005A3A2B">
              <w:rPr>
                <w:sz w:val="20"/>
                <w:szCs w:val="20"/>
              </w:rPr>
              <w:t>LT</w:t>
            </w:r>
          </w:p>
        </w:tc>
        <w:tc>
          <w:tcPr>
            <w:tcW w:w="1865" w:type="dxa"/>
            <w:vAlign w:val="center"/>
          </w:tcPr>
          <w:p w:rsidR="00A16588" w:rsidRPr="005A3A2B" w:rsidRDefault="00A16588" w:rsidP="005A3A2B">
            <w:pPr>
              <w:jc w:val="center"/>
              <w:rPr>
                <w:sz w:val="20"/>
                <w:szCs w:val="20"/>
                <w:lang w:val="lt-LT"/>
              </w:rPr>
            </w:pPr>
            <w:r w:rsidRPr="005A3A2B">
              <w:rPr>
                <w:sz w:val="20"/>
                <w:szCs w:val="20"/>
                <w:lang w:val="lt-LT"/>
              </w:rPr>
              <w:t>26,2</w:t>
            </w:r>
          </w:p>
        </w:tc>
        <w:tc>
          <w:tcPr>
            <w:tcW w:w="1984" w:type="dxa"/>
            <w:vAlign w:val="center"/>
          </w:tcPr>
          <w:p w:rsidR="00A16588" w:rsidRPr="005A3A2B" w:rsidRDefault="00A16588" w:rsidP="005A3A2B">
            <w:pPr>
              <w:jc w:val="center"/>
              <w:rPr>
                <w:sz w:val="20"/>
                <w:szCs w:val="20"/>
                <w:lang w:val="lt-LT"/>
              </w:rPr>
            </w:pPr>
            <w:r w:rsidRPr="005A3A2B">
              <w:rPr>
                <w:sz w:val="20"/>
                <w:szCs w:val="20"/>
                <w:lang w:val="lt-LT"/>
              </w:rPr>
              <w:t>9,4</w:t>
            </w:r>
          </w:p>
        </w:tc>
        <w:tc>
          <w:tcPr>
            <w:tcW w:w="1843" w:type="dxa"/>
            <w:vAlign w:val="center"/>
          </w:tcPr>
          <w:p w:rsidR="00A16588" w:rsidRPr="005A3A2B" w:rsidRDefault="00A16588" w:rsidP="005A3A2B">
            <w:pPr>
              <w:jc w:val="center"/>
              <w:rPr>
                <w:sz w:val="20"/>
                <w:szCs w:val="20"/>
                <w:lang w:val="lt-LT"/>
              </w:rPr>
            </w:pPr>
            <w:r w:rsidRPr="005A3A2B">
              <w:rPr>
                <w:sz w:val="20"/>
                <w:szCs w:val="20"/>
                <w:lang w:val="lt-LT"/>
              </w:rPr>
              <w:t>36,1</w:t>
            </w:r>
          </w:p>
        </w:tc>
        <w:tc>
          <w:tcPr>
            <w:tcW w:w="1559" w:type="dxa"/>
            <w:vAlign w:val="center"/>
          </w:tcPr>
          <w:p w:rsidR="00A16588" w:rsidRPr="005A3A2B" w:rsidRDefault="008D4599" w:rsidP="005A3A2B">
            <w:pPr>
              <w:jc w:val="center"/>
              <w:rPr>
                <w:sz w:val="20"/>
                <w:szCs w:val="20"/>
                <w:lang w:val="lt-LT"/>
              </w:rPr>
            </w:pPr>
            <w:r w:rsidRPr="005A3A2B">
              <w:rPr>
                <w:sz w:val="20"/>
                <w:szCs w:val="20"/>
                <w:lang w:val="lt-LT"/>
              </w:rPr>
              <w:t>28,1</w:t>
            </w:r>
          </w:p>
        </w:tc>
      </w:tr>
      <w:tr w:rsidR="00A16588" w:rsidRPr="005A3A2B" w:rsidTr="00C96EB3">
        <w:trPr>
          <w:jc w:val="center"/>
        </w:trPr>
        <w:tc>
          <w:tcPr>
            <w:tcW w:w="795" w:type="dxa"/>
            <w:vAlign w:val="center"/>
          </w:tcPr>
          <w:p w:rsidR="00A16588" w:rsidRPr="005A3A2B" w:rsidRDefault="00A16588" w:rsidP="005A3A2B">
            <w:pPr>
              <w:jc w:val="center"/>
              <w:rPr>
                <w:sz w:val="20"/>
                <w:szCs w:val="20"/>
              </w:rPr>
            </w:pPr>
            <w:r w:rsidRPr="005A3A2B">
              <w:rPr>
                <w:sz w:val="20"/>
                <w:szCs w:val="20"/>
              </w:rPr>
              <w:t>BE</w:t>
            </w:r>
          </w:p>
        </w:tc>
        <w:tc>
          <w:tcPr>
            <w:tcW w:w="1865" w:type="dxa"/>
            <w:vAlign w:val="center"/>
          </w:tcPr>
          <w:p w:rsidR="00A16588" w:rsidRPr="005A3A2B" w:rsidRDefault="00A16588" w:rsidP="005A3A2B">
            <w:pPr>
              <w:jc w:val="center"/>
              <w:rPr>
                <w:sz w:val="20"/>
                <w:szCs w:val="20"/>
                <w:lang w:val="lt-LT"/>
              </w:rPr>
            </w:pPr>
            <w:r w:rsidRPr="005A3A2B">
              <w:rPr>
                <w:sz w:val="20"/>
                <w:szCs w:val="20"/>
                <w:lang w:val="lt-LT"/>
              </w:rPr>
              <w:t>37</w:t>
            </w:r>
          </w:p>
        </w:tc>
        <w:tc>
          <w:tcPr>
            <w:tcW w:w="1984" w:type="dxa"/>
            <w:vAlign w:val="center"/>
          </w:tcPr>
          <w:p w:rsidR="00A16588" w:rsidRPr="005A3A2B" w:rsidRDefault="00A16588" w:rsidP="005A3A2B">
            <w:pPr>
              <w:ind w:firstLine="720"/>
              <w:rPr>
                <w:sz w:val="20"/>
                <w:szCs w:val="20"/>
                <w:lang w:val="lt-LT"/>
              </w:rPr>
            </w:pPr>
            <w:r w:rsidRPr="005A3A2B">
              <w:rPr>
                <w:sz w:val="20"/>
                <w:szCs w:val="20"/>
                <w:lang w:val="lt-LT"/>
              </w:rPr>
              <w:t>19,7</w:t>
            </w:r>
          </w:p>
        </w:tc>
        <w:tc>
          <w:tcPr>
            <w:tcW w:w="1843" w:type="dxa"/>
            <w:vAlign w:val="center"/>
          </w:tcPr>
          <w:p w:rsidR="00A16588" w:rsidRPr="005A3A2B" w:rsidRDefault="005A3A2B" w:rsidP="005A3A2B">
            <w:pPr>
              <w:rPr>
                <w:sz w:val="20"/>
                <w:szCs w:val="20"/>
                <w:lang w:val="lt-LT"/>
              </w:rPr>
            </w:pPr>
            <w:r>
              <w:rPr>
                <w:sz w:val="20"/>
                <w:szCs w:val="20"/>
                <w:lang w:val="lt-LT"/>
              </w:rPr>
              <w:t xml:space="preserve">             </w:t>
            </w:r>
            <w:r w:rsidR="00A16588" w:rsidRPr="005A3A2B">
              <w:rPr>
                <w:sz w:val="20"/>
                <w:szCs w:val="20"/>
                <w:lang w:val="lt-LT"/>
              </w:rPr>
              <w:t>55</w:t>
            </w:r>
          </w:p>
        </w:tc>
        <w:tc>
          <w:tcPr>
            <w:tcW w:w="1559" w:type="dxa"/>
            <w:vAlign w:val="center"/>
          </w:tcPr>
          <w:p w:rsidR="00A16588" w:rsidRPr="005A3A2B" w:rsidRDefault="005A3A2B" w:rsidP="005A3A2B">
            <w:pPr>
              <w:rPr>
                <w:sz w:val="20"/>
                <w:szCs w:val="20"/>
                <w:lang w:val="lt-LT"/>
              </w:rPr>
            </w:pPr>
            <w:r>
              <w:rPr>
                <w:sz w:val="20"/>
                <w:szCs w:val="20"/>
                <w:lang w:val="lt-LT"/>
              </w:rPr>
              <w:t xml:space="preserve">         </w:t>
            </w:r>
            <w:r w:rsidR="006F0A6F" w:rsidRPr="005A3A2B">
              <w:rPr>
                <w:sz w:val="20"/>
                <w:szCs w:val="20"/>
                <w:lang w:val="lt-LT"/>
              </w:rPr>
              <w:t>43,5</w:t>
            </w:r>
          </w:p>
        </w:tc>
      </w:tr>
      <w:tr w:rsidR="00A16588" w:rsidRPr="005A3A2B" w:rsidTr="00C96EB3">
        <w:trPr>
          <w:jc w:val="center"/>
        </w:trPr>
        <w:tc>
          <w:tcPr>
            <w:tcW w:w="795" w:type="dxa"/>
            <w:vAlign w:val="center"/>
          </w:tcPr>
          <w:p w:rsidR="00A16588" w:rsidRPr="005A3A2B" w:rsidRDefault="00A16588" w:rsidP="005A3A2B">
            <w:pPr>
              <w:jc w:val="center"/>
              <w:rPr>
                <w:sz w:val="20"/>
                <w:szCs w:val="20"/>
              </w:rPr>
            </w:pPr>
            <w:r w:rsidRPr="005A3A2B">
              <w:rPr>
                <w:sz w:val="20"/>
                <w:szCs w:val="20"/>
              </w:rPr>
              <w:t>BG</w:t>
            </w:r>
          </w:p>
        </w:tc>
        <w:tc>
          <w:tcPr>
            <w:tcW w:w="1865" w:type="dxa"/>
            <w:vAlign w:val="center"/>
          </w:tcPr>
          <w:p w:rsidR="00A16588" w:rsidRPr="005A3A2B" w:rsidRDefault="00A16588" w:rsidP="005A3A2B">
            <w:pPr>
              <w:jc w:val="center"/>
              <w:rPr>
                <w:sz w:val="20"/>
                <w:szCs w:val="20"/>
                <w:lang w:val="lt-LT"/>
              </w:rPr>
            </w:pPr>
            <w:r w:rsidRPr="005A3A2B">
              <w:rPr>
                <w:sz w:val="20"/>
                <w:szCs w:val="20"/>
                <w:lang w:val="lt-LT"/>
              </w:rPr>
              <w:t>18,9</w:t>
            </w:r>
          </w:p>
        </w:tc>
        <w:tc>
          <w:tcPr>
            <w:tcW w:w="1984" w:type="dxa"/>
            <w:vAlign w:val="center"/>
          </w:tcPr>
          <w:p w:rsidR="00A16588" w:rsidRPr="005A3A2B" w:rsidRDefault="00A16588" w:rsidP="005A3A2B">
            <w:pPr>
              <w:jc w:val="center"/>
              <w:rPr>
                <w:sz w:val="20"/>
                <w:szCs w:val="20"/>
                <w:lang w:val="lt-LT"/>
              </w:rPr>
            </w:pPr>
            <w:r w:rsidRPr="005A3A2B">
              <w:rPr>
                <w:sz w:val="20"/>
                <w:szCs w:val="20"/>
                <w:lang w:val="lt-LT"/>
              </w:rPr>
              <w:t>6,8</w:t>
            </w:r>
          </w:p>
        </w:tc>
        <w:tc>
          <w:tcPr>
            <w:tcW w:w="1843" w:type="dxa"/>
            <w:vAlign w:val="center"/>
          </w:tcPr>
          <w:p w:rsidR="00A16588" w:rsidRPr="005A3A2B" w:rsidRDefault="00A16588" w:rsidP="005A3A2B">
            <w:pPr>
              <w:jc w:val="center"/>
              <w:rPr>
                <w:sz w:val="20"/>
                <w:szCs w:val="20"/>
                <w:lang w:val="lt-LT"/>
              </w:rPr>
            </w:pPr>
            <w:r w:rsidRPr="005A3A2B">
              <w:rPr>
                <w:sz w:val="20"/>
                <w:szCs w:val="20"/>
                <w:lang w:val="lt-LT"/>
              </w:rPr>
              <w:t>35,9</w:t>
            </w:r>
          </w:p>
        </w:tc>
        <w:tc>
          <w:tcPr>
            <w:tcW w:w="1559" w:type="dxa"/>
            <w:vAlign w:val="center"/>
          </w:tcPr>
          <w:p w:rsidR="00A16588" w:rsidRPr="005A3A2B" w:rsidRDefault="002F1113" w:rsidP="005A3A2B">
            <w:pPr>
              <w:jc w:val="center"/>
              <w:rPr>
                <w:sz w:val="20"/>
                <w:szCs w:val="20"/>
                <w:lang w:val="lt-LT"/>
              </w:rPr>
            </w:pPr>
            <w:r w:rsidRPr="005A3A2B">
              <w:rPr>
                <w:sz w:val="20"/>
                <w:szCs w:val="20"/>
                <w:lang w:val="lt-LT"/>
              </w:rPr>
              <w:t>20,1</w:t>
            </w:r>
          </w:p>
        </w:tc>
      </w:tr>
      <w:tr w:rsidR="00A16588" w:rsidRPr="005A3A2B" w:rsidTr="00C96EB3">
        <w:trPr>
          <w:jc w:val="center"/>
        </w:trPr>
        <w:tc>
          <w:tcPr>
            <w:tcW w:w="795" w:type="dxa"/>
            <w:vAlign w:val="center"/>
          </w:tcPr>
          <w:p w:rsidR="00A16588" w:rsidRPr="005A3A2B" w:rsidRDefault="00A16588" w:rsidP="005A3A2B">
            <w:pPr>
              <w:jc w:val="center"/>
              <w:rPr>
                <w:sz w:val="20"/>
                <w:szCs w:val="20"/>
              </w:rPr>
            </w:pPr>
            <w:r w:rsidRPr="005A3A2B">
              <w:rPr>
                <w:sz w:val="20"/>
                <w:szCs w:val="20"/>
              </w:rPr>
              <w:t>CZ</w:t>
            </w:r>
          </w:p>
        </w:tc>
        <w:tc>
          <w:tcPr>
            <w:tcW w:w="1865" w:type="dxa"/>
            <w:vAlign w:val="center"/>
          </w:tcPr>
          <w:p w:rsidR="00A16588" w:rsidRPr="005A3A2B" w:rsidRDefault="00A16588" w:rsidP="005A3A2B">
            <w:pPr>
              <w:jc w:val="center"/>
              <w:rPr>
                <w:sz w:val="20"/>
                <w:szCs w:val="20"/>
                <w:lang w:val="lt-LT"/>
              </w:rPr>
            </w:pPr>
            <w:r w:rsidRPr="005A3A2B">
              <w:rPr>
                <w:sz w:val="20"/>
                <w:szCs w:val="20"/>
                <w:lang w:val="lt-LT"/>
              </w:rPr>
              <w:t>23,1</w:t>
            </w:r>
          </w:p>
        </w:tc>
        <w:tc>
          <w:tcPr>
            <w:tcW w:w="1984" w:type="dxa"/>
            <w:vAlign w:val="center"/>
          </w:tcPr>
          <w:p w:rsidR="00A16588" w:rsidRPr="005A3A2B" w:rsidRDefault="00A16588" w:rsidP="005A3A2B">
            <w:pPr>
              <w:jc w:val="center"/>
              <w:rPr>
                <w:sz w:val="20"/>
                <w:szCs w:val="20"/>
                <w:lang w:val="lt-LT"/>
              </w:rPr>
            </w:pPr>
            <w:r w:rsidRPr="005A3A2B">
              <w:rPr>
                <w:sz w:val="20"/>
                <w:szCs w:val="20"/>
                <w:lang w:val="lt-LT"/>
              </w:rPr>
              <w:t>10,3</w:t>
            </w:r>
          </w:p>
        </w:tc>
        <w:tc>
          <w:tcPr>
            <w:tcW w:w="1843" w:type="dxa"/>
            <w:vAlign w:val="center"/>
          </w:tcPr>
          <w:p w:rsidR="00A16588" w:rsidRPr="005A3A2B" w:rsidRDefault="00A16588" w:rsidP="005A3A2B">
            <w:pPr>
              <w:jc w:val="center"/>
              <w:rPr>
                <w:sz w:val="20"/>
                <w:szCs w:val="20"/>
                <w:lang w:val="lt-LT"/>
              </w:rPr>
            </w:pPr>
            <w:r w:rsidRPr="005A3A2B">
              <w:rPr>
                <w:sz w:val="20"/>
                <w:szCs w:val="20"/>
                <w:lang w:val="lt-LT"/>
              </w:rPr>
              <w:t>44,5</w:t>
            </w:r>
          </w:p>
        </w:tc>
        <w:tc>
          <w:tcPr>
            <w:tcW w:w="1559" w:type="dxa"/>
            <w:vAlign w:val="center"/>
          </w:tcPr>
          <w:p w:rsidR="00A16588" w:rsidRPr="005A3A2B" w:rsidRDefault="002F1113" w:rsidP="005A3A2B">
            <w:pPr>
              <w:jc w:val="center"/>
              <w:rPr>
                <w:sz w:val="20"/>
                <w:szCs w:val="20"/>
                <w:lang w:val="lt-LT"/>
              </w:rPr>
            </w:pPr>
            <w:r w:rsidRPr="005A3A2B">
              <w:rPr>
                <w:sz w:val="20"/>
                <w:szCs w:val="20"/>
                <w:lang w:val="lt-LT"/>
              </w:rPr>
              <w:t>25,4</w:t>
            </w:r>
          </w:p>
        </w:tc>
      </w:tr>
      <w:tr w:rsidR="00A16588" w:rsidRPr="005A3A2B" w:rsidTr="00C96EB3">
        <w:trPr>
          <w:jc w:val="center"/>
        </w:trPr>
        <w:tc>
          <w:tcPr>
            <w:tcW w:w="795" w:type="dxa"/>
            <w:vAlign w:val="center"/>
          </w:tcPr>
          <w:p w:rsidR="00A16588" w:rsidRPr="005A3A2B" w:rsidRDefault="00A16588" w:rsidP="005A3A2B">
            <w:pPr>
              <w:jc w:val="center"/>
              <w:rPr>
                <w:sz w:val="20"/>
                <w:szCs w:val="20"/>
              </w:rPr>
            </w:pPr>
            <w:r w:rsidRPr="005A3A2B">
              <w:rPr>
                <w:sz w:val="20"/>
                <w:szCs w:val="20"/>
              </w:rPr>
              <w:t>DK</w:t>
            </w:r>
          </w:p>
        </w:tc>
        <w:tc>
          <w:tcPr>
            <w:tcW w:w="1865" w:type="dxa"/>
            <w:vAlign w:val="center"/>
          </w:tcPr>
          <w:p w:rsidR="00A16588" w:rsidRPr="005A3A2B" w:rsidRDefault="00A16588" w:rsidP="005A3A2B">
            <w:pPr>
              <w:jc w:val="center"/>
              <w:rPr>
                <w:sz w:val="20"/>
                <w:szCs w:val="20"/>
                <w:lang w:val="lt-LT"/>
              </w:rPr>
            </w:pPr>
            <w:r w:rsidRPr="005A3A2B">
              <w:rPr>
                <w:sz w:val="20"/>
                <w:szCs w:val="20"/>
                <w:lang w:val="lt-LT"/>
              </w:rPr>
              <w:t>63,7</w:t>
            </w:r>
          </w:p>
        </w:tc>
        <w:tc>
          <w:tcPr>
            <w:tcW w:w="1984" w:type="dxa"/>
            <w:vAlign w:val="center"/>
          </w:tcPr>
          <w:p w:rsidR="00A16588" w:rsidRPr="005A3A2B" w:rsidRDefault="00A16588" w:rsidP="005A3A2B">
            <w:pPr>
              <w:jc w:val="center"/>
              <w:rPr>
                <w:sz w:val="20"/>
                <w:szCs w:val="20"/>
                <w:lang w:val="lt-LT"/>
              </w:rPr>
            </w:pPr>
            <w:r w:rsidRPr="005A3A2B">
              <w:rPr>
                <w:sz w:val="20"/>
                <w:szCs w:val="20"/>
                <w:lang w:val="lt-LT"/>
              </w:rPr>
              <w:t>37,9</w:t>
            </w:r>
          </w:p>
        </w:tc>
        <w:tc>
          <w:tcPr>
            <w:tcW w:w="1843" w:type="dxa"/>
            <w:vAlign w:val="center"/>
          </w:tcPr>
          <w:p w:rsidR="00A16588" w:rsidRPr="005A3A2B" w:rsidRDefault="00A16588" w:rsidP="005A3A2B">
            <w:pPr>
              <w:jc w:val="center"/>
              <w:rPr>
                <w:sz w:val="20"/>
                <w:szCs w:val="20"/>
                <w:lang w:val="lt-LT"/>
              </w:rPr>
            </w:pPr>
            <w:r w:rsidRPr="005A3A2B">
              <w:rPr>
                <w:sz w:val="20"/>
                <w:szCs w:val="20"/>
                <w:lang w:val="lt-LT"/>
              </w:rPr>
              <w:t>59,4</w:t>
            </w:r>
          </w:p>
        </w:tc>
        <w:tc>
          <w:tcPr>
            <w:tcW w:w="1559" w:type="dxa"/>
            <w:vAlign w:val="center"/>
          </w:tcPr>
          <w:p w:rsidR="00A16588" w:rsidRPr="005A3A2B" w:rsidRDefault="002F1113" w:rsidP="005A3A2B">
            <w:pPr>
              <w:jc w:val="center"/>
              <w:rPr>
                <w:sz w:val="20"/>
                <w:szCs w:val="20"/>
                <w:lang w:val="lt-LT"/>
              </w:rPr>
            </w:pPr>
            <w:r w:rsidRPr="005A3A2B">
              <w:rPr>
                <w:sz w:val="20"/>
                <w:szCs w:val="20"/>
                <w:lang w:val="lt-LT"/>
              </w:rPr>
              <w:t>68</w:t>
            </w:r>
          </w:p>
        </w:tc>
      </w:tr>
      <w:tr w:rsidR="00A16588" w:rsidRPr="005A3A2B" w:rsidTr="00C96EB3">
        <w:trPr>
          <w:jc w:val="center"/>
        </w:trPr>
        <w:tc>
          <w:tcPr>
            <w:tcW w:w="795" w:type="dxa"/>
            <w:vAlign w:val="center"/>
          </w:tcPr>
          <w:p w:rsidR="00A16588" w:rsidRPr="005A3A2B" w:rsidRDefault="00A16588" w:rsidP="005A3A2B">
            <w:pPr>
              <w:jc w:val="center"/>
              <w:rPr>
                <w:sz w:val="20"/>
                <w:szCs w:val="20"/>
              </w:rPr>
            </w:pPr>
            <w:r w:rsidRPr="005A3A2B">
              <w:rPr>
                <w:sz w:val="20"/>
                <w:szCs w:val="20"/>
              </w:rPr>
              <w:t>DE</w:t>
            </w:r>
          </w:p>
        </w:tc>
        <w:tc>
          <w:tcPr>
            <w:tcW w:w="1865" w:type="dxa"/>
            <w:vAlign w:val="center"/>
          </w:tcPr>
          <w:p w:rsidR="00A16588" w:rsidRPr="005A3A2B" w:rsidRDefault="00A16588" w:rsidP="005A3A2B">
            <w:pPr>
              <w:jc w:val="center"/>
              <w:rPr>
                <w:sz w:val="20"/>
                <w:szCs w:val="20"/>
                <w:lang w:val="lt-LT"/>
              </w:rPr>
            </w:pPr>
            <w:r w:rsidRPr="005A3A2B">
              <w:rPr>
                <w:sz w:val="20"/>
                <w:szCs w:val="20"/>
                <w:lang w:val="lt-LT"/>
              </w:rPr>
              <w:t>37,6</w:t>
            </w:r>
          </w:p>
        </w:tc>
        <w:tc>
          <w:tcPr>
            <w:tcW w:w="1984" w:type="dxa"/>
            <w:vAlign w:val="center"/>
          </w:tcPr>
          <w:p w:rsidR="00A16588" w:rsidRPr="005A3A2B" w:rsidRDefault="00A16588" w:rsidP="005A3A2B">
            <w:pPr>
              <w:jc w:val="center"/>
              <w:rPr>
                <w:sz w:val="20"/>
                <w:szCs w:val="20"/>
                <w:lang w:val="lt-LT"/>
              </w:rPr>
            </w:pPr>
            <w:r w:rsidRPr="005A3A2B">
              <w:rPr>
                <w:sz w:val="20"/>
                <w:szCs w:val="20"/>
                <w:lang w:val="lt-LT"/>
              </w:rPr>
              <w:t>18</w:t>
            </w:r>
          </w:p>
        </w:tc>
        <w:tc>
          <w:tcPr>
            <w:tcW w:w="1843" w:type="dxa"/>
            <w:vAlign w:val="center"/>
          </w:tcPr>
          <w:p w:rsidR="00A16588" w:rsidRPr="005A3A2B" w:rsidRDefault="00A16588" w:rsidP="005A3A2B">
            <w:pPr>
              <w:jc w:val="center"/>
              <w:rPr>
                <w:sz w:val="20"/>
                <w:szCs w:val="20"/>
                <w:lang w:val="lt-LT"/>
              </w:rPr>
            </w:pPr>
            <w:r w:rsidRPr="005A3A2B">
              <w:rPr>
                <w:sz w:val="20"/>
                <w:szCs w:val="20"/>
                <w:lang w:val="lt-LT"/>
              </w:rPr>
              <w:t>44,7</w:t>
            </w:r>
          </w:p>
        </w:tc>
        <w:tc>
          <w:tcPr>
            <w:tcW w:w="1559" w:type="dxa"/>
            <w:vAlign w:val="center"/>
          </w:tcPr>
          <w:p w:rsidR="00A16588" w:rsidRPr="005A3A2B" w:rsidRDefault="002F1113" w:rsidP="005A3A2B">
            <w:pPr>
              <w:jc w:val="center"/>
              <w:rPr>
                <w:sz w:val="20"/>
                <w:szCs w:val="20"/>
                <w:lang w:val="lt-LT"/>
              </w:rPr>
            </w:pPr>
            <w:r w:rsidRPr="005A3A2B">
              <w:rPr>
                <w:sz w:val="20"/>
                <w:szCs w:val="20"/>
                <w:lang w:val="lt-LT"/>
              </w:rPr>
              <w:t>45,5</w:t>
            </w:r>
          </w:p>
        </w:tc>
      </w:tr>
      <w:tr w:rsidR="00A16588" w:rsidRPr="005A3A2B" w:rsidTr="00C96EB3">
        <w:trPr>
          <w:jc w:val="center"/>
        </w:trPr>
        <w:tc>
          <w:tcPr>
            <w:tcW w:w="795" w:type="dxa"/>
            <w:vAlign w:val="center"/>
          </w:tcPr>
          <w:p w:rsidR="00A16588" w:rsidRPr="005A3A2B" w:rsidRDefault="00A16588" w:rsidP="005A3A2B">
            <w:pPr>
              <w:jc w:val="center"/>
              <w:rPr>
                <w:sz w:val="20"/>
                <w:szCs w:val="20"/>
              </w:rPr>
            </w:pPr>
            <w:r w:rsidRPr="005A3A2B">
              <w:rPr>
                <w:sz w:val="20"/>
                <w:szCs w:val="20"/>
              </w:rPr>
              <w:t>EE</w:t>
            </w:r>
          </w:p>
        </w:tc>
        <w:tc>
          <w:tcPr>
            <w:tcW w:w="1865" w:type="dxa"/>
            <w:vAlign w:val="center"/>
          </w:tcPr>
          <w:p w:rsidR="00A16588" w:rsidRPr="005A3A2B" w:rsidRDefault="00A16588" w:rsidP="005A3A2B">
            <w:pPr>
              <w:jc w:val="center"/>
              <w:rPr>
                <w:sz w:val="20"/>
                <w:szCs w:val="20"/>
                <w:lang w:val="lt-LT"/>
              </w:rPr>
            </w:pPr>
            <w:r w:rsidRPr="005A3A2B">
              <w:rPr>
                <w:sz w:val="20"/>
                <w:szCs w:val="20"/>
                <w:lang w:val="lt-LT"/>
              </w:rPr>
              <w:t>25,2</w:t>
            </w:r>
          </w:p>
        </w:tc>
        <w:tc>
          <w:tcPr>
            <w:tcW w:w="1984" w:type="dxa"/>
            <w:vAlign w:val="center"/>
          </w:tcPr>
          <w:p w:rsidR="00A16588" w:rsidRPr="005A3A2B" w:rsidRDefault="00A16588" w:rsidP="005A3A2B">
            <w:pPr>
              <w:jc w:val="center"/>
              <w:rPr>
                <w:sz w:val="20"/>
                <w:szCs w:val="20"/>
                <w:lang w:val="lt-LT"/>
              </w:rPr>
            </w:pPr>
            <w:r w:rsidRPr="005A3A2B">
              <w:rPr>
                <w:sz w:val="20"/>
                <w:szCs w:val="20"/>
                <w:lang w:val="lt-LT"/>
              </w:rPr>
              <w:t>9,9</w:t>
            </w:r>
          </w:p>
        </w:tc>
        <w:tc>
          <w:tcPr>
            <w:tcW w:w="1843" w:type="dxa"/>
            <w:vAlign w:val="center"/>
          </w:tcPr>
          <w:p w:rsidR="00A16588" w:rsidRPr="005A3A2B" w:rsidRDefault="00A16588" w:rsidP="005A3A2B">
            <w:pPr>
              <w:jc w:val="center"/>
              <w:rPr>
                <w:sz w:val="20"/>
                <w:szCs w:val="20"/>
                <w:lang w:val="lt-LT"/>
              </w:rPr>
            </w:pPr>
            <w:r w:rsidRPr="005A3A2B">
              <w:rPr>
                <w:sz w:val="20"/>
                <w:szCs w:val="20"/>
                <w:lang w:val="lt-LT"/>
              </w:rPr>
              <w:t>39,5</w:t>
            </w:r>
          </w:p>
        </w:tc>
        <w:tc>
          <w:tcPr>
            <w:tcW w:w="1559" w:type="dxa"/>
            <w:vAlign w:val="center"/>
          </w:tcPr>
          <w:p w:rsidR="00A16588" w:rsidRPr="005A3A2B" w:rsidRDefault="002F1113" w:rsidP="005A3A2B">
            <w:pPr>
              <w:jc w:val="center"/>
              <w:rPr>
                <w:sz w:val="20"/>
                <w:szCs w:val="20"/>
                <w:lang w:val="lt-LT"/>
              </w:rPr>
            </w:pPr>
            <w:r w:rsidRPr="005A3A2B">
              <w:rPr>
                <w:sz w:val="20"/>
                <w:szCs w:val="20"/>
                <w:lang w:val="lt-LT"/>
              </w:rPr>
              <w:t>24,9</w:t>
            </w:r>
          </w:p>
        </w:tc>
      </w:tr>
      <w:tr w:rsidR="00A16588" w:rsidRPr="005A3A2B" w:rsidTr="00C96EB3">
        <w:trPr>
          <w:jc w:val="center"/>
        </w:trPr>
        <w:tc>
          <w:tcPr>
            <w:tcW w:w="795" w:type="dxa"/>
            <w:vAlign w:val="center"/>
          </w:tcPr>
          <w:p w:rsidR="00A16588" w:rsidRPr="005A3A2B" w:rsidRDefault="00A16588" w:rsidP="005A3A2B">
            <w:pPr>
              <w:jc w:val="center"/>
              <w:rPr>
                <w:sz w:val="20"/>
                <w:szCs w:val="20"/>
              </w:rPr>
            </w:pPr>
            <w:r w:rsidRPr="005A3A2B">
              <w:rPr>
                <w:sz w:val="20"/>
                <w:szCs w:val="20"/>
              </w:rPr>
              <w:t>IE</w:t>
            </w:r>
          </w:p>
        </w:tc>
        <w:tc>
          <w:tcPr>
            <w:tcW w:w="1865" w:type="dxa"/>
            <w:vAlign w:val="center"/>
          </w:tcPr>
          <w:p w:rsidR="00A16588" w:rsidRPr="005A3A2B" w:rsidRDefault="00A16588" w:rsidP="005A3A2B">
            <w:pPr>
              <w:jc w:val="center"/>
              <w:rPr>
                <w:sz w:val="20"/>
                <w:szCs w:val="20"/>
                <w:lang w:val="lt-LT"/>
              </w:rPr>
            </w:pPr>
            <w:r w:rsidRPr="005A3A2B">
              <w:rPr>
                <w:sz w:val="20"/>
                <w:szCs w:val="20"/>
                <w:lang w:val="lt-LT"/>
              </w:rPr>
              <w:t>12,2</w:t>
            </w:r>
          </w:p>
        </w:tc>
        <w:tc>
          <w:tcPr>
            <w:tcW w:w="1984" w:type="dxa"/>
            <w:vAlign w:val="center"/>
          </w:tcPr>
          <w:p w:rsidR="00A16588" w:rsidRPr="005A3A2B" w:rsidRDefault="00A16588" w:rsidP="005A3A2B">
            <w:pPr>
              <w:jc w:val="center"/>
              <w:rPr>
                <w:sz w:val="20"/>
                <w:szCs w:val="20"/>
                <w:lang w:val="lt-LT"/>
              </w:rPr>
            </w:pPr>
            <w:r w:rsidRPr="005A3A2B">
              <w:rPr>
                <w:sz w:val="20"/>
                <w:szCs w:val="20"/>
                <w:lang w:val="lt-LT"/>
              </w:rPr>
              <w:t>5,2</w:t>
            </w:r>
          </w:p>
        </w:tc>
        <w:tc>
          <w:tcPr>
            <w:tcW w:w="1843" w:type="dxa"/>
            <w:vAlign w:val="center"/>
          </w:tcPr>
          <w:p w:rsidR="00A16588" w:rsidRPr="005A3A2B" w:rsidRDefault="00A16588" w:rsidP="005A3A2B">
            <w:pPr>
              <w:jc w:val="center"/>
              <w:rPr>
                <w:sz w:val="20"/>
                <w:szCs w:val="20"/>
                <w:lang w:val="lt-LT"/>
              </w:rPr>
            </w:pPr>
            <w:r w:rsidRPr="005A3A2B">
              <w:rPr>
                <w:sz w:val="20"/>
                <w:szCs w:val="20"/>
                <w:lang w:val="lt-LT"/>
              </w:rPr>
              <w:t>42,6</w:t>
            </w:r>
          </w:p>
        </w:tc>
        <w:tc>
          <w:tcPr>
            <w:tcW w:w="1559" w:type="dxa"/>
            <w:vAlign w:val="center"/>
          </w:tcPr>
          <w:p w:rsidR="00A16588" w:rsidRPr="005A3A2B" w:rsidRDefault="002F1113" w:rsidP="005A3A2B">
            <w:pPr>
              <w:jc w:val="center"/>
              <w:rPr>
                <w:sz w:val="20"/>
                <w:szCs w:val="20"/>
                <w:lang w:val="lt-LT"/>
              </w:rPr>
            </w:pPr>
            <w:r w:rsidRPr="005A3A2B">
              <w:rPr>
                <w:sz w:val="20"/>
                <w:szCs w:val="20"/>
                <w:lang w:val="lt-LT"/>
              </w:rPr>
              <w:t>14,9</w:t>
            </w:r>
          </w:p>
        </w:tc>
      </w:tr>
      <w:tr w:rsidR="00A16588" w:rsidRPr="005A3A2B" w:rsidTr="00C96EB3">
        <w:trPr>
          <w:jc w:val="center"/>
        </w:trPr>
        <w:tc>
          <w:tcPr>
            <w:tcW w:w="795" w:type="dxa"/>
            <w:vAlign w:val="center"/>
          </w:tcPr>
          <w:p w:rsidR="00A16588" w:rsidRPr="005A3A2B" w:rsidRDefault="00A16588" w:rsidP="005A3A2B">
            <w:pPr>
              <w:jc w:val="center"/>
              <w:rPr>
                <w:sz w:val="20"/>
                <w:szCs w:val="20"/>
              </w:rPr>
            </w:pPr>
            <w:r w:rsidRPr="005A3A2B">
              <w:rPr>
                <w:sz w:val="20"/>
                <w:szCs w:val="20"/>
              </w:rPr>
              <w:t>EL</w:t>
            </w:r>
          </w:p>
        </w:tc>
        <w:tc>
          <w:tcPr>
            <w:tcW w:w="1865" w:type="dxa"/>
            <w:vAlign w:val="center"/>
          </w:tcPr>
          <w:p w:rsidR="00A16588" w:rsidRPr="005A3A2B" w:rsidRDefault="00A16588" w:rsidP="005A3A2B">
            <w:pPr>
              <w:jc w:val="center"/>
              <w:rPr>
                <w:sz w:val="20"/>
                <w:szCs w:val="20"/>
                <w:lang w:val="lt-LT"/>
              </w:rPr>
            </w:pPr>
            <w:r w:rsidRPr="005A3A2B">
              <w:rPr>
                <w:sz w:val="20"/>
                <w:szCs w:val="20"/>
                <w:lang w:val="lt-LT"/>
              </w:rPr>
              <w:t>6</w:t>
            </w:r>
          </w:p>
        </w:tc>
        <w:tc>
          <w:tcPr>
            <w:tcW w:w="1984" w:type="dxa"/>
            <w:vAlign w:val="center"/>
          </w:tcPr>
          <w:p w:rsidR="00A16588" w:rsidRPr="005A3A2B" w:rsidRDefault="00A16588" w:rsidP="005A3A2B">
            <w:pPr>
              <w:jc w:val="center"/>
              <w:rPr>
                <w:sz w:val="20"/>
                <w:szCs w:val="20"/>
                <w:lang w:val="lt-LT"/>
              </w:rPr>
            </w:pPr>
            <w:r w:rsidRPr="005A3A2B">
              <w:rPr>
                <w:sz w:val="20"/>
                <w:szCs w:val="20"/>
                <w:lang w:val="lt-LT"/>
              </w:rPr>
              <w:t>3,2</w:t>
            </w:r>
          </w:p>
        </w:tc>
        <w:tc>
          <w:tcPr>
            <w:tcW w:w="1843" w:type="dxa"/>
            <w:vAlign w:val="center"/>
          </w:tcPr>
          <w:p w:rsidR="00A16588" w:rsidRPr="005A3A2B" w:rsidRDefault="00A16588" w:rsidP="005A3A2B">
            <w:pPr>
              <w:jc w:val="center"/>
              <w:rPr>
                <w:sz w:val="20"/>
                <w:szCs w:val="20"/>
                <w:lang w:val="lt-LT"/>
              </w:rPr>
            </w:pPr>
            <w:r w:rsidRPr="005A3A2B">
              <w:rPr>
                <w:sz w:val="20"/>
                <w:szCs w:val="20"/>
                <w:lang w:val="lt-LT"/>
              </w:rPr>
              <w:t>53,6</w:t>
            </w:r>
          </w:p>
        </w:tc>
        <w:tc>
          <w:tcPr>
            <w:tcW w:w="1559" w:type="dxa"/>
            <w:vAlign w:val="center"/>
          </w:tcPr>
          <w:p w:rsidR="00A16588" w:rsidRPr="005A3A2B" w:rsidRDefault="002F1113" w:rsidP="005A3A2B">
            <w:pPr>
              <w:jc w:val="center"/>
              <w:rPr>
                <w:sz w:val="20"/>
                <w:szCs w:val="20"/>
                <w:lang w:val="lt-LT"/>
              </w:rPr>
            </w:pPr>
            <w:r w:rsidRPr="005A3A2B">
              <w:rPr>
                <w:sz w:val="20"/>
                <w:szCs w:val="20"/>
                <w:lang w:val="lt-LT"/>
              </w:rPr>
              <w:t>8</w:t>
            </w:r>
          </w:p>
        </w:tc>
      </w:tr>
      <w:tr w:rsidR="00A16588" w:rsidRPr="005A3A2B" w:rsidTr="00C96EB3">
        <w:trPr>
          <w:jc w:val="center"/>
        </w:trPr>
        <w:tc>
          <w:tcPr>
            <w:tcW w:w="795" w:type="dxa"/>
            <w:vAlign w:val="center"/>
          </w:tcPr>
          <w:p w:rsidR="00A16588" w:rsidRPr="005A3A2B" w:rsidRDefault="00A16588" w:rsidP="005A3A2B">
            <w:pPr>
              <w:jc w:val="center"/>
              <w:rPr>
                <w:sz w:val="20"/>
                <w:szCs w:val="20"/>
              </w:rPr>
            </w:pPr>
            <w:r w:rsidRPr="005A3A2B">
              <w:rPr>
                <w:sz w:val="20"/>
                <w:szCs w:val="20"/>
              </w:rPr>
              <w:t>ES</w:t>
            </w:r>
          </w:p>
        </w:tc>
        <w:tc>
          <w:tcPr>
            <w:tcW w:w="1865" w:type="dxa"/>
            <w:vAlign w:val="center"/>
          </w:tcPr>
          <w:p w:rsidR="00A16588" w:rsidRPr="005A3A2B" w:rsidRDefault="00A16588" w:rsidP="005A3A2B">
            <w:pPr>
              <w:jc w:val="center"/>
              <w:rPr>
                <w:sz w:val="20"/>
                <w:szCs w:val="20"/>
                <w:lang w:val="lt-LT"/>
              </w:rPr>
            </w:pPr>
            <w:r w:rsidRPr="005A3A2B">
              <w:rPr>
                <w:sz w:val="20"/>
                <w:szCs w:val="20"/>
                <w:lang w:val="lt-LT"/>
              </w:rPr>
              <w:t>47,9</w:t>
            </w:r>
          </w:p>
        </w:tc>
        <w:tc>
          <w:tcPr>
            <w:tcW w:w="1984" w:type="dxa"/>
            <w:vAlign w:val="center"/>
          </w:tcPr>
          <w:p w:rsidR="00A16588" w:rsidRPr="005A3A2B" w:rsidRDefault="00A16588" w:rsidP="005A3A2B">
            <w:pPr>
              <w:jc w:val="center"/>
              <w:rPr>
                <w:sz w:val="20"/>
                <w:szCs w:val="20"/>
                <w:lang w:val="lt-LT"/>
              </w:rPr>
            </w:pPr>
            <w:r w:rsidRPr="005A3A2B">
              <w:rPr>
                <w:sz w:val="20"/>
                <w:szCs w:val="20"/>
                <w:lang w:val="lt-LT"/>
              </w:rPr>
              <w:t>22</w:t>
            </w:r>
          </w:p>
        </w:tc>
        <w:tc>
          <w:tcPr>
            <w:tcW w:w="1843" w:type="dxa"/>
            <w:vAlign w:val="center"/>
          </w:tcPr>
          <w:p w:rsidR="00A16588" w:rsidRPr="005A3A2B" w:rsidRDefault="00A16588" w:rsidP="005A3A2B">
            <w:pPr>
              <w:jc w:val="center"/>
              <w:rPr>
                <w:sz w:val="20"/>
                <w:szCs w:val="20"/>
                <w:lang w:val="lt-LT"/>
              </w:rPr>
            </w:pPr>
            <w:r w:rsidRPr="005A3A2B">
              <w:rPr>
                <w:sz w:val="20"/>
                <w:szCs w:val="20"/>
                <w:lang w:val="lt-LT"/>
              </w:rPr>
              <w:t>47,8</w:t>
            </w:r>
          </w:p>
        </w:tc>
        <w:tc>
          <w:tcPr>
            <w:tcW w:w="1559" w:type="dxa"/>
            <w:vAlign w:val="center"/>
          </w:tcPr>
          <w:p w:rsidR="00A16588" w:rsidRPr="005A3A2B" w:rsidRDefault="002F1113" w:rsidP="005A3A2B">
            <w:pPr>
              <w:jc w:val="center"/>
              <w:rPr>
                <w:sz w:val="20"/>
                <w:szCs w:val="20"/>
                <w:lang w:val="lt-LT"/>
              </w:rPr>
            </w:pPr>
            <w:r w:rsidRPr="005A3A2B">
              <w:rPr>
                <w:sz w:val="20"/>
                <w:szCs w:val="20"/>
                <w:lang w:val="lt-LT"/>
              </w:rPr>
              <w:t>60,5</w:t>
            </w:r>
          </w:p>
        </w:tc>
      </w:tr>
      <w:tr w:rsidR="00A16588" w:rsidRPr="005A3A2B" w:rsidTr="00C96EB3">
        <w:trPr>
          <w:jc w:val="center"/>
        </w:trPr>
        <w:tc>
          <w:tcPr>
            <w:tcW w:w="795" w:type="dxa"/>
            <w:vAlign w:val="center"/>
          </w:tcPr>
          <w:p w:rsidR="00A16588" w:rsidRPr="005A3A2B" w:rsidRDefault="00A16588" w:rsidP="005A3A2B">
            <w:pPr>
              <w:jc w:val="center"/>
              <w:rPr>
                <w:sz w:val="20"/>
                <w:szCs w:val="20"/>
              </w:rPr>
            </w:pPr>
            <w:r w:rsidRPr="005A3A2B">
              <w:rPr>
                <w:sz w:val="20"/>
                <w:szCs w:val="20"/>
              </w:rPr>
              <w:t>FR</w:t>
            </w:r>
          </w:p>
        </w:tc>
        <w:tc>
          <w:tcPr>
            <w:tcW w:w="1865" w:type="dxa"/>
            <w:vAlign w:val="center"/>
          </w:tcPr>
          <w:p w:rsidR="00A16588" w:rsidRPr="005A3A2B" w:rsidRDefault="00A16588" w:rsidP="005A3A2B">
            <w:pPr>
              <w:jc w:val="center"/>
              <w:rPr>
                <w:sz w:val="20"/>
                <w:szCs w:val="20"/>
                <w:lang w:val="lt-LT"/>
              </w:rPr>
            </w:pPr>
            <w:r w:rsidRPr="005A3A2B">
              <w:rPr>
                <w:sz w:val="20"/>
                <w:szCs w:val="20"/>
                <w:lang w:val="lt-LT"/>
              </w:rPr>
              <w:t>21,1</w:t>
            </w:r>
          </w:p>
        </w:tc>
        <w:tc>
          <w:tcPr>
            <w:tcW w:w="1984" w:type="dxa"/>
            <w:vAlign w:val="center"/>
          </w:tcPr>
          <w:p w:rsidR="00A16588" w:rsidRPr="005A3A2B" w:rsidRDefault="00A16588" w:rsidP="005A3A2B">
            <w:pPr>
              <w:jc w:val="center"/>
              <w:rPr>
                <w:sz w:val="20"/>
                <w:szCs w:val="20"/>
                <w:lang w:val="lt-LT"/>
              </w:rPr>
            </w:pPr>
            <w:r w:rsidRPr="005A3A2B">
              <w:rPr>
                <w:sz w:val="20"/>
                <w:szCs w:val="20"/>
                <w:lang w:val="lt-LT"/>
              </w:rPr>
              <w:t>11,9</w:t>
            </w:r>
          </w:p>
        </w:tc>
        <w:tc>
          <w:tcPr>
            <w:tcW w:w="1843" w:type="dxa"/>
            <w:vAlign w:val="center"/>
          </w:tcPr>
          <w:p w:rsidR="00A16588" w:rsidRPr="005A3A2B" w:rsidRDefault="00A16588" w:rsidP="005A3A2B">
            <w:pPr>
              <w:jc w:val="center"/>
              <w:rPr>
                <w:sz w:val="20"/>
                <w:szCs w:val="20"/>
                <w:lang w:val="lt-LT"/>
              </w:rPr>
            </w:pPr>
            <w:r w:rsidRPr="005A3A2B">
              <w:rPr>
                <w:sz w:val="20"/>
                <w:szCs w:val="20"/>
                <w:lang w:val="lt-LT"/>
              </w:rPr>
              <w:t>56,6</w:t>
            </w:r>
          </w:p>
        </w:tc>
        <w:tc>
          <w:tcPr>
            <w:tcW w:w="1559" w:type="dxa"/>
            <w:vAlign w:val="center"/>
          </w:tcPr>
          <w:p w:rsidR="00A16588" w:rsidRPr="005A3A2B" w:rsidRDefault="002F1113" w:rsidP="005A3A2B">
            <w:pPr>
              <w:jc w:val="center"/>
              <w:rPr>
                <w:sz w:val="20"/>
                <w:szCs w:val="20"/>
                <w:lang w:val="lt-LT"/>
              </w:rPr>
            </w:pPr>
            <w:r w:rsidRPr="005A3A2B">
              <w:rPr>
                <w:sz w:val="20"/>
                <w:szCs w:val="20"/>
                <w:lang w:val="lt-LT"/>
              </w:rPr>
              <w:t>22,7</w:t>
            </w:r>
          </w:p>
        </w:tc>
      </w:tr>
      <w:tr w:rsidR="00A16588" w:rsidRPr="005A3A2B" w:rsidTr="00C96EB3">
        <w:trPr>
          <w:jc w:val="center"/>
        </w:trPr>
        <w:tc>
          <w:tcPr>
            <w:tcW w:w="795" w:type="dxa"/>
            <w:vAlign w:val="center"/>
          </w:tcPr>
          <w:p w:rsidR="00A16588" w:rsidRPr="005A3A2B" w:rsidRDefault="00A16588" w:rsidP="005A3A2B">
            <w:pPr>
              <w:jc w:val="center"/>
              <w:rPr>
                <w:sz w:val="20"/>
                <w:szCs w:val="20"/>
              </w:rPr>
            </w:pPr>
            <w:r w:rsidRPr="005A3A2B">
              <w:rPr>
                <w:sz w:val="20"/>
                <w:szCs w:val="20"/>
              </w:rPr>
              <w:t>IT</w:t>
            </w:r>
          </w:p>
        </w:tc>
        <w:tc>
          <w:tcPr>
            <w:tcW w:w="1865" w:type="dxa"/>
            <w:vAlign w:val="center"/>
          </w:tcPr>
          <w:p w:rsidR="00A16588" w:rsidRPr="005A3A2B" w:rsidRDefault="00A16588" w:rsidP="005A3A2B">
            <w:pPr>
              <w:jc w:val="center"/>
              <w:rPr>
                <w:sz w:val="20"/>
                <w:szCs w:val="20"/>
                <w:lang w:val="lt-LT"/>
              </w:rPr>
            </w:pPr>
            <w:r w:rsidRPr="005A3A2B">
              <w:rPr>
                <w:sz w:val="20"/>
                <w:szCs w:val="20"/>
                <w:lang w:val="lt-LT"/>
              </w:rPr>
              <w:t>29,8</w:t>
            </w:r>
          </w:p>
        </w:tc>
        <w:tc>
          <w:tcPr>
            <w:tcW w:w="1984" w:type="dxa"/>
            <w:vAlign w:val="center"/>
          </w:tcPr>
          <w:p w:rsidR="00A16588" w:rsidRPr="005A3A2B" w:rsidRDefault="00A16588" w:rsidP="005A3A2B">
            <w:pPr>
              <w:jc w:val="center"/>
              <w:rPr>
                <w:sz w:val="20"/>
                <w:szCs w:val="20"/>
                <w:lang w:val="lt-LT"/>
              </w:rPr>
            </w:pPr>
            <w:r w:rsidRPr="005A3A2B">
              <w:rPr>
                <w:sz w:val="20"/>
                <w:szCs w:val="20"/>
                <w:lang w:val="lt-LT"/>
              </w:rPr>
              <w:t>15,1</w:t>
            </w:r>
          </w:p>
        </w:tc>
        <w:tc>
          <w:tcPr>
            <w:tcW w:w="1843" w:type="dxa"/>
            <w:vAlign w:val="center"/>
          </w:tcPr>
          <w:p w:rsidR="00A16588" w:rsidRPr="005A3A2B" w:rsidRDefault="00A16588" w:rsidP="005A3A2B">
            <w:pPr>
              <w:jc w:val="center"/>
              <w:rPr>
                <w:sz w:val="20"/>
                <w:szCs w:val="20"/>
                <w:lang w:val="lt-LT"/>
              </w:rPr>
            </w:pPr>
            <w:r w:rsidRPr="005A3A2B">
              <w:rPr>
                <w:sz w:val="20"/>
                <w:szCs w:val="20"/>
                <w:lang w:val="lt-LT"/>
              </w:rPr>
              <w:t>50,6</w:t>
            </w:r>
          </w:p>
        </w:tc>
        <w:tc>
          <w:tcPr>
            <w:tcW w:w="1559" w:type="dxa"/>
            <w:vAlign w:val="center"/>
          </w:tcPr>
          <w:p w:rsidR="00A16588" w:rsidRPr="005A3A2B" w:rsidRDefault="002F1113" w:rsidP="005A3A2B">
            <w:pPr>
              <w:jc w:val="center"/>
              <w:rPr>
                <w:sz w:val="20"/>
                <w:szCs w:val="20"/>
                <w:lang w:val="lt-LT"/>
              </w:rPr>
            </w:pPr>
            <w:r w:rsidRPr="005A3A2B">
              <w:rPr>
                <w:sz w:val="20"/>
                <w:szCs w:val="20"/>
                <w:lang w:val="lt-LT"/>
              </w:rPr>
              <w:t>32</w:t>
            </w:r>
          </w:p>
        </w:tc>
      </w:tr>
      <w:tr w:rsidR="00A16588" w:rsidRPr="005A3A2B" w:rsidTr="00C96EB3">
        <w:trPr>
          <w:jc w:val="center"/>
        </w:trPr>
        <w:tc>
          <w:tcPr>
            <w:tcW w:w="795" w:type="dxa"/>
            <w:vAlign w:val="center"/>
          </w:tcPr>
          <w:p w:rsidR="00A16588" w:rsidRPr="005A3A2B" w:rsidRDefault="00A16588" w:rsidP="005A3A2B">
            <w:pPr>
              <w:jc w:val="center"/>
              <w:rPr>
                <w:sz w:val="20"/>
                <w:szCs w:val="20"/>
              </w:rPr>
            </w:pPr>
            <w:r w:rsidRPr="005A3A2B">
              <w:rPr>
                <w:sz w:val="20"/>
                <w:szCs w:val="20"/>
              </w:rPr>
              <w:t>CY</w:t>
            </w:r>
          </w:p>
        </w:tc>
        <w:tc>
          <w:tcPr>
            <w:tcW w:w="1865" w:type="dxa"/>
            <w:vAlign w:val="center"/>
          </w:tcPr>
          <w:p w:rsidR="00A16588" w:rsidRPr="005A3A2B" w:rsidRDefault="00A16588" w:rsidP="005A3A2B">
            <w:pPr>
              <w:jc w:val="center"/>
              <w:rPr>
                <w:sz w:val="20"/>
                <w:szCs w:val="20"/>
                <w:lang w:val="lt-LT"/>
              </w:rPr>
            </w:pPr>
            <w:r w:rsidRPr="005A3A2B">
              <w:rPr>
                <w:sz w:val="20"/>
                <w:szCs w:val="20"/>
                <w:lang w:val="lt-LT"/>
              </w:rPr>
              <w:t>4,4</w:t>
            </w:r>
          </w:p>
        </w:tc>
        <w:tc>
          <w:tcPr>
            <w:tcW w:w="1984" w:type="dxa"/>
            <w:vAlign w:val="center"/>
          </w:tcPr>
          <w:p w:rsidR="00A16588" w:rsidRPr="005A3A2B" w:rsidRDefault="00A16588" w:rsidP="005A3A2B">
            <w:pPr>
              <w:jc w:val="center"/>
              <w:rPr>
                <w:sz w:val="20"/>
                <w:szCs w:val="20"/>
                <w:lang w:val="lt-LT"/>
              </w:rPr>
            </w:pPr>
            <w:r w:rsidRPr="005A3A2B">
              <w:rPr>
                <w:sz w:val="20"/>
                <w:szCs w:val="20"/>
                <w:lang w:val="lt-LT"/>
              </w:rPr>
              <w:t>2</w:t>
            </w:r>
          </w:p>
        </w:tc>
        <w:tc>
          <w:tcPr>
            <w:tcW w:w="1843" w:type="dxa"/>
            <w:vAlign w:val="center"/>
          </w:tcPr>
          <w:p w:rsidR="00A16588" w:rsidRPr="005A3A2B" w:rsidRDefault="00A16588" w:rsidP="005A3A2B">
            <w:pPr>
              <w:jc w:val="center"/>
              <w:rPr>
                <w:sz w:val="20"/>
                <w:szCs w:val="20"/>
                <w:lang w:val="lt-LT"/>
              </w:rPr>
            </w:pPr>
            <w:r w:rsidRPr="005A3A2B">
              <w:rPr>
                <w:sz w:val="20"/>
                <w:szCs w:val="20"/>
                <w:lang w:val="lt-LT"/>
              </w:rPr>
              <w:t>45,3</w:t>
            </w:r>
          </w:p>
        </w:tc>
        <w:tc>
          <w:tcPr>
            <w:tcW w:w="1559" w:type="dxa"/>
            <w:vAlign w:val="center"/>
          </w:tcPr>
          <w:p w:rsidR="00A16588" w:rsidRPr="005A3A2B" w:rsidRDefault="008D4599" w:rsidP="005A3A2B">
            <w:pPr>
              <w:jc w:val="center"/>
              <w:rPr>
                <w:sz w:val="20"/>
                <w:szCs w:val="20"/>
                <w:lang w:val="lt-LT"/>
              </w:rPr>
            </w:pPr>
            <w:r w:rsidRPr="005A3A2B">
              <w:rPr>
                <w:sz w:val="20"/>
                <w:szCs w:val="20"/>
                <w:lang w:val="lt-LT"/>
              </w:rPr>
              <w:t>5</w:t>
            </w:r>
          </w:p>
        </w:tc>
      </w:tr>
      <w:tr w:rsidR="00A16588" w:rsidRPr="005A3A2B" w:rsidTr="00C96EB3">
        <w:trPr>
          <w:jc w:val="center"/>
        </w:trPr>
        <w:tc>
          <w:tcPr>
            <w:tcW w:w="795" w:type="dxa"/>
            <w:vAlign w:val="center"/>
          </w:tcPr>
          <w:p w:rsidR="00A16588" w:rsidRPr="005A3A2B" w:rsidRDefault="00A16588" w:rsidP="005A3A2B">
            <w:pPr>
              <w:jc w:val="center"/>
              <w:rPr>
                <w:sz w:val="20"/>
                <w:szCs w:val="20"/>
              </w:rPr>
            </w:pPr>
            <w:r w:rsidRPr="005A3A2B">
              <w:rPr>
                <w:sz w:val="20"/>
                <w:szCs w:val="20"/>
              </w:rPr>
              <w:t>LV</w:t>
            </w:r>
          </w:p>
        </w:tc>
        <w:tc>
          <w:tcPr>
            <w:tcW w:w="1865" w:type="dxa"/>
            <w:vAlign w:val="center"/>
          </w:tcPr>
          <w:p w:rsidR="00A16588" w:rsidRPr="005A3A2B" w:rsidRDefault="00A16588" w:rsidP="005A3A2B">
            <w:pPr>
              <w:jc w:val="center"/>
              <w:rPr>
                <w:sz w:val="20"/>
                <w:szCs w:val="20"/>
                <w:lang w:val="lt-LT"/>
              </w:rPr>
            </w:pPr>
            <w:r w:rsidRPr="005A3A2B">
              <w:rPr>
                <w:sz w:val="20"/>
                <w:szCs w:val="20"/>
                <w:lang w:val="lt-LT"/>
              </w:rPr>
              <w:t>27,2</w:t>
            </w:r>
          </w:p>
        </w:tc>
        <w:tc>
          <w:tcPr>
            <w:tcW w:w="1984" w:type="dxa"/>
            <w:vAlign w:val="center"/>
          </w:tcPr>
          <w:p w:rsidR="00A16588" w:rsidRPr="005A3A2B" w:rsidRDefault="00A16588" w:rsidP="005A3A2B">
            <w:pPr>
              <w:jc w:val="center"/>
              <w:rPr>
                <w:sz w:val="20"/>
                <w:szCs w:val="20"/>
                <w:lang w:val="lt-LT"/>
              </w:rPr>
            </w:pPr>
            <w:r w:rsidRPr="005A3A2B">
              <w:rPr>
                <w:sz w:val="20"/>
                <w:szCs w:val="20"/>
                <w:lang w:val="lt-LT"/>
              </w:rPr>
              <w:t>9,9</w:t>
            </w:r>
          </w:p>
        </w:tc>
        <w:tc>
          <w:tcPr>
            <w:tcW w:w="1843" w:type="dxa"/>
            <w:vAlign w:val="center"/>
          </w:tcPr>
          <w:p w:rsidR="00A16588" w:rsidRPr="005A3A2B" w:rsidRDefault="00A16588" w:rsidP="005A3A2B">
            <w:pPr>
              <w:jc w:val="center"/>
              <w:rPr>
                <w:sz w:val="20"/>
                <w:szCs w:val="20"/>
                <w:lang w:val="lt-LT"/>
              </w:rPr>
            </w:pPr>
            <w:r w:rsidRPr="005A3A2B">
              <w:rPr>
                <w:sz w:val="20"/>
                <w:szCs w:val="20"/>
                <w:lang w:val="lt-LT"/>
              </w:rPr>
              <w:t>36,5</w:t>
            </w:r>
          </w:p>
        </w:tc>
        <w:tc>
          <w:tcPr>
            <w:tcW w:w="1559" w:type="dxa"/>
            <w:vAlign w:val="center"/>
          </w:tcPr>
          <w:p w:rsidR="00A16588" w:rsidRPr="005A3A2B" w:rsidRDefault="008D4599" w:rsidP="005A3A2B">
            <w:pPr>
              <w:jc w:val="center"/>
              <w:rPr>
                <w:sz w:val="20"/>
                <w:szCs w:val="20"/>
                <w:lang w:val="lt-LT"/>
              </w:rPr>
            </w:pPr>
            <w:r w:rsidRPr="005A3A2B">
              <w:rPr>
                <w:sz w:val="20"/>
                <w:szCs w:val="20"/>
                <w:lang w:val="lt-LT"/>
              </w:rPr>
              <w:t>27,3</w:t>
            </w:r>
          </w:p>
        </w:tc>
      </w:tr>
      <w:tr w:rsidR="00A16588" w:rsidRPr="005A3A2B" w:rsidTr="00C96EB3">
        <w:trPr>
          <w:jc w:val="center"/>
        </w:trPr>
        <w:tc>
          <w:tcPr>
            <w:tcW w:w="795" w:type="dxa"/>
            <w:vAlign w:val="center"/>
          </w:tcPr>
          <w:p w:rsidR="00A16588" w:rsidRPr="005A3A2B" w:rsidRDefault="00A16588" w:rsidP="005A3A2B">
            <w:pPr>
              <w:jc w:val="center"/>
              <w:rPr>
                <w:sz w:val="20"/>
                <w:szCs w:val="20"/>
              </w:rPr>
            </w:pPr>
            <w:r w:rsidRPr="005A3A2B">
              <w:rPr>
                <w:sz w:val="20"/>
                <w:szCs w:val="20"/>
              </w:rPr>
              <w:t>LU</w:t>
            </w:r>
          </w:p>
        </w:tc>
        <w:tc>
          <w:tcPr>
            <w:tcW w:w="1865" w:type="dxa"/>
            <w:vAlign w:val="center"/>
          </w:tcPr>
          <w:p w:rsidR="00A16588" w:rsidRPr="005A3A2B" w:rsidRDefault="00A16588" w:rsidP="005A3A2B">
            <w:pPr>
              <w:jc w:val="center"/>
              <w:rPr>
                <w:sz w:val="20"/>
                <w:szCs w:val="20"/>
                <w:lang w:val="lt-LT"/>
              </w:rPr>
            </w:pPr>
            <w:r w:rsidRPr="005A3A2B">
              <w:rPr>
                <w:sz w:val="20"/>
                <w:szCs w:val="20"/>
                <w:lang w:val="lt-LT"/>
              </w:rPr>
              <w:t>12,4</w:t>
            </w:r>
          </w:p>
        </w:tc>
        <w:tc>
          <w:tcPr>
            <w:tcW w:w="1984" w:type="dxa"/>
            <w:vAlign w:val="center"/>
          </w:tcPr>
          <w:p w:rsidR="00A16588" w:rsidRPr="005A3A2B" w:rsidRDefault="00A16588" w:rsidP="005A3A2B">
            <w:pPr>
              <w:jc w:val="center"/>
              <w:rPr>
                <w:sz w:val="20"/>
                <w:szCs w:val="20"/>
                <w:lang w:val="lt-LT"/>
              </w:rPr>
            </w:pPr>
            <w:r w:rsidRPr="005A3A2B">
              <w:rPr>
                <w:sz w:val="20"/>
                <w:szCs w:val="20"/>
                <w:lang w:val="lt-LT"/>
              </w:rPr>
              <w:t>5,5</w:t>
            </w:r>
          </w:p>
        </w:tc>
        <w:tc>
          <w:tcPr>
            <w:tcW w:w="1843" w:type="dxa"/>
            <w:vAlign w:val="center"/>
          </w:tcPr>
          <w:p w:rsidR="00A16588" w:rsidRPr="005A3A2B" w:rsidRDefault="00A16588" w:rsidP="005A3A2B">
            <w:pPr>
              <w:jc w:val="center"/>
              <w:rPr>
                <w:sz w:val="20"/>
                <w:szCs w:val="20"/>
                <w:lang w:val="lt-LT"/>
              </w:rPr>
            </w:pPr>
            <w:r w:rsidRPr="005A3A2B">
              <w:rPr>
                <w:sz w:val="20"/>
                <w:szCs w:val="20"/>
                <w:lang w:val="lt-LT"/>
              </w:rPr>
              <w:t>44,3</w:t>
            </w:r>
          </w:p>
        </w:tc>
        <w:tc>
          <w:tcPr>
            <w:tcW w:w="1559" w:type="dxa"/>
            <w:vAlign w:val="center"/>
          </w:tcPr>
          <w:p w:rsidR="00A16588" w:rsidRPr="005A3A2B" w:rsidRDefault="008D4599" w:rsidP="005A3A2B">
            <w:pPr>
              <w:jc w:val="center"/>
              <w:rPr>
                <w:sz w:val="20"/>
                <w:szCs w:val="20"/>
                <w:lang w:val="lt-LT"/>
              </w:rPr>
            </w:pPr>
            <w:r w:rsidRPr="005A3A2B">
              <w:rPr>
                <w:sz w:val="20"/>
                <w:szCs w:val="20"/>
                <w:lang w:val="lt-LT"/>
              </w:rPr>
              <w:t>12</w:t>
            </w:r>
          </w:p>
        </w:tc>
      </w:tr>
      <w:tr w:rsidR="00A16588" w:rsidRPr="005A3A2B" w:rsidTr="00C96EB3">
        <w:trPr>
          <w:jc w:val="center"/>
        </w:trPr>
        <w:tc>
          <w:tcPr>
            <w:tcW w:w="795" w:type="dxa"/>
            <w:vAlign w:val="center"/>
          </w:tcPr>
          <w:p w:rsidR="00A16588" w:rsidRPr="005A3A2B" w:rsidRDefault="00A16588" w:rsidP="005A3A2B">
            <w:pPr>
              <w:jc w:val="center"/>
              <w:rPr>
                <w:sz w:val="20"/>
                <w:szCs w:val="20"/>
              </w:rPr>
            </w:pPr>
            <w:r w:rsidRPr="005A3A2B">
              <w:rPr>
                <w:sz w:val="20"/>
                <w:szCs w:val="20"/>
              </w:rPr>
              <w:t>HU</w:t>
            </w:r>
          </w:p>
        </w:tc>
        <w:tc>
          <w:tcPr>
            <w:tcW w:w="1865" w:type="dxa"/>
            <w:vAlign w:val="center"/>
          </w:tcPr>
          <w:p w:rsidR="00A16588" w:rsidRPr="005A3A2B" w:rsidRDefault="00A16588" w:rsidP="005A3A2B">
            <w:pPr>
              <w:jc w:val="center"/>
              <w:rPr>
                <w:sz w:val="20"/>
                <w:szCs w:val="20"/>
                <w:lang w:val="lt-LT"/>
              </w:rPr>
            </w:pPr>
            <w:r w:rsidRPr="005A3A2B">
              <w:rPr>
                <w:sz w:val="20"/>
                <w:szCs w:val="20"/>
                <w:lang w:val="lt-LT"/>
              </w:rPr>
              <w:t>19,1</w:t>
            </w:r>
          </w:p>
        </w:tc>
        <w:tc>
          <w:tcPr>
            <w:tcW w:w="1984" w:type="dxa"/>
            <w:vAlign w:val="center"/>
          </w:tcPr>
          <w:p w:rsidR="00A16588" w:rsidRPr="005A3A2B" w:rsidRDefault="00A16588" w:rsidP="005A3A2B">
            <w:pPr>
              <w:jc w:val="center"/>
              <w:rPr>
                <w:sz w:val="20"/>
                <w:szCs w:val="20"/>
                <w:lang w:val="lt-LT"/>
              </w:rPr>
            </w:pPr>
            <w:r w:rsidRPr="005A3A2B">
              <w:rPr>
                <w:sz w:val="20"/>
                <w:szCs w:val="20"/>
                <w:lang w:val="lt-LT"/>
              </w:rPr>
              <w:t>9,4</w:t>
            </w:r>
          </w:p>
        </w:tc>
        <w:tc>
          <w:tcPr>
            <w:tcW w:w="1843" w:type="dxa"/>
            <w:vAlign w:val="center"/>
          </w:tcPr>
          <w:p w:rsidR="00A16588" w:rsidRPr="005A3A2B" w:rsidRDefault="00A16588" w:rsidP="005A3A2B">
            <w:pPr>
              <w:jc w:val="center"/>
              <w:rPr>
                <w:sz w:val="20"/>
                <w:szCs w:val="20"/>
                <w:lang w:val="lt-LT"/>
              </w:rPr>
            </w:pPr>
            <w:r w:rsidRPr="005A3A2B">
              <w:rPr>
                <w:sz w:val="20"/>
                <w:szCs w:val="20"/>
                <w:lang w:val="lt-LT"/>
              </w:rPr>
              <w:t>48,7</w:t>
            </w:r>
          </w:p>
        </w:tc>
        <w:tc>
          <w:tcPr>
            <w:tcW w:w="1559" w:type="dxa"/>
            <w:vAlign w:val="center"/>
          </w:tcPr>
          <w:p w:rsidR="00A16588" w:rsidRPr="005A3A2B" w:rsidRDefault="008D4599" w:rsidP="005A3A2B">
            <w:pPr>
              <w:jc w:val="center"/>
              <w:rPr>
                <w:sz w:val="20"/>
                <w:szCs w:val="20"/>
                <w:lang w:val="lt-LT"/>
              </w:rPr>
            </w:pPr>
            <w:r w:rsidRPr="005A3A2B">
              <w:rPr>
                <w:sz w:val="20"/>
                <w:szCs w:val="20"/>
                <w:lang w:val="lt-LT"/>
              </w:rPr>
              <w:t>21,3</w:t>
            </w:r>
          </w:p>
        </w:tc>
      </w:tr>
      <w:tr w:rsidR="00A16588" w:rsidRPr="005A3A2B" w:rsidTr="00C96EB3">
        <w:trPr>
          <w:jc w:val="center"/>
        </w:trPr>
        <w:tc>
          <w:tcPr>
            <w:tcW w:w="795" w:type="dxa"/>
            <w:vAlign w:val="center"/>
          </w:tcPr>
          <w:p w:rsidR="00A16588" w:rsidRPr="005A3A2B" w:rsidRDefault="00A16588" w:rsidP="005A3A2B">
            <w:pPr>
              <w:jc w:val="center"/>
              <w:rPr>
                <w:sz w:val="20"/>
                <w:szCs w:val="20"/>
              </w:rPr>
            </w:pPr>
            <w:r w:rsidRPr="005A3A2B">
              <w:rPr>
                <w:sz w:val="20"/>
                <w:szCs w:val="20"/>
              </w:rPr>
              <w:t>MT</w:t>
            </w:r>
          </w:p>
        </w:tc>
        <w:tc>
          <w:tcPr>
            <w:tcW w:w="1865" w:type="dxa"/>
            <w:vAlign w:val="center"/>
          </w:tcPr>
          <w:p w:rsidR="00A16588" w:rsidRPr="005A3A2B" w:rsidRDefault="00A16588" w:rsidP="005A3A2B">
            <w:pPr>
              <w:jc w:val="center"/>
              <w:rPr>
                <w:sz w:val="20"/>
                <w:szCs w:val="20"/>
                <w:lang w:val="lt-LT"/>
              </w:rPr>
            </w:pPr>
            <w:r w:rsidRPr="005A3A2B">
              <w:rPr>
                <w:sz w:val="20"/>
                <w:szCs w:val="20"/>
                <w:lang w:val="lt-LT"/>
              </w:rPr>
              <w:t>1,8</w:t>
            </w:r>
          </w:p>
        </w:tc>
        <w:tc>
          <w:tcPr>
            <w:tcW w:w="1984" w:type="dxa"/>
            <w:vAlign w:val="center"/>
          </w:tcPr>
          <w:p w:rsidR="00A16588" w:rsidRPr="005A3A2B" w:rsidRDefault="00A16588" w:rsidP="005A3A2B">
            <w:pPr>
              <w:jc w:val="center"/>
              <w:rPr>
                <w:sz w:val="20"/>
                <w:szCs w:val="20"/>
                <w:lang w:val="lt-LT"/>
              </w:rPr>
            </w:pPr>
            <w:r w:rsidRPr="005A3A2B">
              <w:rPr>
                <w:sz w:val="20"/>
                <w:szCs w:val="20"/>
                <w:lang w:val="lt-LT"/>
              </w:rPr>
              <w:t>0,8</w:t>
            </w:r>
          </w:p>
        </w:tc>
        <w:tc>
          <w:tcPr>
            <w:tcW w:w="1843" w:type="dxa"/>
            <w:vAlign w:val="center"/>
          </w:tcPr>
          <w:p w:rsidR="00A16588" w:rsidRPr="005A3A2B" w:rsidRDefault="00A16588" w:rsidP="005A3A2B">
            <w:pPr>
              <w:jc w:val="center"/>
              <w:rPr>
                <w:sz w:val="20"/>
                <w:szCs w:val="20"/>
                <w:lang w:val="lt-LT"/>
              </w:rPr>
            </w:pPr>
            <w:r w:rsidRPr="005A3A2B">
              <w:rPr>
                <w:sz w:val="20"/>
                <w:szCs w:val="20"/>
                <w:lang w:val="lt-LT"/>
              </w:rPr>
              <w:t>43,3</w:t>
            </w:r>
          </w:p>
        </w:tc>
        <w:tc>
          <w:tcPr>
            <w:tcW w:w="1559" w:type="dxa"/>
            <w:vAlign w:val="center"/>
          </w:tcPr>
          <w:p w:rsidR="00A16588" w:rsidRPr="005A3A2B" w:rsidRDefault="008D4599" w:rsidP="005A3A2B">
            <w:pPr>
              <w:jc w:val="center"/>
              <w:rPr>
                <w:sz w:val="20"/>
                <w:szCs w:val="20"/>
                <w:lang w:val="lt-LT"/>
              </w:rPr>
            </w:pPr>
            <w:r w:rsidRPr="005A3A2B">
              <w:rPr>
                <w:sz w:val="20"/>
                <w:szCs w:val="20"/>
                <w:lang w:val="lt-LT"/>
              </w:rPr>
              <w:t>1,9</w:t>
            </w:r>
          </w:p>
        </w:tc>
      </w:tr>
      <w:tr w:rsidR="00A16588" w:rsidRPr="005A3A2B" w:rsidTr="00C96EB3">
        <w:trPr>
          <w:jc w:val="center"/>
        </w:trPr>
        <w:tc>
          <w:tcPr>
            <w:tcW w:w="795" w:type="dxa"/>
            <w:vAlign w:val="center"/>
          </w:tcPr>
          <w:p w:rsidR="00A16588" w:rsidRPr="005A3A2B" w:rsidRDefault="00A16588" w:rsidP="005A3A2B">
            <w:pPr>
              <w:jc w:val="center"/>
              <w:rPr>
                <w:sz w:val="20"/>
                <w:szCs w:val="20"/>
              </w:rPr>
            </w:pPr>
            <w:r w:rsidRPr="005A3A2B">
              <w:rPr>
                <w:sz w:val="20"/>
                <w:szCs w:val="20"/>
              </w:rPr>
              <w:t>NL</w:t>
            </w:r>
          </w:p>
        </w:tc>
        <w:tc>
          <w:tcPr>
            <w:tcW w:w="1865" w:type="dxa"/>
            <w:vAlign w:val="center"/>
          </w:tcPr>
          <w:p w:rsidR="00A16588" w:rsidRPr="005A3A2B" w:rsidRDefault="00A16588" w:rsidP="005A3A2B">
            <w:pPr>
              <w:jc w:val="center"/>
              <w:rPr>
                <w:sz w:val="20"/>
                <w:szCs w:val="20"/>
                <w:lang w:val="lt-LT"/>
              </w:rPr>
            </w:pPr>
            <w:r w:rsidRPr="005A3A2B">
              <w:rPr>
                <w:sz w:val="20"/>
                <w:szCs w:val="20"/>
                <w:lang w:val="lt-LT"/>
              </w:rPr>
              <w:t>32,4</w:t>
            </w:r>
          </w:p>
        </w:tc>
        <w:tc>
          <w:tcPr>
            <w:tcW w:w="1984" w:type="dxa"/>
            <w:vAlign w:val="center"/>
          </w:tcPr>
          <w:p w:rsidR="00A16588" w:rsidRPr="005A3A2B" w:rsidRDefault="00A16588" w:rsidP="005A3A2B">
            <w:pPr>
              <w:jc w:val="center"/>
              <w:rPr>
                <w:sz w:val="20"/>
                <w:szCs w:val="20"/>
                <w:lang w:val="lt-LT"/>
              </w:rPr>
            </w:pPr>
            <w:r w:rsidRPr="005A3A2B">
              <w:rPr>
                <w:sz w:val="20"/>
                <w:szCs w:val="20"/>
                <w:lang w:val="lt-LT"/>
              </w:rPr>
              <w:t>16,3</w:t>
            </w:r>
          </w:p>
        </w:tc>
        <w:tc>
          <w:tcPr>
            <w:tcW w:w="1843" w:type="dxa"/>
            <w:vAlign w:val="center"/>
          </w:tcPr>
          <w:p w:rsidR="00A16588" w:rsidRPr="005A3A2B" w:rsidRDefault="00A16588" w:rsidP="005A3A2B">
            <w:pPr>
              <w:jc w:val="center"/>
              <w:rPr>
                <w:sz w:val="20"/>
                <w:szCs w:val="20"/>
                <w:lang w:val="lt-LT"/>
              </w:rPr>
            </w:pPr>
            <w:r w:rsidRPr="005A3A2B">
              <w:rPr>
                <w:sz w:val="20"/>
                <w:szCs w:val="20"/>
                <w:lang w:val="lt-LT"/>
              </w:rPr>
              <w:t>50,4</w:t>
            </w:r>
          </w:p>
        </w:tc>
        <w:tc>
          <w:tcPr>
            <w:tcW w:w="1559" w:type="dxa"/>
            <w:vAlign w:val="center"/>
          </w:tcPr>
          <w:p w:rsidR="00A16588" w:rsidRPr="005A3A2B" w:rsidRDefault="008D4599" w:rsidP="005A3A2B">
            <w:pPr>
              <w:jc w:val="center"/>
              <w:rPr>
                <w:sz w:val="20"/>
                <w:szCs w:val="20"/>
                <w:lang w:val="lt-LT"/>
              </w:rPr>
            </w:pPr>
            <w:r w:rsidRPr="005A3A2B">
              <w:rPr>
                <w:sz w:val="20"/>
                <w:szCs w:val="20"/>
                <w:lang w:val="lt-LT"/>
              </w:rPr>
              <w:t>34,3</w:t>
            </w:r>
          </w:p>
        </w:tc>
      </w:tr>
      <w:tr w:rsidR="00A16588" w:rsidRPr="005A3A2B" w:rsidTr="00C96EB3">
        <w:trPr>
          <w:jc w:val="center"/>
        </w:trPr>
        <w:tc>
          <w:tcPr>
            <w:tcW w:w="795" w:type="dxa"/>
            <w:vAlign w:val="center"/>
          </w:tcPr>
          <w:p w:rsidR="00A16588" w:rsidRPr="005A3A2B" w:rsidRDefault="00A16588" w:rsidP="005A3A2B">
            <w:pPr>
              <w:jc w:val="center"/>
              <w:rPr>
                <w:sz w:val="20"/>
                <w:szCs w:val="20"/>
              </w:rPr>
            </w:pPr>
            <w:r w:rsidRPr="005A3A2B">
              <w:rPr>
                <w:sz w:val="20"/>
                <w:szCs w:val="20"/>
              </w:rPr>
              <w:t>AT</w:t>
            </w:r>
          </w:p>
        </w:tc>
        <w:tc>
          <w:tcPr>
            <w:tcW w:w="1865" w:type="dxa"/>
            <w:vAlign w:val="center"/>
          </w:tcPr>
          <w:p w:rsidR="00A16588" w:rsidRPr="005A3A2B" w:rsidRDefault="00A16588" w:rsidP="005A3A2B">
            <w:pPr>
              <w:jc w:val="center"/>
              <w:rPr>
                <w:sz w:val="20"/>
                <w:szCs w:val="20"/>
                <w:lang w:val="lt-LT"/>
              </w:rPr>
            </w:pPr>
            <w:r w:rsidRPr="005A3A2B">
              <w:rPr>
                <w:sz w:val="20"/>
                <w:szCs w:val="20"/>
                <w:lang w:val="lt-LT"/>
              </w:rPr>
              <w:t>34,8</w:t>
            </w:r>
          </w:p>
        </w:tc>
        <w:tc>
          <w:tcPr>
            <w:tcW w:w="1984" w:type="dxa"/>
            <w:vAlign w:val="center"/>
          </w:tcPr>
          <w:p w:rsidR="00A16588" w:rsidRPr="005A3A2B" w:rsidRDefault="00A16588" w:rsidP="005A3A2B">
            <w:pPr>
              <w:jc w:val="center"/>
              <w:rPr>
                <w:sz w:val="20"/>
                <w:szCs w:val="20"/>
                <w:lang w:val="lt-LT"/>
              </w:rPr>
            </w:pPr>
            <w:r w:rsidRPr="005A3A2B">
              <w:rPr>
                <w:sz w:val="20"/>
                <w:szCs w:val="20"/>
                <w:lang w:val="lt-LT"/>
              </w:rPr>
              <w:t>18,1</w:t>
            </w:r>
          </w:p>
        </w:tc>
        <w:tc>
          <w:tcPr>
            <w:tcW w:w="1843" w:type="dxa"/>
            <w:vAlign w:val="center"/>
          </w:tcPr>
          <w:p w:rsidR="00A16588" w:rsidRPr="005A3A2B" w:rsidRDefault="00A16588" w:rsidP="005A3A2B">
            <w:pPr>
              <w:jc w:val="center"/>
              <w:rPr>
                <w:sz w:val="20"/>
                <w:szCs w:val="20"/>
                <w:lang w:val="lt-LT"/>
              </w:rPr>
            </w:pPr>
            <w:r w:rsidRPr="005A3A2B">
              <w:rPr>
                <w:sz w:val="20"/>
                <w:szCs w:val="20"/>
                <w:lang w:val="lt-LT"/>
              </w:rPr>
              <w:t>51,7</w:t>
            </w:r>
          </w:p>
        </w:tc>
        <w:tc>
          <w:tcPr>
            <w:tcW w:w="1559" w:type="dxa"/>
            <w:vAlign w:val="center"/>
          </w:tcPr>
          <w:p w:rsidR="00A16588" w:rsidRPr="005A3A2B" w:rsidRDefault="008D4599" w:rsidP="005A3A2B">
            <w:pPr>
              <w:jc w:val="center"/>
              <w:rPr>
                <w:sz w:val="20"/>
                <w:szCs w:val="20"/>
                <w:lang w:val="lt-LT"/>
              </w:rPr>
            </w:pPr>
            <w:r w:rsidRPr="005A3A2B">
              <w:rPr>
                <w:sz w:val="20"/>
                <w:szCs w:val="20"/>
                <w:lang w:val="lt-LT"/>
              </w:rPr>
              <w:t>34,6</w:t>
            </w:r>
          </w:p>
        </w:tc>
      </w:tr>
      <w:tr w:rsidR="00A16588" w:rsidRPr="005A3A2B" w:rsidTr="00C96EB3">
        <w:trPr>
          <w:jc w:val="center"/>
        </w:trPr>
        <w:tc>
          <w:tcPr>
            <w:tcW w:w="795" w:type="dxa"/>
            <w:vAlign w:val="center"/>
          </w:tcPr>
          <w:p w:rsidR="00A16588" w:rsidRPr="005A3A2B" w:rsidRDefault="00A16588" w:rsidP="005A3A2B">
            <w:pPr>
              <w:jc w:val="center"/>
              <w:rPr>
                <w:sz w:val="20"/>
                <w:szCs w:val="20"/>
              </w:rPr>
            </w:pPr>
            <w:r w:rsidRPr="005A3A2B">
              <w:rPr>
                <w:sz w:val="20"/>
                <w:szCs w:val="20"/>
              </w:rPr>
              <w:t>PL</w:t>
            </w:r>
          </w:p>
        </w:tc>
        <w:tc>
          <w:tcPr>
            <w:tcW w:w="1865" w:type="dxa"/>
            <w:vAlign w:val="center"/>
          </w:tcPr>
          <w:p w:rsidR="00A16588" w:rsidRPr="005A3A2B" w:rsidRDefault="00A16588" w:rsidP="005A3A2B">
            <w:pPr>
              <w:jc w:val="center"/>
              <w:rPr>
                <w:sz w:val="20"/>
                <w:szCs w:val="20"/>
                <w:lang w:val="lt-LT"/>
              </w:rPr>
            </w:pPr>
            <w:r w:rsidRPr="005A3A2B">
              <w:rPr>
                <w:sz w:val="20"/>
                <w:szCs w:val="20"/>
                <w:lang w:val="lt-LT"/>
              </w:rPr>
              <w:t>31,4</w:t>
            </w:r>
          </w:p>
        </w:tc>
        <w:tc>
          <w:tcPr>
            <w:tcW w:w="1984" w:type="dxa"/>
            <w:vAlign w:val="center"/>
          </w:tcPr>
          <w:p w:rsidR="00A16588" w:rsidRPr="005A3A2B" w:rsidRDefault="00A16588" w:rsidP="005A3A2B">
            <w:pPr>
              <w:jc w:val="center"/>
              <w:rPr>
                <w:sz w:val="20"/>
                <w:szCs w:val="20"/>
                <w:lang w:val="lt-LT"/>
              </w:rPr>
            </w:pPr>
            <w:r w:rsidRPr="005A3A2B">
              <w:rPr>
                <w:sz w:val="20"/>
                <w:szCs w:val="20"/>
                <w:lang w:val="lt-LT"/>
              </w:rPr>
              <w:t>13,3</w:t>
            </w:r>
          </w:p>
        </w:tc>
        <w:tc>
          <w:tcPr>
            <w:tcW w:w="1843" w:type="dxa"/>
            <w:vAlign w:val="center"/>
          </w:tcPr>
          <w:p w:rsidR="00A16588" w:rsidRPr="005A3A2B" w:rsidRDefault="00A16588" w:rsidP="005A3A2B">
            <w:pPr>
              <w:jc w:val="center"/>
              <w:rPr>
                <w:sz w:val="20"/>
                <w:szCs w:val="20"/>
                <w:lang w:val="lt-LT"/>
              </w:rPr>
            </w:pPr>
            <w:r w:rsidRPr="005A3A2B">
              <w:rPr>
                <w:sz w:val="20"/>
                <w:szCs w:val="20"/>
                <w:lang w:val="lt-LT"/>
              </w:rPr>
              <w:t>42,2</w:t>
            </w:r>
          </w:p>
        </w:tc>
        <w:tc>
          <w:tcPr>
            <w:tcW w:w="1559" w:type="dxa"/>
            <w:vAlign w:val="center"/>
          </w:tcPr>
          <w:p w:rsidR="00A16588" w:rsidRPr="005A3A2B" w:rsidRDefault="008D4599" w:rsidP="005A3A2B">
            <w:pPr>
              <w:jc w:val="center"/>
              <w:rPr>
                <w:sz w:val="20"/>
                <w:szCs w:val="20"/>
                <w:lang w:val="lt-LT"/>
              </w:rPr>
            </w:pPr>
            <w:r w:rsidRPr="005A3A2B">
              <w:rPr>
                <w:sz w:val="20"/>
                <w:szCs w:val="20"/>
                <w:lang w:val="lt-LT"/>
              </w:rPr>
              <w:t>34</w:t>
            </w:r>
          </w:p>
        </w:tc>
      </w:tr>
      <w:tr w:rsidR="00A16588" w:rsidRPr="005A3A2B" w:rsidTr="00C96EB3">
        <w:trPr>
          <w:jc w:val="center"/>
        </w:trPr>
        <w:tc>
          <w:tcPr>
            <w:tcW w:w="795" w:type="dxa"/>
            <w:vAlign w:val="center"/>
          </w:tcPr>
          <w:p w:rsidR="00A16588" w:rsidRPr="005A3A2B" w:rsidRDefault="00A16588" w:rsidP="005A3A2B">
            <w:pPr>
              <w:jc w:val="center"/>
              <w:rPr>
                <w:sz w:val="20"/>
                <w:szCs w:val="20"/>
              </w:rPr>
            </w:pPr>
            <w:r w:rsidRPr="005A3A2B">
              <w:rPr>
                <w:sz w:val="20"/>
                <w:szCs w:val="20"/>
              </w:rPr>
              <w:t>PT</w:t>
            </w:r>
          </w:p>
        </w:tc>
        <w:tc>
          <w:tcPr>
            <w:tcW w:w="1865" w:type="dxa"/>
            <w:vAlign w:val="center"/>
          </w:tcPr>
          <w:p w:rsidR="00A16588" w:rsidRPr="005A3A2B" w:rsidRDefault="00A16588" w:rsidP="005A3A2B">
            <w:pPr>
              <w:jc w:val="center"/>
              <w:rPr>
                <w:sz w:val="20"/>
                <w:szCs w:val="20"/>
                <w:lang w:val="lt-LT"/>
              </w:rPr>
            </w:pPr>
            <w:r w:rsidRPr="005A3A2B">
              <w:rPr>
                <w:sz w:val="20"/>
                <w:szCs w:val="20"/>
                <w:lang w:val="lt-LT"/>
              </w:rPr>
              <w:t>12,6</w:t>
            </w:r>
          </w:p>
        </w:tc>
        <w:tc>
          <w:tcPr>
            <w:tcW w:w="1984" w:type="dxa"/>
            <w:vAlign w:val="center"/>
          </w:tcPr>
          <w:p w:rsidR="00A16588" w:rsidRPr="005A3A2B" w:rsidRDefault="00A16588" w:rsidP="005A3A2B">
            <w:pPr>
              <w:jc w:val="center"/>
              <w:rPr>
                <w:sz w:val="20"/>
                <w:szCs w:val="20"/>
                <w:lang w:val="lt-LT"/>
              </w:rPr>
            </w:pPr>
            <w:r w:rsidRPr="005A3A2B">
              <w:rPr>
                <w:sz w:val="20"/>
                <w:szCs w:val="20"/>
                <w:lang w:val="lt-LT"/>
              </w:rPr>
              <w:t>6</w:t>
            </w:r>
          </w:p>
        </w:tc>
        <w:tc>
          <w:tcPr>
            <w:tcW w:w="1843" w:type="dxa"/>
            <w:vAlign w:val="center"/>
          </w:tcPr>
          <w:p w:rsidR="00A16588" w:rsidRPr="005A3A2B" w:rsidRDefault="00A16588" w:rsidP="005A3A2B">
            <w:pPr>
              <w:jc w:val="center"/>
              <w:rPr>
                <w:sz w:val="20"/>
                <w:szCs w:val="20"/>
                <w:lang w:val="lt-LT"/>
              </w:rPr>
            </w:pPr>
            <w:r w:rsidRPr="005A3A2B">
              <w:rPr>
                <w:sz w:val="20"/>
                <w:szCs w:val="20"/>
                <w:lang w:val="lt-LT"/>
              </w:rPr>
              <w:t>47,4</w:t>
            </w:r>
          </w:p>
        </w:tc>
        <w:tc>
          <w:tcPr>
            <w:tcW w:w="1559" w:type="dxa"/>
            <w:vAlign w:val="center"/>
          </w:tcPr>
          <w:p w:rsidR="00A16588" w:rsidRPr="005A3A2B" w:rsidRDefault="00B8492D" w:rsidP="005A3A2B">
            <w:pPr>
              <w:jc w:val="center"/>
              <w:rPr>
                <w:sz w:val="20"/>
                <w:szCs w:val="20"/>
                <w:lang w:val="lt-LT"/>
              </w:rPr>
            </w:pPr>
            <w:r w:rsidRPr="005A3A2B">
              <w:rPr>
                <w:sz w:val="20"/>
                <w:szCs w:val="20"/>
                <w:lang w:val="lt-LT"/>
              </w:rPr>
              <w:t>15,9</w:t>
            </w:r>
          </w:p>
        </w:tc>
      </w:tr>
      <w:tr w:rsidR="00A16588" w:rsidRPr="005A3A2B" w:rsidTr="00C96EB3">
        <w:trPr>
          <w:jc w:val="center"/>
        </w:trPr>
        <w:tc>
          <w:tcPr>
            <w:tcW w:w="795" w:type="dxa"/>
            <w:vAlign w:val="center"/>
          </w:tcPr>
          <w:p w:rsidR="00A16588" w:rsidRPr="005A3A2B" w:rsidRDefault="00A16588" w:rsidP="005A3A2B">
            <w:pPr>
              <w:jc w:val="center"/>
              <w:rPr>
                <w:sz w:val="20"/>
                <w:szCs w:val="20"/>
              </w:rPr>
            </w:pPr>
            <w:r w:rsidRPr="005A3A2B">
              <w:rPr>
                <w:sz w:val="20"/>
                <w:szCs w:val="20"/>
              </w:rPr>
              <w:t>RO</w:t>
            </w:r>
          </w:p>
        </w:tc>
        <w:tc>
          <w:tcPr>
            <w:tcW w:w="1865" w:type="dxa"/>
            <w:vAlign w:val="center"/>
          </w:tcPr>
          <w:p w:rsidR="00A16588" w:rsidRPr="005A3A2B" w:rsidRDefault="00A16588" w:rsidP="005A3A2B">
            <w:pPr>
              <w:jc w:val="center"/>
              <w:rPr>
                <w:sz w:val="20"/>
                <w:szCs w:val="20"/>
                <w:lang w:val="lt-LT"/>
              </w:rPr>
            </w:pPr>
            <w:r w:rsidRPr="005A3A2B">
              <w:rPr>
                <w:sz w:val="20"/>
                <w:szCs w:val="20"/>
                <w:lang w:val="lt-LT"/>
              </w:rPr>
              <w:t>26,4</w:t>
            </w:r>
          </w:p>
        </w:tc>
        <w:tc>
          <w:tcPr>
            <w:tcW w:w="1984" w:type="dxa"/>
            <w:vAlign w:val="center"/>
          </w:tcPr>
          <w:p w:rsidR="00A16588" w:rsidRPr="005A3A2B" w:rsidRDefault="00A16588" w:rsidP="005A3A2B">
            <w:pPr>
              <w:jc w:val="center"/>
              <w:rPr>
                <w:sz w:val="20"/>
                <w:szCs w:val="20"/>
                <w:lang w:val="lt-LT"/>
              </w:rPr>
            </w:pPr>
            <w:r w:rsidRPr="005A3A2B">
              <w:rPr>
                <w:sz w:val="20"/>
                <w:szCs w:val="20"/>
                <w:lang w:val="lt-LT"/>
              </w:rPr>
              <w:t>9,7</w:t>
            </w:r>
          </w:p>
        </w:tc>
        <w:tc>
          <w:tcPr>
            <w:tcW w:w="1843" w:type="dxa"/>
            <w:vAlign w:val="center"/>
          </w:tcPr>
          <w:p w:rsidR="00A16588" w:rsidRPr="005A3A2B" w:rsidRDefault="00A16588" w:rsidP="005A3A2B">
            <w:pPr>
              <w:jc w:val="center"/>
              <w:rPr>
                <w:sz w:val="20"/>
                <w:szCs w:val="20"/>
                <w:lang w:val="lt-LT"/>
              </w:rPr>
            </w:pPr>
            <w:r w:rsidRPr="005A3A2B">
              <w:rPr>
                <w:sz w:val="20"/>
                <w:szCs w:val="20"/>
                <w:lang w:val="lt-LT"/>
              </w:rPr>
              <w:t>36,6</w:t>
            </w:r>
          </w:p>
        </w:tc>
        <w:tc>
          <w:tcPr>
            <w:tcW w:w="1559" w:type="dxa"/>
            <w:vAlign w:val="center"/>
          </w:tcPr>
          <w:p w:rsidR="00A16588" w:rsidRPr="005A3A2B" w:rsidRDefault="00B8492D" w:rsidP="005A3A2B">
            <w:pPr>
              <w:jc w:val="center"/>
              <w:rPr>
                <w:sz w:val="20"/>
                <w:szCs w:val="20"/>
                <w:lang w:val="lt-LT"/>
              </w:rPr>
            </w:pPr>
            <w:r w:rsidRPr="005A3A2B">
              <w:rPr>
                <w:sz w:val="20"/>
                <w:szCs w:val="20"/>
                <w:lang w:val="lt-LT"/>
              </w:rPr>
              <w:t>27,4</w:t>
            </w:r>
          </w:p>
        </w:tc>
      </w:tr>
      <w:tr w:rsidR="00A16588" w:rsidRPr="005A3A2B" w:rsidTr="00C96EB3">
        <w:trPr>
          <w:jc w:val="center"/>
        </w:trPr>
        <w:tc>
          <w:tcPr>
            <w:tcW w:w="795" w:type="dxa"/>
            <w:vAlign w:val="center"/>
          </w:tcPr>
          <w:p w:rsidR="00A16588" w:rsidRPr="005A3A2B" w:rsidRDefault="00A16588" w:rsidP="005A3A2B">
            <w:pPr>
              <w:jc w:val="center"/>
              <w:rPr>
                <w:sz w:val="20"/>
                <w:szCs w:val="20"/>
              </w:rPr>
            </w:pPr>
            <w:r w:rsidRPr="005A3A2B">
              <w:rPr>
                <w:sz w:val="20"/>
                <w:szCs w:val="20"/>
              </w:rPr>
              <w:t>SI</w:t>
            </w:r>
          </w:p>
        </w:tc>
        <w:tc>
          <w:tcPr>
            <w:tcW w:w="1865" w:type="dxa"/>
            <w:vAlign w:val="center"/>
          </w:tcPr>
          <w:p w:rsidR="00A16588" w:rsidRPr="005A3A2B" w:rsidRDefault="00A16588" w:rsidP="005A3A2B">
            <w:pPr>
              <w:jc w:val="center"/>
              <w:rPr>
                <w:sz w:val="20"/>
                <w:szCs w:val="20"/>
                <w:lang w:val="lt-LT"/>
              </w:rPr>
            </w:pPr>
            <w:r w:rsidRPr="005A3A2B">
              <w:rPr>
                <w:sz w:val="20"/>
                <w:szCs w:val="20"/>
                <w:lang w:val="lt-LT"/>
              </w:rPr>
              <w:t>20</w:t>
            </w:r>
          </w:p>
        </w:tc>
        <w:tc>
          <w:tcPr>
            <w:tcW w:w="1984" w:type="dxa"/>
            <w:vAlign w:val="center"/>
          </w:tcPr>
          <w:p w:rsidR="00A16588" w:rsidRPr="005A3A2B" w:rsidRDefault="00A16588" w:rsidP="005A3A2B">
            <w:pPr>
              <w:jc w:val="center"/>
              <w:rPr>
                <w:sz w:val="20"/>
                <w:szCs w:val="20"/>
                <w:lang w:val="lt-LT"/>
              </w:rPr>
            </w:pPr>
            <w:r w:rsidRPr="005A3A2B">
              <w:rPr>
                <w:sz w:val="20"/>
                <w:szCs w:val="20"/>
                <w:lang w:val="lt-LT"/>
              </w:rPr>
              <w:t>9,6</w:t>
            </w:r>
          </w:p>
        </w:tc>
        <w:tc>
          <w:tcPr>
            <w:tcW w:w="1843" w:type="dxa"/>
            <w:vAlign w:val="center"/>
          </w:tcPr>
          <w:p w:rsidR="00A16588" w:rsidRPr="005A3A2B" w:rsidRDefault="00A16588" w:rsidP="005A3A2B">
            <w:pPr>
              <w:jc w:val="center"/>
              <w:rPr>
                <w:sz w:val="20"/>
                <w:szCs w:val="20"/>
                <w:lang w:val="lt-LT"/>
              </w:rPr>
            </w:pPr>
            <w:r w:rsidRPr="005A3A2B">
              <w:rPr>
                <w:sz w:val="20"/>
                <w:szCs w:val="20"/>
                <w:lang w:val="lt-LT"/>
              </w:rPr>
              <w:t>48,1</w:t>
            </w:r>
          </w:p>
        </w:tc>
        <w:tc>
          <w:tcPr>
            <w:tcW w:w="1559" w:type="dxa"/>
            <w:vAlign w:val="center"/>
          </w:tcPr>
          <w:p w:rsidR="00A16588" w:rsidRPr="005A3A2B" w:rsidRDefault="00B8492D" w:rsidP="005A3A2B">
            <w:pPr>
              <w:jc w:val="center"/>
              <w:rPr>
                <w:sz w:val="20"/>
                <w:szCs w:val="20"/>
                <w:lang w:val="lt-LT"/>
              </w:rPr>
            </w:pPr>
            <w:r w:rsidRPr="005A3A2B">
              <w:rPr>
                <w:sz w:val="20"/>
                <w:szCs w:val="20"/>
                <w:lang w:val="lt-LT"/>
              </w:rPr>
              <w:t>22,1</w:t>
            </w:r>
          </w:p>
        </w:tc>
      </w:tr>
      <w:tr w:rsidR="00A16588" w:rsidRPr="005A3A2B" w:rsidTr="00C96EB3">
        <w:trPr>
          <w:jc w:val="center"/>
        </w:trPr>
        <w:tc>
          <w:tcPr>
            <w:tcW w:w="795" w:type="dxa"/>
            <w:vAlign w:val="center"/>
          </w:tcPr>
          <w:p w:rsidR="00A16588" w:rsidRPr="005A3A2B" w:rsidRDefault="00A16588" w:rsidP="005A3A2B">
            <w:pPr>
              <w:jc w:val="center"/>
              <w:rPr>
                <w:sz w:val="20"/>
                <w:szCs w:val="20"/>
              </w:rPr>
            </w:pPr>
            <w:r w:rsidRPr="005A3A2B">
              <w:rPr>
                <w:sz w:val="20"/>
                <w:szCs w:val="20"/>
              </w:rPr>
              <w:t>SK</w:t>
            </w:r>
          </w:p>
        </w:tc>
        <w:tc>
          <w:tcPr>
            <w:tcW w:w="1865" w:type="dxa"/>
            <w:vAlign w:val="center"/>
          </w:tcPr>
          <w:p w:rsidR="00A16588" w:rsidRPr="005A3A2B" w:rsidRDefault="00A16588" w:rsidP="005A3A2B">
            <w:pPr>
              <w:jc w:val="center"/>
              <w:rPr>
                <w:sz w:val="20"/>
                <w:szCs w:val="20"/>
                <w:lang w:val="lt-LT"/>
              </w:rPr>
            </w:pPr>
            <w:r w:rsidRPr="005A3A2B">
              <w:rPr>
                <w:sz w:val="20"/>
                <w:szCs w:val="20"/>
                <w:lang w:val="lt-LT"/>
              </w:rPr>
              <w:t>16,8</w:t>
            </w:r>
          </w:p>
        </w:tc>
        <w:tc>
          <w:tcPr>
            <w:tcW w:w="1984" w:type="dxa"/>
            <w:vAlign w:val="center"/>
          </w:tcPr>
          <w:p w:rsidR="00A16588" w:rsidRPr="005A3A2B" w:rsidRDefault="00A16588" w:rsidP="005A3A2B">
            <w:pPr>
              <w:jc w:val="center"/>
              <w:rPr>
                <w:sz w:val="20"/>
                <w:szCs w:val="20"/>
                <w:lang w:val="lt-LT"/>
              </w:rPr>
            </w:pPr>
            <w:r w:rsidRPr="005A3A2B">
              <w:rPr>
                <w:sz w:val="20"/>
                <w:szCs w:val="20"/>
                <w:lang w:val="lt-LT"/>
              </w:rPr>
              <w:t>6,3</w:t>
            </w:r>
          </w:p>
        </w:tc>
        <w:tc>
          <w:tcPr>
            <w:tcW w:w="1843" w:type="dxa"/>
            <w:vAlign w:val="center"/>
          </w:tcPr>
          <w:p w:rsidR="00A16588" w:rsidRPr="005A3A2B" w:rsidRDefault="00A16588" w:rsidP="005A3A2B">
            <w:pPr>
              <w:jc w:val="center"/>
              <w:rPr>
                <w:sz w:val="20"/>
                <w:szCs w:val="20"/>
                <w:lang w:val="lt-LT"/>
              </w:rPr>
            </w:pPr>
            <w:r w:rsidRPr="005A3A2B">
              <w:rPr>
                <w:sz w:val="20"/>
                <w:szCs w:val="20"/>
                <w:lang w:val="lt-LT"/>
              </w:rPr>
              <w:t>37,8</w:t>
            </w:r>
          </w:p>
        </w:tc>
        <w:tc>
          <w:tcPr>
            <w:tcW w:w="1559" w:type="dxa"/>
            <w:vAlign w:val="center"/>
          </w:tcPr>
          <w:p w:rsidR="00A16588" w:rsidRPr="005A3A2B" w:rsidRDefault="00B8492D" w:rsidP="005A3A2B">
            <w:pPr>
              <w:jc w:val="center"/>
              <w:rPr>
                <w:sz w:val="20"/>
                <w:szCs w:val="20"/>
                <w:lang w:val="lt-LT"/>
              </w:rPr>
            </w:pPr>
            <w:r w:rsidRPr="005A3A2B">
              <w:rPr>
                <w:sz w:val="20"/>
                <w:szCs w:val="20"/>
                <w:lang w:val="lt-LT"/>
              </w:rPr>
              <w:t>19,5</w:t>
            </w:r>
          </w:p>
        </w:tc>
      </w:tr>
      <w:tr w:rsidR="00A16588" w:rsidRPr="005A3A2B" w:rsidTr="00C96EB3">
        <w:trPr>
          <w:jc w:val="center"/>
        </w:trPr>
        <w:tc>
          <w:tcPr>
            <w:tcW w:w="795" w:type="dxa"/>
            <w:vAlign w:val="center"/>
          </w:tcPr>
          <w:p w:rsidR="00A16588" w:rsidRPr="005A3A2B" w:rsidRDefault="00A16588" w:rsidP="005A3A2B">
            <w:pPr>
              <w:jc w:val="center"/>
              <w:rPr>
                <w:sz w:val="20"/>
                <w:szCs w:val="20"/>
              </w:rPr>
            </w:pPr>
            <w:r w:rsidRPr="005A3A2B">
              <w:rPr>
                <w:sz w:val="20"/>
                <w:szCs w:val="20"/>
              </w:rPr>
              <w:t>FI</w:t>
            </w:r>
          </w:p>
        </w:tc>
        <w:tc>
          <w:tcPr>
            <w:tcW w:w="1865" w:type="dxa"/>
            <w:vAlign w:val="center"/>
          </w:tcPr>
          <w:p w:rsidR="00A16588" w:rsidRPr="005A3A2B" w:rsidRDefault="00A16588" w:rsidP="005A3A2B">
            <w:pPr>
              <w:jc w:val="center"/>
              <w:rPr>
                <w:sz w:val="20"/>
                <w:szCs w:val="20"/>
                <w:lang w:val="lt-LT"/>
              </w:rPr>
            </w:pPr>
            <w:r w:rsidRPr="005A3A2B">
              <w:rPr>
                <w:sz w:val="20"/>
                <w:szCs w:val="20"/>
                <w:lang w:val="lt-LT"/>
              </w:rPr>
              <w:t>41,1</w:t>
            </w:r>
          </w:p>
        </w:tc>
        <w:tc>
          <w:tcPr>
            <w:tcW w:w="1984" w:type="dxa"/>
            <w:vAlign w:val="center"/>
          </w:tcPr>
          <w:p w:rsidR="00A16588" w:rsidRPr="005A3A2B" w:rsidRDefault="00A16588" w:rsidP="005A3A2B">
            <w:pPr>
              <w:jc w:val="center"/>
              <w:rPr>
                <w:sz w:val="20"/>
                <w:szCs w:val="20"/>
                <w:lang w:val="lt-LT"/>
              </w:rPr>
            </w:pPr>
            <w:r w:rsidRPr="005A3A2B">
              <w:rPr>
                <w:sz w:val="20"/>
                <w:szCs w:val="20"/>
                <w:lang w:val="lt-LT"/>
              </w:rPr>
              <w:t>23,3</w:t>
            </w:r>
          </w:p>
        </w:tc>
        <w:tc>
          <w:tcPr>
            <w:tcW w:w="1843" w:type="dxa"/>
            <w:vAlign w:val="center"/>
          </w:tcPr>
          <w:p w:rsidR="00A16588" w:rsidRPr="005A3A2B" w:rsidRDefault="00A16588" w:rsidP="005A3A2B">
            <w:pPr>
              <w:jc w:val="center"/>
              <w:rPr>
                <w:sz w:val="20"/>
                <w:szCs w:val="20"/>
                <w:lang w:val="lt-LT"/>
              </w:rPr>
            </w:pPr>
            <w:r w:rsidRPr="005A3A2B">
              <w:rPr>
                <w:sz w:val="20"/>
                <w:szCs w:val="20"/>
                <w:lang w:val="lt-LT"/>
              </w:rPr>
              <w:t>56,6</w:t>
            </w:r>
          </w:p>
        </w:tc>
        <w:tc>
          <w:tcPr>
            <w:tcW w:w="1559" w:type="dxa"/>
            <w:vAlign w:val="center"/>
          </w:tcPr>
          <w:p w:rsidR="00A16588" w:rsidRPr="005A3A2B" w:rsidRDefault="00B8492D" w:rsidP="005A3A2B">
            <w:pPr>
              <w:jc w:val="center"/>
              <w:rPr>
                <w:sz w:val="20"/>
                <w:szCs w:val="20"/>
                <w:lang w:val="lt-LT"/>
              </w:rPr>
            </w:pPr>
            <w:r w:rsidRPr="005A3A2B">
              <w:rPr>
                <w:sz w:val="20"/>
                <w:szCs w:val="20"/>
                <w:lang w:val="lt-LT"/>
              </w:rPr>
              <w:t>40,1</w:t>
            </w:r>
          </w:p>
        </w:tc>
      </w:tr>
      <w:tr w:rsidR="00A16588" w:rsidRPr="005A3A2B" w:rsidTr="00C96EB3">
        <w:trPr>
          <w:jc w:val="center"/>
        </w:trPr>
        <w:tc>
          <w:tcPr>
            <w:tcW w:w="795" w:type="dxa"/>
            <w:vAlign w:val="center"/>
          </w:tcPr>
          <w:p w:rsidR="00A16588" w:rsidRPr="005A3A2B" w:rsidRDefault="00A16588" w:rsidP="005A3A2B">
            <w:pPr>
              <w:jc w:val="center"/>
              <w:rPr>
                <w:sz w:val="20"/>
                <w:szCs w:val="20"/>
              </w:rPr>
            </w:pPr>
            <w:r w:rsidRPr="005A3A2B">
              <w:rPr>
                <w:sz w:val="20"/>
                <w:szCs w:val="20"/>
              </w:rPr>
              <w:t>SE</w:t>
            </w:r>
          </w:p>
        </w:tc>
        <w:tc>
          <w:tcPr>
            <w:tcW w:w="1865" w:type="dxa"/>
            <w:vAlign w:val="center"/>
          </w:tcPr>
          <w:p w:rsidR="00A16588" w:rsidRPr="005A3A2B" w:rsidRDefault="00A16588" w:rsidP="005A3A2B">
            <w:pPr>
              <w:jc w:val="center"/>
              <w:rPr>
                <w:sz w:val="20"/>
                <w:szCs w:val="20"/>
                <w:lang w:val="lt-LT"/>
              </w:rPr>
            </w:pPr>
            <w:r w:rsidRPr="005A3A2B">
              <w:rPr>
                <w:sz w:val="20"/>
                <w:szCs w:val="20"/>
                <w:lang w:val="lt-LT"/>
              </w:rPr>
              <w:t>49,2</w:t>
            </w:r>
          </w:p>
        </w:tc>
        <w:tc>
          <w:tcPr>
            <w:tcW w:w="1984" w:type="dxa"/>
            <w:vAlign w:val="center"/>
          </w:tcPr>
          <w:p w:rsidR="00A16588" w:rsidRPr="005A3A2B" w:rsidRDefault="00A16588" w:rsidP="005A3A2B">
            <w:pPr>
              <w:jc w:val="center"/>
              <w:rPr>
                <w:sz w:val="20"/>
                <w:szCs w:val="20"/>
                <w:lang w:val="lt-LT"/>
              </w:rPr>
            </w:pPr>
            <w:r w:rsidRPr="005A3A2B">
              <w:rPr>
                <w:sz w:val="20"/>
                <w:szCs w:val="20"/>
                <w:lang w:val="lt-LT"/>
              </w:rPr>
              <w:t>25,5</w:t>
            </w:r>
          </w:p>
        </w:tc>
        <w:tc>
          <w:tcPr>
            <w:tcW w:w="1843" w:type="dxa"/>
            <w:vAlign w:val="center"/>
          </w:tcPr>
          <w:p w:rsidR="00A16588" w:rsidRPr="005A3A2B" w:rsidRDefault="00A16588" w:rsidP="005A3A2B">
            <w:pPr>
              <w:jc w:val="center"/>
              <w:rPr>
                <w:sz w:val="20"/>
                <w:szCs w:val="20"/>
                <w:lang w:val="lt-LT"/>
              </w:rPr>
            </w:pPr>
            <w:r w:rsidRPr="005A3A2B">
              <w:rPr>
                <w:sz w:val="20"/>
                <w:szCs w:val="20"/>
                <w:lang w:val="lt-LT"/>
              </w:rPr>
              <w:t>52</w:t>
            </w:r>
          </w:p>
        </w:tc>
        <w:tc>
          <w:tcPr>
            <w:tcW w:w="1559" w:type="dxa"/>
            <w:vAlign w:val="center"/>
          </w:tcPr>
          <w:p w:rsidR="00A16588" w:rsidRPr="005A3A2B" w:rsidRDefault="00B8492D" w:rsidP="005A3A2B">
            <w:pPr>
              <w:jc w:val="center"/>
              <w:rPr>
                <w:sz w:val="20"/>
                <w:szCs w:val="20"/>
                <w:lang w:val="lt-LT"/>
              </w:rPr>
            </w:pPr>
            <w:r w:rsidRPr="005A3A2B">
              <w:rPr>
                <w:sz w:val="20"/>
                <w:szCs w:val="20"/>
                <w:lang w:val="lt-LT"/>
              </w:rPr>
              <w:t>49,5</w:t>
            </w:r>
          </w:p>
        </w:tc>
      </w:tr>
      <w:tr w:rsidR="00A16588" w:rsidRPr="005A3A2B" w:rsidTr="00C96EB3">
        <w:trPr>
          <w:jc w:val="center"/>
        </w:trPr>
        <w:tc>
          <w:tcPr>
            <w:tcW w:w="795" w:type="dxa"/>
            <w:vAlign w:val="center"/>
          </w:tcPr>
          <w:p w:rsidR="00A16588" w:rsidRPr="005A3A2B" w:rsidRDefault="00A16588" w:rsidP="005A3A2B">
            <w:pPr>
              <w:jc w:val="center"/>
              <w:rPr>
                <w:sz w:val="20"/>
                <w:szCs w:val="20"/>
              </w:rPr>
            </w:pPr>
            <w:r w:rsidRPr="005A3A2B">
              <w:rPr>
                <w:sz w:val="20"/>
                <w:szCs w:val="20"/>
              </w:rPr>
              <w:t>UK</w:t>
            </w:r>
          </w:p>
        </w:tc>
        <w:tc>
          <w:tcPr>
            <w:tcW w:w="1865" w:type="dxa"/>
            <w:vAlign w:val="center"/>
          </w:tcPr>
          <w:p w:rsidR="00A16588" w:rsidRPr="005A3A2B" w:rsidRDefault="00A16588" w:rsidP="005A3A2B">
            <w:pPr>
              <w:jc w:val="center"/>
              <w:rPr>
                <w:sz w:val="20"/>
                <w:szCs w:val="20"/>
                <w:lang w:val="lt-LT"/>
              </w:rPr>
            </w:pPr>
            <w:r w:rsidRPr="005A3A2B">
              <w:rPr>
                <w:sz w:val="20"/>
                <w:szCs w:val="20"/>
                <w:lang w:val="lt-LT"/>
              </w:rPr>
              <w:t>28</w:t>
            </w:r>
          </w:p>
        </w:tc>
        <w:tc>
          <w:tcPr>
            <w:tcW w:w="1984" w:type="dxa"/>
            <w:vAlign w:val="center"/>
          </w:tcPr>
          <w:p w:rsidR="00A16588" w:rsidRPr="005A3A2B" w:rsidRDefault="00A16588" w:rsidP="005A3A2B">
            <w:pPr>
              <w:jc w:val="center"/>
              <w:rPr>
                <w:sz w:val="20"/>
                <w:szCs w:val="20"/>
                <w:lang w:val="lt-LT"/>
              </w:rPr>
            </w:pPr>
            <w:r w:rsidRPr="005A3A2B">
              <w:rPr>
                <w:sz w:val="20"/>
                <w:szCs w:val="20"/>
                <w:lang w:val="lt-LT"/>
              </w:rPr>
              <w:t>13,5</w:t>
            </w:r>
          </w:p>
        </w:tc>
        <w:tc>
          <w:tcPr>
            <w:tcW w:w="1843" w:type="dxa"/>
            <w:vAlign w:val="center"/>
          </w:tcPr>
          <w:p w:rsidR="00A16588" w:rsidRPr="005A3A2B" w:rsidRDefault="00A16588" w:rsidP="005A3A2B">
            <w:pPr>
              <w:jc w:val="center"/>
              <w:rPr>
                <w:sz w:val="20"/>
                <w:szCs w:val="20"/>
                <w:lang w:val="lt-LT"/>
              </w:rPr>
            </w:pPr>
            <w:r w:rsidRPr="005A3A2B">
              <w:rPr>
                <w:sz w:val="20"/>
                <w:szCs w:val="20"/>
                <w:lang w:val="lt-LT"/>
              </w:rPr>
              <w:t>47,9</w:t>
            </w:r>
          </w:p>
        </w:tc>
        <w:tc>
          <w:tcPr>
            <w:tcW w:w="1559" w:type="dxa"/>
            <w:vAlign w:val="center"/>
          </w:tcPr>
          <w:p w:rsidR="00A16588" w:rsidRPr="005A3A2B" w:rsidRDefault="00B8492D" w:rsidP="005A3A2B">
            <w:pPr>
              <w:jc w:val="center"/>
              <w:rPr>
                <w:sz w:val="20"/>
                <w:szCs w:val="20"/>
                <w:lang w:val="lt-LT"/>
              </w:rPr>
            </w:pPr>
            <w:r w:rsidRPr="005A3A2B">
              <w:rPr>
                <w:sz w:val="20"/>
                <w:szCs w:val="20"/>
                <w:lang w:val="lt-LT"/>
              </w:rPr>
              <w:t>31,4</w:t>
            </w:r>
          </w:p>
        </w:tc>
      </w:tr>
    </w:tbl>
    <w:p w:rsidR="00EE4556" w:rsidRDefault="005A3A2B" w:rsidP="007C3B56">
      <w:pPr>
        <w:spacing w:line="360" w:lineRule="auto"/>
        <w:rPr>
          <w:sz w:val="20"/>
          <w:szCs w:val="20"/>
          <w:lang w:val="lt-LT"/>
        </w:rPr>
      </w:pPr>
      <w:r>
        <w:rPr>
          <w:b/>
          <w:sz w:val="20"/>
          <w:szCs w:val="20"/>
          <w:lang w:val="lt-LT"/>
        </w:rPr>
        <w:t xml:space="preserve">                    </w:t>
      </w:r>
      <w:r w:rsidRPr="005A3A2B">
        <w:rPr>
          <w:b/>
          <w:sz w:val="20"/>
          <w:szCs w:val="20"/>
          <w:lang w:val="lt-LT"/>
        </w:rPr>
        <w:t>Šaltinis:</w:t>
      </w:r>
      <w:r>
        <w:rPr>
          <w:sz w:val="20"/>
          <w:szCs w:val="20"/>
          <w:lang w:val="lt-LT"/>
        </w:rPr>
        <w:t xml:space="preserve"> Eurostat duomenys</w:t>
      </w:r>
    </w:p>
    <w:p w:rsidR="005A3A2B" w:rsidRDefault="005A3A2B" w:rsidP="007C3B56">
      <w:pPr>
        <w:spacing w:line="360" w:lineRule="auto"/>
        <w:rPr>
          <w:sz w:val="20"/>
          <w:szCs w:val="20"/>
          <w:lang w:val="lt-LT"/>
        </w:rPr>
      </w:pPr>
    </w:p>
    <w:p w:rsidR="005A3A2B" w:rsidRDefault="005A3A2B" w:rsidP="007C3B56">
      <w:pPr>
        <w:spacing w:line="360" w:lineRule="auto"/>
        <w:rPr>
          <w:sz w:val="20"/>
          <w:szCs w:val="20"/>
          <w:lang w:val="lt-LT"/>
        </w:rPr>
      </w:pPr>
    </w:p>
    <w:p w:rsidR="005A3A2B" w:rsidRDefault="005A3A2B" w:rsidP="007C3B56">
      <w:pPr>
        <w:spacing w:line="360" w:lineRule="auto"/>
        <w:rPr>
          <w:sz w:val="20"/>
          <w:szCs w:val="20"/>
          <w:lang w:val="lt-LT"/>
        </w:rPr>
      </w:pPr>
    </w:p>
    <w:p w:rsidR="005A3A2B" w:rsidRDefault="005A3A2B" w:rsidP="007C3B56">
      <w:pPr>
        <w:spacing w:line="360" w:lineRule="auto"/>
        <w:rPr>
          <w:sz w:val="20"/>
          <w:szCs w:val="20"/>
          <w:lang w:val="lt-LT"/>
        </w:rPr>
      </w:pPr>
    </w:p>
    <w:p w:rsidR="005A3A2B" w:rsidRDefault="005A3A2B" w:rsidP="007C3B56">
      <w:pPr>
        <w:spacing w:line="360" w:lineRule="auto"/>
        <w:rPr>
          <w:sz w:val="20"/>
          <w:szCs w:val="20"/>
          <w:lang w:val="lt-LT"/>
        </w:rPr>
      </w:pPr>
    </w:p>
    <w:p w:rsidR="005A3A2B" w:rsidRDefault="005A3A2B" w:rsidP="007C3B56">
      <w:pPr>
        <w:spacing w:line="360" w:lineRule="auto"/>
        <w:rPr>
          <w:sz w:val="20"/>
          <w:szCs w:val="20"/>
          <w:lang w:val="lt-LT"/>
        </w:rPr>
      </w:pPr>
    </w:p>
    <w:p w:rsidR="005A3A2B" w:rsidRDefault="005A3A2B" w:rsidP="007C3B56">
      <w:pPr>
        <w:spacing w:line="360" w:lineRule="auto"/>
        <w:rPr>
          <w:sz w:val="20"/>
          <w:szCs w:val="20"/>
          <w:lang w:val="lt-LT"/>
        </w:rPr>
      </w:pPr>
    </w:p>
    <w:p w:rsidR="005A3A2B" w:rsidRPr="00737B66" w:rsidRDefault="002B4143" w:rsidP="002B4143">
      <w:pPr>
        <w:spacing w:line="360" w:lineRule="auto"/>
        <w:jc w:val="right"/>
        <w:rPr>
          <w:b/>
          <w:szCs w:val="20"/>
        </w:rPr>
      </w:pPr>
      <w:r w:rsidRPr="00737B66">
        <w:rPr>
          <w:b/>
          <w:szCs w:val="20"/>
        </w:rPr>
        <w:lastRenderedPageBreak/>
        <w:t>7 PRIEDAS</w:t>
      </w:r>
    </w:p>
    <w:p w:rsidR="002B4143" w:rsidRPr="00737B66" w:rsidRDefault="00DA2839" w:rsidP="00C62571">
      <w:pPr>
        <w:pStyle w:val="Heading4"/>
      </w:pPr>
      <w:bookmarkStart w:id="105" w:name="_Toc385241721"/>
      <w:bookmarkStart w:id="106" w:name="_Toc385241842"/>
      <w:proofErr w:type="gramStart"/>
      <w:r>
        <w:t xml:space="preserve">ES </w:t>
      </w:r>
      <w:r w:rsidR="002B4143" w:rsidRPr="00737B66">
        <w:t xml:space="preserve">SUBNACIONALINIŲ VALDŽIOS INSTITUCIJŲ PAJAMOS </w:t>
      </w:r>
      <w:r w:rsidR="00255CC9">
        <w:t xml:space="preserve">2012, </w:t>
      </w:r>
      <w:r w:rsidR="00737B66">
        <w:t>MLN.</w:t>
      </w:r>
      <w:proofErr w:type="gramEnd"/>
      <w:r w:rsidR="00737B66">
        <w:t xml:space="preserve"> EUR</w:t>
      </w:r>
      <w:bookmarkEnd w:id="105"/>
      <w:bookmarkEnd w:id="106"/>
      <w:r w:rsidR="00255CC9">
        <w:t>Ų</w:t>
      </w:r>
    </w:p>
    <w:p w:rsidR="005A3A2B" w:rsidRDefault="005A3A2B" w:rsidP="007C3B56">
      <w:pPr>
        <w:spacing w:line="360" w:lineRule="auto"/>
        <w:rPr>
          <w:sz w:val="20"/>
          <w:szCs w:val="20"/>
          <w:lang w:val="lt-LT"/>
        </w:rPr>
      </w:pPr>
    </w:p>
    <w:tbl>
      <w:tblPr>
        <w:tblW w:w="0" w:type="auto"/>
        <w:tblLook w:val="04A0" w:firstRow="1" w:lastRow="0" w:firstColumn="1" w:lastColumn="0" w:noHBand="0" w:noVBand="1"/>
      </w:tblPr>
      <w:tblGrid>
        <w:gridCol w:w="714"/>
        <w:gridCol w:w="966"/>
        <w:gridCol w:w="1236"/>
        <w:gridCol w:w="1000"/>
        <w:gridCol w:w="1308"/>
        <w:gridCol w:w="1523"/>
        <w:gridCol w:w="1541"/>
        <w:gridCol w:w="1468"/>
      </w:tblGrid>
      <w:tr w:rsidR="00697F87" w:rsidRPr="00737B66" w:rsidTr="00737B66">
        <w:tc>
          <w:tcPr>
            <w:tcW w:w="714" w:type="dxa"/>
            <w:vMerge w:val="restart"/>
            <w:tcBorders>
              <w:top w:val="single" w:sz="12" w:space="0" w:color="auto"/>
              <w:left w:val="single" w:sz="12" w:space="0" w:color="auto"/>
              <w:bottom w:val="single" w:sz="6" w:space="0" w:color="auto"/>
              <w:right w:val="single" w:sz="12" w:space="0" w:color="auto"/>
            </w:tcBorders>
            <w:vAlign w:val="center"/>
          </w:tcPr>
          <w:p w:rsidR="00697F87" w:rsidRPr="00737B66" w:rsidRDefault="00697F87" w:rsidP="00737B66">
            <w:pPr>
              <w:spacing w:line="360" w:lineRule="auto"/>
              <w:jc w:val="center"/>
              <w:rPr>
                <w:sz w:val="16"/>
                <w:szCs w:val="16"/>
                <w:lang w:val="lt-LT"/>
              </w:rPr>
            </w:pPr>
            <w:bookmarkStart w:id="107" w:name="OLE_LINK2"/>
          </w:p>
        </w:tc>
        <w:tc>
          <w:tcPr>
            <w:tcW w:w="3202" w:type="dxa"/>
            <w:gridSpan w:val="3"/>
            <w:tcBorders>
              <w:top w:val="single" w:sz="12" w:space="0" w:color="auto"/>
              <w:left w:val="single" w:sz="12" w:space="0" w:color="auto"/>
              <w:bottom w:val="single" w:sz="6" w:space="0" w:color="auto"/>
              <w:right w:val="single" w:sz="4" w:space="0" w:color="auto"/>
            </w:tcBorders>
            <w:vAlign w:val="center"/>
          </w:tcPr>
          <w:p w:rsidR="00697F87" w:rsidRPr="00737B66" w:rsidRDefault="00697F87" w:rsidP="00737B66">
            <w:pPr>
              <w:spacing w:line="360" w:lineRule="auto"/>
              <w:jc w:val="center"/>
              <w:rPr>
                <w:b/>
                <w:sz w:val="16"/>
                <w:szCs w:val="16"/>
              </w:rPr>
            </w:pPr>
            <w:r w:rsidRPr="00737B66">
              <w:rPr>
                <w:b/>
                <w:sz w:val="16"/>
                <w:szCs w:val="16"/>
              </w:rPr>
              <w:t>Mokestinės pajamos</w:t>
            </w:r>
          </w:p>
        </w:tc>
        <w:tc>
          <w:tcPr>
            <w:tcW w:w="1308" w:type="dxa"/>
            <w:vMerge w:val="restart"/>
            <w:tcBorders>
              <w:top w:val="single" w:sz="12" w:space="0" w:color="auto"/>
              <w:left w:val="single" w:sz="4" w:space="0" w:color="auto"/>
              <w:right w:val="single" w:sz="12" w:space="0" w:color="auto"/>
            </w:tcBorders>
            <w:vAlign w:val="center"/>
          </w:tcPr>
          <w:p w:rsidR="00697F87" w:rsidRPr="00737B66" w:rsidRDefault="00697F87" w:rsidP="00737B66">
            <w:pPr>
              <w:spacing w:line="360" w:lineRule="auto"/>
              <w:jc w:val="center"/>
              <w:rPr>
                <w:sz w:val="16"/>
                <w:szCs w:val="16"/>
                <w:lang w:val="lt-LT"/>
              </w:rPr>
            </w:pPr>
            <w:r w:rsidRPr="00737B66">
              <w:rPr>
                <w:sz w:val="16"/>
                <w:szCs w:val="16"/>
                <w:lang w:val="lt-LT"/>
              </w:rPr>
              <w:t>Iš viso mokestinių pajamų</w:t>
            </w:r>
          </w:p>
        </w:tc>
        <w:tc>
          <w:tcPr>
            <w:tcW w:w="1523" w:type="dxa"/>
            <w:vMerge w:val="restart"/>
            <w:tcBorders>
              <w:top w:val="single" w:sz="12" w:space="0" w:color="auto"/>
              <w:left w:val="single" w:sz="12" w:space="0" w:color="auto"/>
              <w:bottom w:val="single" w:sz="12" w:space="0" w:color="auto"/>
              <w:right w:val="single" w:sz="12" w:space="0" w:color="auto"/>
            </w:tcBorders>
            <w:vAlign w:val="center"/>
          </w:tcPr>
          <w:p w:rsidR="00697F87" w:rsidRPr="00737B66" w:rsidRDefault="00697F87" w:rsidP="00737B66">
            <w:pPr>
              <w:spacing w:line="360" w:lineRule="auto"/>
              <w:jc w:val="center"/>
              <w:rPr>
                <w:b/>
                <w:sz w:val="16"/>
                <w:szCs w:val="16"/>
                <w:lang w:val="lt-LT"/>
              </w:rPr>
            </w:pPr>
            <w:r w:rsidRPr="00737B66">
              <w:rPr>
                <w:b/>
                <w:sz w:val="16"/>
                <w:szCs w:val="16"/>
                <w:lang w:val="lt-LT"/>
              </w:rPr>
              <w:t>Dotacijos</w:t>
            </w:r>
          </w:p>
        </w:tc>
        <w:tc>
          <w:tcPr>
            <w:tcW w:w="1541" w:type="dxa"/>
            <w:vMerge w:val="restart"/>
            <w:tcBorders>
              <w:top w:val="single" w:sz="12" w:space="0" w:color="auto"/>
              <w:left w:val="single" w:sz="12" w:space="0" w:color="auto"/>
              <w:bottom w:val="single" w:sz="12" w:space="0" w:color="auto"/>
              <w:right w:val="single" w:sz="12" w:space="0" w:color="auto"/>
            </w:tcBorders>
            <w:vAlign w:val="center"/>
          </w:tcPr>
          <w:p w:rsidR="00697F87" w:rsidRPr="00737B66" w:rsidRDefault="00697F87" w:rsidP="00737B66">
            <w:pPr>
              <w:spacing w:line="360" w:lineRule="auto"/>
              <w:jc w:val="center"/>
              <w:rPr>
                <w:b/>
                <w:sz w:val="16"/>
                <w:szCs w:val="16"/>
                <w:lang w:val="lt-LT"/>
              </w:rPr>
            </w:pPr>
            <w:r w:rsidRPr="00737B66">
              <w:rPr>
                <w:b/>
                <w:sz w:val="16"/>
                <w:szCs w:val="16"/>
                <w:lang w:val="lt-LT"/>
              </w:rPr>
              <w:t>Nemokestinės pajamos</w:t>
            </w:r>
          </w:p>
        </w:tc>
        <w:tc>
          <w:tcPr>
            <w:tcW w:w="1468" w:type="dxa"/>
            <w:vMerge w:val="restart"/>
            <w:tcBorders>
              <w:top w:val="single" w:sz="12" w:space="0" w:color="auto"/>
              <w:left w:val="single" w:sz="12" w:space="0" w:color="auto"/>
              <w:bottom w:val="single" w:sz="12" w:space="0" w:color="auto"/>
              <w:right w:val="single" w:sz="12" w:space="0" w:color="auto"/>
            </w:tcBorders>
            <w:vAlign w:val="center"/>
          </w:tcPr>
          <w:p w:rsidR="00697F87" w:rsidRPr="00737B66" w:rsidRDefault="00697F87" w:rsidP="00737B66">
            <w:pPr>
              <w:spacing w:line="360" w:lineRule="auto"/>
              <w:jc w:val="center"/>
              <w:rPr>
                <w:b/>
                <w:sz w:val="16"/>
                <w:szCs w:val="16"/>
                <w:lang w:val="lt-LT"/>
              </w:rPr>
            </w:pPr>
            <w:r w:rsidRPr="00737B66">
              <w:rPr>
                <w:b/>
                <w:sz w:val="16"/>
                <w:szCs w:val="16"/>
                <w:lang w:val="lt-LT"/>
              </w:rPr>
              <w:t>IŠ VISO PAJAMŲ</w:t>
            </w:r>
          </w:p>
        </w:tc>
      </w:tr>
      <w:tr w:rsidR="00697F87" w:rsidRPr="00737B66" w:rsidTr="00737B66">
        <w:tc>
          <w:tcPr>
            <w:tcW w:w="714" w:type="dxa"/>
            <w:vMerge/>
            <w:tcBorders>
              <w:top w:val="single" w:sz="6" w:space="0" w:color="auto"/>
              <w:left w:val="single" w:sz="12" w:space="0" w:color="auto"/>
              <w:bottom w:val="single" w:sz="6" w:space="0" w:color="auto"/>
              <w:right w:val="single" w:sz="12" w:space="0" w:color="auto"/>
            </w:tcBorders>
            <w:vAlign w:val="center"/>
          </w:tcPr>
          <w:p w:rsidR="00697F87" w:rsidRPr="00737B66" w:rsidRDefault="00697F87" w:rsidP="00737B66">
            <w:pPr>
              <w:spacing w:line="360" w:lineRule="auto"/>
              <w:jc w:val="center"/>
              <w:rPr>
                <w:sz w:val="16"/>
                <w:szCs w:val="16"/>
                <w:lang w:val="lt-LT"/>
              </w:rPr>
            </w:pPr>
          </w:p>
        </w:tc>
        <w:tc>
          <w:tcPr>
            <w:tcW w:w="966" w:type="dxa"/>
            <w:tcBorders>
              <w:top w:val="single" w:sz="6" w:space="0" w:color="auto"/>
              <w:left w:val="single" w:sz="12" w:space="0" w:color="auto"/>
              <w:bottom w:val="single" w:sz="12" w:space="0" w:color="auto"/>
              <w:right w:val="single" w:sz="6" w:space="0" w:color="auto"/>
            </w:tcBorders>
            <w:vAlign w:val="center"/>
          </w:tcPr>
          <w:p w:rsidR="00697F87" w:rsidRPr="00737B66" w:rsidRDefault="009A204B" w:rsidP="00737B66">
            <w:pPr>
              <w:spacing w:line="360" w:lineRule="auto"/>
              <w:jc w:val="center"/>
              <w:rPr>
                <w:sz w:val="16"/>
                <w:szCs w:val="16"/>
              </w:rPr>
            </w:pPr>
            <w:r w:rsidRPr="00737B66">
              <w:rPr>
                <w:sz w:val="16"/>
                <w:szCs w:val="16"/>
              </w:rPr>
              <w:t>Pajamų, turto ir kt. mokesčiai</w:t>
            </w:r>
          </w:p>
        </w:tc>
        <w:tc>
          <w:tcPr>
            <w:tcW w:w="1236" w:type="dxa"/>
            <w:tcBorders>
              <w:top w:val="single" w:sz="6" w:space="0" w:color="auto"/>
              <w:left w:val="single" w:sz="6" w:space="0" w:color="auto"/>
              <w:bottom w:val="single" w:sz="12" w:space="0" w:color="auto"/>
              <w:right w:val="single" w:sz="6" w:space="0" w:color="auto"/>
            </w:tcBorders>
            <w:vAlign w:val="center"/>
          </w:tcPr>
          <w:p w:rsidR="00697F87" w:rsidRPr="00737B66" w:rsidRDefault="009A204B" w:rsidP="00737B66">
            <w:pPr>
              <w:spacing w:line="360" w:lineRule="auto"/>
              <w:jc w:val="center"/>
              <w:rPr>
                <w:sz w:val="16"/>
                <w:szCs w:val="16"/>
              </w:rPr>
            </w:pPr>
            <w:r w:rsidRPr="00737B66">
              <w:rPr>
                <w:sz w:val="16"/>
                <w:szCs w:val="16"/>
              </w:rPr>
              <w:t>Gamybos ir import mokesčiai</w:t>
            </w:r>
          </w:p>
        </w:tc>
        <w:tc>
          <w:tcPr>
            <w:tcW w:w="1000" w:type="dxa"/>
            <w:tcBorders>
              <w:top w:val="single" w:sz="6" w:space="0" w:color="auto"/>
              <w:left w:val="single" w:sz="6" w:space="0" w:color="auto"/>
              <w:bottom w:val="single" w:sz="12" w:space="0" w:color="auto"/>
              <w:right w:val="single" w:sz="4" w:space="0" w:color="auto"/>
            </w:tcBorders>
            <w:vAlign w:val="center"/>
          </w:tcPr>
          <w:p w:rsidR="00697F87" w:rsidRPr="00737B66" w:rsidRDefault="009A204B" w:rsidP="00737B66">
            <w:pPr>
              <w:spacing w:line="360" w:lineRule="auto"/>
              <w:jc w:val="center"/>
              <w:rPr>
                <w:sz w:val="16"/>
                <w:szCs w:val="16"/>
              </w:rPr>
            </w:pPr>
            <w:r w:rsidRPr="00737B66">
              <w:rPr>
                <w:sz w:val="16"/>
                <w:szCs w:val="16"/>
              </w:rPr>
              <w:t>Kapitalo mokestis</w:t>
            </w:r>
          </w:p>
          <w:p w:rsidR="00697F87" w:rsidRPr="00737B66" w:rsidRDefault="00697F87" w:rsidP="00737B66">
            <w:pPr>
              <w:jc w:val="center"/>
              <w:rPr>
                <w:sz w:val="16"/>
                <w:szCs w:val="16"/>
              </w:rPr>
            </w:pPr>
          </w:p>
          <w:p w:rsidR="00697F87" w:rsidRPr="00737B66" w:rsidRDefault="00697F87" w:rsidP="00737B66">
            <w:pPr>
              <w:jc w:val="center"/>
              <w:rPr>
                <w:sz w:val="16"/>
                <w:szCs w:val="16"/>
              </w:rPr>
            </w:pPr>
          </w:p>
        </w:tc>
        <w:tc>
          <w:tcPr>
            <w:tcW w:w="1308" w:type="dxa"/>
            <w:vMerge/>
            <w:tcBorders>
              <w:left w:val="single" w:sz="4" w:space="0" w:color="auto"/>
              <w:bottom w:val="single" w:sz="12" w:space="0" w:color="auto"/>
              <w:right w:val="single" w:sz="12" w:space="0" w:color="auto"/>
            </w:tcBorders>
            <w:vAlign w:val="center"/>
          </w:tcPr>
          <w:p w:rsidR="00697F87" w:rsidRPr="00737B66" w:rsidRDefault="00697F87" w:rsidP="00737B66">
            <w:pPr>
              <w:spacing w:line="360" w:lineRule="auto"/>
              <w:jc w:val="center"/>
              <w:rPr>
                <w:sz w:val="16"/>
                <w:szCs w:val="16"/>
                <w:lang w:val="lt-LT"/>
              </w:rPr>
            </w:pPr>
          </w:p>
        </w:tc>
        <w:tc>
          <w:tcPr>
            <w:tcW w:w="1523" w:type="dxa"/>
            <w:vMerge/>
            <w:tcBorders>
              <w:top w:val="single" w:sz="12" w:space="0" w:color="auto"/>
              <w:left w:val="single" w:sz="12" w:space="0" w:color="auto"/>
              <w:bottom w:val="single" w:sz="12" w:space="0" w:color="auto"/>
              <w:right w:val="single" w:sz="12" w:space="0" w:color="auto"/>
            </w:tcBorders>
            <w:vAlign w:val="center"/>
          </w:tcPr>
          <w:p w:rsidR="00697F87" w:rsidRPr="00737B66" w:rsidRDefault="00697F87" w:rsidP="00737B66">
            <w:pPr>
              <w:spacing w:line="360" w:lineRule="auto"/>
              <w:jc w:val="center"/>
              <w:rPr>
                <w:sz w:val="16"/>
                <w:szCs w:val="16"/>
                <w:lang w:val="lt-LT"/>
              </w:rPr>
            </w:pPr>
          </w:p>
        </w:tc>
        <w:tc>
          <w:tcPr>
            <w:tcW w:w="1541" w:type="dxa"/>
            <w:vMerge/>
            <w:tcBorders>
              <w:top w:val="single" w:sz="12" w:space="0" w:color="auto"/>
              <w:left w:val="single" w:sz="12" w:space="0" w:color="auto"/>
              <w:bottom w:val="single" w:sz="12" w:space="0" w:color="auto"/>
              <w:right w:val="single" w:sz="12" w:space="0" w:color="auto"/>
            </w:tcBorders>
            <w:vAlign w:val="center"/>
          </w:tcPr>
          <w:p w:rsidR="00697F87" w:rsidRPr="00737B66" w:rsidRDefault="00697F87" w:rsidP="00737B66">
            <w:pPr>
              <w:spacing w:line="360" w:lineRule="auto"/>
              <w:jc w:val="center"/>
              <w:rPr>
                <w:sz w:val="16"/>
                <w:szCs w:val="16"/>
                <w:lang w:val="lt-LT"/>
              </w:rPr>
            </w:pPr>
          </w:p>
        </w:tc>
        <w:tc>
          <w:tcPr>
            <w:tcW w:w="1468" w:type="dxa"/>
            <w:vMerge/>
            <w:tcBorders>
              <w:top w:val="single" w:sz="12" w:space="0" w:color="auto"/>
              <w:left w:val="single" w:sz="12" w:space="0" w:color="auto"/>
              <w:bottom w:val="single" w:sz="12" w:space="0" w:color="auto"/>
              <w:right w:val="single" w:sz="12" w:space="0" w:color="auto"/>
            </w:tcBorders>
            <w:vAlign w:val="center"/>
          </w:tcPr>
          <w:p w:rsidR="00697F87" w:rsidRPr="00737B66" w:rsidRDefault="00697F87" w:rsidP="00737B66">
            <w:pPr>
              <w:spacing w:line="360" w:lineRule="auto"/>
              <w:jc w:val="center"/>
              <w:rPr>
                <w:sz w:val="16"/>
                <w:szCs w:val="16"/>
                <w:lang w:val="lt-LT"/>
              </w:rPr>
            </w:pPr>
          </w:p>
        </w:tc>
      </w:tr>
      <w:tr w:rsidR="00A755CB" w:rsidRPr="00737B66" w:rsidTr="00737B66">
        <w:tc>
          <w:tcPr>
            <w:tcW w:w="714" w:type="dxa"/>
            <w:tcBorders>
              <w:top w:val="single" w:sz="6" w:space="0" w:color="auto"/>
              <w:left w:val="single" w:sz="12" w:space="0" w:color="auto"/>
              <w:bottom w:val="single" w:sz="6" w:space="0" w:color="auto"/>
              <w:right w:val="single" w:sz="12" w:space="0" w:color="auto"/>
            </w:tcBorders>
            <w:vAlign w:val="center"/>
          </w:tcPr>
          <w:p w:rsidR="00A755CB" w:rsidRPr="00737B66" w:rsidRDefault="00A755CB" w:rsidP="00737B66">
            <w:pPr>
              <w:jc w:val="center"/>
              <w:rPr>
                <w:b/>
                <w:sz w:val="16"/>
                <w:szCs w:val="16"/>
              </w:rPr>
            </w:pPr>
            <w:r w:rsidRPr="00737B66">
              <w:rPr>
                <w:b/>
                <w:sz w:val="16"/>
                <w:szCs w:val="16"/>
              </w:rPr>
              <w:t>EU27</w:t>
            </w:r>
          </w:p>
        </w:tc>
        <w:tc>
          <w:tcPr>
            <w:tcW w:w="966" w:type="dxa"/>
            <w:tcBorders>
              <w:top w:val="single" w:sz="12" w:space="0" w:color="auto"/>
              <w:left w:val="single" w:sz="12" w:space="0" w:color="auto"/>
              <w:bottom w:val="single" w:sz="6" w:space="0" w:color="auto"/>
              <w:right w:val="single" w:sz="6" w:space="0" w:color="auto"/>
            </w:tcBorders>
            <w:vAlign w:val="center"/>
          </w:tcPr>
          <w:p w:rsidR="00A755CB" w:rsidRPr="00737B66" w:rsidRDefault="00A755CB" w:rsidP="00737B66">
            <w:pPr>
              <w:spacing w:line="360" w:lineRule="auto"/>
              <w:jc w:val="center"/>
              <w:rPr>
                <w:sz w:val="16"/>
                <w:szCs w:val="16"/>
                <w:lang w:val="lt-LT"/>
              </w:rPr>
            </w:pPr>
            <w:r w:rsidRPr="00737B66">
              <w:rPr>
                <w:sz w:val="16"/>
                <w:szCs w:val="16"/>
                <w:lang w:val="lt-LT"/>
              </w:rPr>
              <w:t>481285,7</w:t>
            </w:r>
          </w:p>
        </w:tc>
        <w:tc>
          <w:tcPr>
            <w:tcW w:w="1236" w:type="dxa"/>
            <w:tcBorders>
              <w:top w:val="single" w:sz="12" w:space="0" w:color="auto"/>
              <w:left w:val="single" w:sz="6" w:space="0" w:color="auto"/>
              <w:bottom w:val="single" w:sz="6" w:space="0" w:color="auto"/>
              <w:right w:val="single" w:sz="6" w:space="0" w:color="auto"/>
            </w:tcBorders>
            <w:vAlign w:val="center"/>
          </w:tcPr>
          <w:p w:rsidR="00A755CB" w:rsidRPr="00737B66" w:rsidRDefault="00A755CB" w:rsidP="00737B66">
            <w:pPr>
              <w:spacing w:line="360" w:lineRule="auto"/>
              <w:jc w:val="center"/>
              <w:rPr>
                <w:sz w:val="16"/>
                <w:szCs w:val="16"/>
              </w:rPr>
            </w:pPr>
            <w:r w:rsidRPr="00737B66">
              <w:rPr>
                <w:sz w:val="16"/>
                <w:szCs w:val="16"/>
              </w:rPr>
              <w:t>419078,6</w:t>
            </w:r>
          </w:p>
        </w:tc>
        <w:tc>
          <w:tcPr>
            <w:tcW w:w="1000" w:type="dxa"/>
            <w:tcBorders>
              <w:top w:val="single" w:sz="12" w:space="0" w:color="auto"/>
              <w:left w:val="single" w:sz="6" w:space="0" w:color="auto"/>
              <w:bottom w:val="single" w:sz="6" w:space="0" w:color="auto"/>
              <w:right w:val="single" w:sz="4" w:space="0" w:color="auto"/>
            </w:tcBorders>
            <w:vAlign w:val="center"/>
          </w:tcPr>
          <w:p w:rsidR="00A755CB" w:rsidRPr="00737B66" w:rsidRDefault="00A755CB" w:rsidP="00737B66">
            <w:pPr>
              <w:spacing w:line="360" w:lineRule="auto"/>
              <w:jc w:val="center"/>
              <w:rPr>
                <w:sz w:val="16"/>
                <w:szCs w:val="16"/>
              </w:rPr>
            </w:pPr>
            <w:r w:rsidRPr="00737B66">
              <w:rPr>
                <w:sz w:val="16"/>
                <w:szCs w:val="16"/>
              </w:rPr>
              <w:t>11044,4</w:t>
            </w:r>
          </w:p>
        </w:tc>
        <w:tc>
          <w:tcPr>
            <w:tcW w:w="1308" w:type="dxa"/>
            <w:tcBorders>
              <w:top w:val="single" w:sz="12" w:space="0" w:color="auto"/>
              <w:left w:val="single" w:sz="4" w:space="0" w:color="auto"/>
              <w:bottom w:val="single" w:sz="6" w:space="0" w:color="auto"/>
              <w:right w:val="single" w:sz="12" w:space="0" w:color="auto"/>
            </w:tcBorders>
            <w:vAlign w:val="center"/>
          </w:tcPr>
          <w:p w:rsidR="00A755CB" w:rsidRPr="00737B66" w:rsidRDefault="00A755CB" w:rsidP="00737B66">
            <w:pPr>
              <w:jc w:val="center"/>
              <w:rPr>
                <w:color w:val="000000"/>
                <w:sz w:val="16"/>
                <w:szCs w:val="16"/>
              </w:rPr>
            </w:pPr>
            <w:r w:rsidRPr="00737B66">
              <w:rPr>
                <w:color w:val="000000"/>
                <w:sz w:val="16"/>
                <w:szCs w:val="16"/>
              </w:rPr>
              <w:t>911408,7</w:t>
            </w:r>
          </w:p>
        </w:tc>
        <w:tc>
          <w:tcPr>
            <w:tcW w:w="1523" w:type="dxa"/>
            <w:tcBorders>
              <w:top w:val="single" w:sz="12" w:space="0" w:color="auto"/>
              <w:left w:val="single" w:sz="12" w:space="0" w:color="auto"/>
              <w:bottom w:val="single" w:sz="6" w:space="0" w:color="auto"/>
              <w:right w:val="single" w:sz="12" w:space="0" w:color="auto"/>
            </w:tcBorders>
            <w:vAlign w:val="center"/>
          </w:tcPr>
          <w:p w:rsidR="00A755CB" w:rsidRPr="00737B66" w:rsidRDefault="00A755CB" w:rsidP="00737B66">
            <w:pPr>
              <w:jc w:val="center"/>
              <w:rPr>
                <w:color w:val="000000"/>
                <w:sz w:val="16"/>
                <w:szCs w:val="16"/>
              </w:rPr>
            </w:pPr>
            <w:r w:rsidRPr="00737B66">
              <w:rPr>
                <w:color w:val="000000"/>
                <w:sz w:val="16"/>
                <w:szCs w:val="16"/>
              </w:rPr>
              <w:t>893835</w:t>
            </w:r>
          </w:p>
        </w:tc>
        <w:tc>
          <w:tcPr>
            <w:tcW w:w="1541" w:type="dxa"/>
            <w:tcBorders>
              <w:top w:val="single" w:sz="12" w:space="0" w:color="auto"/>
              <w:left w:val="single" w:sz="12" w:space="0" w:color="auto"/>
              <w:bottom w:val="single" w:sz="6" w:space="0" w:color="auto"/>
              <w:right w:val="single" w:sz="12" w:space="0" w:color="auto"/>
            </w:tcBorders>
            <w:vAlign w:val="center"/>
          </w:tcPr>
          <w:p w:rsidR="00A755CB" w:rsidRPr="00737B66" w:rsidRDefault="00A755CB" w:rsidP="00737B66">
            <w:pPr>
              <w:jc w:val="center"/>
              <w:rPr>
                <w:color w:val="000000"/>
                <w:sz w:val="16"/>
                <w:szCs w:val="16"/>
              </w:rPr>
            </w:pPr>
            <w:r w:rsidRPr="00737B66">
              <w:rPr>
                <w:color w:val="000000"/>
                <w:sz w:val="16"/>
                <w:szCs w:val="16"/>
              </w:rPr>
              <w:t>310012</w:t>
            </w:r>
          </w:p>
        </w:tc>
        <w:tc>
          <w:tcPr>
            <w:tcW w:w="1468" w:type="dxa"/>
            <w:tcBorders>
              <w:top w:val="single" w:sz="12" w:space="0" w:color="auto"/>
              <w:left w:val="single" w:sz="12" w:space="0" w:color="auto"/>
              <w:bottom w:val="single" w:sz="6" w:space="0" w:color="auto"/>
              <w:right w:val="single" w:sz="12" w:space="0" w:color="auto"/>
            </w:tcBorders>
            <w:vAlign w:val="center"/>
          </w:tcPr>
          <w:p w:rsidR="00A755CB" w:rsidRPr="00737B66" w:rsidRDefault="00A755CB" w:rsidP="00737B66">
            <w:pPr>
              <w:spacing w:line="360" w:lineRule="auto"/>
              <w:jc w:val="center"/>
              <w:rPr>
                <w:sz w:val="16"/>
                <w:szCs w:val="16"/>
              </w:rPr>
            </w:pPr>
            <w:r w:rsidRPr="00737B66">
              <w:rPr>
                <w:sz w:val="16"/>
                <w:szCs w:val="16"/>
              </w:rPr>
              <w:t>2115255,7</w:t>
            </w:r>
          </w:p>
        </w:tc>
      </w:tr>
      <w:tr w:rsidR="00A755CB" w:rsidRPr="00737B66" w:rsidTr="00737B66">
        <w:tc>
          <w:tcPr>
            <w:tcW w:w="714" w:type="dxa"/>
            <w:tcBorders>
              <w:top w:val="single" w:sz="6" w:space="0" w:color="auto"/>
              <w:left w:val="single" w:sz="12" w:space="0" w:color="auto"/>
              <w:bottom w:val="single" w:sz="6" w:space="0" w:color="auto"/>
              <w:right w:val="single" w:sz="12" w:space="0" w:color="auto"/>
            </w:tcBorders>
            <w:vAlign w:val="center"/>
          </w:tcPr>
          <w:p w:rsidR="00A755CB" w:rsidRPr="00737B66" w:rsidRDefault="00A755CB" w:rsidP="00737B66">
            <w:pPr>
              <w:jc w:val="center"/>
              <w:rPr>
                <w:b/>
                <w:sz w:val="16"/>
                <w:szCs w:val="16"/>
              </w:rPr>
            </w:pPr>
            <w:r w:rsidRPr="00737B66">
              <w:rPr>
                <w:b/>
                <w:sz w:val="16"/>
                <w:szCs w:val="16"/>
              </w:rPr>
              <w:t>LT</w:t>
            </w:r>
          </w:p>
        </w:tc>
        <w:tc>
          <w:tcPr>
            <w:tcW w:w="966" w:type="dxa"/>
            <w:tcBorders>
              <w:top w:val="single" w:sz="6" w:space="0" w:color="auto"/>
              <w:left w:val="single" w:sz="12" w:space="0" w:color="auto"/>
              <w:bottom w:val="single" w:sz="6" w:space="0" w:color="auto"/>
              <w:right w:val="single" w:sz="6" w:space="0" w:color="auto"/>
            </w:tcBorders>
            <w:vAlign w:val="center"/>
          </w:tcPr>
          <w:p w:rsidR="00A755CB" w:rsidRPr="00737B66" w:rsidRDefault="00A755CB" w:rsidP="00737B66">
            <w:pPr>
              <w:spacing w:line="360" w:lineRule="auto"/>
              <w:jc w:val="center"/>
              <w:rPr>
                <w:sz w:val="16"/>
                <w:szCs w:val="16"/>
                <w:lang w:val="lt-LT"/>
              </w:rPr>
            </w:pPr>
            <w:r w:rsidRPr="00737B66">
              <w:rPr>
                <w:sz w:val="16"/>
                <w:szCs w:val="16"/>
                <w:lang w:val="lt-LT"/>
              </w:rPr>
              <w:t>724,7</w:t>
            </w:r>
          </w:p>
        </w:tc>
        <w:tc>
          <w:tcPr>
            <w:tcW w:w="1236" w:type="dxa"/>
            <w:tcBorders>
              <w:top w:val="single" w:sz="6" w:space="0" w:color="auto"/>
              <w:left w:val="single" w:sz="6" w:space="0" w:color="auto"/>
              <w:bottom w:val="single" w:sz="6" w:space="0" w:color="auto"/>
              <w:right w:val="single" w:sz="6" w:space="0" w:color="auto"/>
            </w:tcBorders>
            <w:vAlign w:val="center"/>
          </w:tcPr>
          <w:p w:rsidR="00A755CB" w:rsidRPr="00737B66" w:rsidRDefault="00A755CB" w:rsidP="00737B66">
            <w:pPr>
              <w:spacing w:line="360" w:lineRule="auto"/>
              <w:jc w:val="center"/>
              <w:rPr>
                <w:sz w:val="16"/>
                <w:szCs w:val="16"/>
                <w:lang w:val="lt-LT"/>
              </w:rPr>
            </w:pPr>
            <w:r w:rsidRPr="00737B66">
              <w:rPr>
                <w:sz w:val="16"/>
                <w:szCs w:val="16"/>
                <w:lang w:val="lt-LT"/>
              </w:rPr>
              <w:t>131,5</w:t>
            </w:r>
          </w:p>
        </w:tc>
        <w:tc>
          <w:tcPr>
            <w:tcW w:w="1000" w:type="dxa"/>
            <w:tcBorders>
              <w:top w:val="single" w:sz="6" w:space="0" w:color="auto"/>
              <w:left w:val="single" w:sz="6" w:space="0" w:color="auto"/>
              <w:bottom w:val="single" w:sz="6" w:space="0" w:color="auto"/>
              <w:right w:val="single" w:sz="4" w:space="0" w:color="auto"/>
            </w:tcBorders>
            <w:vAlign w:val="center"/>
          </w:tcPr>
          <w:p w:rsidR="00A755CB" w:rsidRPr="00737B66" w:rsidRDefault="00A755CB" w:rsidP="00737B66">
            <w:pPr>
              <w:spacing w:line="360" w:lineRule="auto"/>
              <w:jc w:val="center"/>
              <w:rPr>
                <w:sz w:val="16"/>
                <w:szCs w:val="16"/>
                <w:lang w:val="lt-LT"/>
              </w:rPr>
            </w:pPr>
            <w:r w:rsidRPr="00737B66">
              <w:rPr>
                <w:sz w:val="16"/>
                <w:szCs w:val="16"/>
                <w:lang w:val="lt-LT"/>
              </w:rPr>
              <w:t>1,2</w:t>
            </w:r>
          </w:p>
        </w:tc>
        <w:tc>
          <w:tcPr>
            <w:tcW w:w="1308" w:type="dxa"/>
            <w:tcBorders>
              <w:top w:val="single" w:sz="6" w:space="0" w:color="auto"/>
              <w:left w:val="single" w:sz="4" w:space="0" w:color="auto"/>
              <w:bottom w:val="single" w:sz="6" w:space="0" w:color="auto"/>
              <w:right w:val="single" w:sz="12" w:space="0" w:color="auto"/>
            </w:tcBorders>
            <w:vAlign w:val="center"/>
          </w:tcPr>
          <w:p w:rsidR="00A755CB" w:rsidRPr="00737B66" w:rsidRDefault="00A755CB" w:rsidP="00737B66">
            <w:pPr>
              <w:jc w:val="center"/>
              <w:rPr>
                <w:color w:val="000000"/>
                <w:sz w:val="16"/>
                <w:szCs w:val="16"/>
              </w:rPr>
            </w:pPr>
            <w:r w:rsidRPr="00737B66">
              <w:rPr>
                <w:color w:val="000000"/>
                <w:sz w:val="16"/>
                <w:szCs w:val="16"/>
              </w:rPr>
              <w:t>857,4</w:t>
            </w:r>
          </w:p>
        </w:tc>
        <w:tc>
          <w:tcPr>
            <w:tcW w:w="1523" w:type="dxa"/>
            <w:tcBorders>
              <w:top w:val="single" w:sz="6" w:space="0" w:color="auto"/>
              <w:left w:val="single" w:sz="12" w:space="0" w:color="auto"/>
              <w:bottom w:val="single" w:sz="6" w:space="0" w:color="auto"/>
              <w:right w:val="single" w:sz="12" w:space="0" w:color="auto"/>
            </w:tcBorders>
            <w:vAlign w:val="center"/>
          </w:tcPr>
          <w:p w:rsidR="00A755CB" w:rsidRPr="00737B66" w:rsidRDefault="00A755CB" w:rsidP="00737B66">
            <w:pPr>
              <w:jc w:val="center"/>
              <w:rPr>
                <w:color w:val="000000"/>
                <w:sz w:val="16"/>
                <w:szCs w:val="16"/>
              </w:rPr>
            </w:pPr>
            <w:r w:rsidRPr="00737B66">
              <w:rPr>
                <w:color w:val="000000"/>
                <w:sz w:val="16"/>
                <w:szCs w:val="16"/>
              </w:rPr>
              <w:t>1984,7</w:t>
            </w:r>
          </w:p>
        </w:tc>
        <w:tc>
          <w:tcPr>
            <w:tcW w:w="1541" w:type="dxa"/>
            <w:tcBorders>
              <w:top w:val="single" w:sz="6" w:space="0" w:color="auto"/>
              <w:left w:val="single" w:sz="12" w:space="0" w:color="auto"/>
              <w:bottom w:val="single" w:sz="6" w:space="0" w:color="auto"/>
              <w:right w:val="single" w:sz="12" w:space="0" w:color="auto"/>
            </w:tcBorders>
            <w:vAlign w:val="center"/>
          </w:tcPr>
          <w:p w:rsidR="00A755CB" w:rsidRPr="00737B66" w:rsidRDefault="00A755CB" w:rsidP="00737B66">
            <w:pPr>
              <w:jc w:val="center"/>
              <w:rPr>
                <w:color w:val="000000"/>
                <w:sz w:val="16"/>
                <w:szCs w:val="16"/>
              </w:rPr>
            </w:pPr>
            <w:r w:rsidRPr="00737B66">
              <w:rPr>
                <w:color w:val="000000"/>
                <w:sz w:val="16"/>
                <w:szCs w:val="16"/>
                <w:lang w:val="lt-LT"/>
              </w:rPr>
              <w:t>185</w:t>
            </w:r>
          </w:p>
        </w:tc>
        <w:tc>
          <w:tcPr>
            <w:tcW w:w="1468" w:type="dxa"/>
            <w:tcBorders>
              <w:top w:val="single" w:sz="6" w:space="0" w:color="auto"/>
              <w:left w:val="single" w:sz="12" w:space="0" w:color="auto"/>
              <w:bottom w:val="single" w:sz="6" w:space="0" w:color="auto"/>
              <w:right w:val="single" w:sz="12" w:space="0" w:color="auto"/>
            </w:tcBorders>
            <w:vAlign w:val="center"/>
          </w:tcPr>
          <w:p w:rsidR="00A755CB" w:rsidRPr="00737B66" w:rsidRDefault="00A755CB" w:rsidP="00737B66">
            <w:pPr>
              <w:spacing w:line="360" w:lineRule="auto"/>
              <w:jc w:val="center"/>
              <w:rPr>
                <w:sz w:val="16"/>
                <w:szCs w:val="16"/>
                <w:lang w:val="lt-LT"/>
              </w:rPr>
            </w:pPr>
            <w:r w:rsidRPr="00737B66">
              <w:rPr>
                <w:sz w:val="16"/>
                <w:szCs w:val="16"/>
                <w:lang w:val="lt-LT"/>
              </w:rPr>
              <w:t>3027,1</w:t>
            </w:r>
          </w:p>
        </w:tc>
      </w:tr>
      <w:tr w:rsidR="00A755CB" w:rsidRPr="00737B66" w:rsidTr="00737B66">
        <w:tc>
          <w:tcPr>
            <w:tcW w:w="714" w:type="dxa"/>
            <w:tcBorders>
              <w:top w:val="single" w:sz="6" w:space="0" w:color="auto"/>
              <w:left w:val="single" w:sz="12" w:space="0" w:color="auto"/>
              <w:bottom w:val="single" w:sz="6" w:space="0" w:color="auto"/>
              <w:right w:val="single" w:sz="12" w:space="0" w:color="auto"/>
            </w:tcBorders>
            <w:vAlign w:val="center"/>
          </w:tcPr>
          <w:p w:rsidR="00A755CB" w:rsidRPr="00737B66" w:rsidRDefault="00A755CB" w:rsidP="00737B66">
            <w:pPr>
              <w:jc w:val="center"/>
              <w:rPr>
                <w:b/>
                <w:sz w:val="16"/>
                <w:szCs w:val="16"/>
              </w:rPr>
            </w:pPr>
            <w:r w:rsidRPr="00737B66">
              <w:rPr>
                <w:b/>
                <w:sz w:val="16"/>
                <w:szCs w:val="16"/>
              </w:rPr>
              <w:t>BE</w:t>
            </w:r>
          </w:p>
        </w:tc>
        <w:tc>
          <w:tcPr>
            <w:tcW w:w="966" w:type="dxa"/>
            <w:tcBorders>
              <w:top w:val="single" w:sz="6" w:space="0" w:color="auto"/>
              <w:left w:val="single" w:sz="12" w:space="0" w:color="auto"/>
              <w:bottom w:val="single" w:sz="6" w:space="0" w:color="auto"/>
              <w:right w:val="single" w:sz="6" w:space="0" w:color="auto"/>
            </w:tcBorders>
            <w:vAlign w:val="center"/>
          </w:tcPr>
          <w:p w:rsidR="00A755CB" w:rsidRPr="00737B66" w:rsidRDefault="00A755CB" w:rsidP="00737B66">
            <w:pPr>
              <w:spacing w:line="360" w:lineRule="auto"/>
              <w:jc w:val="center"/>
              <w:rPr>
                <w:sz w:val="16"/>
                <w:szCs w:val="16"/>
                <w:lang w:val="lt-LT"/>
              </w:rPr>
            </w:pPr>
            <w:r w:rsidRPr="00737B66">
              <w:rPr>
                <w:sz w:val="16"/>
                <w:szCs w:val="16"/>
                <w:lang w:val="lt-LT"/>
              </w:rPr>
              <w:t>4335,3</w:t>
            </w:r>
          </w:p>
        </w:tc>
        <w:tc>
          <w:tcPr>
            <w:tcW w:w="1236" w:type="dxa"/>
            <w:tcBorders>
              <w:top w:val="single" w:sz="6" w:space="0" w:color="auto"/>
              <w:left w:val="single" w:sz="6" w:space="0" w:color="auto"/>
              <w:bottom w:val="single" w:sz="6" w:space="0" w:color="auto"/>
              <w:right w:val="single" w:sz="6" w:space="0" w:color="auto"/>
            </w:tcBorders>
            <w:vAlign w:val="center"/>
          </w:tcPr>
          <w:p w:rsidR="00A755CB" w:rsidRPr="00737B66" w:rsidRDefault="00A755CB" w:rsidP="00737B66">
            <w:pPr>
              <w:spacing w:line="360" w:lineRule="auto"/>
              <w:jc w:val="center"/>
              <w:rPr>
                <w:sz w:val="16"/>
                <w:szCs w:val="16"/>
                <w:lang w:val="lt-LT"/>
              </w:rPr>
            </w:pPr>
            <w:r w:rsidRPr="00737B66">
              <w:rPr>
                <w:sz w:val="16"/>
                <w:szCs w:val="16"/>
                <w:lang w:val="lt-LT"/>
              </w:rPr>
              <w:t>9921</w:t>
            </w:r>
          </w:p>
        </w:tc>
        <w:tc>
          <w:tcPr>
            <w:tcW w:w="1000" w:type="dxa"/>
            <w:tcBorders>
              <w:top w:val="single" w:sz="6" w:space="0" w:color="auto"/>
              <w:left w:val="single" w:sz="6" w:space="0" w:color="auto"/>
              <w:bottom w:val="single" w:sz="6" w:space="0" w:color="auto"/>
              <w:right w:val="single" w:sz="4" w:space="0" w:color="auto"/>
            </w:tcBorders>
            <w:vAlign w:val="center"/>
          </w:tcPr>
          <w:p w:rsidR="00A755CB" w:rsidRPr="00737B66" w:rsidRDefault="00A755CB" w:rsidP="00737B66">
            <w:pPr>
              <w:spacing w:line="360" w:lineRule="auto"/>
              <w:jc w:val="center"/>
              <w:rPr>
                <w:sz w:val="16"/>
                <w:szCs w:val="16"/>
                <w:lang w:val="lt-LT"/>
              </w:rPr>
            </w:pPr>
          </w:p>
        </w:tc>
        <w:tc>
          <w:tcPr>
            <w:tcW w:w="1308" w:type="dxa"/>
            <w:tcBorders>
              <w:top w:val="single" w:sz="6" w:space="0" w:color="auto"/>
              <w:left w:val="single" w:sz="4" w:space="0" w:color="auto"/>
              <w:bottom w:val="single" w:sz="6" w:space="0" w:color="auto"/>
              <w:right w:val="single" w:sz="12" w:space="0" w:color="auto"/>
            </w:tcBorders>
            <w:vAlign w:val="center"/>
          </w:tcPr>
          <w:p w:rsidR="00A755CB" w:rsidRPr="00737B66" w:rsidRDefault="00A755CB" w:rsidP="00737B66">
            <w:pPr>
              <w:jc w:val="center"/>
              <w:rPr>
                <w:color w:val="000000"/>
                <w:sz w:val="16"/>
                <w:szCs w:val="16"/>
              </w:rPr>
            </w:pPr>
            <w:r w:rsidRPr="00737B66">
              <w:rPr>
                <w:color w:val="000000"/>
                <w:sz w:val="16"/>
                <w:szCs w:val="16"/>
              </w:rPr>
              <w:t>14256,3</w:t>
            </w:r>
          </w:p>
        </w:tc>
        <w:tc>
          <w:tcPr>
            <w:tcW w:w="1523" w:type="dxa"/>
            <w:tcBorders>
              <w:top w:val="single" w:sz="6" w:space="0" w:color="auto"/>
              <w:left w:val="single" w:sz="12" w:space="0" w:color="auto"/>
              <w:bottom w:val="single" w:sz="6" w:space="0" w:color="auto"/>
              <w:right w:val="single" w:sz="12" w:space="0" w:color="auto"/>
            </w:tcBorders>
            <w:vAlign w:val="center"/>
          </w:tcPr>
          <w:p w:rsidR="00A755CB" w:rsidRPr="00737B66" w:rsidRDefault="00A755CB" w:rsidP="00737B66">
            <w:pPr>
              <w:jc w:val="center"/>
              <w:rPr>
                <w:color w:val="000000"/>
                <w:sz w:val="16"/>
                <w:szCs w:val="16"/>
              </w:rPr>
            </w:pPr>
            <w:r w:rsidRPr="00737B66">
              <w:rPr>
                <w:color w:val="000000"/>
                <w:sz w:val="16"/>
                <w:szCs w:val="16"/>
              </w:rPr>
              <w:t>53163,2</w:t>
            </w:r>
          </w:p>
        </w:tc>
        <w:tc>
          <w:tcPr>
            <w:tcW w:w="1541" w:type="dxa"/>
            <w:tcBorders>
              <w:top w:val="single" w:sz="6" w:space="0" w:color="auto"/>
              <w:left w:val="single" w:sz="12" w:space="0" w:color="auto"/>
              <w:bottom w:val="single" w:sz="6" w:space="0" w:color="auto"/>
              <w:right w:val="single" w:sz="12" w:space="0" w:color="auto"/>
            </w:tcBorders>
            <w:vAlign w:val="center"/>
          </w:tcPr>
          <w:p w:rsidR="00A755CB" w:rsidRPr="00737B66" w:rsidRDefault="00A755CB" w:rsidP="00737B66">
            <w:pPr>
              <w:jc w:val="center"/>
              <w:rPr>
                <w:color w:val="000000"/>
                <w:sz w:val="16"/>
                <w:szCs w:val="16"/>
              </w:rPr>
            </w:pPr>
            <w:r w:rsidRPr="00737B66">
              <w:rPr>
                <w:color w:val="000000"/>
                <w:sz w:val="16"/>
                <w:szCs w:val="16"/>
                <w:lang w:val="lt-LT"/>
              </w:rPr>
              <w:t>15946,6</w:t>
            </w:r>
          </w:p>
        </w:tc>
        <w:tc>
          <w:tcPr>
            <w:tcW w:w="1468" w:type="dxa"/>
            <w:tcBorders>
              <w:top w:val="single" w:sz="6" w:space="0" w:color="auto"/>
              <w:left w:val="single" w:sz="12" w:space="0" w:color="auto"/>
              <w:bottom w:val="single" w:sz="6" w:space="0" w:color="auto"/>
              <w:right w:val="single" w:sz="12" w:space="0" w:color="auto"/>
            </w:tcBorders>
            <w:vAlign w:val="center"/>
          </w:tcPr>
          <w:p w:rsidR="00A755CB" w:rsidRPr="00737B66" w:rsidRDefault="00A755CB" w:rsidP="00737B66">
            <w:pPr>
              <w:spacing w:line="360" w:lineRule="auto"/>
              <w:jc w:val="center"/>
              <w:rPr>
                <w:sz w:val="16"/>
                <w:szCs w:val="16"/>
                <w:lang w:val="lt-LT"/>
              </w:rPr>
            </w:pPr>
            <w:r w:rsidRPr="00737B66">
              <w:rPr>
                <w:sz w:val="16"/>
                <w:szCs w:val="16"/>
                <w:lang w:val="lt-LT"/>
              </w:rPr>
              <w:t>83366,1</w:t>
            </w:r>
          </w:p>
        </w:tc>
      </w:tr>
      <w:tr w:rsidR="00A755CB" w:rsidRPr="00737B66" w:rsidTr="00737B66">
        <w:tc>
          <w:tcPr>
            <w:tcW w:w="714" w:type="dxa"/>
            <w:tcBorders>
              <w:top w:val="single" w:sz="6" w:space="0" w:color="auto"/>
              <w:left w:val="single" w:sz="12" w:space="0" w:color="auto"/>
              <w:bottom w:val="single" w:sz="6" w:space="0" w:color="auto"/>
              <w:right w:val="single" w:sz="12" w:space="0" w:color="auto"/>
            </w:tcBorders>
            <w:vAlign w:val="center"/>
          </w:tcPr>
          <w:p w:rsidR="00A755CB" w:rsidRPr="00737B66" w:rsidRDefault="00A755CB" w:rsidP="00737B66">
            <w:pPr>
              <w:jc w:val="center"/>
              <w:rPr>
                <w:b/>
                <w:sz w:val="16"/>
                <w:szCs w:val="16"/>
              </w:rPr>
            </w:pPr>
            <w:r w:rsidRPr="00737B66">
              <w:rPr>
                <w:b/>
                <w:sz w:val="16"/>
                <w:szCs w:val="16"/>
              </w:rPr>
              <w:t>BG</w:t>
            </w:r>
          </w:p>
        </w:tc>
        <w:tc>
          <w:tcPr>
            <w:tcW w:w="966" w:type="dxa"/>
            <w:tcBorders>
              <w:top w:val="single" w:sz="6" w:space="0" w:color="auto"/>
              <w:left w:val="single" w:sz="12" w:space="0" w:color="auto"/>
              <w:bottom w:val="single" w:sz="6" w:space="0" w:color="auto"/>
              <w:right w:val="single" w:sz="6" w:space="0" w:color="auto"/>
            </w:tcBorders>
            <w:vAlign w:val="center"/>
          </w:tcPr>
          <w:p w:rsidR="00A755CB" w:rsidRPr="00737B66" w:rsidRDefault="00A755CB" w:rsidP="00737B66">
            <w:pPr>
              <w:spacing w:line="360" w:lineRule="auto"/>
              <w:jc w:val="center"/>
              <w:rPr>
                <w:sz w:val="16"/>
                <w:szCs w:val="16"/>
                <w:lang w:val="lt-LT"/>
              </w:rPr>
            </w:pPr>
            <w:r w:rsidRPr="00737B66">
              <w:rPr>
                <w:sz w:val="16"/>
                <w:szCs w:val="16"/>
                <w:lang w:val="lt-LT"/>
              </w:rPr>
              <w:t>55,6</w:t>
            </w:r>
          </w:p>
        </w:tc>
        <w:tc>
          <w:tcPr>
            <w:tcW w:w="1236" w:type="dxa"/>
            <w:tcBorders>
              <w:top w:val="single" w:sz="6" w:space="0" w:color="auto"/>
              <w:left w:val="single" w:sz="6" w:space="0" w:color="auto"/>
              <w:bottom w:val="single" w:sz="6" w:space="0" w:color="auto"/>
              <w:right w:val="single" w:sz="6" w:space="0" w:color="auto"/>
            </w:tcBorders>
            <w:vAlign w:val="center"/>
          </w:tcPr>
          <w:p w:rsidR="00A755CB" w:rsidRPr="00737B66" w:rsidRDefault="00A755CB" w:rsidP="00737B66">
            <w:pPr>
              <w:spacing w:line="360" w:lineRule="auto"/>
              <w:jc w:val="center"/>
              <w:rPr>
                <w:sz w:val="16"/>
                <w:szCs w:val="16"/>
                <w:lang w:val="lt-LT"/>
              </w:rPr>
            </w:pPr>
            <w:r w:rsidRPr="00737B66">
              <w:rPr>
                <w:sz w:val="16"/>
                <w:szCs w:val="16"/>
                <w:lang w:val="lt-LT"/>
              </w:rPr>
              <w:t>176</w:t>
            </w:r>
          </w:p>
        </w:tc>
        <w:tc>
          <w:tcPr>
            <w:tcW w:w="1000" w:type="dxa"/>
            <w:tcBorders>
              <w:top w:val="single" w:sz="6" w:space="0" w:color="auto"/>
              <w:left w:val="single" w:sz="6" w:space="0" w:color="auto"/>
              <w:bottom w:val="single" w:sz="6" w:space="0" w:color="auto"/>
              <w:right w:val="single" w:sz="4" w:space="0" w:color="auto"/>
            </w:tcBorders>
            <w:vAlign w:val="center"/>
          </w:tcPr>
          <w:p w:rsidR="00A755CB" w:rsidRPr="00737B66" w:rsidRDefault="00A755CB" w:rsidP="00737B66">
            <w:pPr>
              <w:spacing w:line="360" w:lineRule="auto"/>
              <w:jc w:val="center"/>
              <w:rPr>
                <w:sz w:val="16"/>
                <w:szCs w:val="16"/>
                <w:lang w:val="lt-LT"/>
              </w:rPr>
            </w:pPr>
            <w:r w:rsidRPr="00737B66">
              <w:rPr>
                <w:sz w:val="16"/>
                <w:szCs w:val="16"/>
                <w:lang w:val="lt-LT"/>
              </w:rPr>
              <w:t>96,8</w:t>
            </w:r>
          </w:p>
        </w:tc>
        <w:tc>
          <w:tcPr>
            <w:tcW w:w="1308" w:type="dxa"/>
            <w:tcBorders>
              <w:top w:val="single" w:sz="6" w:space="0" w:color="auto"/>
              <w:left w:val="single" w:sz="4" w:space="0" w:color="auto"/>
              <w:bottom w:val="single" w:sz="6" w:space="0" w:color="auto"/>
              <w:right w:val="single" w:sz="12" w:space="0" w:color="auto"/>
            </w:tcBorders>
            <w:vAlign w:val="center"/>
          </w:tcPr>
          <w:p w:rsidR="00A755CB" w:rsidRPr="00737B66" w:rsidRDefault="00A755CB" w:rsidP="00737B66">
            <w:pPr>
              <w:jc w:val="center"/>
              <w:rPr>
                <w:color w:val="000000"/>
                <w:sz w:val="16"/>
                <w:szCs w:val="16"/>
              </w:rPr>
            </w:pPr>
            <w:r w:rsidRPr="00737B66">
              <w:rPr>
                <w:color w:val="000000"/>
                <w:sz w:val="16"/>
                <w:szCs w:val="16"/>
              </w:rPr>
              <w:t>328,4</w:t>
            </w:r>
          </w:p>
        </w:tc>
        <w:tc>
          <w:tcPr>
            <w:tcW w:w="1523" w:type="dxa"/>
            <w:tcBorders>
              <w:top w:val="single" w:sz="6" w:space="0" w:color="auto"/>
              <w:left w:val="single" w:sz="12" w:space="0" w:color="auto"/>
              <w:bottom w:val="single" w:sz="6" w:space="0" w:color="auto"/>
              <w:right w:val="single" w:sz="12" w:space="0" w:color="auto"/>
            </w:tcBorders>
            <w:vAlign w:val="center"/>
          </w:tcPr>
          <w:p w:rsidR="00A755CB" w:rsidRPr="00737B66" w:rsidRDefault="00A755CB" w:rsidP="00737B66">
            <w:pPr>
              <w:jc w:val="center"/>
              <w:rPr>
                <w:color w:val="000000"/>
                <w:sz w:val="16"/>
                <w:szCs w:val="16"/>
              </w:rPr>
            </w:pPr>
            <w:r w:rsidRPr="00737B66">
              <w:rPr>
                <w:color w:val="000000"/>
                <w:sz w:val="16"/>
                <w:szCs w:val="16"/>
              </w:rPr>
              <w:t>2197,2</w:t>
            </w:r>
          </w:p>
        </w:tc>
        <w:tc>
          <w:tcPr>
            <w:tcW w:w="1541" w:type="dxa"/>
            <w:tcBorders>
              <w:top w:val="single" w:sz="6" w:space="0" w:color="auto"/>
              <w:left w:val="single" w:sz="12" w:space="0" w:color="auto"/>
              <w:bottom w:val="single" w:sz="6" w:space="0" w:color="auto"/>
              <w:right w:val="single" w:sz="12" w:space="0" w:color="auto"/>
            </w:tcBorders>
            <w:vAlign w:val="center"/>
          </w:tcPr>
          <w:p w:rsidR="00A755CB" w:rsidRPr="00737B66" w:rsidRDefault="00A755CB" w:rsidP="00737B66">
            <w:pPr>
              <w:jc w:val="center"/>
              <w:rPr>
                <w:color w:val="000000"/>
                <w:sz w:val="16"/>
                <w:szCs w:val="16"/>
              </w:rPr>
            </w:pPr>
            <w:r w:rsidRPr="00737B66">
              <w:rPr>
                <w:color w:val="000000"/>
                <w:sz w:val="16"/>
                <w:szCs w:val="16"/>
                <w:lang w:val="lt-LT"/>
              </w:rPr>
              <w:t>279</w:t>
            </w:r>
          </w:p>
        </w:tc>
        <w:tc>
          <w:tcPr>
            <w:tcW w:w="1468" w:type="dxa"/>
            <w:tcBorders>
              <w:top w:val="single" w:sz="6" w:space="0" w:color="auto"/>
              <w:left w:val="single" w:sz="12" w:space="0" w:color="auto"/>
              <w:bottom w:val="single" w:sz="6" w:space="0" w:color="auto"/>
              <w:right w:val="single" w:sz="12" w:space="0" w:color="auto"/>
            </w:tcBorders>
            <w:vAlign w:val="center"/>
          </w:tcPr>
          <w:p w:rsidR="00A755CB" w:rsidRPr="00737B66" w:rsidRDefault="00A755CB" w:rsidP="00737B66">
            <w:pPr>
              <w:spacing w:line="360" w:lineRule="auto"/>
              <w:jc w:val="center"/>
              <w:rPr>
                <w:sz w:val="16"/>
                <w:szCs w:val="16"/>
                <w:lang w:val="lt-LT"/>
              </w:rPr>
            </w:pPr>
            <w:r w:rsidRPr="00737B66">
              <w:rPr>
                <w:sz w:val="16"/>
                <w:szCs w:val="16"/>
                <w:lang w:val="lt-LT"/>
              </w:rPr>
              <w:t>2804,6</w:t>
            </w:r>
          </w:p>
        </w:tc>
      </w:tr>
      <w:tr w:rsidR="00A755CB" w:rsidRPr="00737B66" w:rsidTr="00737B66">
        <w:tc>
          <w:tcPr>
            <w:tcW w:w="714" w:type="dxa"/>
            <w:tcBorders>
              <w:top w:val="single" w:sz="6" w:space="0" w:color="auto"/>
              <w:left w:val="single" w:sz="12" w:space="0" w:color="auto"/>
              <w:bottom w:val="single" w:sz="6" w:space="0" w:color="auto"/>
              <w:right w:val="single" w:sz="12" w:space="0" w:color="auto"/>
            </w:tcBorders>
            <w:vAlign w:val="center"/>
          </w:tcPr>
          <w:p w:rsidR="00A755CB" w:rsidRPr="00737B66" w:rsidRDefault="00A755CB" w:rsidP="00737B66">
            <w:pPr>
              <w:jc w:val="center"/>
              <w:rPr>
                <w:b/>
                <w:sz w:val="16"/>
                <w:szCs w:val="16"/>
              </w:rPr>
            </w:pPr>
            <w:r w:rsidRPr="00737B66">
              <w:rPr>
                <w:b/>
                <w:sz w:val="16"/>
                <w:szCs w:val="16"/>
              </w:rPr>
              <w:t>CZ</w:t>
            </w:r>
          </w:p>
        </w:tc>
        <w:tc>
          <w:tcPr>
            <w:tcW w:w="966" w:type="dxa"/>
            <w:tcBorders>
              <w:top w:val="single" w:sz="6" w:space="0" w:color="auto"/>
              <w:left w:val="single" w:sz="12" w:space="0" w:color="auto"/>
              <w:bottom w:val="single" w:sz="6" w:space="0" w:color="auto"/>
              <w:right w:val="single" w:sz="6" w:space="0" w:color="auto"/>
            </w:tcBorders>
            <w:vAlign w:val="center"/>
          </w:tcPr>
          <w:p w:rsidR="00A755CB" w:rsidRPr="00737B66" w:rsidRDefault="00A755CB" w:rsidP="00737B66">
            <w:pPr>
              <w:spacing w:line="360" w:lineRule="auto"/>
              <w:jc w:val="center"/>
              <w:rPr>
                <w:sz w:val="16"/>
                <w:szCs w:val="16"/>
                <w:lang w:val="lt-LT"/>
              </w:rPr>
            </w:pPr>
            <w:r w:rsidRPr="00737B66">
              <w:rPr>
                <w:sz w:val="16"/>
                <w:szCs w:val="16"/>
                <w:lang w:val="lt-LT"/>
              </w:rPr>
              <w:t>3663,1</w:t>
            </w:r>
          </w:p>
        </w:tc>
        <w:tc>
          <w:tcPr>
            <w:tcW w:w="1236" w:type="dxa"/>
            <w:tcBorders>
              <w:top w:val="single" w:sz="6" w:space="0" w:color="auto"/>
              <w:left w:val="single" w:sz="6" w:space="0" w:color="auto"/>
              <w:bottom w:val="single" w:sz="6" w:space="0" w:color="auto"/>
              <w:right w:val="single" w:sz="6" w:space="0" w:color="auto"/>
            </w:tcBorders>
            <w:vAlign w:val="center"/>
          </w:tcPr>
          <w:p w:rsidR="00A755CB" w:rsidRPr="00737B66" w:rsidRDefault="00A755CB" w:rsidP="00737B66">
            <w:pPr>
              <w:spacing w:line="360" w:lineRule="auto"/>
              <w:jc w:val="center"/>
              <w:rPr>
                <w:sz w:val="16"/>
                <w:szCs w:val="16"/>
                <w:lang w:val="lt-LT"/>
              </w:rPr>
            </w:pPr>
            <w:r w:rsidRPr="00737B66">
              <w:rPr>
                <w:sz w:val="16"/>
                <w:szCs w:val="16"/>
                <w:lang w:val="lt-LT"/>
              </w:rPr>
              <w:t>3716,8</w:t>
            </w:r>
          </w:p>
        </w:tc>
        <w:tc>
          <w:tcPr>
            <w:tcW w:w="1000" w:type="dxa"/>
            <w:tcBorders>
              <w:top w:val="single" w:sz="6" w:space="0" w:color="auto"/>
              <w:left w:val="single" w:sz="6" w:space="0" w:color="auto"/>
              <w:bottom w:val="single" w:sz="6" w:space="0" w:color="auto"/>
              <w:right w:val="single" w:sz="4" w:space="0" w:color="auto"/>
            </w:tcBorders>
            <w:vAlign w:val="center"/>
          </w:tcPr>
          <w:p w:rsidR="00A755CB" w:rsidRPr="00737B66" w:rsidRDefault="00A755CB" w:rsidP="00737B66">
            <w:pPr>
              <w:spacing w:line="360" w:lineRule="auto"/>
              <w:jc w:val="center"/>
              <w:rPr>
                <w:sz w:val="16"/>
                <w:szCs w:val="16"/>
                <w:lang w:val="lt-LT"/>
              </w:rPr>
            </w:pPr>
            <w:r w:rsidRPr="00737B66">
              <w:rPr>
                <w:sz w:val="16"/>
                <w:szCs w:val="16"/>
                <w:lang w:val="lt-LT"/>
              </w:rPr>
              <w:t>0,4</w:t>
            </w:r>
          </w:p>
        </w:tc>
        <w:tc>
          <w:tcPr>
            <w:tcW w:w="1308" w:type="dxa"/>
            <w:tcBorders>
              <w:top w:val="single" w:sz="6" w:space="0" w:color="auto"/>
              <w:left w:val="single" w:sz="4" w:space="0" w:color="auto"/>
              <w:bottom w:val="single" w:sz="6" w:space="0" w:color="auto"/>
              <w:right w:val="single" w:sz="12" w:space="0" w:color="auto"/>
            </w:tcBorders>
            <w:vAlign w:val="center"/>
          </w:tcPr>
          <w:p w:rsidR="00A755CB" w:rsidRPr="00737B66" w:rsidRDefault="00A755CB" w:rsidP="00737B66">
            <w:pPr>
              <w:jc w:val="center"/>
              <w:rPr>
                <w:color w:val="000000"/>
                <w:sz w:val="16"/>
                <w:szCs w:val="16"/>
              </w:rPr>
            </w:pPr>
            <w:r w:rsidRPr="00737B66">
              <w:rPr>
                <w:color w:val="000000"/>
                <w:sz w:val="16"/>
                <w:szCs w:val="16"/>
              </w:rPr>
              <w:t>7380,3</w:t>
            </w:r>
          </w:p>
        </w:tc>
        <w:tc>
          <w:tcPr>
            <w:tcW w:w="1523" w:type="dxa"/>
            <w:tcBorders>
              <w:top w:val="single" w:sz="6" w:space="0" w:color="auto"/>
              <w:left w:val="single" w:sz="12" w:space="0" w:color="auto"/>
              <w:bottom w:val="single" w:sz="6" w:space="0" w:color="auto"/>
              <w:right w:val="single" w:sz="12" w:space="0" w:color="auto"/>
            </w:tcBorders>
            <w:vAlign w:val="center"/>
          </w:tcPr>
          <w:p w:rsidR="00A755CB" w:rsidRPr="00737B66" w:rsidRDefault="00A755CB" w:rsidP="00737B66">
            <w:pPr>
              <w:jc w:val="center"/>
              <w:rPr>
                <w:color w:val="000000"/>
                <w:sz w:val="16"/>
                <w:szCs w:val="16"/>
              </w:rPr>
            </w:pPr>
            <w:r w:rsidRPr="00737B66">
              <w:rPr>
                <w:color w:val="000000"/>
                <w:sz w:val="16"/>
                <w:szCs w:val="16"/>
              </w:rPr>
              <w:t>5591,1</w:t>
            </w:r>
          </w:p>
        </w:tc>
        <w:tc>
          <w:tcPr>
            <w:tcW w:w="1541" w:type="dxa"/>
            <w:tcBorders>
              <w:top w:val="single" w:sz="6" w:space="0" w:color="auto"/>
              <w:left w:val="single" w:sz="12" w:space="0" w:color="auto"/>
              <w:bottom w:val="single" w:sz="6" w:space="0" w:color="auto"/>
              <w:right w:val="single" w:sz="12" w:space="0" w:color="auto"/>
            </w:tcBorders>
            <w:vAlign w:val="center"/>
          </w:tcPr>
          <w:p w:rsidR="00A755CB" w:rsidRPr="00737B66" w:rsidRDefault="00A755CB" w:rsidP="00737B66">
            <w:pPr>
              <w:jc w:val="center"/>
              <w:rPr>
                <w:color w:val="000000"/>
                <w:sz w:val="16"/>
                <w:szCs w:val="16"/>
              </w:rPr>
            </w:pPr>
            <w:r w:rsidRPr="00737B66">
              <w:rPr>
                <w:color w:val="000000"/>
                <w:sz w:val="16"/>
                <w:szCs w:val="16"/>
                <w:lang w:val="lt-LT"/>
              </w:rPr>
              <w:t>2617,1</w:t>
            </w:r>
          </w:p>
        </w:tc>
        <w:tc>
          <w:tcPr>
            <w:tcW w:w="1468" w:type="dxa"/>
            <w:tcBorders>
              <w:top w:val="single" w:sz="6" w:space="0" w:color="auto"/>
              <w:left w:val="single" w:sz="12" w:space="0" w:color="auto"/>
              <w:bottom w:val="single" w:sz="6" w:space="0" w:color="auto"/>
              <w:right w:val="single" w:sz="12" w:space="0" w:color="auto"/>
            </w:tcBorders>
            <w:vAlign w:val="center"/>
          </w:tcPr>
          <w:p w:rsidR="00A755CB" w:rsidRPr="00737B66" w:rsidRDefault="00A755CB" w:rsidP="00737B66">
            <w:pPr>
              <w:spacing w:line="360" w:lineRule="auto"/>
              <w:jc w:val="center"/>
              <w:rPr>
                <w:sz w:val="16"/>
                <w:szCs w:val="16"/>
                <w:lang w:val="lt-LT"/>
              </w:rPr>
            </w:pPr>
            <w:r w:rsidRPr="00737B66">
              <w:rPr>
                <w:sz w:val="16"/>
                <w:szCs w:val="16"/>
                <w:lang w:val="lt-LT"/>
              </w:rPr>
              <w:t>15588,5</w:t>
            </w:r>
          </w:p>
        </w:tc>
      </w:tr>
      <w:tr w:rsidR="00A755CB" w:rsidRPr="00737B66" w:rsidTr="00737B66">
        <w:tc>
          <w:tcPr>
            <w:tcW w:w="714" w:type="dxa"/>
            <w:tcBorders>
              <w:top w:val="single" w:sz="6" w:space="0" w:color="auto"/>
              <w:left w:val="single" w:sz="12" w:space="0" w:color="auto"/>
              <w:bottom w:val="single" w:sz="6" w:space="0" w:color="auto"/>
              <w:right w:val="single" w:sz="12" w:space="0" w:color="auto"/>
            </w:tcBorders>
            <w:vAlign w:val="center"/>
          </w:tcPr>
          <w:p w:rsidR="00A755CB" w:rsidRPr="00737B66" w:rsidRDefault="00A755CB" w:rsidP="00737B66">
            <w:pPr>
              <w:jc w:val="center"/>
              <w:rPr>
                <w:b/>
                <w:sz w:val="16"/>
                <w:szCs w:val="16"/>
              </w:rPr>
            </w:pPr>
            <w:r w:rsidRPr="00737B66">
              <w:rPr>
                <w:b/>
                <w:sz w:val="16"/>
                <w:szCs w:val="16"/>
              </w:rPr>
              <w:t>DK</w:t>
            </w:r>
          </w:p>
        </w:tc>
        <w:tc>
          <w:tcPr>
            <w:tcW w:w="966" w:type="dxa"/>
            <w:tcBorders>
              <w:top w:val="single" w:sz="6" w:space="0" w:color="auto"/>
              <w:left w:val="single" w:sz="12" w:space="0" w:color="auto"/>
              <w:bottom w:val="single" w:sz="6" w:space="0" w:color="auto"/>
              <w:right w:val="single" w:sz="6" w:space="0" w:color="auto"/>
            </w:tcBorders>
            <w:vAlign w:val="center"/>
          </w:tcPr>
          <w:p w:rsidR="00A755CB" w:rsidRPr="00737B66" w:rsidRDefault="00A755CB" w:rsidP="00737B66">
            <w:pPr>
              <w:spacing w:line="360" w:lineRule="auto"/>
              <w:jc w:val="center"/>
              <w:rPr>
                <w:sz w:val="16"/>
                <w:szCs w:val="16"/>
                <w:lang w:val="lt-LT"/>
              </w:rPr>
            </w:pPr>
            <w:r w:rsidRPr="00737B66">
              <w:rPr>
                <w:sz w:val="16"/>
                <w:szCs w:val="16"/>
                <w:lang w:val="lt-LT"/>
              </w:rPr>
              <w:t>28317</w:t>
            </w:r>
          </w:p>
        </w:tc>
        <w:tc>
          <w:tcPr>
            <w:tcW w:w="1236" w:type="dxa"/>
            <w:tcBorders>
              <w:top w:val="single" w:sz="6" w:space="0" w:color="auto"/>
              <w:left w:val="single" w:sz="6" w:space="0" w:color="auto"/>
              <w:bottom w:val="single" w:sz="6" w:space="0" w:color="auto"/>
              <w:right w:val="single" w:sz="6" w:space="0" w:color="auto"/>
            </w:tcBorders>
            <w:vAlign w:val="center"/>
          </w:tcPr>
          <w:p w:rsidR="00A755CB" w:rsidRPr="00737B66" w:rsidRDefault="00A755CB" w:rsidP="00737B66">
            <w:pPr>
              <w:spacing w:line="360" w:lineRule="auto"/>
              <w:jc w:val="center"/>
              <w:rPr>
                <w:sz w:val="16"/>
                <w:szCs w:val="16"/>
                <w:lang w:val="lt-LT"/>
              </w:rPr>
            </w:pPr>
            <w:r w:rsidRPr="00737B66">
              <w:rPr>
                <w:sz w:val="16"/>
                <w:szCs w:val="16"/>
                <w:lang w:val="lt-LT"/>
              </w:rPr>
              <w:t>3367,3</w:t>
            </w:r>
          </w:p>
        </w:tc>
        <w:tc>
          <w:tcPr>
            <w:tcW w:w="1000" w:type="dxa"/>
            <w:tcBorders>
              <w:top w:val="single" w:sz="6" w:space="0" w:color="auto"/>
              <w:left w:val="single" w:sz="6" w:space="0" w:color="auto"/>
              <w:bottom w:val="single" w:sz="6" w:space="0" w:color="auto"/>
              <w:right w:val="single" w:sz="4" w:space="0" w:color="auto"/>
            </w:tcBorders>
            <w:vAlign w:val="center"/>
          </w:tcPr>
          <w:p w:rsidR="00A755CB" w:rsidRPr="00737B66" w:rsidRDefault="00A755CB" w:rsidP="00737B66">
            <w:pPr>
              <w:spacing w:line="360" w:lineRule="auto"/>
              <w:jc w:val="center"/>
              <w:rPr>
                <w:sz w:val="16"/>
                <w:szCs w:val="16"/>
                <w:lang w:val="lt-LT"/>
              </w:rPr>
            </w:pPr>
          </w:p>
        </w:tc>
        <w:tc>
          <w:tcPr>
            <w:tcW w:w="1308" w:type="dxa"/>
            <w:tcBorders>
              <w:top w:val="single" w:sz="6" w:space="0" w:color="auto"/>
              <w:left w:val="single" w:sz="4" w:space="0" w:color="auto"/>
              <w:bottom w:val="single" w:sz="6" w:space="0" w:color="auto"/>
              <w:right w:val="single" w:sz="12" w:space="0" w:color="auto"/>
            </w:tcBorders>
            <w:vAlign w:val="center"/>
          </w:tcPr>
          <w:p w:rsidR="00A755CB" w:rsidRPr="00737B66" w:rsidRDefault="00A755CB" w:rsidP="00737B66">
            <w:pPr>
              <w:jc w:val="center"/>
              <w:rPr>
                <w:color w:val="000000"/>
                <w:sz w:val="16"/>
                <w:szCs w:val="16"/>
              </w:rPr>
            </w:pPr>
            <w:r w:rsidRPr="00737B66">
              <w:rPr>
                <w:color w:val="000000"/>
                <w:sz w:val="16"/>
                <w:szCs w:val="16"/>
              </w:rPr>
              <w:t>31684,3</w:t>
            </w:r>
          </w:p>
        </w:tc>
        <w:tc>
          <w:tcPr>
            <w:tcW w:w="1523" w:type="dxa"/>
            <w:tcBorders>
              <w:top w:val="single" w:sz="6" w:space="0" w:color="auto"/>
              <w:left w:val="single" w:sz="12" w:space="0" w:color="auto"/>
              <w:bottom w:val="single" w:sz="6" w:space="0" w:color="auto"/>
              <w:right w:val="single" w:sz="12" w:space="0" w:color="auto"/>
            </w:tcBorders>
            <w:vAlign w:val="center"/>
          </w:tcPr>
          <w:p w:rsidR="00A755CB" w:rsidRPr="00737B66" w:rsidRDefault="00A755CB" w:rsidP="00737B66">
            <w:pPr>
              <w:jc w:val="center"/>
              <w:rPr>
                <w:color w:val="000000"/>
                <w:sz w:val="16"/>
                <w:szCs w:val="16"/>
              </w:rPr>
            </w:pPr>
            <w:r w:rsidRPr="00737B66">
              <w:rPr>
                <w:color w:val="000000"/>
                <w:sz w:val="16"/>
                <w:szCs w:val="16"/>
              </w:rPr>
              <w:t>53610,6</w:t>
            </w:r>
          </w:p>
        </w:tc>
        <w:tc>
          <w:tcPr>
            <w:tcW w:w="1541" w:type="dxa"/>
            <w:tcBorders>
              <w:top w:val="single" w:sz="6" w:space="0" w:color="auto"/>
              <w:left w:val="single" w:sz="12" w:space="0" w:color="auto"/>
              <w:bottom w:val="single" w:sz="6" w:space="0" w:color="auto"/>
              <w:right w:val="single" w:sz="12" w:space="0" w:color="auto"/>
            </w:tcBorders>
            <w:vAlign w:val="center"/>
          </w:tcPr>
          <w:p w:rsidR="00A755CB" w:rsidRPr="00737B66" w:rsidRDefault="00A755CB" w:rsidP="00737B66">
            <w:pPr>
              <w:jc w:val="center"/>
              <w:rPr>
                <w:color w:val="000000"/>
                <w:sz w:val="16"/>
                <w:szCs w:val="16"/>
              </w:rPr>
            </w:pPr>
            <w:r w:rsidRPr="00737B66">
              <w:rPr>
                <w:color w:val="000000"/>
                <w:sz w:val="16"/>
                <w:szCs w:val="16"/>
                <w:lang w:val="lt-LT"/>
              </w:rPr>
              <w:t>7309,2</w:t>
            </w:r>
          </w:p>
        </w:tc>
        <w:tc>
          <w:tcPr>
            <w:tcW w:w="1468" w:type="dxa"/>
            <w:tcBorders>
              <w:top w:val="single" w:sz="6" w:space="0" w:color="auto"/>
              <w:left w:val="single" w:sz="12" w:space="0" w:color="auto"/>
              <w:bottom w:val="single" w:sz="6" w:space="0" w:color="auto"/>
              <w:right w:val="single" w:sz="12" w:space="0" w:color="auto"/>
            </w:tcBorders>
            <w:vAlign w:val="center"/>
          </w:tcPr>
          <w:p w:rsidR="00A755CB" w:rsidRPr="00737B66" w:rsidRDefault="00A755CB" w:rsidP="00737B66">
            <w:pPr>
              <w:spacing w:line="360" w:lineRule="auto"/>
              <w:jc w:val="center"/>
              <w:rPr>
                <w:sz w:val="16"/>
                <w:szCs w:val="16"/>
                <w:lang w:val="lt-LT"/>
              </w:rPr>
            </w:pPr>
            <w:r w:rsidRPr="00737B66">
              <w:rPr>
                <w:sz w:val="16"/>
                <w:szCs w:val="16"/>
                <w:lang w:val="lt-LT"/>
              </w:rPr>
              <w:t>92604,1</w:t>
            </w:r>
          </w:p>
        </w:tc>
      </w:tr>
      <w:tr w:rsidR="00A755CB" w:rsidRPr="00737B66" w:rsidTr="00737B66">
        <w:tc>
          <w:tcPr>
            <w:tcW w:w="714" w:type="dxa"/>
            <w:tcBorders>
              <w:top w:val="single" w:sz="6" w:space="0" w:color="auto"/>
              <w:left w:val="single" w:sz="12" w:space="0" w:color="auto"/>
              <w:bottom w:val="single" w:sz="6" w:space="0" w:color="auto"/>
              <w:right w:val="single" w:sz="12" w:space="0" w:color="auto"/>
            </w:tcBorders>
            <w:vAlign w:val="center"/>
          </w:tcPr>
          <w:p w:rsidR="00A755CB" w:rsidRPr="00737B66" w:rsidRDefault="00A755CB" w:rsidP="00737B66">
            <w:pPr>
              <w:jc w:val="center"/>
              <w:rPr>
                <w:b/>
                <w:sz w:val="16"/>
                <w:szCs w:val="16"/>
              </w:rPr>
            </w:pPr>
            <w:r w:rsidRPr="00737B66">
              <w:rPr>
                <w:b/>
                <w:sz w:val="16"/>
                <w:szCs w:val="16"/>
              </w:rPr>
              <w:t>DE</w:t>
            </w:r>
          </w:p>
        </w:tc>
        <w:tc>
          <w:tcPr>
            <w:tcW w:w="966" w:type="dxa"/>
            <w:tcBorders>
              <w:top w:val="single" w:sz="6" w:space="0" w:color="auto"/>
              <w:left w:val="single" w:sz="12" w:space="0" w:color="auto"/>
              <w:bottom w:val="single" w:sz="6" w:space="0" w:color="auto"/>
              <w:right w:val="single" w:sz="6" w:space="0" w:color="auto"/>
            </w:tcBorders>
            <w:vAlign w:val="center"/>
          </w:tcPr>
          <w:p w:rsidR="00A755CB" w:rsidRPr="00737B66" w:rsidRDefault="00A755CB" w:rsidP="00737B66">
            <w:pPr>
              <w:spacing w:line="360" w:lineRule="auto"/>
              <w:jc w:val="center"/>
              <w:rPr>
                <w:sz w:val="16"/>
                <w:szCs w:val="16"/>
                <w:lang w:val="lt-LT"/>
              </w:rPr>
            </w:pPr>
            <w:r w:rsidRPr="00737B66">
              <w:rPr>
                <w:sz w:val="16"/>
                <w:szCs w:val="16"/>
                <w:lang w:val="lt-LT"/>
              </w:rPr>
              <w:t>185850</w:t>
            </w:r>
          </w:p>
        </w:tc>
        <w:tc>
          <w:tcPr>
            <w:tcW w:w="1236" w:type="dxa"/>
            <w:tcBorders>
              <w:top w:val="single" w:sz="6" w:space="0" w:color="auto"/>
              <w:left w:val="single" w:sz="6" w:space="0" w:color="auto"/>
              <w:bottom w:val="single" w:sz="6" w:space="0" w:color="auto"/>
              <w:right w:val="single" w:sz="6" w:space="0" w:color="auto"/>
            </w:tcBorders>
            <w:vAlign w:val="center"/>
          </w:tcPr>
          <w:p w:rsidR="00A755CB" w:rsidRPr="00737B66" w:rsidRDefault="00A755CB" w:rsidP="00737B66">
            <w:pPr>
              <w:spacing w:line="360" w:lineRule="auto"/>
              <w:jc w:val="center"/>
              <w:rPr>
                <w:sz w:val="16"/>
                <w:szCs w:val="16"/>
                <w:lang w:val="lt-LT"/>
              </w:rPr>
            </w:pPr>
            <w:r w:rsidRPr="00737B66">
              <w:rPr>
                <w:sz w:val="16"/>
                <w:szCs w:val="16"/>
                <w:lang w:val="lt-LT"/>
              </w:rPr>
              <w:t>115120</w:t>
            </w:r>
          </w:p>
        </w:tc>
        <w:tc>
          <w:tcPr>
            <w:tcW w:w="1000" w:type="dxa"/>
            <w:tcBorders>
              <w:top w:val="single" w:sz="6" w:space="0" w:color="auto"/>
              <w:left w:val="single" w:sz="6" w:space="0" w:color="auto"/>
              <w:bottom w:val="single" w:sz="6" w:space="0" w:color="auto"/>
              <w:right w:val="single" w:sz="4" w:space="0" w:color="auto"/>
            </w:tcBorders>
            <w:vAlign w:val="center"/>
          </w:tcPr>
          <w:p w:rsidR="00A755CB" w:rsidRPr="00737B66" w:rsidRDefault="00A755CB" w:rsidP="00737B66">
            <w:pPr>
              <w:spacing w:line="360" w:lineRule="auto"/>
              <w:jc w:val="center"/>
              <w:rPr>
                <w:sz w:val="16"/>
                <w:szCs w:val="16"/>
                <w:lang w:val="lt-LT"/>
              </w:rPr>
            </w:pPr>
            <w:r w:rsidRPr="00737B66">
              <w:rPr>
                <w:sz w:val="16"/>
                <w:szCs w:val="16"/>
                <w:lang w:val="lt-LT"/>
              </w:rPr>
              <w:t>4310</w:t>
            </w:r>
          </w:p>
        </w:tc>
        <w:tc>
          <w:tcPr>
            <w:tcW w:w="1308" w:type="dxa"/>
            <w:tcBorders>
              <w:top w:val="single" w:sz="6" w:space="0" w:color="auto"/>
              <w:left w:val="single" w:sz="4" w:space="0" w:color="auto"/>
              <w:bottom w:val="single" w:sz="6" w:space="0" w:color="auto"/>
              <w:right w:val="single" w:sz="12" w:space="0" w:color="auto"/>
            </w:tcBorders>
            <w:vAlign w:val="center"/>
          </w:tcPr>
          <w:p w:rsidR="00A755CB" w:rsidRPr="00737B66" w:rsidRDefault="00A755CB" w:rsidP="00737B66">
            <w:pPr>
              <w:jc w:val="center"/>
              <w:rPr>
                <w:color w:val="000000"/>
                <w:sz w:val="16"/>
                <w:szCs w:val="16"/>
              </w:rPr>
            </w:pPr>
            <w:r w:rsidRPr="00737B66">
              <w:rPr>
                <w:color w:val="000000"/>
                <w:sz w:val="16"/>
                <w:szCs w:val="16"/>
              </w:rPr>
              <w:t>305280</w:t>
            </w:r>
          </w:p>
        </w:tc>
        <w:tc>
          <w:tcPr>
            <w:tcW w:w="1523" w:type="dxa"/>
            <w:tcBorders>
              <w:top w:val="single" w:sz="6" w:space="0" w:color="auto"/>
              <w:left w:val="single" w:sz="12" w:space="0" w:color="auto"/>
              <w:bottom w:val="single" w:sz="6" w:space="0" w:color="auto"/>
              <w:right w:val="single" w:sz="12" w:space="0" w:color="auto"/>
            </w:tcBorders>
            <w:vAlign w:val="center"/>
          </w:tcPr>
          <w:p w:rsidR="00A755CB" w:rsidRPr="00737B66" w:rsidRDefault="00A755CB" w:rsidP="00737B66">
            <w:pPr>
              <w:jc w:val="center"/>
              <w:rPr>
                <w:color w:val="000000"/>
                <w:sz w:val="16"/>
                <w:szCs w:val="16"/>
              </w:rPr>
            </w:pPr>
            <w:r w:rsidRPr="00737B66">
              <w:rPr>
                <w:color w:val="000000"/>
                <w:sz w:val="16"/>
                <w:szCs w:val="16"/>
              </w:rPr>
              <w:t>145940</w:t>
            </w:r>
          </w:p>
        </w:tc>
        <w:tc>
          <w:tcPr>
            <w:tcW w:w="1541" w:type="dxa"/>
            <w:tcBorders>
              <w:top w:val="single" w:sz="6" w:space="0" w:color="auto"/>
              <w:left w:val="single" w:sz="12" w:space="0" w:color="auto"/>
              <w:bottom w:val="single" w:sz="6" w:space="0" w:color="auto"/>
              <w:right w:val="single" w:sz="12" w:space="0" w:color="auto"/>
            </w:tcBorders>
            <w:vAlign w:val="center"/>
          </w:tcPr>
          <w:p w:rsidR="00A755CB" w:rsidRPr="00737B66" w:rsidRDefault="00A755CB" w:rsidP="00737B66">
            <w:pPr>
              <w:jc w:val="center"/>
              <w:rPr>
                <w:color w:val="000000"/>
                <w:sz w:val="16"/>
                <w:szCs w:val="16"/>
              </w:rPr>
            </w:pPr>
            <w:r w:rsidRPr="00737B66">
              <w:rPr>
                <w:color w:val="000000"/>
                <w:sz w:val="16"/>
                <w:szCs w:val="16"/>
                <w:lang w:val="lt-LT"/>
              </w:rPr>
              <w:t>91640</w:t>
            </w:r>
          </w:p>
        </w:tc>
        <w:tc>
          <w:tcPr>
            <w:tcW w:w="1468" w:type="dxa"/>
            <w:tcBorders>
              <w:top w:val="single" w:sz="6" w:space="0" w:color="auto"/>
              <w:left w:val="single" w:sz="12" w:space="0" w:color="auto"/>
              <w:bottom w:val="single" w:sz="6" w:space="0" w:color="auto"/>
              <w:right w:val="single" w:sz="12" w:space="0" w:color="auto"/>
            </w:tcBorders>
            <w:vAlign w:val="center"/>
          </w:tcPr>
          <w:p w:rsidR="00A755CB" w:rsidRPr="00737B66" w:rsidRDefault="00A755CB" w:rsidP="00737B66">
            <w:pPr>
              <w:spacing w:line="360" w:lineRule="auto"/>
              <w:jc w:val="center"/>
              <w:rPr>
                <w:sz w:val="16"/>
                <w:szCs w:val="16"/>
                <w:lang w:val="lt-LT"/>
              </w:rPr>
            </w:pPr>
            <w:r w:rsidRPr="00737B66">
              <w:rPr>
                <w:sz w:val="16"/>
                <w:szCs w:val="16"/>
                <w:lang w:val="lt-LT"/>
              </w:rPr>
              <w:t>542860</w:t>
            </w:r>
          </w:p>
        </w:tc>
      </w:tr>
      <w:tr w:rsidR="00A755CB" w:rsidRPr="00737B66" w:rsidTr="00737B66">
        <w:tc>
          <w:tcPr>
            <w:tcW w:w="714" w:type="dxa"/>
            <w:tcBorders>
              <w:top w:val="single" w:sz="6" w:space="0" w:color="auto"/>
              <w:left w:val="single" w:sz="12" w:space="0" w:color="auto"/>
              <w:bottom w:val="single" w:sz="6" w:space="0" w:color="auto"/>
              <w:right w:val="single" w:sz="12" w:space="0" w:color="auto"/>
            </w:tcBorders>
            <w:vAlign w:val="center"/>
          </w:tcPr>
          <w:p w:rsidR="00A755CB" w:rsidRPr="00737B66" w:rsidRDefault="00A755CB" w:rsidP="00737B66">
            <w:pPr>
              <w:jc w:val="center"/>
              <w:rPr>
                <w:b/>
                <w:sz w:val="16"/>
                <w:szCs w:val="16"/>
              </w:rPr>
            </w:pPr>
            <w:r w:rsidRPr="00737B66">
              <w:rPr>
                <w:b/>
                <w:sz w:val="16"/>
                <w:szCs w:val="16"/>
              </w:rPr>
              <w:t>EE</w:t>
            </w:r>
          </w:p>
        </w:tc>
        <w:tc>
          <w:tcPr>
            <w:tcW w:w="966" w:type="dxa"/>
            <w:tcBorders>
              <w:top w:val="single" w:sz="6" w:space="0" w:color="auto"/>
              <w:left w:val="single" w:sz="12" w:space="0" w:color="auto"/>
              <w:bottom w:val="single" w:sz="6" w:space="0" w:color="auto"/>
              <w:right w:val="single" w:sz="6" w:space="0" w:color="auto"/>
            </w:tcBorders>
            <w:vAlign w:val="center"/>
          </w:tcPr>
          <w:p w:rsidR="00A755CB" w:rsidRPr="00737B66" w:rsidRDefault="00A755CB" w:rsidP="00737B66">
            <w:pPr>
              <w:spacing w:line="360" w:lineRule="auto"/>
              <w:jc w:val="center"/>
              <w:rPr>
                <w:sz w:val="16"/>
                <w:szCs w:val="16"/>
                <w:lang w:val="lt-LT"/>
              </w:rPr>
            </w:pPr>
            <w:r w:rsidRPr="00737B66">
              <w:rPr>
                <w:sz w:val="16"/>
                <w:szCs w:val="16"/>
                <w:lang w:val="lt-LT"/>
              </w:rPr>
              <w:t>665,1</w:t>
            </w:r>
          </w:p>
        </w:tc>
        <w:tc>
          <w:tcPr>
            <w:tcW w:w="1236" w:type="dxa"/>
            <w:tcBorders>
              <w:top w:val="single" w:sz="6" w:space="0" w:color="auto"/>
              <w:left w:val="single" w:sz="6" w:space="0" w:color="auto"/>
              <w:bottom w:val="single" w:sz="6" w:space="0" w:color="auto"/>
              <w:right w:val="single" w:sz="6" w:space="0" w:color="auto"/>
            </w:tcBorders>
            <w:vAlign w:val="center"/>
          </w:tcPr>
          <w:p w:rsidR="00A755CB" w:rsidRPr="00737B66" w:rsidRDefault="00A755CB" w:rsidP="00737B66">
            <w:pPr>
              <w:spacing w:line="360" w:lineRule="auto"/>
              <w:jc w:val="center"/>
              <w:rPr>
                <w:sz w:val="16"/>
                <w:szCs w:val="16"/>
                <w:lang w:val="lt-LT"/>
              </w:rPr>
            </w:pPr>
            <w:r w:rsidRPr="00737B66">
              <w:rPr>
                <w:sz w:val="16"/>
                <w:szCs w:val="16"/>
                <w:lang w:val="lt-LT"/>
              </w:rPr>
              <w:t>75,2</w:t>
            </w:r>
          </w:p>
        </w:tc>
        <w:tc>
          <w:tcPr>
            <w:tcW w:w="1000" w:type="dxa"/>
            <w:tcBorders>
              <w:top w:val="single" w:sz="6" w:space="0" w:color="auto"/>
              <w:left w:val="single" w:sz="6" w:space="0" w:color="auto"/>
              <w:bottom w:val="single" w:sz="6" w:space="0" w:color="auto"/>
              <w:right w:val="single" w:sz="4" w:space="0" w:color="auto"/>
            </w:tcBorders>
            <w:vAlign w:val="center"/>
          </w:tcPr>
          <w:p w:rsidR="00A755CB" w:rsidRPr="00737B66" w:rsidRDefault="00A755CB" w:rsidP="00737B66">
            <w:pPr>
              <w:spacing w:line="360" w:lineRule="auto"/>
              <w:jc w:val="center"/>
              <w:rPr>
                <w:sz w:val="16"/>
                <w:szCs w:val="16"/>
                <w:lang w:val="lt-LT"/>
              </w:rPr>
            </w:pPr>
          </w:p>
        </w:tc>
        <w:tc>
          <w:tcPr>
            <w:tcW w:w="1308" w:type="dxa"/>
            <w:tcBorders>
              <w:top w:val="single" w:sz="6" w:space="0" w:color="auto"/>
              <w:left w:val="single" w:sz="4" w:space="0" w:color="auto"/>
              <w:bottom w:val="single" w:sz="6" w:space="0" w:color="auto"/>
              <w:right w:val="single" w:sz="12" w:space="0" w:color="auto"/>
            </w:tcBorders>
            <w:vAlign w:val="center"/>
          </w:tcPr>
          <w:p w:rsidR="00A755CB" w:rsidRPr="00737B66" w:rsidRDefault="00A755CB" w:rsidP="00737B66">
            <w:pPr>
              <w:jc w:val="center"/>
              <w:rPr>
                <w:color w:val="000000"/>
                <w:sz w:val="16"/>
                <w:szCs w:val="16"/>
              </w:rPr>
            </w:pPr>
            <w:r w:rsidRPr="00737B66">
              <w:rPr>
                <w:color w:val="000000"/>
                <w:sz w:val="16"/>
                <w:szCs w:val="16"/>
              </w:rPr>
              <w:t>740,3</w:t>
            </w:r>
          </w:p>
        </w:tc>
        <w:tc>
          <w:tcPr>
            <w:tcW w:w="1523" w:type="dxa"/>
            <w:tcBorders>
              <w:top w:val="single" w:sz="6" w:space="0" w:color="auto"/>
              <w:left w:val="single" w:sz="12" w:space="0" w:color="auto"/>
              <w:bottom w:val="single" w:sz="6" w:space="0" w:color="auto"/>
              <w:right w:val="single" w:sz="12" w:space="0" w:color="auto"/>
            </w:tcBorders>
            <w:vAlign w:val="center"/>
          </w:tcPr>
          <w:p w:rsidR="00A755CB" w:rsidRPr="00737B66" w:rsidRDefault="00A755CB" w:rsidP="00737B66">
            <w:pPr>
              <w:jc w:val="center"/>
              <w:rPr>
                <w:color w:val="000000"/>
                <w:sz w:val="16"/>
                <w:szCs w:val="16"/>
              </w:rPr>
            </w:pPr>
            <w:r w:rsidRPr="00737B66">
              <w:rPr>
                <w:color w:val="000000"/>
                <w:sz w:val="16"/>
                <w:szCs w:val="16"/>
              </w:rPr>
              <w:t>779,7</w:t>
            </w:r>
          </w:p>
        </w:tc>
        <w:tc>
          <w:tcPr>
            <w:tcW w:w="1541" w:type="dxa"/>
            <w:tcBorders>
              <w:top w:val="single" w:sz="6" w:space="0" w:color="auto"/>
              <w:left w:val="single" w:sz="12" w:space="0" w:color="auto"/>
              <w:bottom w:val="single" w:sz="6" w:space="0" w:color="auto"/>
              <w:right w:val="single" w:sz="12" w:space="0" w:color="auto"/>
            </w:tcBorders>
            <w:vAlign w:val="center"/>
          </w:tcPr>
          <w:p w:rsidR="00A755CB" w:rsidRPr="00737B66" w:rsidRDefault="00A755CB" w:rsidP="00737B66">
            <w:pPr>
              <w:jc w:val="center"/>
              <w:rPr>
                <w:color w:val="000000"/>
                <w:sz w:val="16"/>
                <w:szCs w:val="16"/>
              </w:rPr>
            </w:pPr>
            <w:r w:rsidRPr="00737B66">
              <w:rPr>
                <w:color w:val="000000"/>
                <w:sz w:val="16"/>
                <w:szCs w:val="16"/>
                <w:lang w:val="lt-LT"/>
              </w:rPr>
              <w:t>178,9</w:t>
            </w:r>
          </w:p>
        </w:tc>
        <w:tc>
          <w:tcPr>
            <w:tcW w:w="1468" w:type="dxa"/>
            <w:tcBorders>
              <w:top w:val="single" w:sz="6" w:space="0" w:color="auto"/>
              <w:left w:val="single" w:sz="12" w:space="0" w:color="auto"/>
              <w:bottom w:val="single" w:sz="6" w:space="0" w:color="auto"/>
              <w:right w:val="single" w:sz="12" w:space="0" w:color="auto"/>
            </w:tcBorders>
            <w:vAlign w:val="center"/>
          </w:tcPr>
          <w:p w:rsidR="00A755CB" w:rsidRPr="00737B66" w:rsidRDefault="00A755CB" w:rsidP="00737B66">
            <w:pPr>
              <w:spacing w:line="360" w:lineRule="auto"/>
              <w:jc w:val="center"/>
              <w:rPr>
                <w:sz w:val="16"/>
                <w:szCs w:val="16"/>
                <w:lang w:val="lt-LT"/>
              </w:rPr>
            </w:pPr>
            <w:r w:rsidRPr="00737B66">
              <w:rPr>
                <w:sz w:val="16"/>
                <w:szCs w:val="16"/>
                <w:lang w:val="lt-LT"/>
              </w:rPr>
              <w:t>1698,9</w:t>
            </w:r>
          </w:p>
        </w:tc>
      </w:tr>
      <w:tr w:rsidR="00A755CB" w:rsidRPr="00737B66" w:rsidTr="00737B66">
        <w:tc>
          <w:tcPr>
            <w:tcW w:w="714" w:type="dxa"/>
            <w:tcBorders>
              <w:top w:val="single" w:sz="6" w:space="0" w:color="auto"/>
              <w:left w:val="single" w:sz="12" w:space="0" w:color="auto"/>
              <w:bottom w:val="single" w:sz="6" w:space="0" w:color="auto"/>
              <w:right w:val="single" w:sz="12" w:space="0" w:color="auto"/>
            </w:tcBorders>
            <w:vAlign w:val="center"/>
          </w:tcPr>
          <w:p w:rsidR="00A755CB" w:rsidRPr="00737B66" w:rsidRDefault="00A755CB" w:rsidP="00737B66">
            <w:pPr>
              <w:jc w:val="center"/>
              <w:rPr>
                <w:b/>
                <w:sz w:val="16"/>
                <w:szCs w:val="16"/>
              </w:rPr>
            </w:pPr>
            <w:r w:rsidRPr="00737B66">
              <w:rPr>
                <w:b/>
                <w:sz w:val="16"/>
                <w:szCs w:val="16"/>
              </w:rPr>
              <w:t>IE</w:t>
            </w:r>
          </w:p>
        </w:tc>
        <w:tc>
          <w:tcPr>
            <w:tcW w:w="966" w:type="dxa"/>
            <w:tcBorders>
              <w:top w:val="single" w:sz="6" w:space="0" w:color="auto"/>
              <w:left w:val="single" w:sz="12" w:space="0" w:color="auto"/>
              <w:bottom w:val="single" w:sz="6" w:space="0" w:color="auto"/>
              <w:right w:val="single" w:sz="6" w:space="0" w:color="auto"/>
            </w:tcBorders>
            <w:vAlign w:val="center"/>
          </w:tcPr>
          <w:p w:rsidR="00A755CB" w:rsidRPr="00737B66" w:rsidRDefault="00A755CB" w:rsidP="00737B66">
            <w:pPr>
              <w:spacing w:line="360" w:lineRule="auto"/>
              <w:jc w:val="center"/>
              <w:rPr>
                <w:sz w:val="16"/>
                <w:szCs w:val="16"/>
                <w:lang w:val="lt-LT"/>
              </w:rPr>
            </w:pPr>
            <w:r w:rsidRPr="00737B66">
              <w:rPr>
                <w:sz w:val="16"/>
                <w:szCs w:val="16"/>
                <w:lang w:val="lt-LT"/>
              </w:rPr>
              <w:t>0</w:t>
            </w:r>
          </w:p>
        </w:tc>
        <w:tc>
          <w:tcPr>
            <w:tcW w:w="1236" w:type="dxa"/>
            <w:tcBorders>
              <w:top w:val="single" w:sz="6" w:space="0" w:color="auto"/>
              <w:left w:val="single" w:sz="6" w:space="0" w:color="auto"/>
              <w:bottom w:val="single" w:sz="6" w:space="0" w:color="auto"/>
              <w:right w:val="single" w:sz="6" w:space="0" w:color="auto"/>
            </w:tcBorders>
            <w:vAlign w:val="center"/>
          </w:tcPr>
          <w:p w:rsidR="00A755CB" w:rsidRPr="00737B66" w:rsidRDefault="00A755CB" w:rsidP="00737B66">
            <w:pPr>
              <w:spacing w:line="360" w:lineRule="auto"/>
              <w:jc w:val="center"/>
              <w:rPr>
                <w:sz w:val="16"/>
                <w:szCs w:val="16"/>
                <w:lang w:val="lt-LT"/>
              </w:rPr>
            </w:pPr>
            <w:r w:rsidRPr="00737B66">
              <w:rPr>
                <w:sz w:val="16"/>
                <w:szCs w:val="16"/>
                <w:lang w:val="lt-LT"/>
              </w:rPr>
              <w:t>1435</w:t>
            </w:r>
          </w:p>
        </w:tc>
        <w:tc>
          <w:tcPr>
            <w:tcW w:w="1000" w:type="dxa"/>
            <w:tcBorders>
              <w:top w:val="single" w:sz="6" w:space="0" w:color="auto"/>
              <w:left w:val="single" w:sz="6" w:space="0" w:color="auto"/>
              <w:bottom w:val="single" w:sz="6" w:space="0" w:color="auto"/>
              <w:right w:val="single" w:sz="4" w:space="0" w:color="auto"/>
            </w:tcBorders>
            <w:vAlign w:val="center"/>
          </w:tcPr>
          <w:p w:rsidR="00A755CB" w:rsidRPr="00737B66" w:rsidRDefault="00A755CB" w:rsidP="00737B66">
            <w:pPr>
              <w:spacing w:line="360" w:lineRule="auto"/>
              <w:jc w:val="center"/>
              <w:rPr>
                <w:sz w:val="16"/>
                <w:szCs w:val="16"/>
                <w:lang w:val="lt-LT"/>
              </w:rPr>
            </w:pPr>
          </w:p>
        </w:tc>
        <w:tc>
          <w:tcPr>
            <w:tcW w:w="1308" w:type="dxa"/>
            <w:tcBorders>
              <w:top w:val="single" w:sz="6" w:space="0" w:color="auto"/>
              <w:left w:val="single" w:sz="4" w:space="0" w:color="auto"/>
              <w:bottom w:val="single" w:sz="6" w:space="0" w:color="auto"/>
              <w:right w:val="single" w:sz="12" w:space="0" w:color="auto"/>
            </w:tcBorders>
            <w:vAlign w:val="center"/>
          </w:tcPr>
          <w:p w:rsidR="00A755CB" w:rsidRPr="00737B66" w:rsidRDefault="00A755CB" w:rsidP="00737B66">
            <w:pPr>
              <w:jc w:val="center"/>
              <w:rPr>
                <w:color w:val="000000"/>
                <w:sz w:val="16"/>
                <w:szCs w:val="16"/>
              </w:rPr>
            </w:pPr>
            <w:r w:rsidRPr="00737B66">
              <w:rPr>
                <w:color w:val="000000"/>
                <w:sz w:val="16"/>
                <w:szCs w:val="16"/>
              </w:rPr>
              <w:t>1435</w:t>
            </w:r>
          </w:p>
        </w:tc>
        <w:tc>
          <w:tcPr>
            <w:tcW w:w="1523" w:type="dxa"/>
            <w:tcBorders>
              <w:top w:val="single" w:sz="6" w:space="0" w:color="auto"/>
              <w:left w:val="single" w:sz="12" w:space="0" w:color="auto"/>
              <w:bottom w:val="single" w:sz="6" w:space="0" w:color="auto"/>
              <w:right w:val="single" w:sz="12" w:space="0" w:color="auto"/>
            </w:tcBorders>
            <w:vAlign w:val="center"/>
          </w:tcPr>
          <w:p w:rsidR="00A755CB" w:rsidRPr="00737B66" w:rsidRDefault="00A755CB" w:rsidP="00737B66">
            <w:pPr>
              <w:jc w:val="center"/>
              <w:rPr>
                <w:color w:val="000000"/>
                <w:sz w:val="16"/>
                <w:szCs w:val="16"/>
              </w:rPr>
            </w:pPr>
            <w:r w:rsidRPr="00737B66">
              <w:rPr>
                <w:color w:val="000000"/>
                <w:sz w:val="16"/>
                <w:szCs w:val="16"/>
              </w:rPr>
              <w:t>4563,2</w:t>
            </w:r>
          </w:p>
        </w:tc>
        <w:tc>
          <w:tcPr>
            <w:tcW w:w="1541" w:type="dxa"/>
            <w:tcBorders>
              <w:top w:val="single" w:sz="6" w:space="0" w:color="auto"/>
              <w:left w:val="single" w:sz="12" w:space="0" w:color="auto"/>
              <w:bottom w:val="single" w:sz="6" w:space="0" w:color="auto"/>
              <w:right w:val="single" w:sz="12" w:space="0" w:color="auto"/>
            </w:tcBorders>
            <w:vAlign w:val="center"/>
          </w:tcPr>
          <w:p w:rsidR="00A755CB" w:rsidRPr="00737B66" w:rsidRDefault="00A755CB" w:rsidP="00737B66">
            <w:pPr>
              <w:jc w:val="center"/>
              <w:rPr>
                <w:color w:val="000000"/>
                <w:sz w:val="16"/>
                <w:szCs w:val="16"/>
              </w:rPr>
            </w:pPr>
            <w:r w:rsidRPr="00737B66">
              <w:rPr>
                <w:color w:val="000000"/>
                <w:sz w:val="16"/>
                <w:szCs w:val="16"/>
                <w:lang w:val="lt-LT"/>
              </w:rPr>
              <w:t>2406,6</w:t>
            </w:r>
          </w:p>
        </w:tc>
        <w:tc>
          <w:tcPr>
            <w:tcW w:w="1468" w:type="dxa"/>
            <w:tcBorders>
              <w:top w:val="single" w:sz="6" w:space="0" w:color="auto"/>
              <w:left w:val="single" w:sz="12" w:space="0" w:color="auto"/>
              <w:bottom w:val="single" w:sz="6" w:space="0" w:color="auto"/>
              <w:right w:val="single" w:sz="12" w:space="0" w:color="auto"/>
            </w:tcBorders>
            <w:vAlign w:val="center"/>
          </w:tcPr>
          <w:p w:rsidR="00A755CB" w:rsidRPr="00737B66" w:rsidRDefault="00A755CB" w:rsidP="00737B66">
            <w:pPr>
              <w:spacing w:line="360" w:lineRule="auto"/>
              <w:jc w:val="center"/>
              <w:rPr>
                <w:sz w:val="16"/>
                <w:szCs w:val="16"/>
                <w:lang w:val="lt-LT"/>
              </w:rPr>
            </w:pPr>
            <w:r w:rsidRPr="00737B66">
              <w:rPr>
                <w:sz w:val="16"/>
                <w:szCs w:val="16"/>
                <w:lang w:val="lt-LT"/>
              </w:rPr>
              <w:t>8404,8</w:t>
            </w:r>
          </w:p>
        </w:tc>
      </w:tr>
      <w:tr w:rsidR="00A755CB" w:rsidRPr="00737B66" w:rsidTr="00737B66">
        <w:tc>
          <w:tcPr>
            <w:tcW w:w="714" w:type="dxa"/>
            <w:tcBorders>
              <w:top w:val="single" w:sz="6" w:space="0" w:color="auto"/>
              <w:left w:val="single" w:sz="12" w:space="0" w:color="auto"/>
              <w:bottom w:val="single" w:sz="6" w:space="0" w:color="auto"/>
              <w:right w:val="single" w:sz="12" w:space="0" w:color="auto"/>
            </w:tcBorders>
            <w:vAlign w:val="center"/>
          </w:tcPr>
          <w:p w:rsidR="00A755CB" w:rsidRPr="00737B66" w:rsidRDefault="00A755CB" w:rsidP="00737B66">
            <w:pPr>
              <w:jc w:val="center"/>
              <w:rPr>
                <w:b/>
                <w:sz w:val="16"/>
                <w:szCs w:val="16"/>
              </w:rPr>
            </w:pPr>
            <w:r w:rsidRPr="00737B66">
              <w:rPr>
                <w:b/>
                <w:sz w:val="16"/>
                <w:szCs w:val="16"/>
              </w:rPr>
              <w:t>EL</w:t>
            </w:r>
          </w:p>
        </w:tc>
        <w:tc>
          <w:tcPr>
            <w:tcW w:w="966" w:type="dxa"/>
            <w:tcBorders>
              <w:top w:val="single" w:sz="6" w:space="0" w:color="auto"/>
              <w:left w:val="single" w:sz="12" w:space="0" w:color="auto"/>
              <w:bottom w:val="single" w:sz="6" w:space="0" w:color="auto"/>
              <w:right w:val="single" w:sz="6" w:space="0" w:color="auto"/>
            </w:tcBorders>
            <w:vAlign w:val="center"/>
          </w:tcPr>
          <w:p w:rsidR="00A755CB" w:rsidRPr="00737B66" w:rsidRDefault="00A755CB" w:rsidP="00737B66">
            <w:pPr>
              <w:spacing w:line="360" w:lineRule="auto"/>
              <w:jc w:val="center"/>
              <w:rPr>
                <w:sz w:val="16"/>
                <w:szCs w:val="16"/>
                <w:lang w:val="lt-LT"/>
              </w:rPr>
            </w:pPr>
            <w:r w:rsidRPr="00737B66">
              <w:rPr>
                <w:sz w:val="16"/>
                <w:szCs w:val="16"/>
                <w:lang w:val="lt-LT"/>
              </w:rPr>
              <w:t>255</w:t>
            </w:r>
          </w:p>
        </w:tc>
        <w:tc>
          <w:tcPr>
            <w:tcW w:w="1236" w:type="dxa"/>
            <w:tcBorders>
              <w:top w:val="single" w:sz="6" w:space="0" w:color="auto"/>
              <w:left w:val="single" w:sz="6" w:space="0" w:color="auto"/>
              <w:bottom w:val="single" w:sz="6" w:space="0" w:color="auto"/>
              <w:right w:val="single" w:sz="6" w:space="0" w:color="auto"/>
            </w:tcBorders>
            <w:vAlign w:val="center"/>
          </w:tcPr>
          <w:p w:rsidR="00A755CB" w:rsidRPr="00737B66" w:rsidRDefault="00A755CB" w:rsidP="00737B66">
            <w:pPr>
              <w:spacing w:line="360" w:lineRule="auto"/>
              <w:jc w:val="center"/>
              <w:rPr>
                <w:sz w:val="16"/>
                <w:szCs w:val="16"/>
                <w:lang w:val="lt-LT"/>
              </w:rPr>
            </w:pPr>
            <w:r w:rsidRPr="00737B66">
              <w:rPr>
                <w:sz w:val="16"/>
                <w:szCs w:val="16"/>
                <w:lang w:val="lt-LT"/>
              </w:rPr>
              <w:t>178</w:t>
            </w:r>
          </w:p>
        </w:tc>
        <w:tc>
          <w:tcPr>
            <w:tcW w:w="1000" w:type="dxa"/>
            <w:tcBorders>
              <w:top w:val="single" w:sz="6" w:space="0" w:color="auto"/>
              <w:left w:val="single" w:sz="6" w:space="0" w:color="auto"/>
              <w:bottom w:val="single" w:sz="6" w:space="0" w:color="auto"/>
              <w:right w:val="single" w:sz="4" w:space="0" w:color="auto"/>
            </w:tcBorders>
            <w:vAlign w:val="center"/>
          </w:tcPr>
          <w:p w:rsidR="00A755CB" w:rsidRPr="00737B66" w:rsidRDefault="00A755CB" w:rsidP="00737B66">
            <w:pPr>
              <w:spacing w:line="360" w:lineRule="auto"/>
              <w:jc w:val="center"/>
              <w:rPr>
                <w:sz w:val="16"/>
                <w:szCs w:val="16"/>
                <w:lang w:val="lt-LT"/>
              </w:rPr>
            </w:pPr>
            <w:r w:rsidRPr="00737B66">
              <w:rPr>
                <w:sz w:val="16"/>
                <w:szCs w:val="16"/>
                <w:lang w:val="lt-LT"/>
              </w:rPr>
              <w:t>42</w:t>
            </w:r>
          </w:p>
        </w:tc>
        <w:tc>
          <w:tcPr>
            <w:tcW w:w="1308" w:type="dxa"/>
            <w:tcBorders>
              <w:top w:val="single" w:sz="6" w:space="0" w:color="auto"/>
              <w:left w:val="single" w:sz="4" w:space="0" w:color="auto"/>
              <w:bottom w:val="single" w:sz="6" w:space="0" w:color="auto"/>
              <w:right w:val="single" w:sz="12" w:space="0" w:color="auto"/>
            </w:tcBorders>
            <w:vAlign w:val="center"/>
          </w:tcPr>
          <w:p w:rsidR="00A755CB" w:rsidRPr="00737B66" w:rsidRDefault="00A755CB" w:rsidP="00737B66">
            <w:pPr>
              <w:jc w:val="center"/>
              <w:rPr>
                <w:color w:val="000000"/>
                <w:sz w:val="16"/>
                <w:szCs w:val="16"/>
              </w:rPr>
            </w:pPr>
            <w:r w:rsidRPr="00737B66">
              <w:rPr>
                <w:color w:val="000000"/>
                <w:sz w:val="16"/>
                <w:szCs w:val="16"/>
              </w:rPr>
              <w:t>475</w:t>
            </w:r>
          </w:p>
        </w:tc>
        <w:tc>
          <w:tcPr>
            <w:tcW w:w="1523" w:type="dxa"/>
            <w:tcBorders>
              <w:top w:val="single" w:sz="6" w:space="0" w:color="auto"/>
              <w:left w:val="single" w:sz="12" w:space="0" w:color="auto"/>
              <w:bottom w:val="single" w:sz="6" w:space="0" w:color="auto"/>
              <w:right w:val="single" w:sz="12" w:space="0" w:color="auto"/>
            </w:tcBorders>
            <w:vAlign w:val="center"/>
          </w:tcPr>
          <w:p w:rsidR="00A755CB" w:rsidRPr="00737B66" w:rsidRDefault="00A755CB" w:rsidP="00737B66">
            <w:pPr>
              <w:jc w:val="center"/>
              <w:rPr>
                <w:color w:val="000000"/>
                <w:sz w:val="16"/>
                <w:szCs w:val="16"/>
              </w:rPr>
            </w:pPr>
            <w:r w:rsidRPr="00737B66">
              <w:rPr>
                <w:color w:val="000000"/>
                <w:sz w:val="16"/>
                <w:szCs w:val="16"/>
              </w:rPr>
              <w:t>4485</w:t>
            </w:r>
          </w:p>
        </w:tc>
        <w:tc>
          <w:tcPr>
            <w:tcW w:w="1541" w:type="dxa"/>
            <w:tcBorders>
              <w:top w:val="single" w:sz="6" w:space="0" w:color="auto"/>
              <w:left w:val="single" w:sz="12" w:space="0" w:color="auto"/>
              <w:bottom w:val="single" w:sz="6" w:space="0" w:color="auto"/>
              <w:right w:val="single" w:sz="12" w:space="0" w:color="auto"/>
            </w:tcBorders>
            <w:vAlign w:val="center"/>
          </w:tcPr>
          <w:p w:rsidR="00A755CB" w:rsidRPr="00737B66" w:rsidRDefault="00A755CB" w:rsidP="00737B66">
            <w:pPr>
              <w:jc w:val="center"/>
              <w:rPr>
                <w:color w:val="000000"/>
                <w:sz w:val="16"/>
                <w:szCs w:val="16"/>
              </w:rPr>
            </w:pPr>
            <w:r w:rsidRPr="00737B66">
              <w:rPr>
                <w:color w:val="000000"/>
                <w:sz w:val="16"/>
                <w:szCs w:val="16"/>
                <w:lang w:val="lt-LT"/>
              </w:rPr>
              <w:t>1941</w:t>
            </w:r>
          </w:p>
        </w:tc>
        <w:tc>
          <w:tcPr>
            <w:tcW w:w="1468" w:type="dxa"/>
            <w:tcBorders>
              <w:top w:val="single" w:sz="6" w:space="0" w:color="auto"/>
              <w:left w:val="single" w:sz="12" w:space="0" w:color="auto"/>
              <w:bottom w:val="single" w:sz="6" w:space="0" w:color="auto"/>
              <w:right w:val="single" w:sz="12" w:space="0" w:color="auto"/>
            </w:tcBorders>
            <w:vAlign w:val="center"/>
          </w:tcPr>
          <w:p w:rsidR="00A755CB" w:rsidRPr="00737B66" w:rsidRDefault="00A755CB" w:rsidP="00737B66">
            <w:pPr>
              <w:spacing w:line="360" w:lineRule="auto"/>
              <w:jc w:val="center"/>
              <w:rPr>
                <w:sz w:val="16"/>
                <w:szCs w:val="16"/>
                <w:lang w:val="lt-LT"/>
              </w:rPr>
            </w:pPr>
            <w:r w:rsidRPr="00737B66">
              <w:rPr>
                <w:sz w:val="16"/>
                <w:szCs w:val="16"/>
                <w:lang w:val="lt-LT"/>
              </w:rPr>
              <w:t>6901</w:t>
            </w:r>
          </w:p>
        </w:tc>
      </w:tr>
      <w:tr w:rsidR="00A755CB" w:rsidRPr="00737B66" w:rsidTr="00737B66">
        <w:tc>
          <w:tcPr>
            <w:tcW w:w="714" w:type="dxa"/>
            <w:tcBorders>
              <w:top w:val="single" w:sz="6" w:space="0" w:color="auto"/>
              <w:left w:val="single" w:sz="12" w:space="0" w:color="auto"/>
              <w:bottom w:val="single" w:sz="6" w:space="0" w:color="auto"/>
              <w:right w:val="single" w:sz="12" w:space="0" w:color="auto"/>
            </w:tcBorders>
            <w:vAlign w:val="center"/>
          </w:tcPr>
          <w:p w:rsidR="00A755CB" w:rsidRPr="00737B66" w:rsidRDefault="00A755CB" w:rsidP="00737B66">
            <w:pPr>
              <w:jc w:val="center"/>
              <w:rPr>
                <w:b/>
                <w:sz w:val="16"/>
                <w:szCs w:val="16"/>
              </w:rPr>
            </w:pPr>
            <w:r w:rsidRPr="00737B66">
              <w:rPr>
                <w:b/>
                <w:sz w:val="16"/>
                <w:szCs w:val="16"/>
              </w:rPr>
              <w:t>ES</w:t>
            </w:r>
          </w:p>
        </w:tc>
        <w:tc>
          <w:tcPr>
            <w:tcW w:w="966" w:type="dxa"/>
            <w:tcBorders>
              <w:top w:val="single" w:sz="6" w:space="0" w:color="auto"/>
              <w:left w:val="single" w:sz="12" w:space="0" w:color="auto"/>
              <w:bottom w:val="single" w:sz="6" w:space="0" w:color="auto"/>
              <w:right w:val="single" w:sz="6" w:space="0" w:color="auto"/>
            </w:tcBorders>
            <w:vAlign w:val="center"/>
          </w:tcPr>
          <w:p w:rsidR="00A755CB" w:rsidRPr="00737B66" w:rsidRDefault="00A755CB" w:rsidP="00737B66">
            <w:pPr>
              <w:spacing w:line="360" w:lineRule="auto"/>
              <w:jc w:val="center"/>
              <w:rPr>
                <w:sz w:val="16"/>
                <w:szCs w:val="16"/>
                <w:lang w:val="lt-LT"/>
              </w:rPr>
            </w:pPr>
            <w:r w:rsidRPr="00737B66">
              <w:rPr>
                <w:sz w:val="16"/>
                <w:szCs w:val="16"/>
                <w:lang w:val="lt-LT"/>
              </w:rPr>
              <w:t>54770</w:t>
            </w:r>
          </w:p>
        </w:tc>
        <w:tc>
          <w:tcPr>
            <w:tcW w:w="1236" w:type="dxa"/>
            <w:tcBorders>
              <w:top w:val="single" w:sz="6" w:space="0" w:color="auto"/>
              <w:left w:val="single" w:sz="6" w:space="0" w:color="auto"/>
              <w:bottom w:val="single" w:sz="6" w:space="0" w:color="auto"/>
              <w:right w:val="single" w:sz="6" w:space="0" w:color="auto"/>
            </w:tcBorders>
            <w:vAlign w:val="center"/>
          </w:tcPr>
          <w:p w:rsidR="00A755CB" w:rsidRPr="00737B66" w:rsidRDefault="00A755CB" w:rsidP="00737B66">
            <w:pPr>
              <w:spacing w:line="360" w:lineRule="auto"/>
              <w:jc w:val="center"/>
              <w:rPr>
                <w:sz w:val="16"/>
                <w:szCs w:val="16"/>
                <w:lang w:val="lt-LT"/>
              </w:rPr>
            </w:pPr>
            <w:r w:rsidRPr="00737B66">
              <w:rPr>
                <w:sz w:val="16"/>
                <w:szCs w:val="16"/>
                <w:lang w:val="lt-LT"/>
              </w:rPr>
              <w:t>83585</w:t>
            </w:r>
          </w:p>
        </w:tc>
        <w:tc>
          <w:tcPr>
            <w:tcW w:w="1000" w:type="dxa"/>
            <w:tcBorders>
              <w:top w:val="single" w:sz="6" w:space="0" w:color="auto"/>
              <w:left w:val="single" w:sz="6" w:space="0" w:color="auto"/>
              <w:bottom w:val="single" w:sz="6" w:space="0" w:color="auto"/>
              <w:right w:val="single" w:sz="4" w:space="0" w:color="auto"/>
            </w:tcBorders>
            <w:vAlign w:val="center"/>
          </w:tcPr>
          <w:p w:rsidR="00A755CB" w:rsidRPr="00737B66" w:rsidRDefault="00A755CB" w:rsidP="00737B66">
            <w:pPr>
              <w:spacing w:line="360" w:lineRule="auto"/>
              <w:jc w:val="center"/>
              <w:rPr>
                <w:sz w:val="16"/>
                <w:szCs w:val="16"/>
                <w:lang w:val="lt-LT"/>
              </w:rPr>
            </w:pPr>
            <w:r w:rsidRPr="00737B66">
              <w:rPr>
                <w:sz w:val="16"/>
                <w:szCs w:val="16"/>
                <w:lang w:val="lt-LT"/>
              </w:rPr>
              <w:t>3717</w:t>
            </w:r>
          </w:p>
        </w:tc>
        <w:tc>
          <w:tcPr>
            <w:tcW w:w="1308" w:type="dxa"/>
            <w:tcBorders>
              <w:top w:val="single" w:sz="6" w:space="0" w:color="auto"/>
              <w:left w:val="single" w:sz="4" w:space="0" w:color="auto"/>
              <w:bottom w:val="single" w:sz="6" w:space="0" w:color="auto"/>
              <w:right w:val="single" w:sz="12" w:space="0" w:color="auto"/>
            </w:tcBorders>
            <w:vAlign w:val="center"/>
          </w:tcPr>
          <w:p w:rsidR="00A755CB" w:rsidRPr="00737B66" w:rsidRDefault="00A755CB" w:rsidP="00737B66">
            <w:pPr>
              <w:jc w:val="center"/>
              <w:rPr>
                <w:color w:val="000000"/>
                <w:sz w:val="16"/>
                <w:szCs w:val="16"/>
              </w:rPr>
            </w:pPr>
            <w:r w:rsidRPr="00737B66">
              <w:rPr>
                <w:color w:val="000000"/>
                <w:sz w:val="16"/>
                <w:szCs w:val="16"/>
              </w:rPr>
              <w:t>142072</w:t>
            </w:r>
          </w:p>
        </w:tc>
        <w:tc>
          <w:tcPr>
            <w:tcW w:w="1523" w:type="dxa"/>
            <w:tcBorders>
              <w:top w:val="single" w:sz="6" w:space="0" w:color="auto"/>
              <w:left w:val="single" w:sz="12" w:space="0" w:color="auto"/>
              <w:bottom w:val="single" w:sz="6" w:space="0" w:color="auto"/>
              <w:right w:val="single" w:sz="12" w:space="0" w:color="auto"/>
            </w:tcBorders>
            <w:vAlign w:val="center"/>
          </w:tcPr>
          <w:p w:rsidR="00A755CB" w:rsidRPr="00737B66" w:rsidRDefault="00A755CB" w:rsidP="00737B66">
            <w:pPr>
              <w:jc w:val="center"/>
              <w:rPr>
                <w:color w:val="000000"/>
                <w:sz w:val="16"/>
                <w:szCs w:val="16"/>
              </w:rPr>
            </w:pPr>
            <w:r w:rsidRPr="00737B66">
              <w:rPr>
                <w:color w:val="000000"/>
                <w:sz w:val="16"/>
                <w:szCs w:val="16"/>
              </w:rPr>
              <w:t>74099</w:t>
            </w:r>
          </w:p>
        </w:tc>
        <w:tc>
          <w:tcPr>
            <w:tcW w:w="1541" w:type="dxa"/>
            <w:tcBorders>
              <w:top w:val="single" w:sz="6" w:space="0" w:color="auto"/>
              <w:left w:val="single" w:sz="12" w:space="0" w:color="auto"/>
              <w:bottom w:val="single" w:sz="6" w:space="0" w:color="auto"/>
              <w:right w:val="single" w:sz="12" w:space="0" w:color="auto"/>
            </w:tcBorders>
            <w:vAlign w:val="center"/>
          </w:tcPr>
          <w:p w:rsidR="00A755CB" w:rsidRPr="00737B66" w:rsidRDefault="00A755CB" w:rsidP="00737B66">
            <w:pPr>
              <w:jc w:val="center"/>
              <w:rPr>
                <w:color w:val="000000"/>
                <w:sz w:val="16"/>
                <w:szCs w:val="16"/>
              </w:rPr>
            </w:pPr>
            <w:r w:rsidRPr="00737B66">
              <w:rPr>
                <w:color w:val="000000"/>
                <w:sz w:val="16"/>
                <w:szCs w:val="16"/>
                <w:lang w:val="lt-LT"/>
              </w:rPr>
              <w:t>14950</w:t>
            </w:r>
          </w:p>
        </w:tc>
        <w:tc>
          <w:tcPr>
            <w:tcW w:w="1468" w:type="dxa"/>
            <w:tcBorders>
              <w:top w:val="single" w:sz="6" w:space="0" w:color="auto"/>
              <w:left w:val="single" w:sz="12" w:space="0" w:color="auto"/>
              <w:bottom w:val="single" w:sz="6" w:space="0" w:color="auto"/>
              <w:right w:val="single" w:sz="12" w:space="0" w:color="auto"/>
            </w:tcBorders>
            <w:vAlign w:val="center"/>
          </w:tcPr>
          <w:p w:rsidR="00A755CB" w:rsidRPr="00737B66" w:rsidRDefault="00A755CB" w:rsidP="00737B66">
            <w:pPr>
              <w:spacing w:line="360" w:lineRule="auto"/>
              <w:jc w:val="center"/>
              <w:rPr>
                <w:sz w:val="16"/>
                <w:szCs w:val="16"/>
                <w:lang w:val="lt-LT"/>
              </w:rPr>
            </w:pPr>
            <w:r w:rsidRPr="00737B66">
              <w:rPr>
                <w:sz w:val="16"/>
                <w:szCs w:val="16"/>
                <w:lang w:val="lt-LT"/>
              </w:rPr>
              <w:t>231121</w:t>
            </w:r>
          </w:p>
        </w:tc>
      </w:tr>
      <w:tr w:rsidR="00A755CB" w:rsidRPr="00737B66" w:rsidTr="00737B66">
        <w:tc>
          <w:tcPr>
            <w:tcW w:w="714" w:type="dxa"/>
            <w:tcBorders>
              <w:top w:val="single" w:sz="6" w:space="0" w:color="auto"/>
              <w:left w:val="single" w:sz="12" w:space="0" w:color="auto"/>
              <w:bottom w:val="single" w:sz="6" w:space="0" w:color="auto"/>
              <w:right w:val="single" w:sz="12" w:space="0" w:color="auto"/>
            </w:tcBorders>
            <w:vAlign w:val="center"/>
          </w:tcPr>
          <w:p w:rsidR="00A755CB" w:rsidRPr="00737B66" w:rsidRDefault="00A755CB" w:rsidP="00737B66">
            <w:pPr>
              <w:jc w:val="center"/>
              <w:rPr>
                <w:b/>
                <w:sz w:val="16"/>
                <w:szCs w:val="16"/>
              </w:rPr>
            </w:pPr>
            <w:r w:rsidRPr="00737B66">
              <w:rPr>
                <w:b/>
                <w:sz w:val="16"/>
                <w:szCs w:val="16"/>
              </w:rPr>
              <w:t>FR</w:t>
            </w:r>
          </w:p>
        </w:tc>
        <w:tc>
          <w:tcPr>
            <w:tcW w:w="966" w:type="dxa"/>
            <w:tcBorders>
              <w:top w:val="single" w:sz="6" w:space="0" w:color="auto"/>
              <w:left w:val="single" w:sz="12" w:space="0" w:color="auto"/>
              <w:bottom w:val="single" w:sz="6" w:space="0" w:color="auto"/>
              <w:right w:val="single" w:sz="6" w:space="0" w:color="auto"/>
            </w:tcBorders>
            <w:vAlign w:val="center"/>
          </w:tcPr>
          <w:p w:rsidR="00A755CB" w:rsidRPr="00737B66" w:rsidRDefault="00A755CB" w:rsidP="00737B66">
            <w:pPr>
              <w:spacing w:line="360" w:lineRule="auto"/>
              <w:jc w:val="center"/>
              <w:rPr>
                <w:sz w:val="16"/>
                <w:szCs w:val="16"/>
                <w:lang w:val="lt-LT"/>
              </w:rPr>
            </w:pPr>
            <w:r w:rsidRPr="00737B66">
              <w:rPr>
                <w:sz w:val="16"/>
                <w:szCs w:val="16"/>
                <w:lang w:val="lt-LT"/>
              </w:rPr>
              <w:t>18855</w:t>
            </w:r>
          </w:p>
        </w:tc>
        <w:tc>
          <w:tcPr>
            <w:tcW w:w="1236" w:type="dxa"/>
            <w:tcBorders>
              <w:top w:val="single" w:sz="6" w:space="0" w:color="auto"/>
              <w:left w:val="single" w:sz="6" w:space="0" w:color="auto"/>
              <w:bottom w:val="single" w:sz="6" w:space="0" w:color="auto"/>
              <w:right w:val="single" w:sz="6" w:space="0" w:color="auto"/>
            </w:tcBorders>
            <w:vAlign w:val="center"/>
          </w:tcPr>
          <w:p w:rsidR="00A755CB" w:rsidRPr="00737B66" w:rsidRDefault="00A755CB" w:rsidP="00737B66">
            <w:pPr>
              <w:spacing w:line="360" w:lineRule="auto"/>
              <w:jc w:val="center"/>
              <w:rPr>
                <w:sz w:val="16"/>
                <w:szCs w:val="16"/>
                <w:lang w:val="lt-LT"/>
              </w:rPr>
            </w:pPr>
            <w:r w:rsidRPr="00737B66">
              <w:rPr>
                <w:sz w:val="16"/>
                <w:szCs w:val="16"/>
                <w:lang w:val="lt-LT"/>
              </w:rPr>
              <w:t>96128</w:t>
            </w:r>
          </w:p>
        </w:tc>
        <w:tc>
          <w:tcPr>
            <w:tcW w:w="1000" w:type="dxa"/>
            <w:tcBorders>
              <w:top w:val="single" w:sz="6" w:space="0" w:color="auto"/>
              <w:left w:val="single" w:sz="6" w:space="0" w:color="auto"/>
              <w:bottom w:val="single" w:sz="6" w:space="0" w:color="auto"/>
              <w:right w:val="single" w:sz="4" w:space="0" w:color="auto"/>
            </w:tcBorders>
            <w:vAlign w:val="center"/>
          </w:tcPr>
          <w:p w:rsidR="00A755CB" w:rsidRPr="00737B66" w:rsidRDefault="00A755CB" w:rsidP="00737B66">
            <w:pPr>
              <w:spacing w:line="360" w:lineRule="auto"/>
              <w:jc w:val="center"/>
              <w:rPr>
                <w:sz w:val="16"/>
                <w:szCs w:val="16"/>
                <w:lang w:val="lt-LT"/>
              </w:rPr>
            </w:pPr>
          </w:p>
        </w:tc>
        <w:tc>
          <w:tcPr>
            <w:tcW w:w="1308" w:type="dxa"/>
            <w:tcBorders>
              <w:top w:val="single" w:sz="6" w:space="0" w:color="auto"/>
              <w:left w:val="single" w:sz="4" w:space="0" w:color="auto"/>
              <w:bottom w:val="single" w:sz="6" w:space="0" w:color="auto"/>
              <w:right w:val="single" w:sz="12" w:space="0" w:color="auto"/>
            </w:tcBorders>
            <w:vAlign w:val="center"/>
          </w:tcPr>
          <w:p w:rsidR="00A755CB" w:rsidRPr="00737B66" w:rsidRDefault="00A755CB" w:rsidP="00737B66">
            <w:pPr>
              <w:jc w:val="center"/>
              <w:rPr>
                <w:color w:val="000000"/>
                <w:sz w:val="16"/>
                <w:szCs w:val="16"/>
              </w:rPr>
            </w:pPr>
            <w:r w:rsidRPr="00737B66">
              <w:rPr>
                <w:color w:val="000000"/>
                <w:sz w:val="16"/>
                <w:szCs w:val="16"/>
              </w:rPr>
              <w:t>114983</w:t>
            </w:r>
          </w:p>
        </w:tc>
        <w:tc>
          <w:tcPr>
            <w:tcW w:w="1523" w:type="dxa"/>
            <w:tcBorders>
              <w:top w:val="single" w:sz="6" w:space="0" w:color="auto"/>
              <w:left w:val="single" w:sz="12" w:space="0" w:color="auto"/>
              <w:bottom w:val="single" w:sz="6" w:space="0" w:color="auto"/>
              <w:right w:val="single" w:sz="12" w:space="0" w:color="auto"/>
            </w:tcBorders>
            <w:vAlign w:val="center"/>
          </w:tcPr>
          <w:p w:rsidR="00A755CB" w:rsidRPr="00737B66" w:rsidRDefault="00A755CB" w:rsidP="00737B66">
            <w:pPr>
              <w:jc w:val="center"/>
              <w:rPr>
                <w:color w:val="000000"/>
                <w:sz w:val="16"/>
                <w:szCs w:val="16"/>
              </w:rPr>
            </w:pPr>
            <w:r w:rsidRPr="00737B66">
              <w:rPr>
                <w:color w:val="000000"/>
                <w:sz w:val="16"/>
                <w:szCs w:val="16"/>
              </w:rPr>
              <w:t>80699</w:t>
            </w:r>
          </w:p>
        </w:tc>
        <w:tc>
          <w:tcPr>
            <w:tcW w:w="1541" w:type="dxa"/>
            <w:tcBorders>
              <w:top w:val="single" w:sz="6" w:space="0" w:color="auto"/>
              <w:left w:val="single" w:sz="12" w:space="0" w:color="auto"/>
              <w:bottom w:val="single" w:sz="6" w:space="0" w:color="auto"/>
              <w:right w:val="single" w:sz="12" w:space="0" w:color="auto"/>
            </w:tcBorders>
            <w:vAlign w:val="center"/>
          </w:tcPr>
          <w:p w:rsidR="00A755CB" w:rsidRPr="00737B66" w:rsidRDefault="00A755CB" w:rsidP="00737B66">
            <w:pPr>
              <w:jc w:val="center"/>
              <w:rPr>
                <w:color w:val="000000"/>
                <w:sz w:val="16"/>
                <w:szCs w:val="16"/>
              </w:rPr>
            </w:pPr>
            <w:r w:rsidRPr="00737B66">
              <w:rPr>
                <w:color w:val="000000"/>
                <w:sz w:val="16"/>
                <w:szCs w:val="16"/>
                <w:lang w:val="lt-LT"/>
              </w:rPr>
              <w:t>43704,5</w:t>
            </w:r>
          </w:p>
        </w:tc>
        <w:tc>
          <w:tcPr>
            <w:tcW w:w="1468" w:type="dxa"/>
            <w:tcBorders>
              <w:top w:val="single" w:sz="6" w:space="0" w:color="auto"/>
              <w:left w:val="single" w:sz="12" w:space="0" w:color="auto"/>
              <w:bottom w:val="single" w:sz="6" w:space="0" w:color="auto"/>
              <w:right w:val="single" w:sz="12" w:space="0" w:color="auto"/>
            </w:tcBorders>
            <w:vAlign w:val="center"/>
          </w:tcPr>
          <w:p w:rsidR="00A755CB" w:rsidRPr="00737B66" w:rsidRDefault="00A755CB" w:rsidP="00737B66">
            <w:pPr>
              <w:spacing w:line="360" w:lineRule="auto"/>
              <w:jc w:val="center"/>
              <w:rPr>
                <w:sz w:val="16"/>
                <w:szCs w:val="16"/>
                <w:lang w:val="lt-LT"/>
              </w:rPr>
            </w:pPr>
            <w:r w:rsidRPr="00737B66">
              <w:rPr>
                <w:sz w:val="16"/>
                <w:szCs w:val="16"/>
                <w:lang w:val="lt-LT"/>
              </w:rPr>
              <w:t>239386,5</w:t>
            </w:r>
          </w:p>
        </w:tc>
      </w:tr>
      <w:tr w:rsidR="00A755CB" w:rsidRPr="00737B66" w:rsidTr="00737B66">
        <w:tc>
          <w:tcPr>
            <w:tcW w:w="714" w:type="dxa"/>
            <w:tcBorders>
              <w:top w:val="single" w:sz="6" w:space="0" w:color="auto"/>
              <w:left w:val="single" w:sz="12" w:space="0" w:color="auto"/>
              <w:bottom w:val="single" w:sz="6" w:space="0" w:color="auto"/>
              <w:right w:val="single" w:sz="12" w:space="0" w:color="auto"/>
            </w:tcBorders>
            <w:vAlign w:val="center"/>
          </w:tcPr>
          <w:p w:rsidR="00A755CB" w:rsidRPr="00737B66" w:rsidRDefault="00A755CB" w:rsidP="00737B66">
            <w:pPr>
              <w:jc w:val="center"/>
              <w:rPr>
                <w:b/>
                <w:sz w:val="16"/>
                <w:szCs w:val="16"/>
              </w:rPr>
            </w:pPr>
            <w:r w:rsidRPr="00737B66">
              <w:rPr>
                <w:b/>
                <w:sz w:val="16"/>
                <w:szCs w:val="16"/>
              </w:rPr>
              <w:t>IT</w:t>
            </w:r>
          </w:p>
        </w:tc>
        <w:tc>
          <w:tcPr>
            <w:tcW w:w="966" w:type="dxa"/>
            <w:tcBorders>
              <w:top w:val="single" w:sz="6" w:space="0" w:color="auto"/>
              <w:left w:val="single" w:sz="12" w:space="0" w:color="auto"/>
              <w:bottom w:val="single" w:sz="6" w:space="0" w:color="auto"/>
              <w:right w:val="single" w:sz="6" w:space="0" w:color="auto"/>
            </w:tcBorders>
            <w:vAlign w:val="center"/>
          </w:tcPr>
          <w:p w:rsidR="00A755CB" w:rsidRPr="00737B66" w:rsidRDefault="00A755CB" w:rsidP="00737B66">
            <w:pPr>
              <w:spacing w:line="360" w:lineRule="auto"/>
              <w:jc w:val="center"/>
              <w:rPr>
                <w:sz w:val="16"/>
                <w:szCs w:val="16"/>
                <w:lang w:val="lt-LT"/>
              </w:rPr>
            </w:pPr>
            <w:r w:rsidRPr="00737B66">
              <w:rPr>
                <w:sz w:val="16"/>
                <w:szCs w:val="16"/>
                <w:lang w:val="lt-LT"/>
              </w:rPr>
              <w:t>36618</w:t>
            </w:r>
          </w:p>
        </w:tc>
        <w:tc>
          <w:tcPr>
            <w:tcW w:w="1236" w:type="dxa"/>
            <w:tcBorders>
              <w:top w:val="single" w:sz="6" w:space="0" w:color="auto"/>
              <w:left w:val="single" w:sz="6" w:space="0" w:color="auto"/>
              <w:bottom w:val="single" w:sz="6" w:space="0" w:color="auto"/>
              <w:right w:val="single" w:sz="6" w:space="0" w:color="auto"/>
            </w:tcBorders>
            <w:vAlign w:val="center"/>
          </w:tcPr>
          <w:p w:rsidR="00A755CB" w:rsidRPr="00737B66" w:rsidRDefault="00A755CB" w:rsidP="00737B66">
            <w:pPr>
              <w:spacing w:line="360" w:lineRule="auto"/>
              <w:jc w:val="center"/>
              <w:rPr>
                <w:sz w:val="16"/>
                <w:szCs w:val="16"/>
                <w:lang w:val="lt-LT"/>
              </w:rPr>
            </w:pPr>
            <w:r w:rsidRPr="00737B66">
              <w:rPr>
                <w:sz w:val="16"/>
                <w:szCs w:val="16"/>
                <w:lang w:val="lt-LT"/>
              </w:rPr>
              <w:t>71812</w:t>
            </w:r>
          </w:p>
        </w:tc>
        <w:tc>
          <w:tcPr>
            <w:tcW w:w="1000" w:type="dxa"/>
            <w:tcBorders>
              <w:top w:val="single" w:sz="6" w:space="0" w:color="auto"/>
              <w:left w:val="single" w:sz="6" w:space="0" w:color="auto"/>
              <w:bottom w:val="single" w:sz="6" w:space="0" w:color="auto"/>
              <w:right w:val="single" w:sz="4" w:space="0" w:color="auto"/>
            </w:tcBorders>
            <w:vAlign w:val="center"/>
          </w:tcPr>
          <w:p w:rsidR="00A755CB" w:rsidRPr="00737B66" w:rsidRDefault="00A755CB" w:rsidP="00737B66">
            <w:pPr>
              <w:spacing w:line="360" w:lineRule="auto"/>
              <w:jc w:val="center"/>
              <w:rPr>
                <w:sz w:val="16"/>
                <w:szCs w:val="16"/>
                <w:lang w:val="lt-LT"/>
              </w:rPr>
            </w:pPr>
            <w:r w:rsidRPr="00737B66">
              <w:rPr>
                <w:sz w:val="16"/>
                <w:szCs w:val="16"/>
                <w:lang w:val="lt-LT"/>
              </w:rPr>
              <w:t>45</w:t>
            </w:r>
          </w:p>
        </w:tc>
        <w:tc>
          <w:tcPr>
            <w:tcW w:w="1308" w:type="dxa"/>
            <w:tcBorders>
              <w:top w:val="single" w:sz="6" w:space="0" w:color="auto"/>
              <w:left w:val="single" w:sz="4" w:space="0" w:color="auto"/>
              <w:bottom w:val="single" w:sz="6" w:space="0" w:color="auto"/>
              <w:right w:val="single" w:sz="12" w:space="0" w:color="auto"/>
            </w:tcBorders>
            <w:vAlign w:val="center"/>
          </w:tcPr>
          <w:p w:rsidR="00A755CB" w:rsidRPr="00737B66" w:rsidRDefault="00A755CB" w:rsidP="00737B66">
            <w:pPr>
              <w:jc w:val="center"/>
              <w:rPr>
                <w:color w:val="000000"/>
                <w:sz w:val="16"/>
                <w:szCs w:val="16"/>
              </w:rPr>
            </w:pPr>
            <w:r w:rsidRPr="00737B66">
              <w:rPr>
                <w:color w:val="000000"/>
                <w:sz w:val="16"/>
                <w:szCs w:val="16"/>
              </w:rPr>
              <w:t>108475</w:t>
            </w:r>
          </w:p>
        </w:tc>
        <w:tc>
          <w:tcPr>
            <w:tcW w:w="1523" w:type="dxa"/>
            <w:tcBorders>
              <w:top w:val="single" w:sz="6" w:space="0" w:color="auto"/>
              <w:left w:val="single" w:sz="12" w:space="0" w:color="auto"/>
              <w:bottom w:val="single" w:sz="6" w:space="0" w:color="auto"/>
              <w:right w:val="single" w:sz="12" w:space="0" w:color="auto"/>
            </w:tcBorders>
            <w:vAlign w:val="center"/>
          </w:tcPr>
          <w:p w:rsidR="00A755CB" w:rsidRPr="00737B66" w:rsidRDefault="00A755CB" w:rsidP="00737B66">
            <w:pPr>
              <w:jc w:val="center"/>
              <w:rPr>
                <w:color w:val="000000"/>
                <w:sz w:val="16"/>
                <w:szCs w:val="16"/>
              </w:rPr>
            </w:pPr>
            <w:r w:rsidRPr="00737B66">
              <w:rPr>
                <w:color w:val="000000"/>
                <w:sz w:val="16"/>
                <w:szCs w:val="16"/>
              </w:rPr>
              <w:t>107299</w:t>
            </w:r>
          </w:p>
        </w:tc>
        <w:tc>
          <w:tcPr>
            <w:tcW w:w="1541" w:type="dxa"/>
            <w:tcBorders>
              <w:top w:val="single" w:sz="6" w:space="0" w:color="auto"/>
              <w:left w:val="single" w:sz="12" w:space="0" w:color="auto"/>
              <w:bottom w:val="single" w:sz="6" w:space="0" w:color="auto"/>
              <w:right w:val="single" w:sz="12" w:space="0" w:color="auto"/>
            </w:tcBorders>
            <w:vAlign w:val="center"/>
          </w:tcPr>
          <w:p w:rsidR="00A755CB" w:rsidRPr="00737B66" w:rsidRDefault="00A755CB" w:rsidP="00737B66">
            <w:pPr>
              <w:jc w:val="center"/>
              <w:rPr>
                <w:color w:val="000000"/>
                <w:sz w:val="16"/>
                <w:szCs w:val="16"/>
              </w:rPr>
            </w:pPr>
            <w:r w:rsidRPr="00737B66">
              <w:rPr>
                <w:color w:val="000000"/>
                <w:sz w:val="16"/>
                <w:szCs w:val="16"/>
                <w:lang w:val="lt-LT"/>
              </w:rPr>
              <w:t>23330</w:t>
            </w:r>
          </w:p>
        </w:tc>
        <w:tc>
          <w:tcPr>
            <w:tcW w:w="1468" w:type="dxa"/>
            <w:tcBorders>
              <w:top w:val="single" w:sz="6" w:space="0" w:color="auto"/>
              <w:left w:val="single" w:sz="12" w:space="0" w:color="auto"/>
              <w:bottom w:val="single" w:sz="6" w:space="0" w:color="auto"/>
              <w:right w:val="single" w:sz="12" w:space="0" w:color="auto"/>
            </w:tcBorders>
            <w:vAlign w:val="center"/>
          </w:tcPr>
          <w:p w:rsidR="00A755CB" w:rsidRPr="00737B66" w:rsidRDefault="00A755CB" w:rsidP="00737B66">
            <w:pPr>
              <w:spacing w:line="360" w:lineRule="auto"/>
              <w:jc w:val="center"/>
              <w:rPr>
                <w:sz w:val="16"/>
                <w:szCs w:val="16"/>
                <w:lang w:val="lt-LT"/>
              </w:rPr>
            </w:pPr>
            <w:r w:rsidRPr="00737B66">
              <w:rPr>
                <w:sz w:val="16"/>
                <w:szCs w:val="16"/>
                <w:lang w:val="lt-LT"/>
              </w:rPr>
              <w:t>239104</w:t>
            </w:r>
          </w:p>
        </w:tc>
      </w:tr>
      <w:tr w:rsidR="00A755CB" w:rsidRPr="00737B66" w:rsidTr="00737B66">
        <w:tc>
          <w:tcPr>
            <w:tcW w:w="714" w:type="dxa"/>
            <w:tcBorders>
              <w:top w:val="single" w:sz="6" w:space="0" w:color="auto"/>
              <w:left w:val="single" w:sz="12" w:space="0" w:color="auto"/>
              <w:bottom w:val="single" w:sz="6" w:space="0" w:color="auto"/>
              <w:right w:val="single" w:sz="12" w:space="0" w:color="auto"/>
            </w:tcBorders>
            <w:vAlign w:val="center"/>
          </w:tcPr>
          <w:p w:rsidR="00A755CB" w:rsidRPr="00737B66" w:rsidRDefault="00A755CB" w:rsidP="00737B66">
            <w:pPr>
              <w:jc w:val="center"/>
              <w:rPr>
                <w:b/>
                <w:sz w:val="16"/>
                <w:szCs w:val="16"/>
              </w:rPr>
            </w:pPr>
            <w:r w:rsidRPr="00737B66">
              <w:rPr>
                <w:b/>
                <w:sz w:val="16"/>
                <w:szCs w:val="16"/>
              </w:rPr>
              <w:t>CY</w:t>
            </w:r>
          </w:p>
        </w:tc>
        <w:tc>
          <w:tcPr>
            <w:tcW w:w="966" w:type="dxa"/>
            <w:tcBorders>
              <w:top w:val="single" w:sz="6" w:space="0" w:color="auto"/>
              <w:left w:val="single" w:sz="12" w:space="0" w:color="auto"/>
              <w:bottom w:val="single" w:sz="6" w:space="0" w:color="auto"/>
              <w:right w:val="single" w:sz="6" w:space="0" w:color="auto"/>
            </w:tcBorders>
            <w:vAlign w:val="center"/>
          </w:tcPr>
          <w:p w:rsidR="00A755CB" w:rsidRPr="00737B66" w:rsidRDefault="00A755CB" w:rsidP="00737B66">
            <w:pPr>
              <w:spacing w:line="360" w:lineRule="auto"/>
              <w:jc w:val="center"/>
              <w:rPr>
                <w:sz w:val="16"/>
                <w:szCs w:val="16"/>
                <w:lang w:val="lt-LT"/>
              </w:rPr>
            </w:pPr>
            <w:r w:rsidRPr="00737B66">
              <w:rPr>
                <w:sz w:val="16"/>
                <w:szCs w:val="16"/>
                <w:lang w:val="lt-LT"/>
              </w:rPr>
              <w:t>29,9</w:t>
            </w:r>
          </w:p>
        </w:tc>
        <w:tc>
          <w:tcPr>
            <w:tcW w:w="1236" w:type="dxa"/>
            <w:tcBorders>
              <w:top w:val="single" w:sz="6" w:space="0" w:color="auto"/>
              <w:left w:val="single" w:sz="6" w:space="0" w:color="auto"/>
              <w:bottom w:val="single" w:sz="6" w:space="0" w:color="auto"/>
              <w:right w:val="single" w:sz="6" w:space="0" w:color="auto"/>
            </w:tcBorders>
            <w:vAlign w:val="center"/>
          </w:tcPr>
          <w:p w:rsidR="00A755CB" w:rsidRPr="00737B66" w:rsidRDefault="00A755CB" w:rsidP="00737B66">
            <w:pPr>
              <w:spacing w:line="360" w:lineRule="auto"/>
              <w:jc w:val="center"/>
              <w:rPr>
                <w:sz w:val="16"/>
                <w:szCs w:val="16"/>
                <w:lang w:val="lt-LT"/>
              </w:rPr>
            </w:pPr>
            <w:r w:rsidRPr="00737B66">
              <w:rPr>
                <w:sz w:val="16"/>
                <w:szCs w:val="16"/>
                <w:lang w:val="lt-LT"/>
              </w:rPr>
              <w:t>50,1</w:t>
            </w:r>
          </w:p>
        </w:tc>
        <w:tc>
          <w:tcPr>
            <w:tcW w:w="1000" w:type="dxa"/>
            <w:tcBorders>
              <w:top w:val="single" w:sz="6" w:space="0" w:color="auto"/>
              <w:left w:val="single" w:sz="6" w:space="0" w:color="auto"/>
              <w:bottom w:val="single" w:sz="6" w:space="0" w:color="auto"/>
              <w:right w:val="single" w:sz="4" w:space="0" w:color="auto"/>
            </w:tcBorders>
            <w:vAlign w:val="center"/>
          </w:tcPr>
          <w:p w:rsidR="00A755CB" w:rsidRPr="00737B66" w:rsidRDefault="00A755CB" w:rsidP="00737B66">
            <w:pPr>
              <w:spacing w:line="360" w:lineRule="auto"/>
              <w:jc w:val="center"/>
              <w:rPr>
                <w:sz w:val="16"/>
                <w:szCs w:val="16"/>
                <w:lang w:val="lt-LT"/>
              </w:rPr>
            </w:pPr>
          </w:p>
        </w:tc>
        <w:tc>
          <w:tcPr>
            <w:tcW w:w="1308" w:type="dxa"/>
            <w:tcBorders>
              <w:top w:val="single" w:sz="6" w:space="0" w:color="auto"/>
              <w:left w:val="single" w:sz="4" w:space="0" w:color="auto"/>
              <w:bottom w:val="single" w:sz="6" w:space="0" w:color="auto"/>
              <w:right w:val="single" w:sz="12" w:space="0" w:color="auto"/>
            </w:tcBorders>
            <w:vAlign w:val="center"/>
          </w:tcPr>
          <w:p w:rsidR="00A755CB" w:rsidRPr="00737B66" w:rsidRDefault="00A755CB" w:rsidP="00737B66">
            <w:pPr>
              <w:jc w:val="center"/>
              <w:rPr>
                <w:color w:val="000000"/>
                <w:sz w:val="16"/>
                <w:szCs w:val="16"/>
              </w:rPr>
            </w:pPr>
            <w:r w:rsidRPr="00737B66">
              <w:rPr>
                <w:color w:val="000000"/>
                <w:sz w:val="16"/>
                <w:szCs w:val="16"/>
              </w:rPr>
              <w:t>80</w:t>
            </w:r>
          </w:p>
        </w:tc>
        <w:tc>
          <w:tcPr>
            <w:tcW w:w="1523" w:type="dxa"/>
            <w:tcBorders>
              <w:top w:val="single" w:sz="6" w:space="0" w:color="auto"/>
              <w:left w:val="single" w:sz="12" w:space="0" w:color="auto"/>
              <w:bottom w:val="single" w:sz="6" w:space="0" w:color="auto"/>
              <w:right w:val="single" w:sz="12" w:space="0" w:color="auto"/>
            </w:tcBorders>
            <w:vAlign w:val="center"/>
          </w:tcPr>
          <w:p w:rsidR="00A755CB" w:rsidRPr="00737B66" w:rsidRDefault="00A755CB" w:rsidP="00737B66">
            <w:pPr>
              <w:jc w:val="center"/>
              <w:rPr>
                <w:color w:val="000000"/>
                <w:sz w:val="16"/>
                <w:szCs w:val="16"/>
              </w:rPr>
            </w:pPr>
            <w:r w:rsidRPr="00737B66">
              <w:rPr>
                <w:color w:val="000000"/>
                <w:sz w:val="16"/>
                <w:szCs w:val="16"/>
              </w:rPr>
              <w:t>198,3</w:t>
            </w:r>
          </w:p>
        </w:tc>
        <w:tc>
          <w:tcPr>
            <w:tcW w:w="1541" w:type="dxa"/>
            <w:tcBorders>
              <w:top w:val="single" w:sz="6" w:space="0" w:color="auto"/>
              <w:left w:val="single" w:sz="12" w:space="0" w:color="auto"/>
              <w:bottom w:val="single" w:sz="6" w:space="0" w:color="auto"/>
              <w:right w:val="single" w:sz="12" w:space="0" w:color="auto"/>
            </w:tcBorders>
            <w:vAlign w:val="center"/>
          </w:tcPr>
          <w:p w:rsidR="00A755CB" w:rsidRPr="00737B66" w:rsidRDefault="00A755CB" w:rsidP="00737B66">
            <w:pPr>
              <w:jc w:val="center"/>
              <w:rPr>
                <w:color w:val="000000"/>
                <w:sz w:val="16"/>
                <w:szCs w:val="16"/>
              </w:rPr>
            </w:pPr>
            <w:r w:rsidRPr="00737B66">
              <w:rPr>
                <w:color w:val="000000"/>
                <w:sz w:val="16"/>
                <w:szCs w:val="16"/>
                <w:lang w:val="lt-LT"/>
              </w:rPr>
              <w:t>75,3</w:t>
            </w:r>
          </w:p>
        </w:tc>
        <w:tc>
          <w:tcPr>
            <w:tcW w:w="1468" w:type="dxa"/>
            <w:tcBorders>
              <w:top w:val="single" w:sz="6" w:space="0" w:color="auto"/>
              <w:left w:val="single" w:sz="12" w:space="0" w:color="auto"/>
              <w:bottom w:val="single" w:sz="6" w:space="0" w:color="auto"/>
              <w:right w:val="single" w:sz="12" w:space="0" w:color="auto"/>
            </w:tcBorders>
            <w:vAlign w:val="center"/>
          </w:tcPr>
          <w:p w:rsidR="00A755CB" w:rsidRPr="00737B66" w:rsidRDefault="00A755CB" w:rsidP="00737B66">
            <w:pPr>
              <w:spacing w:line="360" w:lineRule="auto"/>
              <w:jc w:val="center"/>
              <w:rPr>
                <w:sz w:val="16"/>
                <w:szCs w:val="16"/>
                <w:lang w:val="lt-LT"/>
              </w:rPr>
            </w:pPr>
            <w:r w:rsidRPr="00737B66">
              <w:rPr>
                <w:sz w:val="16"/>
                <w:szCs w:val="16"/>
                <w:lang w:val="lt-LT"/>
              </w:rPr>
              <w:t>353,6</w:t>
            </w:r>
          </w:p>
        </w:tc>
      </w:tr>
      <w:tr w:rsidR="00A755CB" w:rsidRPr="00737B66" w:rsidTr="00737B66">
        <w:tc>
          <w:tcPr>
            <w:tcW w:w="714" w:type="dxa"/>
            <w:tcBorders>
              <w:top w:val="single" w:sz="6" w:space="0" w:color="auto"/>
              <w:left w:val="single" w:sz="12" w:space="0" w:color="auto"/>
              <w:bottom w:val="single" w:sz="6" w:space="0" w:color="auto"/>
              <w:right w:val="single" w:sz="12" w:space="0" w:color="auto"/>
            </w:tcBorders>
            <w:vAlign w:val="center"/>
          </w:tcPr>
          <w:p w:rsidR="00A755CB" w:rsidRPr="00737B66" w:rsidRDefault="00A755CB" w:rsidP="00737B66">
            <w:pPr>
              <w:jc w:val="center"/>
              <w:rPr>
                <w:b/>
                <w:sz w:val="16"/>
                <w:szCs w:val="16"/>
              </w:rPr>
            </w:pPr>
            <w:r w:rsidRPr="00737B66">
              <w:rPr>
                <w:b/>
                <w:sz w:val="16"/>
                <w:szCs w:val="16"/>
              </w:rPr>
              <w:t>LV</w:t>
            </w:r>
          </w:p>
        </w:tc>
        <w:tc>
          <w:tcPr>
            <w:tcW w:w="966" w:type="dxa"/>
            <w:tcBorders>
              <w:top w:val="single" w:sz="6" w:space="0" w:color="auto"/>
              <w:left w:val="single" w:sz="12" w:space="0" w:color="auto"/>
              <w:bottom w:val="single" w:sz="6" w:space="0" w:color="auto"/>
              <w:right w:val="single" w:sz="6" w:space="0" w:color="auto"/>
            </w:tcBorders>
            <w:vAlign w:val="center"/>
          </w:tcPr>
          <w:p w:rsidR="00A755CB" w:rsidRPr="00737B66" w:rsidRDefault="00A755CB" w:rsidP="00737B66">
            <w:pPr>
              <w:spacing w:line="360" w:lineRule="auto"/>
              <w:jc w:val="center"/>
              <w:rPr>
                <w:sz w:val="16"/>
                <w:szCs w:val="16"/>
                <w:lang w:val="lt-LT"/>
              </w:rPr>
            </w:pPr>
            <w:r w:rsidRPr="00737B66">
              <w:rPr>
                <w:sz w:val="16"/>
                <w:szCs w:val="16"/>
                <w:lang w:val="lt-LT"/>
              </w:rPr>
              <w:t>1038,9</w:t>
            </w:r>
          </w:p>
        </w:tc>
        <w:tc>
          <w:tcPr>
            <w:tcW w:w="1236" w:type="dxa"/>
            <w:tcBorders>
              <w:top w:val="single" w:sz="6" w:space="0" w:color="auto"/>
              <w:left w:val="single" w:sz="6" w:space="0" w:color="auto"/>
              <w:bottom w:val="single" w:sz="6" w:space="0" w:color="auto"/>
              <w:right w:val="single" w:sz="6" w:space="0" w:color="auto"/>
            </w:tcBorders>
            <w:vAlign w:val="center"/>
          </w:tcPr>
          <w:p w:rsidR="00A755CB" w:rsidRPr="00737B66" w:rsidRDefault="00A755CB" w:rsidP="00737B66">
            <w:pPr>
              <w:spacing w:line="360" w:lineRule="auto"/>
              <w:jc w:val="center"/>
              <w:rPr>
                <w:sz w:val="16"/>
                <w:szCs w:val="16"/>
                <w:lang w:val="lt-LT"/>
              </w:rPr>
            </w:pPr>
            <w:r w:rsidRPr="00737B66">
              <w:rPr>
                <w:sz w:val="16"/>
                <w:szCs w:val="16"/>
                <w:lang w:val="lt-LT"/>
              </w:rPr>
              <w:t>163,2</w:t>
            </w:r>
          </w:p>
        </w:tc>
        <w:tc>
          <w:tcPr>
            <w:tcW w:w="1000" w:type="dxa"/>
            <w:tcBorders>
              <w:top w:val="single" w:sz="6" w:space="0" w:color="auto"/>
              <w:left w:val="single" w:sz="6" w:space="0" w:color="auto"/>
              <w:bottom w:val="single" w:sz="6" w:space="0" w:color="auto"/>
              <w:right w:val="single" w:sz="4" w:space="0" w:color="auto"/>
            </w:tcBorders>
            <w:vAlign w:val="center"/>
          </w:tcPr>
          <w:p w:rsidR="00A755CB" w:rsidRPr="00737B66" w:rsidRDefault="00A755CB" w:rsidP="00737B66">
            <w:pPr>
              <w:spacing w:line="360" w:lineRule="auto"/>
              <w:jc w:val="center"/>
              <w:rPr>
                <w:sz w:val="16"/>
                <w:szCs w:val="16"/>
                <w:lang w:val="lt-LT"/>
              </w:rPr>
            </w:pPr>
          </w:p>
        </w:tc>
        <w:tc>
          <w:tcPr>
            <w:tcW w:w="1308" w:type="dxa"/>
            <w:tcBorders>
              <w:top w:val="single" w:sz="6" w:space="0" w:color="auto"/>
              <w:left w:val="single" w:sz="4" w:space="0" w:color="auto"/>
              <w:bottom w:val="single" w:sz="6" w:space="0" w:color="auto"/>
              <w:right w:val="single" w:sz="12" w:space="0" w:color="auto"/>
            </w:tcBorders>
            <w:vAlign w:val="center"/>
          </w:tcPr>
          <w:p w:rsidR="00A755CB" w:rsidRPr="00737B66" w:rsidRDefault="00A755CB" w:rsidP="00737B66">
            <w:pPr>
              <w:jc w:val="center"/>
              <w:rPr>
                <w:color w:val="000000"/>
                <w:sz w:val="16"/>
                <w:szCs w:val="16"/>
              </w:rPr>
            </w:pPr>
            <w:r w:rsidRPr="00737B66">
              <w:rPr>
                <w:color w:val="000000"/>
                <w:sz w:val="16"/>
                <w:szCs w:val="16"/>
              </w:rPr>
              <w:t>1202,1</w:t>
            </w:r>
          </w:p>
        </w:tc>
        <w:tc>
          <w:tcPr>
            <w:tcW w:w="1523" w:type="dxa"/>
            <w:tcBorders>
              <w:top w:val="single" w:sz="6" w:space="0" w:color="auto"/>
              <w:left w:val="single" w:sz="12" w:space="0" w:color="auto"/>
              <w:bottom w:val="single" w:sz="6" w:space="0" w:color="auto"/>
              <w:right w:val="single" w:sz="12" w:space="0" w:color="auto"/>
            </w:tcBorders>
            <w:vAlign w:val="center"/>
          </w:tcPr>
          <w:p w:rsidR="00A755CB" w:rsidRPr="00737B66" w:rsidRDefault="00A755CB" w:rsidP="00737B66">
            <w:pPr>
              <w:jc w:val="center"/>
              <w:rPr>
                <w:color w:val="000000"/>
                <w:sz w:val="16"/>
                <w:szCs w:val="16"/>
              </w:rPr>
            </w:pPr>
            <w:r w:rsidRPr="00737B66">
              <w:rPr>
                <w:color w:val="000000"/>
                <w:sz w:val="16"/>
                <w:szCs w:val="16"/>
              </w:rPr>
              <w:t>733</w:t>
            </w:r>
          </w:p>
        </w:tc>
        <w:tc>
          <w:tcPr>
            <w:tcW w:w="1541" w:type="dxa"/>
            <w:tcBorders>
              <w:top w:val="single" w:sz="6" w:space="0" w:color="auto"/>
              <w:left w:val="single" w:sz="12" w:space="0" w:color="auto"/>
              <w:bottom w:val="single" w:sz="6" w:space="0" w:color="auto"/>
              <w:right w:val="single" w:sz="12" w:space="0" w:color="auto"/>
            </w:tcBorders>
            <w:vAlign w:val="center"/>
          </w:tcPr>
          <w:p w:rsidR="00A755CB" w:rsidRPr="00737B66" w:rsidRDefault="00A755CB" w:rsidP="00737B66">
            <w:pPr>
              <w:jc w:val="center"/>
              <w:rPr>
                <w:color w:val="000000"/>
                <w:sz w:val="16"/>
                <w:szCs w:val="16"/>
              </w:rPr>
            </w:pPr>
            <w:r w:rsidRPr="00737B66">
              <w:rPr>
                <w:color w:val="000000"/>
                <w:sz w:val="16"/>
                <w:szCs w:val="16"/>
                <w:lang w:val="lt-LT"/>
              </w:rPr>
              <w:t>198,1</w:t>
            </w:r>
          </w:p>
        </w:tc>
        <w:tc>
          <w:tcPr>
            <w:tcW w:w="1468" w:type="dxa"/>
            <w:tcBorders>
              <w:top w:val="single" w:sz="6" w:space="0" w:color="auto"/>
              <w:left w:val="single" w:sz="12" w:space="0" w:color="auto"/>
              <w:bottom w:val="single" w:sz="6" w:space="0" w:color="auto"/>
              <w:right w:val="single" w:sz="12" w:space="0" w:color="auto"/>
            </w:tcBorders>
            <w:vAlign w:val="center"/>
          </w:tcPr>
          <w:p w:rsidR="00A755CB" w:rsidRPr="00737B66" w:rsidRDefault="00A755CB" w:rsidP="00737B66">
            <w:pPr>
              <w:spacing w:line="360" w:lineRule="auto"/>
              <w:jc w:val="center"/>
              <w:rPr>
                <w:sz w:val="16"/>
                <w:szCs w:val="16"/>
                <w:lang w:val="lt-LT"/>
              </w:rPr>
            </w:pPr>
            <w:r w:rsidRPr="00737B66">
              <w:rPr>
                <w:sz w:val="16"/>
                <w:szCs w:val="16"/>
                <w:lang w:val="lt-LT"/>
              </w:rPr>
              <w:t>2133,2</w:t>
            </w:r>
          </w:p>
        </w:tc>
      </w:tr>
      <w:tr w:rsidR="00A755CB" w:rsidRPr="00737B66" w:rsidTr="00737B66">
        <w:tc>
          <w:tcPr>
            <w:tcW w:w="714" w:type="dxa"/>
            <w:tcBorders>
              <w:top w:val="single" w:sz="6" w:space="0" w:color="auto"/>
              <w:left w:val="single" w:sz="12" w:space="0" w:color="auto"/>
              <w:bottom w:val="single" w:sz="6" w:space="0" w:color="auto"/>
              <w:right w:val="single" w:sz="12" w:space="0" w:color="auto"/>
            </w:tcBorders>
            <w:vAlign w:val="center"/>
          </w:tcPr>
          <w:p w:rsidR="00A755CB" w:rsidRPr="00737B66" w:rsidRDefault="00A755CB" w:rsidP="00737B66">
            <w:pPr>
              <w:jc w:val="center"/>
              <w:rPr>
                <w:b/>
                <w:sz w:val="16"/>
                <w:szCs w:val="16"/>
              </w:rPr>
            </w:pPr>
            <w:r w:rsidRPr="00737B66">
              <w:rPr>
                <w:b/>
                <w:sz w:val="16"/>
                <w:szCs w:val="16"/>
              </w:rPr>
              <w:t>LU</w:t>
            </w:r>
          </w:p>
        </w:tc>
        <w:tc>
          <w:tcPr>
            <w:tcW w:w="966" w:type="dxa"/>
            <w:tcBorders>
              <w:top w:val="single" w:sz="6" w:space="0" w:color="auto"/>
              <w:left w:val="single" w:sz="12" w:space="0" w:color="auto"/>
              <w:bottom w:val="single" w:sz="6" w:space="0" w:color="auto"/>
              <w:right w:val="single" w:sz="6" w:space="0" w:color="auto"/>
            </w:tcBorders>
            <w:vAlign w:val="center"/>
          </w:tcPr>
          <w:p w:rsidR="00A755CB" w:rsidRPr="00737B66" w:rsidRDefault="00A755CB" w:rsidP="00737B66">
            <w:pPr>
              <w:spacing w:line="360" w:lineRule="auto"/>
              <w:jc w:val="center"/>
              <w:rPr>
                <w:sz w:val="16"/>
                <w:szCs w:val="16"/>
                <w:lang w:val="lt-LT"/>
              </w:rPr>
            </w:pPr>
            <w:r w:rsidRPr="00737B66">
              <w:rPr>
                <w:sz w:val="16"/>
                <w:szCs w:val="16"/>
                <w:lang w:val="lt-LT"/>
              </w:rPr>
              <w:t>624,1</w:t>
            </w:r>
          </w:p>
        </w:tc>
        <w:tc>
          <w:tcPr>
            <w:tcW w:w="1236" w:type="dxa"/>
            <w:tcBorders>
              <w:top w:val="single" w:sz="6" w:space="0" w:color="auto"/>
              <w:left w:val="single" w:sz="6" w:space="0" w:color="auto"/>
              <w:bottom w:val="single" w:sz="6" w:space="0" w:color="auto"/>
              <w:right w:val="single" w:sz="6" w:space="0" w:color="auto"/>
            </w:tcBorders>
            <w:vAlign w:val="center"/>
          </w:tcPr>
          <w:p w:rsidR="00A755CB" w:rsidRPr="00737B66" w:rsidRDefault="00A755CB" w:rsidP="00737B66">
            <w:pPr>
              <w:spacing w:line="360" w:lineRule="auto"/>
              <w:jc w:val="center"/>
              <w:rPr>
                <w:sz w:val="16"/>
                <w:szCs w:val="16"/>
                <w:lang w:val="lt-LT"/>
              </w:rPr>
            </w:pPr>
            <w:r w:rsidRPr="00737B66">
              <w:rPr>
                <w:sz w:val="16"/>
                <w:szCs w:val="16"/>
                <w:lang w:val="lt-LT"/>
              </w:rPr>
              <w:t>46,4</w:t>
            </w:r>
          </w:p>
        </w:tc>
        <w:tc>
          <w:tcPr>
            <w:tcW w:w="1000" w:type="dxa"/>
            <w:tcBorders>
              <w:top w:val="single" w:sz="6" w:space="0" w:color="auto"/>
              <w:left w:val="single" w:sz="6" w:space="0" w:color="auto"/>
              <w:bottom w:val="single" w:sz="6" w:space="0" w:color="auto"/>
              <w:right w:val="single" w:sz="4" w:space="0" w:color="auto"/>
            </w:tcBorders>
            <w:vAlign w:val="center"/>
          </w:tcPr>
          <w:p w:rsidR="00A755CB" w:rsidRPr="00737B66" w:rsidRDefault="00A755CB" w:rsidP="00737B66">
            <w:pPr>
              <w:spacing w:line="360" w:lineRule="auto"/>
              <w:jc w:val="center"/>
              <w:rPr>
                <w:sz w:val="16"/>
                <w:szCs w:val="16"/>
                <w:lang w:val="lt-LT"/>
              </w:rPr>
            </w:pPr>
          </w:p>
        </w:tc>
        <w:tc>
          <w:tcPr>
            <w:tcW w:w="1308" w:type="dxa"/>
            <w:tcBorders>
              <w:top w:val="single" w:sz="6" w:space="0" w:color="auto"/>
              <w:left w:val="single" w:sz="4" w:space="0" w:color="auto"/>
              <w:bottom w:val="single" w:sz="6" w:space="0" w:color="auto"/>
              <w:right w:val="single" w:sz="12" w:space="0" w:color="auto"/>
            </w:tcBorders>
            <w:vAlign w:val="center"/>
          </w:tcPr>
          <w:p w:rsidR="00A755CB" w:rsidRPr="00737B66" w:rsidRDefault="00A755CB" w:rsidP="00737B66">
            <w:pPr>
              <w:jc w:val="center"/>
              <w:rPr>
                <w:color w:val="000000"/>
                <w:sz w:val="16"/>
                <w:szCs w:val="16"/>
              </w:rPr>
            </w:pPr>
            <w:r w:rsidRPr="00737B66">
              <w:rPr>
                <w:color w:val="000000"/>
                <w:sz w:val="16"/>
                <w:szCs w:val="16"/>
              </w:rPr>
              <w:t>670,5</w:t>
            </w:r>
          </w:p>
        </w:tc>
        <w:tc>
          <w:tcPr>
            <w:tcW w:w="1523" w:type="dxa"/>
            <w:tcBorders>
              <w:top w:val="single" w:sz="6" w:space="0" w:color="auto"/>
              <w:left w:val="single" w:sz="12" w:space="0" w:color="auto"/>
              <w:bottom w:val="single" w:sz="6" w:space="0" w:color="auto"/>
              <w:right w:val="single" w:sz="12" w:space="0" w:color="auto"/>
            </w:tcBorders>
            <w:vAlign w:val="center"/>
          </w:tcPr>
          <w:p w:rsidR="00A755CB" w:rsidRPr="00737B66" w:rsidRDefault="00A755CB" w:rsidP="00737B66">
            <w:pPr>
              <w:jc w:val="center"/>
              <w:rPr>
                <w:color w:val="000000"/>
                <w:sz w:val="16"/>
                <w:szCs w:val="16"/>
              </w:rPr>
            </w:pPr>
            <w:r w:rsidRPr="00737B66">
              <w:rPr>
                <w:color w:val="000000"/>
                <w:sz w:val="16"/>
                <w:szCs w:val="16"/>
              </w:rPr>
              <w:t>1246</w:t>
            </w:r>
          </w:p>
        </w:tc>
        <w:tc>
          <w:tcPr>
            <w:tcW w:w="1541" w:type="dxa"/>
            <w:tcBorders>
              <w:top w:val="single" w:sz="6" w:space="0" w:color="auto"/>
              <w:left w:val="single" w:sz="12" w:space="0" w:color="auto"/>
              <w:bottom w:val="single" w:sz="6" w:space="0" w:color="auto"/>
              <w:right w:val="single" w:sz="12" w:space="0" w:color="auto"/>
            </w:tcBorders>
            <w:vAlign w:val="center"/>
          </w:tcPr>
          <w:p w:rsidR="00A755CB" w:rsidRPr="00737B66" w:rsidRDefault="00A755CB" w:rsidP="00737B66">
            <w:pPr>
              <w:jc w:val="center"/>
              <w:rPr>
                <w:color w:val="000000"/>
                <w:sz w:val="16"/>
                <w:szCs w:val="16"/>
              </w:rPr>
            </w:pPr>
            <w:r w:rsidRPr="00737B66">
              <w:rPr>
                <w:color w:val="000000"/>
                <w:sz w:val="16"/>
                <w:szCs w:val="16"/>
                <w:lang w:val="lt-LT"/>
              </w:rPr>
              <w:t>464,3</w:t>
            </w:r>
          </w:p>
        </w:tc>
        <w:tc>
          <w:tcPr>
            <w:tcW w:w="1468" w:type="dxa"/>
            <w:tcBorders>
              <w:top w:val="single" w:sz="6" w:space="0" w:color="auto"/>
              <w:left w:val="single" w:sz="12" w:space="0" w:color="auto"/>
              <w:bottom w:val="single" w:sz="6" w:space="0" w:color="auto"/>
              <w:right w:val="single" w:sz="12" w:space="0" w:color="auto"/>
            </w:tcBorders>
            <w:vAlign w:val="center"/>
          </w:tcPr>
          <w:p w:rsidR="00A755CB" w:rsidRPr="00737B66" w:rsidRDefault="00A755CB" w:rsidP="00737B66">
            <w:pPr>
              <w:spacing w:line="360" w:lineRule="auto"/>
              <w:jc w:val="center"/>
              <w:rPr>
                <w:sz w:val="16"/>
                <w:szCs w:val="16"/>
                <w:lang w:val="lt-LT"/>
              </w:rPr>
            </w:pPr>
            <w:r w:rsidRPr="00737B66">
              <w:rPr>
                <w:sz w:val="16"/>
                <w:szCs w:val="16"/>
                <w:lang w:val="lt-LT"/>
              </w:rPr>
              <w:t>2380,8</w:t>
            </w:r>
          </w:p>
        </w:tc>
      </w:tr>
      <w:tr w:rsidR="00A755CB" w:rsidRPr="00737B66" w:rsidTr="00737B66">
        <w:tc>
          <w:tcPr>
            <w:tcW w:w="714" w:type="dxa"/>
            <w:tcBorders>
              <w:top w:val="single" w:sz="6" w:space="0" w:color="auto"/>
              <w:left w:val="single" w:sz="12" w:space="0" w:color="auto"/>
              <w:bottom w:val="single" w:sz="6" w:space="0" w:color="auto"/>
              <w:right w:val="single" w:sz="12" w:space="0" w:color="auto"/>
            </w:tcBorders>
            <w:vAlign w:val="center"/>
          </w:tcPr>
          <w:p w:rsidR="00A755CB" w:rsidRPr="00737B66" w:rsidRDefault="00A755CB" w:rsidP="00737B66">
            <w:pPr>
              <w:jc w:val="center"/>
              <w:rPr>
                <w:b/>
                <w:sz w:val="16"/>
                <w:szCs w:val="16"/>
              </w:rPr>
            </w:pPr>
            <w:r w:rsidRPr="00737B66">
              <w:rPr>
                <w:b/>
                <w:sz w:val="16"/>
                <w:szCs w:val="16"/>
              </w:rPr>
              <w:t>HU</w:t>
            </w:r>
          </w:p>
        </w:tc>
        <w:tc>
          <w:tcPr>
            <w:tcW w:w="966" w:type="dxa"/>
            <w:tcBorders>
              <w:top w:val="single" w:sz="6" w:space="0" w:color="auto"/>
              <w:left w:val="single" w:sz="12" w:space="0" w:color="auto"/>
              <w:bottom w:val="single" w:sz="6" w:space="0" w:color="auto"/>
              <w:right w:val="single" w:sz="6" w:space="0" w:color="auto"/>
            </w:tcBorders>
            <w:vAlign w:val="center"/>
          </w:tcPr>
          <w:p w:rsidR="00A755CB" w:rsidRPr="00737B66" w:rsidRDefault="00A755CB" w:rsidP="00737B66">
            <w:pPr>
              <w:spacing w:line="360" w:lineRule="auto"/>
              <w:jc w:val="center"/>
              <w:rPr>
                <w:sz w:val="16"/>
                <w:szCs w:val="16"/>
                <w:lang w:val="lt-LT"/>
              </w:rPr>
            </w:pPr>
            <w:r w:rsidRPr="00737B66">
              <w:rPr>
                <w:sz w:val="16"/>
                <w:szCs w:val="16"/>
                <w:lang w:val="lt-LT"/>
              </w:rPr>
              <w:t>204,6</w:t>
            </w:r>
          </w:p>
        </w:tc>
        <w:tc>
          <w:tcPr>
            <w:tcW w:w="1236" w:type="dxa"/>
            <w:tcBorders>
              <w:top w:val="single" w:sz="6" w:space="0" w:color="auto"/>
              <w:left w:val="single" w:sz="6" w:space="0" w:color="auto"/>
              <w:bottom w:val="single" w:sz="6" w:space="0" w:color="auto"/>
              <w:right w:val="single" w:sz="6" w:space="0" w:color="auto"/>
            </w:tcBorders>
            <w:vAlign w:val="center"/>
          </w:tcPr>
          <w:p w:rsidR="00A755CB" w:rsidRPr="00737B66" w:rsidRDefault="00A755CB" w:rsidP="00737B66">
            <w:pPr>
              <w:spacing w:line="360" w:lineRule="auto"/>
              <w:jc w:val="center"/>
              <w:rPr>
                <w:sz w:val="16"/>
                <w:szCs w:val="16"/>
                <w:lang w:val="lt-LT"/>
              </w:rPr>
            </w:pPr>
            <w:r w:rsidRPr="00737B66">
              <w:rPr>
                <w:sz w:val="16"/>
                <w:szCs w:val="16"/>
                <w:lang w:val="lt-LT"/>
              </w:rPr>
              <w:t>2177,3</w:t>
            </w:r>
          </w:p>
        </w:tc>
        <w:tc>
          <w:tcPr>
            <w:tcW w:w="1000" w:type="dxa"/>
            <w:tcBorders>
              <w:top w:val="single" w:sz="6" w:space="0" w:color="auto"/>
              <w:left w:val="single" w:sz="6" w:space="0" w:color="auto"/>
              <w:bottom w:val="single" w:sz="6" w:space="0" w:color="auto"/>
              <w:right w:val="single" w:sz="4" w:space="0" w:color="auto"/>
            </w:tcBorders>
            <w:vAlign w:val="center"/>
          </w:tcPr>
          <w:p w:rsidR="00A755CB" w:rsidRPr="00737B66" w:rsidRDefault="00A755CB" w:rsidP="00737B66">
            <w:pPr>
              <w:spacing w:line="360" w:lineRule="auto"/>
              <w:jc w:val="center"/>
              <w:rPr>
                <w:sz w:val="16"/>
                <w:szCs w:val="16"/>
                <w:lang w:val="lt-LT"/>
              </w:rPr>
            </w:pPr>
            <w:r w:rsidRPr="00737B66">
              <w:rPr>
                <w:sz w:val="16"/>
                <w:szCs w:val="16"/>
                <w:lang w:val="lt-LT"/>
              </w:rPr>
              <w:t>2,6</w:t>
            </w:r>
          </w:p>
        </w:tc>
        <w:tc>
          <w:tcPr>
            <w:tcW w:w="1308" w:type="dxa"/>
            <w:tcBorders>
              <w:top w:val="single" w:sz="6" w:space="0" w:color="auto"/>
              <w:left w:val="single" w:sz="4" w:space="0" w:color="auto"/>
              <w:bottom w:val="single" w:sz="6" w:space="0" w:color="auto"/>
              <w:right w:val="single" w:sz="12" w:space="0" w:color="auto"/>
            </w:tcBorders>
            <w:vAlign w:val="center"/>
          </w:tcPr>
          <w:p w:rsidR="00A755CB" w:rsidRPr="00737B66" w:rsidRDefault="00A755CB" w:rsidP="00737B66">
            <w:pPr>
              <w:jc w:val="center"/>
              <w:rPr>
                <w:color w:val="000000"/>
                <w:sz w:val="16"/>
                <w:szCs w:val="16"/>
              </w:rPr>
            </w:pPr>
            <w:r w:rsidRPr="00737B66">
              <w:rPr>
                <w:color w:val="000000"/>
                <w:sz w:val="16"/>
                <w:szCs w:val="16"/>
              </w:rPr>
              <w:t>2384,5</w:t>
            </w:r>
          </w:p>
        </w:tc>
        <w:tc>
          <w:tcPr>
            <w:tcW w:w="1523" w:type="dxa"/>
            <w:tcBorders>
              <w:top w:val="single" w:sz="6" w:space="0" w:color="auto"/>
              <w:left w:val="single" w:sz="12" w:space="0" w:color="auto"/>
              <w:bottom w:val="single" w:sz="6" w:space="0" w:color="auto"/>
              <w:right w:val="single" w:sz="12" w:space="0" w:color="auto"/>
            </w:tcBorders>
            <w:vAlign w:val="center"/>
          </w:tcPr>
          <w:p w:rsidR="00A755CB" w:rsidRPr="00737B66" w:rsidRDefault="00A755CB" w:rsidP="00737B66">
            <w:pPr>
              <w:jc w:val="center"/>
              <w:rPr>
                <w:color w:val="000000"/>
                <w:sz w:val="16"/>
                <w:szCs w:val="16"/>
              </w:rPr>
            </w:pPr>
            <w:r w:rsidRPr="00737B66">
              <w:rPr>
                <w:color w:val="000000"/>
                <w:sz w:val="16"/>
                <w:szCs w:val="16"/>
              </w:rPr>
              <w:t>6231,1</w:t>
            </w:r>
          </w:p>
        </w:tc>
        <w:tc>
          <w:tcPr>
            <w:tcW w:w="1541" w:type="dxa"/>
            <w:tcBorders>
              <w:top w:val="single" w:sz="6" w:space="0" w:color="auto"/>
              <w:left w:val="single" w:sz="12" w:space="0" w:color="auto"/>
              <w:bottom w:val="single" w:sz="6" w:space="0" w:color="auto"/>
              <w:right w:val="single" w:sz="12" w:space="0" w:color="auto"/>
            </w:tcBorders>
            <w:vAlign w:val="center"/>
          </w:tcPr>
          <w:p w:rsidR="00A755CB" w:rsidRPr="00737B66" w:rsidRDefault="00A755CB" w:rsidP="00737B66">
            <w:pPr>
              <w:jc w:val="center"/>
              <w:rPr>
                <w:color w:val="000000"/>
                <w:sz w:val="16"/>
                <w:szCs w:val="16"/>
              </w:rPr>
            </w:pPr>
            <w:r w:rsidRPr="00737B66">
              <w:rPr>
                <w:color w:val="000000"/>
                <w:sz w:val="16"/>
                <w:szCs w:val="16"/>
                <w:lang w:val="lt-LT"/>
              </w:rPr>
              <w:t>1012</w:t>
            </w:r>
          </w:p>
        </w:tc>
        <w:tc>
          <w:tcPr>
            <w:tcW w:w="1468" w:type="dxa"/>
            <w:tcBorders>
              <w:top w:val="single" w:sz="6" w:space="0" w:color="auto"/>
              <w:left w:val="single" w:sz="12" w:space="0" w:color="auto"/>
              <w:bottom w:val="single" w:sz="6" w:space="0" w:color="auto"/>
              <w:right w:val="single" w:sz="12" w:space="0" w:color="auto"/>
            </w:tcBorders>
            <w:vAlign w:val="center"/>
          </w:tcPr>
          <w:p w:rsidR="00A755CB" w:rsidRPr="00737B66" w:rsidRDefault="00A755CB" w:rsidP="00737B66">
            <w:pPr>
              <w:spacing w:line="360" w:lineRule="auto"/>
              <w:jc w:val="center"/>
              <w:rPr>
                <w:sz w:val="16"/>
                <w:szCs w:val="16"/>
                <w:lang w:val="lt-LT"/>
              </w:rPr>
            </w:pPr>
            <w:r w:rsidRPr="00737B66">
              <w:rPr>
                <w:sz w:val="16"/>
                <w:szCs w:val="16"/>
                <w:lang w:val="lt-LT"/>
              </w:rPr>
              <w:t>9627,6</w:t>
            </w:r>
          </w:p>
        </w:tc>
      </w:tr>
      <w:tr w:rsidR="00A755CB" w:rsidRPr="00737B66" w:rsidTr="00737B66">
        <w:tc>
          <w:tcPr>
            <w:tcW w:w="714" w:type="dxa"/>
            <w:tcBorders>
              <w:top w:val="single" w:sz="6" w:space="0" w:color="auto"/>
              <w:left w:val="single" w:sz="12" w:space="0" w:color="auto"/>
              <w:bottom w:val="single" w:sz="6" w:space="0" w:color="auto"/>
              <w:right w:val="single" w:sz="12" w:space="0" w:color="auto"/>
            </w:tcBorders>
            <w:vAlign w:val="center"/>
          </w:tcPr>
          <w:p w:rsidR="00A755CB" w:rsidRPr="00737B66" w:rsidRDefault="00A755CB" w:rsidP="00737B66">
            <w:pPr>
              <w:jc w:val="center"/>
              <w:rPr>
                <w:b/>
                <w:sz w:val="16"/>
                <w:szCs w:val="16"/>
              </w:rPr>
            </w:pPr>
            <w:r w:rsidRPr="00737B66">
              <w:rPr>
                <w:b/>
                <w:sz w:val="16"/>
                <w:szCs w:val="16"/>
              </w:rPr>
              <w:t>MT</w:t>
            </w:r>
          </w:p>
        </w:tc>
        <w:tc>
          <w:tcPr>
            <w:tcW w:w="966" w:type="dxa"/>
            <w:tcBorders>
              <w:top w:val="single" w:sz="6" w:space="0" w:color="auto"/>
              <w:left w:val="single" w:sz="12" w:space="0" w:color="auto"/>
              <w:bottom w:val="single" w:sz="6" w:space="0" w:color="auto"/>
              <w:right w:val="single" w:sz="6" w:space="0" w:color="auto"/>
            </w:tcBorders>
            <w:vAlign w:val="center"/>
          </w:tcPr>
          <w:p w:rsidR="00A755CB" w:rsidRPr="00737B66" w:rsidRDefault="00A755CB" w:rsidP="00737B66">
            <w:pPr>
              <w:spacing w:line="360" w:lineRule="auto"/>
              <w:jc w:val="center"/>
              <w:rPr>
                <w:sz w:val="16"/>
                <w:szCs w:val="16"/>
                <w:lang w:val="lt-LT"/>
              </w:rPr>
            </w:pPr>
            <w:r w:rsidRPr="00737B66">
              <w:rPr>
                <w:sz w:val="16"/>
                <w:szCs w:val="16"/>
                <w:lang w:val="lt-LT"/>
              </w:rPr>
              <w:t>0</w:t>
            </w:r>
          </w:p>
        </w:tc>
        <w:tc>
          <w:tcPr>
            <w:tcW w:w="1236" w:type="dxa"/>
            <w:tcBorders>
              <w:top w:val="single" w:sz="6" w:space="0" w:color="auto"/>
              <w:left w:val="single" w:sz="6" w:space="0" w:color="auto"/>
              <w:bottom w:val="single" w:sz="6" w:space="0" w:color="auto"/>
              <w:right w:val="single" w:sz="6" w:space="0" w:color="auto"/>
            </w:tcBorders>
            <w:vAlign w:val="center"/>
          </w:tcPr>
          <w:p w:rsidR="00A755CB" w:rsidRPr="00737B66" w:rsidRDefault="00A755CB" w:rsidP="00737B66">
            <w:pPr>
              <w:spacing w:line="360" w:lineRule="auto"/>
              <w:jc w:val="center"/>
              <w:rPr>
                <w:sz w:val="16"/>
                <w:szCs w:val="16"/>
                <w:lang w:val="lt-LT"/>
              </w:rPr>
            </w:pPr>
            <w:r w:rsidRPr="00737B66">
              <w:rPr>
                <w:sz w:val="16"/>
                <w:szCs w:val="16"/>
                <w:lang w:val="lt-LT"/>
              </w:rPr>
              <w:t>0</w:t>
            </w:r>
          </w:p>
        </w:tc>
        <w:tc>
          <w:tcPr>
            <w:tcW w:w="1000" w:type="dxa"/>
            <w:tcBorders>
              <w:top w:val="single" w:sz="6" w:space="0" w:color="auto"/>
              <w:left w:val="single" w:sz="6" w:space="0" w:color="auto"/>
              <w:bottom w:val="single" w:sz="6" w:space="0" w:color="auto"/>
              <w:right w:val="single" w:sz="4" w:space="0" w:color="auto"/>
            </w:tcBorders>
            <w:vAlign w:val="center"/>
          </w:tcPr>
          <w:p w:rsidR="00A755CB" w:rsidRPr="00737B66" w:rsidRDefault="00A755CB" w:rsidP="00737B66">
            <w:pPr>
              <w:spacing w:line="360" w:lineRule="auto"/>
              <w:jc w:val="center"/>
              <w:rPr>
                <w:sz w:val="16"/>
                <w:szCs w:val="16"/>
                <w:lang w:val="lt-LT"/>
              </w:rPr>
            </w:pPr>
          </w:p>
        </w:tc>
        <w:tc>
          <w:tcPr>
            <w:tcW w:w="1308" w:type="dxa"/>
            <w:tcBorders>
              <w:top w:val="single" w:sz="6" w:space="0" w:color="auto"/>
              <w:left w:val="single" w:sz="4" w:space="0" w:color="auto"/>
              <w:bottom w:val="single" w:sz="6" w:space="0" w:color="auto"/>
              <w:right w:val="single" w:sz="12" w:space="0" w:color="auto"/>
            </w:tcBorders>
            <w:vAlign w:val="center"/>
          </w:tcPr>
          <w:p w:rsidR="00A755CB" w:rsidRPr="00737B66" w:rsidRDefault="00A755CB" w:rsidP="00737B66">
            <w:pPr>
              <w:jc w:val="center"/>
              <w:rPr>
                <w:color w:val="000000"/>
                <w:sz w:val="16"/>
                <w:szCs w:val="16"/>
              </w:rPr>
            </w:pPr>
            <w:r w:rsidRPr="00737B66">
              <w:rPr>
                <w:color w:val="000000"/>
                <w:sz w:val="16"/>
                <w:szCs w:val="16"/>
              </w:rPr>
              <w:t>0</w:t>
            </w:r>
          </w:p>
        </w:tc>
        <w:tc>
          <w:tcPr>
            <w:tcW w:w="1523" w:type="dxa"/>
            <w:tcBorders>
              <w:top w:val="single" w:sz="6" w:space="0" w:color="auto"/>
              <w:left w:val="single" w:sz="12" w:space="0" w:color="auto"/>
              <w:bottom w:val="single" w:sz="6" w:space="0" w:color="auto"/>
              <w:right w:val="single" w:sz="12" w:space="0" w:color="auto"/>
            </w:tcBorders>
            <w:vAlign w:val="center"/>
          </w:tcPr>
          <w:p w:rsidR="00A755CB" w:rsidRPr="00737B66" w:rsidRDefault="00A755CB" w:rsidP="00737B66">
            <w:pPr>
              <w:jc w:val="center"/>
              <w:rPr>
                <w:color w:val="000000"/>
                <w:sz w:val="16"/>
                <w:szCs w:val="16"/>
              </w:rPr>
            </w:pPr>
            <w:r w:rsidRPr="00737B66">
              <w:rPr>
                <w:color w:val="000000"/>
                <w:sz w:val="16"/>
                <w:szCs w:val="16"/>
              </w:rPr>
              <w:t>49,4</w:t>
            </w:r>
          </w:p>
        </w:tc>
        <w:tc>
          <w:tcPr>
            <w:tcW w:w="1541" w:type="dxa"/>
            <w:tcBorders>
              <w:top w:val="single" w:sz="6" w:space="0" w:color="auto"/>
              <w:left w:val="single" w:sz="12" w:space="0" w:color="auto"/>
              <w:bottom w:val="single" w:sz="6" w:space="0" w:color="auto"/>
              <w:right w:val="single" w:sz="12" w:space="0" w:color="auto"/>
            </w:tcBorders>
            <w:vAlign w:val="center"/>
          </w:tcPr>
          <w:p w:rsidR="00A755CB" w:rsidRPr="00737B66" w:rsidRDefault="00A755CB" w:rsidP="00737B66">
            <w:pPr>
              <w:jc w:val="center"/>
              <w:rPr>
                <w:color w:val="000000"/>
                <w:sz w:val="16"/>
                <w:szCs w:val="16"/>
              </w:rPr>
            </w:pPr>
            <w:r w:rsidRPr="00737B66">
              <w:rPr>
                <w:color w:val="000000"/>
                <w:sz w:val="16"/>
                <w:szCs w:val="16"/>
                <w:lang w:val="lt-LT"/>
              </w:rPr>
              <w:t>3,3</w:t>
            </w:r>
          </w:p>
        </w:tc>
        <w:tc>
          <w:tcPr>
            <w:tcW w:w="1468" w:type="dxa"/>
            <w:tcBorders>
              <w:top w:val="single" w:sz="6" w:space="0" w:color="auto"/>
              <w:left w:val="single" w:sz="12" w:space="0" w:color="auto"/>
              <w:bottom w:val="single" w:sz="6" w:space="0" w:color="auto"/>
              <w:right w:val="single" w:sz="12" w:space="0" w:color="auto"/>
            </w:tcBorders>
            <w:vAlign w:val="center"/>
          </w:tcPr>
          <w:p w:rsidR="00A755CB" w:rsidRPr="00737B66" w:rsidRDefault="00A755CB" w:rsidP="00737B66">
            <w:pPr>
              <w:spacing w:line="360" w:lineRule="auto"/>
              <w:jc w:val="center"/>
              <w:rPr>
                <w:sz w:val="16"/>
                <w:szCs w:val="16"/>
                <w:lang w:val="lt-LT"/>
              </w:rPr>
            </w:pPr>
            <w:r w:rsidRPr="00737B66">
              <w:rPr>
                <w:sz w:val="16"/>
                <w:szCs w:val="16"/>
                <w:lang w:val="lt-LT"/>
              </w:rPr>
              <w:t>52,7</w:t>
            </w:r>
          </w:p>
        </w:tc>
      </w:tr>
      <w:tr w:rsidR="00A755CB" w:rsidRPr="00737B66" w:rsidTr="00737B66">
        <w:tc>
          <w:tcPr>
            <w:tcW w:w="714" w:type="dxa"/>
            <w:tcBorders>
              <w:top w:val="single" w:sz="6" w:space="0" w:color="auto"/>
              <w:left w:val="single" w:sz="12" w:space="0" w:color="auto"/>
              <w:bottom w:val="single" w:sz="6" w:space="0" w:color="auto"/>
              <w:right w:val="single" w:sz="12" w:space="0" w:color="auto"/>
            </w:tcBorders>
            <w:vAlign w:val="center"/>
          </w:tcPr>
          <w:p w:rsidR="00A755CB" w:rsidRPr="00737B66" w:rsidRDefault="00A755CB" w:rsidP="00737B66">
            <w:pPr>
              <w:jc w:val="center"/>
              <w:rPr>
                <w:b/>
                <w:sz w:val="16"/>
                <w:szCs w:val="16"/>
              </w:rPr>
            </w:pPr>
            <w:r w:rsidRPr="00737B66">
              <w:rPr>
                <w:b/>
                <w:sz w:val="16"/>
                <w:szCs w:val="16"/>
              </w:rPr>
              <w:t>NL</w:t>
            </w:r>
          </w:p>
        </w:tc>
        <w:tc>
          <w:tcPr>
            <w:tcW w:w="966" w:type="dxa"/>
            <w:tcBorders>
              <w:top w:val="single" w:sz="6" w:space="0" w:color="auto"/>
              <w:left w:val="single" w:sz="12" w:space="0" w:color="auto"/>
              <w:bottom w:val="single" w:sz="6" w:space="0" w:color="auto"/>
              <w:right w:val="single" w:sz="6" w:space="0" w:color="auto"/>
            </w:tcBorders>
            <w:vAlign w:val="center"/>
          </w:tcPr>
          <w:p w:rsidR="00A755CB" w:rsidRPr="00737B66" w:rsidRDefault="00A755CB" w:rsidP="00737B66">
            <w:pPr>
              <w:spacing w:line="360" w:lineRule="auto"/>
              <w:jc w:val="center"/>
              <w:rPr>
                <w:sz w:val="16"/>
                <w:szCs w:val="16"/>
                <w:lang w:val="lt-LT"/>
              </w:rPr>
            </w:pPr>
            <w:r w:rsidRPr="00737B66">
              <w:rPr>
                <w:sz w:val="16"/>
                <w:szCs w:val="16"/>
                <w:lang w:val="lt-LT"/>
              </w:rPr>
              <w:t>3705</w:t>
            </w:r>
          </w:p>
        </w:tc>
        <w:tc>
          <w:tcPr>
            <w:tcW w:w="1236" w:type="dxa"/>
            <w:tcBorders>
              <w:top w:val="single" w:sz="6" w:space="0" w:color="auto"/>
              <w:left w:val="single" w:sz="6" w:space="0" w:color="auto"/>
              <w:bottom w:val="single" w:sz="6" w:space="0" w:color="auto"/>
              <w:right w:val="single" w:sz="6" w:space="0" w:color="auto"/>
            </w:tcBorders>
            <w:vAlign w:val="center"/>
          </w:tcPr>
          <w:p w:rsidR="00A755CB" w:rsidRPr="00737B66" w:rsidRDefault="00A755CB" w:rsidP="00737B66">
            <w:pPr>
              <w:spacing w:line="360" w:lineRule="auto"/>
              <w:jc w:val="center"/>
              <w:rPr>
                <w:sz w:val="16"/>
                <w:szCs w:val="16"/>
                <w:lang w:val="lt-LT"/>
              </w:rPr>
            </w:pPr>
            <w:r w:rsidRPr="00737B66">
              <w:rPr>
                <w:sz w:val="16"/>
                <w:szCs w:val="16"/>
                <w:lang w:val="lt-LT"/>
              </w:rPr>
              <w:t>5272</w:t>
            </w:r>
          </w:p>
        </w:tc>
        <w:tc>
          <w:tcPr>
            <w:tcW w:w="1000" w:type="dxa"/>
            <w:tcBorders>
              <w:top w:val="single" w:sz="6" w:space="0" w:color="auto"/>
              <w:left w:val="single" w:sz="6" w:space="0" w:color="auto"/>
              <w:bottom w:val="single" w:sz="6" w:space="0" w:color="auto"/>
              <w:right w:val="single" w:sz="4" w:space="0" w:color="auto"/>
            </w:tcBorders>
            <w:vAlign w:val="center"/>
          </w:tcPr>
          <w:p w:rsidR="00A755CB" w:rsidRPr="00737B66" w:rsidRDefault="00A755CB" w:rsidP="00737B66">
            <w:pPr>
              <w:spacing w:line="360" w:lineRule="auto"/>
              <w:jc w:val="center"/>
              <w:rPr>
                <w:sz w:val="16"/>
                <w:szCs w:val="16"/>
                <w:lang w:val="lt-LT"/>
              </w:rPr>
            </w:pPr>
            <w:r w:rsidRPr="00737B66">
              <w:rPr>
                <w:sz w:val="16"/>
                <w:szCs w:val="16"/>
                <w:lang w:val="lt-LT"/>
              </w:rPr>
              <w:t>1</w:t>
            </w:r>
          </w:p>
        </w:tc>
        <w:tc>
          <w:tcPr>
            <w:tcW w:w="1308" w:type="dxa"/>
            <w:tcBorders>
              <w:top w:val="single" w:sz="6" w:space="0" w:color="auto"/>
              <w:left w:val="single" w:sz="4" w:space="0" w:color="auto"/>
              <w:bottom w:val="single" w:sz="6" w:space="0" w:color="auto"/>
              <w:right w:val="single" w:sz="12" w:space="0" w:color="auto"/>
            </w:tcBorders>
            <w:vAlign w:val="center"/>
          </w:tcPr>
          <w:p w:rsidR="00A755CB" w:rsidRPr="00737B66" w:rsidRDefault="00A755CB" w:rsidP="00737B66">
            <w:pPr>
              <w:jc w:val="center"/>
              <w:rPr>
                <w:color w:val="000000"/>
                <w:sz w:val="16"/>
                <w:szCs w:val="16"/>
              </w:rPr>
            </w:pPr>
            <w:r w:rsidRPr="00737B66">
              <w:rPr>
                <w:color w:val="000000"/>
                <w:sz w:val="16"/>
                <w:szCs w:val="16"/>
              </w:rPr>
              <w:t>8978</w:t>
            </w:r>
          </w:p>
        </w:tc>
        <w:tc>
          <w:tcPr>
            <w:tcW w:w="1523" w:type="dxa"/>
            <w:tcBorders>
              <w:top w:val="single" w:sz="6" w:space="0" w:color="auto"/>
              <w:left w:val="single" w:sz="12" w:space="0" w:color="auto"/>
              <w:bottom w:val="single" w:sz="6" w:space="0" w:color="auto"/>
              <w:right w:val="single" w:sz="12" w:space="0" w:color="auto"/>
            </w:tcBorders>
            <w:vAlign w:val="center"/>
          </w:tcPr>
          <w:p w:rsidR="00A755CB" w:rsidRPr="00737B66" w:rsidRDefault="00A755CB" w:rsidP="00737B66">
            <w:pPr>
              <w:jc w:val="center"/>
              <w:rPr>
                <w:color w:val="000000"/>
                <w:sz w:val="16"/>
                <w:szCs w:val="16"/>
              </w:rPr>
            </w:pPr>
            <w:r w:rsidRPr="00737B66">
              <w:rPr>
                <w:color w:val="000000"/>
                <w:sz w:val="16"/>
                <w:szCs w:val="16"/>
              </w:rPr>
              <w:t>67408</w:t>
            </w:r>
          </w:p>
        </w:tc>
        <w:tc>
          <w:tcPr>
            <w:tcW w:w="1541" w:type="dxa"/>
            <w:tcBorders>
              <w:top w:val="single" w:sz="6" w:space="0" w:color="auto"/>
              <w:left w:val="single" w:sz="12" w:space="0" w:color="auto"/>
              <w:bottom w:val="single" w:sz="6" w:space="0" w:color="auto"/>
              <w:right w:val="single" w:sz="12" w:space="0" w:color="auto"/>
            </w:tcBorders>
            <w:vAlign w:val="center"/>
          </w:tcPr>
          <w:p w:rsidR="00A755CB" w:rsidRPr="00737B66" w:rsidRDefault="00A755CB" w:rsidP="00737B66">
            <w:pPr>
              <w:jc w:val="center"/>
              <w:rPr>
                <w:color w:val="000000"/>
                <w:sz w:val="16"/>
                <w:szCs w:val="16"/>
              </w:rPr>
            </w:pPr>
            <w:r w:rsidRPr="00737B66">
              <w:rPr>
                <w:color w:val="000000"/>
                <w:sz w:val="16"/>
                <w:szCs w:val="16"/>
                <w:lang w:val="lt-LT"/>
              </w:rPr>
              <w:t>18944</w:t>
            </w:r>
          </w:p>
        </w:tc>
        <w:tc>
          <w:tcPr>
            <w:tcW w:w="1468" w:type="dxa"/>
            <w:tcBorders>
              <w:top w:val="single" w:sz="6" w:space="0" w:color="auto"/>
              <w:left w:val="single" w:sz="12" w:space="0" w:color="auto"/>
              <w:bottom w:val="single" w:sz="6" w:space="0" w:color="auto"/>
              <w:right w:val="single" w:sz="12" w:space="0" w:color="auto"/>
            </w:tcBorders>
            <w:vAlign w:val="center"/>
          </w:tcPr>
          <w:p w:rsidR="00A755CB" w:rsidRPr="00737B66" w:rsidRDefault="00A755CB" w:rsidP="00737B66">
            <w:pPr>
              <w:spacing w:line="360" w:lineRule="auto"/>
              <w:jc w:val="center"/>
              <w:rPr>
                <w:sz w:val="16"/>
                <w:szCs w:val="16"/>
                <w:lang w:val="lt-LT"/>
              </w:rPr>
            </w:pPr>
            <w:r w:rsidRPr="00737B66">
              <w:rPr>
                <w:sz w:val="16"/>
                <w:szCs w:val="16"/>
                <w:lang w:val="lt-LT"/>
              </w:rPr>
              <w:t>95330</w:t>
            </w:r>
          </w:p>
        </w:tc>
      </w:tr>
      <w:tr w:rsidR="00A755CB" w:rsidRPr="00737B66" w:rsidTr="00737B66">
        <w:tc>
          <w:tcPr>
            <w:tcW w:w="714" w:type="dxa"/>
            <w:tcBorders>
              <w:top w:val="single" w:sz="6" w:space="0" w:color="auto"/>
              <w:left w:val="single" w:sz="12" w:space="0" w:color="auto"/>
              <w:bottom w:val="single" w:sz="6" w:space="0" w:color="auto"/>
              <w:right w:val="single" w:sz="12" w:space="0" w:color="auto"/>
            </w:tcBorders>
            <w:vAlign w:val="center"/>
          </w:tcPr>
          <w:p w:rsidR="00A755CB" w:rsidRPr="00737B66" w:rsidRDefault="00A755CB" w:rsidP="00737B66">
            <w:pPr>
              <w:jc w:val="center"/>
              <w:rPr>
                <w:b/>
                <w:sz w:val="16"/>
                <w:szCs w:val="16"/>
              </w:rPr>
            </w:pPr>
            <w:r w:rsidRPr="00737B66">
              <w:rPr>
                <w:b/>
                <w:sz w:val="16"/>
                <w:szCs w:val="16"/>
              </w:rPr>
              <w:t>AT</w:t>
            </w:r>
          </w:p>
        </w:tc>
        <w:tc>
          <w:tcPr>
            <w:tcW w:w="966" w:type="dxa"/>
            <w:tcBorders>
              <w:top w:val="single" w:sz="6" w:space="0" w:color="auto"/>
              <w:left w:val="single" w:sz="12" w:space="0" w:color="auto"/>
              <w:bottom w:val="single" w:sz="6" w:space="0" w:color="auto"/>
              <w:right w:val="single" w:sz="6" w:space="0" w:color="auto"/>
            </w:tcBorders>
            <w:vAlign w:val="center"/>
          </w:tcPr>
          <w:p w:rsidR="00A755CB" w:rsidRPr="00737B66" w:rsidRDefault="00A755CB" w:rsidP="00737B66">
            <w:pPr>
              <w:spacing w:line="360" w:lineRule="auto"/>
              <w:jc w:val="center"/>
              <w:rPr>
                <w:sz w:val="16"/>
                <w:szCs w:val="16"/>
                <w:lang w:val="lt-LT"/>
              </w:rPr>
            </w:pPr>
            <w:r w:rsidRPr="00737B66">
              <w:rPr>
                <w:sz w:val="16"/>
                <w:szCs w:val="16"/>
                <w:lang w:val="lt-LT"/>
              </w:rPr>
              <w:t>12839,7</w:t>
            </w:r>
          </w:p>
        </w:tc>
        <w:tc>
          <w:tcPr>
            <w:tcW w:w="1236" w:type="dxa"/>
            <w:tcBorders>
              <w:top w:val="single" w:sz="6" w:space="0" w:color="auto"/>
              <w:left w:val="single" w:sz="6" w:space="0" w:color="auto"/>
              <w:bottom w:val="single" w:sz="6" w:space="0" w:color="auto"/>
              <w:right w:val="single" w:sz="6" w:space="0" w:color="auto"/>
            </w:tcBorders>
            <w:vAlign w:val="center"/>
          </w:tcPr>
          <w:p w:rsidR="00A755CB" w:rsidRPr="00737B66" w:rsidRDefault="00A755CB" w:rsidP="00737B66">
            <w:pPr>
              <w:spacing w:line="360" w:lineRule="auto"/>
              <w:jc w:val="center"/>
              <w:rPr>
                <w:sz w:val="16"/>
                <w:szCs w:val="16"/>
                <w:lang w:val="lt-LT"/>
              </w:rPr>
            </w:pPr>
            <w:r w:rsidRPr="00737B66">
              <w:rPr>
                <w:sz w:val="16"/>
                <w:szCs w:val="16"/>
                <w:lang w:val="lt-LT"/>
              </w:rPr>
              <w:t>15268,7</w:t>
            </w:r>
          </w:p>
        </w:tc>
        <w:tc>
          <w:tcPr>
            <w:tcW w:w="1000" w:type="dxa"/>
            <w:tcBorders>
              <w:top w:val="single" w:sz="6" w:space="0" w:color="auto"/>
              <w:left w:val="single" w:sz="6" w:space="0" w:color="auto"/>
              <w:bottom w:val="single" w:sz="6" w:space="0" w:color="auto"/>
              <w:right w:val="single" w:sz="4" w:space="0" w:color="auto"/>
            </w:tcBorders>
            <w:vAlign w:val="center"/>
          </w:tcPr>
          <w:p w:rsidR="00A755CB" w:rsidRPr="00737B66" w:rsidRDefault="00A755CB" w:rsidP="00737B66">
            <w:pPr>
              <w:spacing w:line="360" w:lineRule="auto"/>
              <w:jc w:val="center"/>
              <w:rPr>
                <w:sz w:val="16"/>
                <w:szCs w:val="16"/>
                <w:lang w:val="lt-LT"/>
              </w:rPr>
            </w:pPr>
            <w:r w:rsidRPr="00737B66">
              <w:rPr>
                <w:sz w:val="16"/>
                <w:szCs w:val="16"/>
                <w:lang w:val="lt-LT"/>
              </w:rPr>
              <w:t>10</w:t>
            </w:r>
          </w:p>
        </w:tc>
        <w:tc>
          <w:tcPr>
            <w:tcW w:w="1308" w:type="dxa"/>
            <w:tcBorders>
              <w:top w:val="single" w:sz="6" w:space="0" w:color="auto"/>
              <w:left w:val="single" w:sz="4" w:space="0" w:color="auto"/>
              <w:bottom w:val="single" w:sz="6" w:space="0" w:color="auto"/>
              <w:right w:val="single" w:sz="12" w:space="0" w:color="auto"/>
            </w:tcBorders>
            <w:vAlign w:val="center"/>
          </w:tcPr>
          <w:p w:rsidR="00A755CB" w:rsidRPr="00737B66" w:rsidRDefault="00A755CB" w:rsidP="00737B66">
            <w:pPr>
              <w:jc w:val="center"/>
              <w:rPr>
                <w:color w:val="000000"/>
                <w:sz w:val="16"/>
                <w:szCs w:val="16"/>
              </w:rPr>
            </w:pPr>
            <w:r w:rsidRPr="00737B66">
              <w:rPr>
                <w:color w:val="000000"/>
                <w:sz w:val="16"/>
                <w:szCs w:val="16"/>
              </w:rPr>
              <w:t>28118,4</w:t>
            </w:r>
          </w:p>
        </w:tc>
        <w:tc>
          <w:tcPr>
            <w:tcW w:w="1523" w:type="dxa"/>
            <w:tcBorders>
              <w:top w:val="single" w:sz="6" w:space="0" w:color="auto"/>
              <w:left w:val="single" w:sz="12" w:space="0" w:color="auto"/>
              <w:bottom w:val="single" w:sz="6" w:space="0" w:color="auto"/>
              <w:right w:val="single" w:sz="12" w:space="0" w:color="auto"/>
            </w:tcBorders>
            <w:vAlign w:val="center"/>
          </w:tcPr>
          <w:p w:rsidR="00A755CB" w:rsidRPr="00737B66" w:rsidRDefault="00A755CB" w:rsidP="00737B66">
            <w:pPr>
              <w:jc w:val="center"/>
              <w:rPr>
                <w:color w:val="000000"/>
                <w:sz w:val="16"/>
                <w:szCs w:val="16"/>
              </w:rPr>
            </w:pPr>
            <w:r w:rsidRPr="00737B66">
              <w:rPr>
                <w:color w:val="000000"/>
                <w:sz w:val="16"/>
                <w:szCs w:val="16"/>
              </w:rPr>
              <w:t>15930,2</w:t>
            </w:r>
          </w:p>
        </w:tc>
        <w:tc>
          <w:tcPr>
            <w:tcW w:w="1541" w:type="dxa"/>
            <w:tcBorders>
              <w:top w:val="single" w:sz="6" w:space="0" w:color="auto"/>
              <w:left w:val="single" w:sz="12" w:space="0" w:color="auto"/>
              <w:bottom w:val="single" w:sz="6" w:space="0" w:color="auto"/>
              <w:right w:val="single" w:sz="12" w:space="0" w:color="auto"/>
            </w:tcBorders>
            <w:vAlign w:val="center"/>
          </w:tcPr>
          <w:p w:rsidR="00A755CB" w:rsidRPr="00737B66" w:rsidRDefault="00A755CB" w:rsidP="00737B66">
            <w:pPr>
              <w:jc w:val="center"/>
              <w:rPr>
                <w:color w:val="000000"/>
                <w:sz w:val="16"/>
                <w:szCs w:val="16"/>
              </w:rPr>
            </w:pPr>
            <w:r w:rsidRPr="00737B66">
              <w:rPr>
                <w:color w:val="000000"/>
                <w:sz w:val="16"/>
                <w:szCs w:val="16"/>
                <w:lang w:val="lt-LT"/>
              </w:rPr>
              <w:t>8166,3</w:t>
            </w:r>
          </w:p>
        </w:tc>
        <w:tc>
          <w:tcPr>
            <w:tcW w:w="1468" w:type="dxa"/>
            <w:tcBorders>
              <w:top w:val="single" w:sz="6" w:space="0" w:color="auto"/>
              <w:left w:val="single" w:sz="12" w:space="0" w:color="auto"/>
              <w:bottom w:val="single" w:sz="6" w:space="0" w:color="auto"/>
              <w:right w:val="single" w:sz="12" w:space="0" w:color="auto"/>
            </w:tcBorders>
            <w:vAlign w:val="center"/>
          </w:tcPr>
          <w:p w:rsidR="00A755CB" w:rsidRPr="00737B66" w:rsidRDefault="00A755CB" w:rsidP="00737B66">
            <w:pPr>
              <w:spacing w:line="360" w:lineRule="auto"/>
              <w:jc w:val="center"/>
              <w:rPr>
                <w:sz w:val="16"/>
                <w:szCs w:val="16"/>
                <w:lang w:val="lt-LT"/>
              </w:rPr>
            </w:pPr>
            <w:r w:rsidRPr="00737B66">
              <w:rPr>
                <w:sz w:val="16"/>
                <w:szCs w:val="16"/>
                <w:lang w:val="lt-LT"/>
              </w:rPr>
              <w:t>52214,9</w:t>
            </w:r>
          </w:p>
        </w:tc>
      </w:tr>
      <w:tr w:rsidR="00A755CB" w:rsidRPr="00737B66" w:rsidTr="00737B66">
        <w:tc>
          <w:tcPr>
            <w:tcW w:w="714" w:type="dxa"/>
            <w:tcBorders>
              <w:top w:val="single" w:sz="6" w:space="0" w:color="auto"/>
              <w:left w:val="single" w:sz="12" w:space="0" w:color="auto"/>
              <w:bottom w:val="single" w:sz="6" w:space="0" w:color="auto"/>
              <w:right w:val="single" w:sz="12" w:space="0" w:color="auto"/>
            </w:tcBorders>
            <w:vAlign w:val="center"/>
          </w:tcPr>
          <w:p w:rsidR="00A755CB" w:rsidRPr="00737B66" w:rsidRDefault="00A755CB" w:rsidP="00737B66">
            <w:pPr>
              <w:jc w:val="center"/>
              <w:rPr>
                <w:b/>
                <w:sz w:val="16"/>
                <w:szCs w:val="16"/>
              </w:rPr>
            </w:pPr>
            <w:r w:rsidRPr="00737B66">
              <w:rPr>
                <w:b/>
                <w:sz w:val="16"/>
                <w:szCs w:val="16"/>
              </w:rPr>
              <w:t>PL</w:t>
            </w:r>
          </w:p>
        </w:tc>
        <w:tc>
          <w:tcPr>
            <w:tcW w:w="966" w:type="dxa"/>
            <w:tcBorders>
              <w:top w:val="single" w:sz="6" w:space="0" w:color="auto"/>
              <w:left w:val="single" w:sz="12" w:space="0" w:color="auto"/>
              <w:bottom w:val="single" w:sz="6" w:space="0" w:color="auto"/>
              <w:right w:val="single" w:sz="6" w:space="0" w:color="auto"/>
            </w:tcBorders>
            <w:vAlign w:val="center"/>
          </w:tcPr>
          <w:p w:rsidR="00A755CB" w:rsidRPr="00737B66" w:rsidRDefault="00A755CB" w:rsidP="00737B66">
            <w:pPr>
              <w:spacing w:line="360" w:lineRule="auto"/>
              <w:jc w:val="center"/>
              <w:rPr>
                <w:sz w:val="16"/>
                <w:szCs w:val="16"/>
                <w:lang w:val="lt-LT"/>
              </w:rPr>
            </w:pPr>
            <w:r w:rsidRPr="00737B66">
              <w:rPr>
                <w:sz w:val="16"/>
                <w:szCs w:val="16"/>
                <w:lang w:val="lt-LT"/>
              </w:rPr>
              <w:t>11282,8</w:t>
            </w:r>
          </w:p>
        </w:tc>
        <w:tc>
          <w:tcPr>
            <w:tcW w:w="1236" w:type="dxa"/>
            <w:tcBorders>
              <w:top w:val="single" w:sz="6" w:space="0" w:color="auto"/>
              <w:left w:val="single" w:sz="6" w:space="0" w:color="auto"/>
              <w:bottom w:val="single" w:sz="6" w:space="0" w:color="auto"/>
              <w:right w:val="single" w:sz="6" w:space="0" w:color="auto"/>
            </w:tcBorders>
            <w:vAlign w:val="center"/>
          </w:tcPr>
          <w:p w:rsidR="00A755CB" w:rsidRPr="00737B66" w:rsidRDefault="00A755CB" w:rsidP="00737B66">
            <w:pPr>
              <w:spacing w:line="360" w:lineRule="auto"/>
              <w:jc w:val="center"/>
              <w:rPr>
                <w:sz w:val="16"/>
                <w:szCs w:val="16"/>
                <w:lang w:val="lt-LT"/>
              </w:rPr>
            </w:pPr>
            <w:r w:rsidRPr="00737B66">
              <w:rPr>
                <w:sz w:val="16"/>
                <w:szCs w:val="16"/>
                <w:lang w:val="lt-LT"/>
              </w:rPr>
              <w:t>4363</w:t>
            </w:r>
          </w:p>
        </w:tc>
        <w:tc>
          <w:tcPr>
            <w:tcW w:w="1000" w:type="dxa"/>
            <w:tcBorders>
              <w:top w:val="single" w:sz="6" w:space="0" w:color="auto"/>
              <w:left w:val="single" w:sz="6" w:space="0" w:color="auto"/>
              <w:bottom w:val="single" w:sz="6" w:space="0" w:color="auto"/>
              <w:right w:val="single" w:sz="4" w:space="0" w:color="auto"/>
            </w:tcBorders>
            <w:vAlign w:val="center"/>
          </w:tcPr>
          <w:p w:rsidR="00A755CB" w:rsidRPr="00737B66" w:rsidRDefault="00A755CB" w:rsidP="00737B66">
            <w:pPr>
              <w:spacing w:line="360" w:lineRule="auto"/>
              <w:jc w:val="center"/>
              <w:rPr>
                <w:sz w:val="16"/>
                <w:szCs w:val="16"/>
                <w:lang w:val="lt-LT"/>
              </w:rPr>
            </w:pPr>
            <w:r w:rsidRPr="00737B66">
              <w:rPr>
                <w:sz w:val="16"/>
                <w:szCs w:val="16"/>
                <w:lang w:val="lt-LT"/>
              </w:rPr>
              <w:t>70</w:t>
            </w:r>
          </w:p>
        </w:tc>
        <w:tc>
          <w:tcPr>
            <w:tcW w:w="1308" w:type="dxa"/>
            <w:tcBorders>
              <w:top w:val="single" w:sz="6" w:space="0" w:color="auto"/>
              <w:left w:val="single" w:sz="4" w:space="0" w:color="auto"/>
              <w:bottom w:val="single" w:sz="6" w:space="0" w:color="auto"/>
              <w:right w:val="single" w:sz="12" w:space="0" w:color="auto"/>
            </w:tcBorders>
            <w:vAlign w:val="center"/>
          </w:tcPr>
          <w:p w:rsidR="00A755CB" w:rsidRPr="00737B66" w:rsidRDefault="00A755CB" w:rsidP="00737B66">
            <w:pPr>
              <w:jc w:val="center"/>
              <w:rPr>
                <w:color w:val="000000"/>
                <w:sz w:val="16"/>
                <w:szCs w:val="16"/>
              </w:rPr>
            </w:pPr>
            <w:r w:rsidRPr="00737B66">
              <w:rPr>
                <w:color w:val="000000"/>
                <w:sz w:val="16"/>
                <w:szCs w:val="16"/>
              </w:rPr>
              <w:t>15715,8</w:t>
            </w:r>
          </w:p>
        </w:tc>
        <w:tc>
          <w:tcPr>
            <w:tcW w:w="1523" w:type="dxa"/>
            <w:tcBorders>
              <w:top w:val="single" w:sz="6" w:space="0" w:color="auto"/>
              <w:left w:val="single" w:sz="12" w:space="0" w:color="auto"/>
              <w:bottom w:val="single" w:sz="6" w:space="0" w:color="auto"/>
              <w:right w:val="single" w:sz="12" w:space="0" w:color="auto"/>
            </w:tcBorders>
            <w:vAlign w:val="center"/>
          </w:tcPr>
          <w:p w:rsidR="00A755CB" w:rsidRPr="00737B66" w:rsidRDefault="00A755CB" w:rsidP="00737B66">
            <w:pPr>
              <w:jc w:val="center"/>
              <w:rPr>
                <w:color w:val="000000"/>
                <w:sz w:val="16"/>
                <w:szCs w:val="16"/>
              </w:rPr>
            </w:pPr>
            <w:r w:rsidRPr="00737B66">
              <w:rPr>
                <w:color w:val="000000"/>
                <w:sz w:val="16"/>
                <w:szCs w:val="16"/>
              </w:rPr>
              <w:t>28490,9</w:t>
            </w:r>
          </w:p>
        </w:tc>
        <w:tc>
          <w:tcPr>
            <w:tcW w:w="1541" w:type="dxa"/>
            <w:tcBorders>
              <w:top w:val="single" w:sz="6" w:space="0" w:color="auto"/>
              <w:left w:val="single" w:sz="12" w:space="0" w:color="auto"/>
              <w:bottom w:val="single" w:sz="6" w:space="0" w:color="auto"/>
              <w:right w:val="single" w:sz="12" w:space="0" w:color="auto"/>
            </w:tcBorders>
            <w:vAlign w:val="center"/>
          </w:tcPr>
          <w:p w:rsidR="00A755CB" w:rsidRPr="00737B66" w:rsidRDefault="00A755CB" w:rsidP="00737B66">
            <w:pPr>
              <w:jc w:val="center"/>
              <w:rPr>
                <w:color w:val="000000"/>
                <w:sz w:val="16"/>
                <w:szCs w:val="16"/>
              </w:rPr>
            </w:pPr>
            <w:r w:rsidRPr="00737B66">
              <w:rPr>
                <w:color w:val="000000"/>
                <w:sz w:val="16"/>
                <w:szCs w:val="16"/>
                <w:lang w:val="lt-LT"/>
              </w:rPr>
              <w:t>5387,5</w:t>
            </w:r>
          </w:p>
        </w:tc>
        <w:tc>
          <w:tcPr>
            <w:tcW w:w="1468" w:type="dxa"/>
            <w:tcBorders>
              <w:top w:val="single" w:sz="6" w:space="0" w:color="auto"/>
              <w:left w:val="single" w:sz="12" w:space="0" w:color="auto"/>
              <w:bottom w:val="single" w:sz="6" w:space="0" w:color="auto"/>
              <w:right w:val="single" w:sz="12" w:space="0" w:color="auto"/>
            </w:tcBorders>
            <w:vAlign w:val="center"/>
          </w:tcPr>
          <w:p w:rsidR="00A755CB" w:rsidRPr="00737B66" w:rsidRDefault="00A755CB" w:rsidP="00737B66">
            <w:pPr>
              <w:spacing w:line="360" w:lineRule="auto"/>
              <w:jc w:val="center"/>
              <w:rPr>
                <w:sz w:val="16"/>
                <w:szCs w:val="16"/>
                <w:lang w:val="lt-LT"/>
              </w:rPr>
            </w:pPr>
            <w:r w:rsidRPr="00737B66">
              <w:rPr>
                <w:sz w:val="16"/>
                <w:szCs w:val="16"/>
                <w:lang w:val="lt-LT"/>
              </w:rPr>
              <w:t>49594,2</w:t>
            </w:r>
          </w:p>
        </w:tc>
      </w:tr>
      <w:tr w:rsidR="00A755CB" w:rsidRPr="00737B66" w:rsidTr="00737B66">
        <w:tc>
          <w:tcPr>
            <w:tcW w:w="714" w:type="dxa"/>
            <w:tcBorders>
              <w:top w:val="single" w:sz="6" w:space="0" w:color="auto"/>
              <w:left w:val="single" w:sz="12" w:space="0" w:color="auto"/>
              <w:bottom w:val="single" w:sz="6" w:space="0" w:color="auto"/>
              <w:right w:val="single" w:sz="12" w:space="0" w:color="auto"/>
            </w:tcBorders>
            <w:vAlign w:val="center"/>
          </w:tcPr>
          <w:p w:rsidR="00A755CB" w:rsidRPr="00737B66" w:rsidRDefault="00A755CB" w:rsidP="00737B66">
            <w:pPr>
              <w:jc w:val="center"/>
              <w:rPr>
                <w:b/>
                <w:sz w:val="16"/>
                <w:szCs w:val="16"/>
              </w:rPr>
            </w:pPr>
            <w:r w:rsidRPr="00737B66">
              <w:rPr>
                <w:b/>
                <w:sz w:val="16"/>
                <w:szCs w:val="16"/>
              </w:rPr>
              <w:t>PT</w:t>
            </w:r>
          </w:p>
        </w:tc>
        <w:tc>
          <w:tcPr>
            <w:tcW w:w="966" w:type="dxa"/>
            <w:tcBorders>
              <w:top w:val="single" w:sz="6" w:space="0" w:color="auto"/>
              <w:left w:val="single" w:sz="12" w:space="0" w:color="auto"/>
              <w:bottom w:val="single" w:sz="6" w:space="0" w:color="auto"/>
              <w:right w:val="single" w:sz="6" w:space="0" w:color="auto"/>
            </w:tcBorders>
            <w:vAlign w:val="center"/>
          </w:tcPr>
          <w:p w:rsidR="00A755CB" w:rsidRPr="00737B66" w:rsidRDefault="00A755CB" w:rsidP="00737B66">
            <w:pPr>
              <w:spacing w:line="360" w:lineRule="auto"/>
              <w:jc w:val="center"/>
              <w:rPr>
                <w:sz w:val="16"/>
                <w:szCs w:val="16"/>
                <w:lang w:val="lt-LT"/>
              </w:rPr>
            </w:pPr>
            <w:r w:rsidRPr="00737B66">
              <w:rPr>
                <w:sz w:val="16"/>
                <w:szCs w:val="16"/>
                <w:lang w:val="lt-LT"/>
              </w:rPr>
              <w:t>1212,1</w:t>
            </w:r>
          </w:p>
        </w:tc>
        <w:tc>
          <w:tcPr>
            <w:tcW w:w="1236" w:type="dxa"/>
            <w:tcBorders>
              <w:top w:val="single" w:sz="6" w:space="0" w:color="auto"/>
              <w:left w:val="single" w:sz="6" w:space="0" w:color="auto"/>
              <w:bottom w:val="single" w:sz="6" w:space="0" w:color="auto"/>
              <w:right w:val="single" w:sz="6" w:space="0" w:color="auto"/>
            </w:tcBorders>
            <w:vAlign w:val="center"/>
          </w:tcPr>
          <w:p w:rsidR="00A755CB" w:rsidRPr="00737B66" w:rsidRDefault="00A755CB" w:rsidP="00737B66">
            <w:pPr>
              <w:spacing w:line="360" w:lineRule="auto"/>
              <w:jc w:val="center"/>
              <w:rPr>
                <w:sz w:val="16"/>
                <w:szCs w:val="16"/>
                <w:lang w:val="lt-LT"/>
              </w:rPr>
            </w:pPr>
            <w:r w:rsidRPr="00737B66">
              <w:rPr>
                <w:sz w:val="16"/>
                <w:szCs w:val="16"/>
                <w:lang w:val="lt-LT"/>
              </w:rPr>
              <w:t>2344,6</w:t>
            </w:r>
          </w:p>
        </w:tc>
        <w:tc>
          <w:tcPr>
            <w:tcW w:w="1000" w:type="dxa"/>
            <w:tcBorders>
              <w:top w:val="single" w:sz="6" w:space="0" w:color="auto"/>
              <w:left w:val="single" w:sz="6" w:space="0" w:color="auto"/>
              <w:bottom w:val="single" w:sz="6" w:space="0" w:color="auto"/>
              <w:right w:val="single" w:sz="4" w:space="0" w:color="auto"/>
            </w:tcBorders>
            <w:vAlign w:val="center"/>
          </w:tcPr>
          <w:p w:rsidR="00A755CB" w:rsidRPr="00737B66" w:rsidRDefault="00A755CB" w:rsidP="00737B66">
            <w:pPr>
              <w:spacing w:line="360" w:lineRule="auto"/>
              <w:jc w:val="center"/>
              <w:rPr>
                <w:sz w:val="16"/>
                <w:szCs w:val="16"/>
                <w:lang w:val="lt-LT"/>
              </w:rPr>
            </w:pPr>
          </w:p>
        </w:tc>
        <w:tc>
          <w:tcPr>
            <w:tcW w:w="1308" w:type="dxa"/>
            <w:tcBorders>
              <w:top w:val="single" w:sz="6" w:space="0" w:color="auto"/>
              <w:left w:val="single" w:sz="4" w:space="0" w:color="auto"/>
              <w:bottom w:val="single" w:sz="6" w:space="0" w:color="auto"/>
              <w:right w:val="single" w:sz="12" w:space="0" w:color="auto"/>
            </w:tcBorders>
            <w:vAlign w:val="center"/>
          </w:tcPr>
          <w:p w:rsidR="00A755CB" w:rsidRPr="00737B66" w:rsidRDefault="00A755CB" w:rsidP="00737B66">
            <w:pPr>
              <w:jc w:val="center"/>
              <w:rPr>
                <w:color w:val="000000"/>
                <w:sz w:val="16"/>
                <w:szCs w:val="16"/>
              </w:rPr>
            </w:pPr>
            <w:r w:rsidRPr="00737B66">
              <w:rPr>
                <w:color w:val="000000"/>
                <w:sz w:val="16"/>
                <w:szCs w:val="16"/>
              </w:rPr>
              <w:t>3556,7</w:t>
            </w:r>
          </w:p>
        </w:tc>
        <w:tc>
          <w:tcPr>
            <w:tcW w:w="1523" w:type="dxa"/>
            <w:tcBorders>
              <w:top w:val="single" w:sz="6" w:space="0" w:color="auto"/>
              <w:left w:val="single" w:sz="12" w:space="0" w:color="auto"/>
              <w:bottom w:val="single" w:sz="6" w:space="0" w:color="auto"/>
              <w:right w:val="single" w:sz="12" w:space="0" w:color="auto"/>
            </w:tcBorders>
            <w:vAlign w:val="center"/>
          </w:tcPr>
          <w:p w:rsidR="00A755CB" w:rsidRPr="00737B66" w:rsidRDefault="00A755CB" w:rsidP="00737B66">
            <w:pPr>
              <w:jc w:val="center"/>
              <w:rPr>
                <w:color w:val="000000"/>
                <w:sz w:val="16"/>
                <w:szCs w:val="16"/>
              </w:rPr>
            </w:pPr>
            <w:r w:rsidRPr="00737B66">
              <w:rPr>
                <w:color w:val="000000"/>
                <w:sz w:val="16"/>
                <w:szCs w:val="16"/>
              </w:rPr>
              <w:t>4781,5</w:t>
            </w:r>
          </w:p>
        </w:tc>
        <w:tc>
          <w:tcPr>
            <w:tcW w:w="1541" w:type="dxa"/>
            <w:tcBorders>
              <w:top w:val="single" w:sz="6" w:space="0" w:color="auto"/>
              <w:left w:val="single" w:sz="12" w:space="0" w:color="auto"/>
              <w:bottom w:val="single" w:sz="6" w:space="0" w:color="auto"/>
              <w:right w:val="single" w:sz="12" w:space="0" w:color="auto"/>
            </w:tcBorders>
            <w:vAlign w:val="center"/>
          </w:tcPr>
          <w:p w:rsidR="00A755CB" w:rsidRPr="00737B66" w:rsidRDefault="00A755CB" w:rsidP="00737B66">
            <w:pPr>
              <w:jc w:val="center"/>
              <w:rPr>
                <w:color w:val="000000"/>
                <w:sz w:val="16"/>
                <w:szCs w:val="16"/>
              </w:rPr>
            </w:pPr>
            <w:r w:rsidRPr="00737B66">
              <w:rPr>
                <w:color w:val="000000"/>
                <w:sz w:val="16"/>
                <w:szCs w:val="16"/>
                <w:lang w:val="lt-LT"/>
              </w:rPr>
              <w:t>2380,5</w:t>
            </w:r>
          </w:p>
        </w:tc>
        <w:tc>
          <w:tcPr>
            <w:tcW w:w="1468" w:type="dxa"/>
            <w:tcBorders>
              <w:top w:val="single" w:sz="6" w:space="0" w:color="auto"/>
              <w:left w:val="single" w:sz="12" w:space="0" w:color="auto"/>
              <w:bottom w:val="single" w:sz="6" w:space="0" w:color="auto"/>
              <w:right w:val="single" w:sz="12" w:space="0" w:color="auto"/>
            </w:tcBorders>
            <w:vAlign w:val="center"/>
          </w:tcPr>
          <w:p w:rsidR="00A755CB" w:rsidRPr="00737B66" w:rsidRDefault="00A755CB" w:rsidP="00737B66">
            <w:pPr>
              <w:spacing w:line="360" w:lineRule="auto"/>
              <w:jc w:val="center"/>
              <w:rPr>
                <w:sz w:val="16"/>
                <w:szCs w:val="16"/>
                <w:lang w:val="lt-LT"/>
              </w:rPr>
            </w:pPr>
            <w:r w:rsidRPr="00737B66">
              <w:rPr>
                <w:sz w:val="16"/>
                <w:szCs w:val="16"/>
                <w:lang w:val="lt-LT"/>
              </w:rPr>
              <w:t>10718,7</w:t>
            </w:r>
          </w:p>
        </w:tc>
      </w:tr>
      <w:tr w:rsidR="00A755CB" w:rsidRPr="00737B66" w:rsidTr="00737B66">
        <w:tc>
          <w:tcPr>
            <w:tcW w:w="714" w:type="dxa"/>
            <w:tcBorders>
              <w:top w:val="single" w:sz="6" w:space="0" w:color="auto"/>
              <w:left w:val="single" w:sz="12" w:space="0" w:color="auto"/>
              <w:bottom w:val="single" w:sz="6" w:space="0" w:color="auto"/>
              <w:right w:val="single" w:sz="12" w:space="0" w:color="auto"/>
            </w:tcBorders>
            <w:vAlign w:val="center"/>
          </w:tcPr>
          <w:p w:rsidR="00A755CB" w:rsidRPr="00737B66" w:rsidRDefault="00A755CB" w:rsidP="00737B66">
            <w:pPr>
              <w:jc w:val="center"/>
              <w:rPr>
                <w:b/>
                <w:sz w:val="16"/>
                <w:szCs w:val="16"/>
              </w:rPr>
            </w:pPr>
            <w:r w:rsidRPr="00737B66">
              <w:rPr>
                <w:b/>
                <w:sz w:val="16"/>
                <w:szCs w:val="16"/>
              </w:rPr>
              <w:t>RO</w:t>
            </w:r>
          </w:p>
        </w:tc>
        <w:tc>
          <w:tcPr>
            <w:tcW w:w="966" w:type="dxa"/>
            <w:tcBorders>
              <w:top w:val="single" w:sz="6" w:space="0" w:color="auto"/>
              <w:left w:val="single" w:sz="12" w:space="0" w:color="auto"/>
              <w:bottom w:val="single" w:sz="6" w:space="0" w:color="auto"/>
              <w:right w:val="single" w:sz="6" w:space="0" w:color="auto"/>
            </w:tcBorders>
            <w:vAlign w:val="center"/>
          </w:tcPr>
          <w:p w:rsidR="00A755CB" w:rsidRPr="00737B66" w:rsidRDefault="00A755CB" w:rsidP="00737B66">
            <w:pPr>
              <w:spacing w:line="360" w:lineRule="auto"/>
              <w:jc w:val="center"/>
              <w:rPr>
                <w:sz w:val="16"/>
                <w:szCs w:val="16"/>
                <w:lang w:val="lt-LT"/>
              </w:rPr>
            </w:pPr>
            <w:r w:rsidRPr="00737B66">
              <w:rPr>
                <w:sz w:val="16"/>
                <w:szCs w:val="16"/>
                <w:lang w:val="lt-LT"/>
              </w:rPr>
              <w:t>467,6</w:t>
            </w:r>
          </w:p>
        </w:tc>
        <w:tc>
          <w:tcPr>
            <w:tcW w:w="1236" w:type="dxa"/>
            <w:tcBorders>
              <w:top w:val="single" w:sz="6" w:space="0" w:color="auto"/>
              <w:left w:val="single" w:sz="6" w:space="0" w:color="auto"/>
              <w:bottom w:val="single" w:sz="6" w:space="0" w:color="auto"/>
              <w:right w:val="single" w:sz="6" w:space="0" w:color="auto"/>
            </w:tcBorders>
            <w:vAlign w:val="center"/>
          </w:tcPr>
          <w:p w:rsidR="00A755CB" w:rsidRPr="00737B66" w:rsidRDefault="00A755CB" w:rsidP="00737B66">
            <w:pPr>
              <w:spacing w:line="360" w:lineRule="auto"/>
              <w:jc w:val="center"/>
              <w:rPr>
                <w:sz w:val="16"/>
                <w:szCs w:val="16"/>
                <w:lang w:val="lt-LT"/>
              </w:rPr>
            </w:pPr>
            <w:r w:rsidRPr="00737B66">
              <w:rPr>
                <w:sz w:val="16"/>
                <w:szCs w:val="16"/>
                <w:lang w:val="lt-LT"/>
              </w:rPr>
              <w:t>872,4</w:t>
            </w:r>
          </w:p>
        </w:tc>
        <w:tc>
          <w:tcPr>
            <w:tcW w:w="1000" w:type="dxa"/>
            <w:tcBorders>
              <w:top w:val="single" w:sz="6" w:space="0" w:color="auto"/>
              <w:left w:val="single" w:sz="6" w:space="0" w:color="auto"/>
              <w:bottom w:val="single" w:sz="6" w:space="0" w:color="auto"/>
              <w:right w:val="single" w:sz="12" w:space="0" w:color="auto"/>
            </w:tcBorders>
            <w:vAlign w:val="center"/>
          </w:tcPr>
          <w:p w:rsidR="00A755CB" w:rsidRPr="00737B66" w:rsidRDefault="00A755CB" w:rsidP="00737B66">
            <w:pPr>
              <w:spacing w:line="360" w:lineRule="auto"/>
              <w:jc w:val="center"/>
              <w:rPr>
                <w:sz w:val="16"/>
                <w:szCs w:val="16"/>
                <w:lang w:val="lt-LT"/>
              </w:rPr>
            </w:pPr>
          </w:p>
        </w:tc>
        <w:tc>
          <w:tcPr>
            <w:tcW w:w="1308" w:type="dxa"/>
            <w:tcBorders>
              <w:top w:val="single" w:sz="6" w:space="0" w:color="auto"/>
              <w:left w:val="single" w:sz="12" w:space="0" w:color="auto"/>
              <w:bottom w:val="single" w:sz="6" w:space="0" w:color="auto"/>
              <w:right w:val="single" w:sz="12" w:space="0" w:color="auto"/>
            </w:tcBorders>
            <w:vAlign w:val="center"/>
          </w:tcPr>
          <w:p w:rsidR="00A755CB" w:rsidRPr="00737B66" w:rsidRDefault="00A755CB" w:rsidP="00737B66">
            <w:pPr>
              <w:jc w:val="center"/>
              <w:rPr>
                <w:color w:val="000000"/>
                <w:sz w:val="16"/>
                <w:szCs w:val="16"/>
              </w:rPr>
            </w:pPr>
            <w:r w:rsidRPr="00737B66">
              <w:rPr>
                <w:color w:val="000000"/>
                <w:sz w:val="16"/>
                <w:szCs w:val="16"/>
              </w:rPr>
              <w:t>1340</w:t>
            </w:r>
          </w:p>
        </w:tc>
        <w:tc>
          <w:tcPr>
            <w:tcW w:w="1523" w:type="dxa"/>
            <w:tcBorders>
              <w:top w:val="single" w:sz="6" w:space="0" w:color="auto"/>
              <w:left w:val="single" w:sz="12" w:space="0" w:color="auto"/>
              <w:bottom w:val="single" w:sz="6" w:space="0" w:color="auto"/>
              <w:right w:val="single" w:sz="12" w:space="0" w:color="auto"/>
            </w:tcBorders>
            <w:vAlign w:val="center"/>
          </w:tcPr>
          <w:p w:rsidR="00A755CB" w:rsidRPr="00737B66" w:rsidRDefault="00A755CB" w:rsidP="00737B66">
            <w:pPr>
              <w:jc w:val="center"/>
              <w:rPr>
                <w:color w:val="000000"/>
                <w:sz w:val="16"/>
                <w:szCs w:val="16"/>
              </w:rPr>
            </w:pPr>
            <w:r w:rsidRPr="00737B66">
              <w:rPr>
                <w:color w:val="000000"/>
                <w:sz w:val="16"/>
                <w:szCs w:val="16"/>
              </w:rPr>
              <w:t>10071,5</w:t>
            </w:r>
          </w:p>
        </w:tc>
        <w:tc>
          <w:tcPr>
            <w:tcW w:w="1541" w:type="dxa"/>
            <w:tcBorders>
              <w:top w:val="single" w:sz="6" w:space="0" w:color="auto"/>
              <w:left w:val="single" w:sz="12" w:space="0" w:color="auto"/>
              <w:bottom w:val="single" w:sz="6" w:space="0" w:color="auto"/>
              <w:right w:val="single" w:sz="12" w:space="0" w:color="auto"/>
            </w:tcBorders>
            <w:vAlign w:val="center"/>
          </w:tcPr>
          <w:p w:rsidR="00A755CB" w:rsidRPr="00737B66" w:rsidRDefault="00A755CB" w:rsidP="00737B66">
            <w:pPr>
              <w:jc w:val="center"/>
              <w:rPr>
                <w:color w:val="000000"/>
                <w:sz w:val="16"/>
                <w:szCs w:val="16"/>
              </w:rPr>
            </w:pPr>
            <w:r w:rsidRPr="00737B66">
              <w:rPr>
                <w:color w:val="000000"/>
                <w:sz w:val="16"/>
                <w:szCs w:val="16"/>
                <w:lang w:val="lt-LT"/>
              </w:rPr>
              <w:t>719,6</w:t>
            </w:r>
          </w:p>
        </w:tc>
        <w:tc>
          <w:tcPr>
            <w:tcW w:w="1468" w:type="dxa"/>
            <w:tcBorders>
              <w:top w:val="single" w:sz="6" w:space="0" w:color="auto"/>
              <w:left w:val="single" w:sz="12" w:space="0" w:color="auto"/>
              <w:bottom w:val="single" w:sz="6" w:space="0" w:color="auto"/>
              <w:right w:val="single" w:sz="12" w:space="0" w:color="auto"/>
            </w:tcBorders>
            <w:vAlign w:val="center"/>
          </w:tcPr>
          <w:p w:rsidR="00A755CB" w:rsidRPr="00737B66" w:rsidRDefault="00A755CB" w:rsidP="00737B66">
            <w:pPr>
              <w:spacing w:line="360" w:lineRule="auto"/>
              <w:jc w:val="center"/>
              <w:rPr>
                <w:sz w:val="16"/>
                <w:szCs w:val="16"/>
                <w:lang w:val="lt-LT"/>
              </w:rPr>
            </w:pPr>
            <w:r w:rsidRPr="00737B66">
              <w:rPr>
                <w:sz w:val="16"/>
                <w:szCs w:val="16"/>
                <w:lang w:val="lt-LT"/>
              </w:rPr>
              <w:t>12131,1</w:t>
            </w:r>
          </w:p>
        </w:tc>
      </w:tr>
      <w:tr w:rsidR="00A755CB" w:rsidRPr="00737B66" w:rsidTr="00737B66">
        <w:tc>
          <w:tcPr>
            <w:tcW w:w="714" w:type="dxa"/>
            <w:tcBorders>
              <w:top w:val="single" w:sz="6" w:space="0" w:color="auto"/>
              <w:left w:val="single" w:sz="12" w:space="0" w:color="auto"/>
              <w:bottom w:val="single" w:sz="6" w:space="0" w:color="auto"/>
              <w:right w:val="single" w:sz="12" w:space="0" w:color="auto"/>
            </w:tcBorders>
            <w:vAlign w:val="center"/>
          </w:tcPr>
          <w:p w:rsidR="00A755CB" w:rsidRPr="00737B66" w:rsidRDefault="00A755CB" w:rsidP="00737B66">
            <w:pPr>
              <w:jc w:val="center"/>
              <w:rPr>
                <w:b/>
                <w:sz w:val="16"/>
                <w:szCs w:val="16"/>
              </w:rPr>
            </w:pPr>
            <w:r w:rsidRPr="00737B66">
              <w:rPr>
                <w:b/>
                <w:sz w:val="16"/>
                <w:szCs w:val="16"/>
              </w:rPr>
              <w:t>SI</w:t>
            </w:r>
          </w:p>
        </w:tc>
        <w:tc>
          <w:tcPr>
            <w:tcW w:w="966" w:type="dxa"/>
            <w:tcBorders>
              <w:top w:val="single" w:sz="6" w:space="0" w:color="auto"/>
              <w:left w:val="single" w:sz="12" w:space="0" w:color="auto"/>
              <w:bottom w:val="single" w:sz="6" w:space="0" w:color="auto"/>
              <w:right w:val="single" w:sz="6" w:space="0" w:color="auto"/>
            </w:tcBorders>
            <w:vAlign w:val="center"/>
          </w:tcPr>
          <w:p w:rsidR="00A755CB" w:rsidRPr="00737B66" w:rsidRDefault="00A755CB" w:rsidP="00737B66">
            <w:pPr>
              <w:spacing w:line="360" w:lineRule="auto"/>
              <w:jc w:val="center"/>
              <w:rPr>
                <w:sz w:val="16"/>
                <w:szCs w:val="16"/>
                <w:lang w:val="lt-LT"/>
              </w:rPr>
            </w:pPr>
            <w:r w:rsidRPr="00737B66">
              <w:rPr>
                <w:sz w:val="16"/>
                <w:szCs w:val="16"/>
                <w:lang w:val="lt-LT"/>
              </w:rPr>
              <w:t>1186,5</w:t>
            </w:r>
          </w:p>
        </w:tc>
        <w:tc>
          <w:tcPr>
            <w:tcW w:w="1236" w:type="dxa"/>
            <w:tcBorders>
              <w:top w:val="single" w:sz="6" w:space="0" w:color="auto"/>
              <w:left w:val="single" w:sz="6" w:space="0" w:color="auto"/>
              <w:bottom w:val="single" w:sz="6" w:space="0" w:color="auto"/>
              <w:right w:val="single" w:sz="6" w:space="0" w:color="auto"/>
            </w:tcBorders>
            <w:vAlign w:val="center"/>
          </w:tcPr>
          <w:p w:rsidR="00A755CB" w:rsidRPr="00737B66" w:rsidRDefault="00A755CB" w:rsidP="00737B66">
            <w:pPr>
              <w:spacing w:line="360" w:lineRule="auto"/>
              <w:jc w:val="center"/>
              <w:rPr>
                <w:sz w:val="16"/>
                <w:szCs w:val="16"/>
                <w:lang w:val="lt-LT"/>
              </w:rPr>
            </w:pPr>
            <w:r w:rsidRPr="00737B66">
              <w:rPr>
                <w:sz w:val="16"/>
                <w:szCs w:val="16"/>
                <w:lang w:val="lt-LT"/>
              </w:rPr>
              <w:t>272,9</w:t>
            </w:r>
          </w:p>
        </w:tc>
        <w:tc>
          <w:tcPr>
            <w:tcW w:w="1000" w:type="dxa"/>
            <w:tcBorders>
              <w:top w:val="single" w:sz="6" w:space="0" w:color="auto"/>
              <w:left w:val="single" w:sz="6" w:space="0" w:color="auto"/>
              <w:bottom w:val="single" w:sz="6" w:space="0" w:color="auto"/>
              <w:right w:val="single" w:sz="12" w:space="0" w:color="auto"/>
            </w:tcBorders>
            <w:vAlign w:val="center"/>
          </w:tcPr>
          <w:p w:rsidR="00A755CB" w:rsidRPr="00737B66" w:rsidRDefault="00A755CB" w:rsidP="00737B66">
            <w:pPr>
              <w:spacing w:line="360" w:lineRule="auto"/>
              <w:jc w:val="center"/>
              <w:rPr>
                <w:sz w:val="16"/>
                <w:szCs w:val="16"/>
                <w:lang w:val="lt-LT"/>
              </w:rPr>
            </w:pPr>
            <w:r w:rsidRPr="00737B66">
              <w:rPr>
                <w:sz w:val="16"/>
                <w:szCs w:val="16"/>
                <w:lang w:val="lt-LT"/>
              </w:rPr>
              <w:t>9,3</w:t>
            </w:r>
          </w:p>
        </w:tc>
        <w:tc>
          <w:tcPr>
            <w:tcW w:w="1308" w:type="dxa"/>
            <w:tcBorders>
              <w:top w:val="single" w:sz="6" w:space="0" w:color="auto"/>
              <w:left w:val="single" w:sz="12" w:space="0" w:color="auto"/>
              <w:bottom w:val="single" w:sz="6" w:space="0" w:color="auto"/>
              <w:right w:val="single" w:sz="12" w:space="0" w:color="auto"/>
            </w:tcBorders>
            <w:vAlign w:val="center"/>
          </w:tcPr>
          <w:p w:rsidR="00A755CB" w:rsidRPr="00737B66" w:rsidRDefault="00A755CB" w:rsidP="00737B66">
            <w:pPr>
              <w:jc w:val="center"/>
              <w:rPr>
                <w:color w:val="000000"/>
                <w:sz w:val="16"/>
                <w:szCs w:val="16"/>
              </w:rPr>
            </w:pPr>
            <w:r w:rsidRPr="00737B66">
              <w:rPr>
                <w:color w:val="000000"/>
                <w:sz w:val="16"/>
                <w:szCs w:val="16"/>
              </w:rPr>
              <w:t>1468,7</w:t>
            </w:r>
          </w:p>
        </w:tc>
        <w:tc>
          <w:tcPr>
            <w:tcW w:w="1523" w:type="dxa"/>
            <w:tcBorders>
              <w:top w:val="single" w:sz="6" w:space="0" w:color="auto"/>
              <w:left w:val="single" w:sz="12" w:space="0" w:color="auto"/>
              <w:bottom w:val="single" w:sz="6" w:space="0" w:color="auto"/>
              <w:right w:val="single" w:sz="12" w:space="0" w:color="auto"/>
            </w:tcBorders>
            <w:vAlign w:val="center"/>
          </w:tcPr>
          <w:p w:rsidR="00A755CB" w:rsidRPr="00737B66" w:rsidRDefault="00A755CB" w:rsidP="00737B66">
            <w:pPr>
              <w:jc w:val="center"/>
              <w:rPr>
                <w:color w:val="000000"/>
                <w:sz w:val="16"/>
                <w:szCs w:val="16"/>
              </w:rPr>
            </w:pPr>
            <w:r w:rsidRPr="00737B66">
              <w:rPr>
                <w:color w:val="000000"/>
                <w:sz w:val="16"/>
                <w:szCs w:val="16"/>
              </w:rPr>
              <w:t>1454,6</w:t>
            </w:r>
          </w:p>
        </w:tc>
        <w:tc>
          <w:tcPr>
            <w:tcW w:w="1541" w:type="dxa"/>
            <w:tcBorders>
              <w:top w:val="single" w:sz="6" w:space="0" w:color="auto"/>
              <w:left w:val="single" w:sz="12" w:space="0" w:color="auto"/>
              <w:bottom w:val="single" w:sz="6" w:space="0" w:color="auto"/>
              <w:right w:val="single" w:sz="12" w:space="0" w:color="auto"/>
            </w:tcBorders>
            <w:vAlign w:val="center"/>
          </w:tcPr>
          <w:p w:rsidR="00A755CB" w:rsidRPr="00737B66" w:rsidRDefault="00A755CB" w:rsidP="00737B66">
            <w:pPr>
              <w:jc w:val="center"/>
              <w:rPr>
                <w:color w:val="000000"/>
                <w:sz w:val="16"/>
                <w:szCs w:val="16"/>
              </w:rPr>
            </w:pPr>
            <w:r w:rsidRPr="00737B66">
              <w:rPr>
                <w:color w:val="000000"/>
                <w:sz w:val="16"/>
                <w:szCs w:val="16"/>
                <w:lang w:val="lt-LT"/>
              </w:rPr>
              <w:t>534,2</w:t>
            </w:r>
          </w:p>
        </w:tc>
        <w:tc>
          <w:tcPr>
            <w:tcW w:w="1468" w:type="dxa"/>
            <w:tcBorders>
              <w:top w:val="single" w:sz="6" w:space="0" w:color="auto"/>
              <w:left w:val="single" w:sz="12" w:space="0" w:color="auto"/>
              <w:bottom w:val="single" w:sz="6" w:space="0" w:color="auto"/>
              <w:right w:val="single" w:sz="12" w:space="0" w:color="auto"/>
            </w:tcBorders>
            <w:vAlign w:val="center"/>
          </w:tcPr>
          <w:p w:rsidR="00A755CB" w:rsidRPr="00737B66" w:rsidRDefault="00A755CB" w:rsidP="00737B66">
            <w:pPr>
              <w:spacing w:line="360" w:lineRule="auto"/>
              <w:jc w:val="center"/>
              <w:rPr>
                <w:sz w:val="16"/>
                <w:szCs w:val="16"/>
                <w:lang w:val="lt-LT"/>
              </w:rPr>
            </w:pPr>
            <w:r w:rsidRPr="00737B66">
              <w:rPr>
                <w:sz w:val="16"/>
                <w:szCs w:val="16"/>
                <w:lang w:val="lt-LT"/>
              </w:rPr>
              <w:t>3457,5</w:t>
            </w:r>
          </w:p>
        </w:tc>
      </w:tr>
      <w:tr w:rsidR="00A755CB" w:rsidRPr="00737B66" w:rsidTr="00737B66">
        <w:tc>
          <w:tcPr>
            <w:tcW w:w="714" w:type="dxa"/>
            <w:tcBorders>
              <w:top w:val="single" w:sz="6" w:space="0" w:color="auto"/>
              <w:left w:val="single" w:sz="12" w:space="0" w:color="auto"/>
              <w:bottom w:val="single" w:sz="6" w:space="0" w:color="auto"/>
              <w:right w:val="single" w:sz="12" w:space="0" w:color="auto"/>
            </w:tcBorders>
            <w:vAlign w:val="center"/>
          </w:tcPr>
          <w:p w:rsidR="00A755CB" w:rsidRPr="00737B66" w:rsidRDefault="00A755CB" w:rsidP="00737B66">
            <w:pPr>
              <w:jc w:val="center"/>
              <w:rPr>
                <w:b/>
                <w:sz w:val="16"/>
                <w:szCs w:val="16"/>
              </w:rPr>
            </w:pPr>
            <w:r w:rsidRPr="00737B66">
              <w:rPr>
                <w:b/>
                <w:sz w:val="16"/>
                <w:szCs w:val="16"/>
              </w:rPr>
              <w:t>SK</w:t>
            </w:r>
          </w:p>
        </w:tc>
        <w:tc>
          <w:tcPr>
            <w:tcW w:w="966" w:type="dxa"/>
            <w:tcBorders>
              <w:top w:val="single" w:sz="6" w:space="0" w:color="auto"/>
              <w:left w:val="single" w:sz="12" w:space="0" w:color="auto"/>
              <w:bottom w:val="single" w:sz="6" w:space="0" w:color="auto"/>
              <w:right w:val="single" w:sz="6" w:space="0" w:color="auto"/>
            </w:tcBorders>
            <w:vAlign w:val="center"/>
          </w:tcPr>
          <w:p w:rsidR="00A755CB" w:rsidRPr="00737B66" w:rsidRDefault="00A755CB" w:rsidP="00737B66">
            <w:pPr>
              <w:spacing w:line="360" w:lineRule="auto"/>
              <w:jc w:val="center"/>
              <w:rPr>
                <w:sz w:val="16"/>
                <w:szCs w:val="16"/>
                <w:lang w:val="lt-LT"/>
              </w:rPr>
            </w:pPr>
            <w:r w:rsidRPr="00737B66">
              <w:rPr>
                <w:sz w:val="16"/>
                <w:szCs w:val="16"/>
                <w:lang w:val="lt-LT"/>
              </w:rPr>
              <w:t>1708,6</w:t>
            </w:r>
          </w:p>
        </w:tc>
        <w:tc>
          <w:tcPr>
            <w:tcW w:w="1236" w:type="dxa"/>
            <w:tcBorders>
              <w:top w:val="single" w:sz="6" w:space="0" w:color="auto"/>
              <w:left w:val="single" w:sz="6" w:space="0" w:color="auto"/>
              <w:bottom w:val="single" w:sz="6" w:space="0" w:color="auto"/>
              <w:right w:val="single" w:sz="6" w:space="0" w:color="auto"/>
            </w:tcBorders>
            <w:vAlign w:val="center"/>
          </w:tcPr>
          <w:p w:rsidR="00A755CB" w:rsidRPr="00737B66" w:rsidRDefault="00A755CB" w:rsidP="00737B66">
            <w:pPr>
              <w:spacing w:line="360" w:lineRule="auto"/>
              <w:jc w:val="center"/>
              <w:rPr>
                <w:sz w:val="16"/>
                <w:szCs w:val="16"/>
                <w:lang w:val="lt-LT"/>
              </w:rPr>
            </w:pPr>
            <w:r w:rsidRPr="00737B66">
              <w:rPr>
                <w:sz w:val="16"/>
                <w:szCs w:val="16"/>
                <w:lang w:val="lt-LT"/>
              </w:rPr>
              <w:t>395,7</w:t>
            </w:r>
          </w:p>
        </w:tc>
        <w:tc>
          <w:tcPr>
            <w:tcW w:w="1000" w:type="dxa"/>
            <w:tcBorders>
              <w:top w:val="single" w:sz="6" w:space="0" w:color="auto"/>
              <w:left w:val="single" w:sz="6" w:space="0" w:color="auto"/>
              <w:bottom w:val="single" w:sz="6" w:space="0" w:color="auto"/>
              <w:right w:val="single" w:sz="12" w:space="0" w:color="auto"/>
            </w:tcBorders>
            <w:vAlign w:val="center"/>
          </w:tcPr>
          <w:p w:rsidR="00A755CB" w:rsidRPr="00737B66" w:rsidRDefault="00A755CB" w:rsidP="00737B66">
            <w:pPr>
              <w:spacing w:line="360" w:lineRule="auto"/>
              <w:jc w:val="center"/>
              <w:rPr>
                <w:sz w:val="16"/>
                <w:szCs w:val="16"/>
                <w:lang w:val="lt-LT"/>
              </w:rPr>
            </w:pPr>
          </w:p>
        </w:tc>
        <w:tc>
          <w:tcPr>
            <w:tcW w:w="1308" w:type="dxa"/>
            <w:tcBorders>
              <w:top w:val="single" w:sz="6" w:space="0" w:color="auto"/>
              <w:left w:val="single" w:sz="12" w:space="0" w:color="auto"/>
              <w:bottom w:val="single" w:sz="6" w:space="0" w:color="auto"/>
              <w:right w:val="single" w:sz="12" w:space="0" w:color="auto"/>
            </w:tcBorders>
            <w:vAlign w:val="center"/>
          </w:tcPr>
          <w:p w:rsidR="00A755CB" w:rsidRPr="00737B66" w:rsidRDefault="00A755CB" w:rsidP="00737B66">
            <w:pPr>
              <w:jc w:val="center"/>
              <w:rPr>
                <w:color w:val="000000"/>
                <w:sz w:val="16"/>
                <w:szCs w:val="16"/>
              </w:rPr>
            </w:pPr>
            <w:r w:rsidRPr="00737B66">
              <w:rPr>
                <w:color w:val="000000"/>
                <w:sz w:val="16"/>
                <w:szCs w:val="16"/>
              </w:rPr>
              <w:t>2104,3</w:t>
            </w:r>
          </w:p>
        </w:tc>
        <w:tc>
          <w:tcPr>
            <w:tcW w:w="1523" w:type="dxa"/>
            <w:tcBorders>
              <w:top w:val="single" w:sz="6" w:space="0" w:color="auto"/>
              <w:left w:val="single" w:sz="12" w:space="0" w:color="auto"/>
              <w:bottom w:val="single" w:sz="6" w:space="0" w:color="auto"/>
              <w:right w:val="single" w:sz="12" w:space="0" w:color="auto"/>
            </w:tcBorders>
            <w:vAlign w:val="center"/>
          </w:tcPr>
          <w:p w:rsidR="00A755CB" w:rsidRPr="00737B66" w:rsidRDefault="00A755CB" w:rsidP="00737B66">
            <w:pPr>
              <w:jc w:val="center"/>
              <w:rPr>
                <w:color w:val="000000"/>
                <w:sz w:val="16"/>
                <w:szCs w:val="16"/>
              </w:rPr>
            </w:pPr>
            <w:r w:rsidRPr="00737B66">
              <w:rPr>
                <w:color w:val="000000"/>
                <w:sz w:val="16"/>
                <w:szCs w:val="16"/>
              </w:rPr>
              <w:t>1786,2</w:t>
            </w:r>
          </w:p>
        </w:tc>
        <w:tc>
          <w:tcPr>
            <w:tcW w:w="1541" w:type="dxa"/>
            <w:tcBorders>
              <w:top w:val="single" w:sz="6" w:space="0" w:color="auto"/>
              <w:left w:val="single" w:sz="12" w:space="0" w:color="auto"/>
              <w:bottom w:val="single" w:sz="6" w:space="0" w:color="auto"/>
              <w:right w:val="single" w:sz="12" w:space="0" w:color="auto"/>
            </w:tcBorders>
            <w:vAlign w:val="center"/>
          </w:tcPr>
          <w:p w:rsidR="00A755CB" w:rsidRPr="00737B66" w:rsidRDefault="00A755CB" w:rsidP="00737B66">
            <w:pPr>
              <w:jc w:val="center"/>
              <w:rPr>
                <w:color w:val="000000"/>
                <w:sz w:val="16"/>
                <w:szCs w:val="16"/>
              </w:rPr>
            </w:pPr>
            <w:r w:rsidRPr="00737B66">
              <w:rPr>
                <w:color w:val="000000"/>
                <w:sz w:val="16"/>
                <w:szCs w:val="16"/>
                <w:lang w:val="lt-LT"/>
              </w:rPr>
              <w:t>705</w:t>
            </w:r>
          </w:p>
        </w:tc>
        <w:tc>
          <w:tcPr>
            <w:tcW w:w="1468" w:type="dxa"/>
            <w:tcBorders>
              <w:top w:val="single" w:sz="6" w:space="0" w:color="auto"/>
              <w:left w:val="single" w:sz="12" w:space="0" w:color="auto"/>
              <w:bottom w:val="single" w:sz="6" w:space="0" w:color="auto"/>
              <w:right w:val="single" w:sz="12" w:space="0" w:color="auto"/>
            </w:tcBorders>
            <w:vAlign w:val="center"/>
          </w:tcPr>
          <w:p w:rsidR="00A755CB" w:rsidRPr="00737B66" w:rsidRDefault="00A755CB" w:rsidP="00737B66">
            <w:pPr>
              <w:spacing w:line="360" w:lineRule="auto"/>
              <w:jc w:val="center"/>
              <w:rPr>
                <w:sz w:val="16"/>
                <w:szCs w:val="16"/>
                <w:lang w:val="lt-LT"/>
              </w:rPr>
            </w:pPr>
            <w:r w:rsidRPr="00737B66">
              <w:rPr>
                <w:sz w:val="16"/>
                <w:szCs w:val="16"/>
                <w:lang w:val="lt-LT"/>
              </w:rPr>
              <w:t>4595,5</w:t>
            </w:r>
          </w:p>
        </w:tc>
      </w:tr>
      <w:tr w:rsidR="00A755CB" w:rsidRPr="00737B66" w:rsidTr="00737B66">
        <w:tc>
          <w:tcPr>
            <w:tcW w:w="714" w:type="dxa"/>
            <w:tcBorders>
              <w:top w:val="single" w:sz="6" w:space="0" w:color="auto"/>
              <w:left w:val="single" w:sz="12" w:space="0" w:color="auto"/>
              <w:bottom w:val="single" w:sz="6" w:space="0" w:color="auto"/>
              <w:right w:val="single" w:sz="12" w:space="0" w:color="auto"/>
            </w:tcBorders>
            <w:vAlign w:val="center"/>
          </w:tcPr>
          <w:p w:rsidR="00A755CB" w:rsidRPr="00737B66" w:rsidRDefault="00A755CB" w:rsidP="00737B66">
            <w:pPr>
              <w:jc w:val="center"/>
              <w:rPr>
                <w:b/>
                <w:sz w:val="16"/>
                <w:szCs w:val="16"/>
              </w:rPr>
            </w:pPr>
            <w:r w:rsidRPr="00737B66">
              <w:rPr>
                <w:b/>
                <w:sz w:val="16"/>
                <w:szCs w:val="16"/>
              </w:rPr>
              <w:t>FI</w:t>
            </w:r>
          </w:p>
        </w:tc>
        <w:tc>
          <w:tcPr>
            <w:tcW w:w="966" w:type="dxa"/>
            <w:tcBorders>
              <w:top w:val="single" w:sz="6" w:space="0" w:color="auto"/>
              <w:left w:val="single" w:sz="12" w:space="0" w:color="auto"/>
              <w:bottom w:val="single" w:sz="6" w:space="0" w:color="auto"/>
              <w:right w:val="single" w:sz="6" w:space="0" w:color="auto"/>
            </w:tcBorders>
            <w:vAlign w:val="center"/>
          </w:tcPr>
          <w:p w:rsidR="00A755CB" w:rsidRPr="00737B66" w:rsidRDefault="00A755CB" w:rsidP="00737B66">
            <w:pPr>
              <w:spacing w:line="360" w:lineRule="auto"/>
              <w:jc w:val="center"/>
              <w:rPr>
                <w:sz w:val="16"/>
                <w:szCs w:val="16"/>
                <w:lang w:val="lt-LT"/>
              </w:rPr>
            </w:pPr>
            <w:r w:rsidRPr="00737B66">
              <w:rPr>
                <w:sz w:val="16"/>
                <w:szCs w:val="16"/>
                <w:lang w:val="lt-LT"/>
              </w:rPr>
              <w:t>19342</w:t>
            </w:r>
          </w:p>
        </w:tc>
        <w:tc>
          <w:tcPr>
            <w:tcW w:w="1236" w:type="dxa"/>
            <w:tcBorders>
              <w:top w:val="single" w:sz="6" w:space="0" w:color="auto"/>
              <w:left w:val="single" w:sz="6" w:space="0" w:color="auto"/>
              <w:bottom w:val="single" w:sz="6" w:space="0" w:color="auto"/>
              <w:right w:val="single" w:sz="6" w:space="0" w:color="auto"/>
            </w:tcBorders>
            <w:vAlign w:val="center"/>
          </w:tcPr>
          <w:p w:rsidR="00A755CB" w:rsidRPr="00737B66" w:rsidRDefault="00A755CB" w:rsidP="00737B66">
            <w:pPr>
              <w:spacing w:line="360" w:lineRule="auto"/>
              <w:jc w:val="center"/>
              <w:rPr>
                <w:sz w:val="16"/>
                <w:szCs w:val="16"/>
                <w:lang w:val="lt-LT"/>
              </w:rPr>
            </w:pPr>
            <w:r w:rsidRPr="00737B66">
              <w:rPr>
                <w:sz w:val="16"/>
                <w:szCs w:val="16"/>
                <w:lang w:val="lt-LT"/>
              </w:rPr>
              <w:t>1</w:t>
            </w:r>
          </w:p>
        </w:tc>
        <w:tc>
          <w:tcPr>
            <w:tcW w:w="1000" w:type="dxa"/>
            <w:tcBorders>
              <w:top w:val="single" w:sz="6" w:space="0" w:color="auto"/>
              <w:left w:val="single" w:sz="6" w:space="0" w:color="auto"/>
              <w:bottom w:val="single" w:sz="6" w:space="0" w:color="auto"/>
              <w:right w:val="single" w:sz="12" w:space="0" w:color="auto"/>
            </w:tcBorders>
            <w:vAlign w:val="center"/>
          </w:tcPr>
          <w:p w:rsidR="00A755CB" w:rsidRPr="00737B66" w:rsidRDefault="00A755CB" w:rsidP="00737B66">
            <w:pPr>
              <w:spacing w:line="360" w:lineRule="auto"/>
              <w:jc w:val="center"/>
              <w:rPr>
                <w:sz w:val="16"/>
                <w:szCs w:val="16"/>
                <w:lang w:val="lt-LT"/>
              </w:rPr>
            </w:pPr>
          </w:p>
        </w:tc>
        <w:tc>
          <w:tcPr>
            <w:tcW w:w="1308" w:type="dxa"/>
            <w:tcBorders>
              <w:top w:val="single" w:sz="6" w:space="0" w:color="auto"/>
              <w:left w:val="single" w:sz="12" w:space="0" w:color="auto"/>
              <w:bottom w:val="single" w:sz="6" w:space="0" w:color="auto"/>
              <w:right w:val="single" w:sz="12" w:space="0" w:color="auto"/>
            </w:tcBorders>
            <w:vAlign w:val="center"/>
          </w:tcPr>
          <w:p w:rsidR="00A755CB" w:rsidRPr="00737B66" w:rsidRDefault="00A755CB" w:rsidP="00737B66">
            <w:pPr>
              <w:jc w:val="center"/>
              <w:rPr>
                <w:color w:val="000000"/>
                <w:sz w:val="16"/>
                <w:szCs w:val="16"/>
              </w:rPr>
            </w:pPr>
            <w:r w:rsidRPr="00737B66">
              <w:rPr>
                <w:color w:val="000000"/>
                <w:sz w:val="16"/>
                <w:szCs w:val="16"/>
              </w:rPr>
              <w:t>19343</w:t>
            </w:r>
          </w:p>
        </w:tc>
        <w:tc>
          <w:tcPr>
            <w:tcW w:w="1523" w:type="dxa"/>
            <w:tcBorders>
              <w:top w:val="single" w:sz="6" w:space="0" w:color="auto"/>
              <w:left w:val="single" w:sz="12" w:space="0" w:color="auto"/>
              <w:bottom w:val="single" w:sz="6" w:space="0" w:color="auto"/>
              <w:right w:val="single" w:sz="12" w:space="0" w:color="auto"/>
            </w:tcBorders>
            <w:vAlign w:val="center"/>
          </w:tcPr>
          <w:p w:rsidR="00A755CB" w:rsidRPr="00737B66" w:rsidRDefault="00A755CB" w:rsidP="00737B66">
            <w:pPr>
              <w:jc w:val="center"/>
              <w:rPr>
                <w:color w:val="000000"/>
                <w:sz w:val="16"/>
                <w:szCs w:val="16"/>
              </w:rPr>
            </w:pPr>
            <w:r w:rsidRPr="00737B66">
              <w:rPr>
                <w:color w:val="000000"/>
                <w:sz w:val="16"/>
                <w:szCs w:val="16"/>
              </w:rPr>
              <w:t>12866</w:t>
            </w:r>
          </w:p>
        </w:tc>
        <w:tc>
          <w:tcPr>
            <w:tcW w:w="1541" w:type="dxa"/>
            <w:tcBorders>
              <w:top w:val="single" w:sz="6" w:space="0" w:color="auto"/>
              <w:left w:val="single" w:sz="12" w:space="0" w:color="auto"/>
              <w:bottom w:val="single" w:sz="6" w:space="0" w:color="auto"/>
              <w:right w:val="single" w:sz="12" w:space="0" w:color="auto"/>
            </w:tcBorders>
            <w:vAlign w:val="center"/>
          </w:tcPr>
          <w:p w:rsidR="00A755CB" w:rsidRPr="00737B66" w:rsidRDefault="00A755CB" w:rsidP="00737B66">
            <w:pPr>
              <w:jc w:val="center"/>
              <w:rPr>
                <w:color w:val="000000"/>
                <w:sz w:val="16"/>
                <w:szCs w:val="16"/>
              </w:rPr>
            </w:pPr>
            <w:r w:rsidRPr="00737B66">
              <w:rPr>
                <w:color w:val="000000"/>
                <w:sz w:val="16"/>
                <w:szCs w:val="16"/>
                <w:lang w:val="lt-LT"/>
              </w:rPr>
              <w:t>10547</w:t>
            </w:r>
          </w:p>
        </w:tc>
        <w:tc>
          <w:tcPr>
            <w:tcW w:w="1468" w:type="dxa"/>
            <w:tcBorders>
              <w:top w:val="single" w:sz="6" w:space="0" w:color="auto"/>
              <w:left w:val="single" w:sz="12" w:space="0" w:color="auto"/>
              <w:bottom w:val="single" w:sz="6" w:space="0" w:color="auto"/>
              <w:right w:val="single" w:sz="12" w:space="0" w:color="auto"/>
            </w:tcBorders>
            <w:vAlign w:val="center"/>
          </w:tcPr>
          <w:p w:rsidR="00A755CB" w:rsidRPr="00737B66" w:rsidRDefault="00A755CB" w:rsidP="00737B66">
            <w:pPr>
              <w:spacing w:line="360" w:lineRule="auto"/>
              <w:jc w:val="center"/>
              <w:rPr>
                <w:sz w:val="16"/>
                <w:szCs w:val="16"/>
                <w:lang w:val="lt-LT"/>
              </w:rPr>
            </w:pPr>
            <w:r w:rsidRPr="00737B66">
              <w:rPr>
                <w:sz w:val="16"/>
                <w:szCs w:val="16"/>
                <w:lang w:val="lt-LT"/>
              </w:rPr>
              <w:t>42756</w:t>
            </w:r>
          </w:p>
        </w:tc>
      </w:tr>
      <w:tr w:rsidR="00A755CB" w:rsidRPr="00737B66" w:rsidTr="00737B66">
        <w:tc>
          <w:tcPr>
            <w:tcW w:w="714" w:type="dxa"/>
            <w:tcBorders>
              <w:top w:val="single" w:sz="6" w:space="0" w:color="auto"/>
              <w:left w:val="single" w:sz="12" w:space="0" w:color="auto"/>
              <w:bottom w:val="single" w:sz="6" w:space="0" w:color="auto"/>
              <w:right w:val="single" w:sz="12" w:space="0" w:color="auto"/>
            </w:tcBorders>
            <w:vAlign w:val="center"/>
          </w:tcPr>
          <w:p w:rsidR="00A755CB" w:rsidRPr="00737B66" w:rsidRDefault="00A755CB" w:rsidP="00737B66">
            <w:pPr>
              <w:jc w:val="center"/>
              <w:rPr>
                <w:b/>
                <w:sz w:val="16"/>
                <w:szCs w:val="16"/>
              </w:rPr>
            </w:pPr>
            <w:r w:rsidRPr="00737B66">
              <w:rPr>
                <w:b/>
                <w:sz w:val="16"/>
                <w:szCs w:val="16"/>
              </w:rPr>
              <w:t>SE</w:t>
            </w:r>
          </w:p>
        </w:tc>
        <w:tc>
          <w:tcPr>
            <w:tcW w:w="966" w:type="dxa"/>
            <w:tcBorders>
              <w:top w:val="single" w:sz="6" w:space="0" w:color="auto"/>
              <w:left w:val="single" w:sz="12" w:space="0" w:color="auto"/>
              <w:bottom w:val="single" w:sz="6" w:space="0" w:color="auto"/>
              <w:right w:val="single" w:sz="6" w:space="0" w:color="auto"/>
            </w:tcBorders>
            <w:vAlign w:val="center"/>
          </w:tcPr>
          <w:p w:rsidR="00A755CB" w:rsidRPr="00737B66" w:rsidRDefault="00A755CB" w:rsidP="00737B66">
            <w:pPr>
              <w:spacing w:line="360" w:lineRule="auto"/>
              <w:jc w:val="center"/>
              <w:rPr>
                <w:sz w:val="16"/>
                <w:szCs w:val="16"/>
                <w:lang w:val="lt-LT"/>
              </w:rPr>
            </w:pPr>
            <w:r w:rsidRPr="00737B66">
              <w:rPr>
                <w:sz w:val="16"/>
                <w:szCs w:val="16"/>
                <w:lang w:val="lt-LT"/>
              </w:rPr>
              <w:t>61223,1</w:t>
            </w:r>
          </w:p>
        </w:tc>
        <w:tc>
          <w:tcPr>
            <w:tcW w:w="1236" w:type="dxa"/>
            <w:tcBorders>
              <w:top w:val="single" w:sz="6" w:space="0" w:color="auto"/>
              <w:left w:val="single" w:sz="6" w:space="0" w:color="auto"/>
              <w:bottom w:val="single" w:sz="6" w:space="0" w:color="auto"/>
              <w:right w:val="single" w:sz="6" w:space="0" w:color="auto"/>
            </w:tcBorders>
            <w:vAlign w:val="center"/>
          </w:tcPr>
          <w:p w:rsidR="00A755CB" w:rsidRPr="00737B66" w:rsidRDefault="00A755CB" w:rsidP="00737B66">
            <w:pPr>
              <w:spacing w:line="360" w:lineRule="auto"/>
              <w:jc w:val="center"/>
              <w:rPr>
                <w:sz w:val="16"/>
                <w:szCs w:val="16"/>
                <w:lang w:val="lt-LT"/>
              </w:rPr>
            </w:pPr>
            <w:r w:rsidRPr="00737B66">
              <w:rPr>
                <w:sz w:val="16"/>
                <w:szCs w:val="16"/>
                <w:lang w:val="lt-LT"/>
              </w:rPr>
              <w:t>1781,2</w:t>
            </w:r>
          </w:p>
        </w:tc>
        <w:tc>
          <w:tcPr>
            <w:tcW w:w="1000" w:type="dxa"/>
            <w:tcBorders>
              <w:top w:val="single" w:sz="6" w:space="0" w:color="auto"/>
              <w:left w:val="single" w:sz="6" w:space="0" w:color="auto"/>
              <w:bottom w:val="single" w:sz="6" w:space="0" w:color="auto"/>
              <w:right w:val="single" w:sz="12" w:space="0" w:color="auto"/>
            </w:tcBorders>
            <w:vAlign w:val="center"/>
          </w:tcPr>
          <w:p w:rsidR="00A755CB" w:rsidRPr="00737B66" w:rsidRDefault="00A755CB" w:rsidP="00737B66">
            <w:pPr>
              <w:spacing w:line="360" w:lineRule="auto"/>
              <w:jc w:val="center"/>
              <w:rPr>
                <w:sz w:val="16"/>
                <w:szCs w:val="16"/>
                <w:lang w:val="lt-LT"/>
              </w:rPr>
            </w:pPr>
          </w:p>
        </w:tc>
        <w:tc>
          <w:tcPr>
            <w:tcW w:w="1308" w:type="dxa"/>
            <w:tcBorders>
              <w:top w:val="single" w:sz="6" w:space="0" w:color="auto"/>
              <w:left w:val="single" w:sz="12" w:space="0" w:color="auto"/>
              <w:bottom w:val="single" w:sz="6" w:space="0" w:color="auto"/>
              <w:right w:val="single" w:sz="12" w:space="0" w:color="auto"/>
            </w:tcBorders>
            <w:vAlign w:val="center"/>
          </w:tcPr>
          <w:p w:rsidR="00A755CB" w:rsidRPr="00737B66" w:rsidRDefault="00A755CB" w:rsidP="00737B66">
            <w:pPr>
              <w:jc w:val="center"/>
              <w:rPr>
                <w:color w:val="000000"/>
                <w:sz w:val="16"/>
                <w:szCs w:val="16"/>
              </w:rPr>
            </w:pPr>
            <w:r w:rsidRPr="00737B66">
              <w:rPr>
                <w:color w:val="000000"/>
                <w:sz w:val="16"/>
                <w:szCs w:val="16"/>
              </w:rPr>
              <w:t>63004,3</w:t>
            </w:r>
          </w:p>
        </w:tc>
        <w:tc>
          <w:tcPr>
            <w:tcW w:w="1523" w:type="dxa"/>
            <w:tcBorders>
              <w:top w:val="single" w:sz="6" w:space="0" w:color="auto"/>
              <w:left w:val="single" w:sz="12" w:space="0" w:color="auto"/>
              <w:bottom w:val="single" w:sz="6" w:space="0" w:color="auto"/>
              <w:right w:val="single" w:sz="12" w:space="0" w:color="auto"/>
            </w:tcBorders>
            <w:vAlign w:val="center"/>
          </w:tcPr>
          <w:p w:rsidR="00A755CB" w:rsidRPr="00737B66" w:rsidRDefault="00A755CB" w:rsidP="00737B66">
            <w:pPr>
              <w:jc w:val="center"/>
              <w:rPr>
                <w:color w:val="000000"/>
                <w:sz w:val="16"/>
                <w:szCs w:val="16"/>
              </w:rPr>
            </w:pPr>
            <w:r w:rsidRPr="00737B66">
              <w:rPr>
                <w:color w:val="000000"/>
                <w:sz w:val="16"/>
                <w:szCs w:val="16"/>
              </w:rPr>
              <w:t>26289,3</w:t>
            </w:r>
          </w:p>
        </w:tc>
        <w:tc>
          <w:tcPr>
            <w:tcW w:w="1541" w:type="dxa"/>
            <w:tcBorders>
              <w:top w:val="single" w:sz="6" w:space="0" w:color="auto"/>
              <w:left w:val="single" w:sz="12" w:space="0" w:color="auto"/>
              <w:bottom w:val="single" w:sz="6" w:space="0" w:color="auto"/>
              <w:right w:val="single" w:sz="12" w:space="0" w:color="auto"/>
            </w:tcBorders>
            <w:vAlign w:val="center"/>
          </w:tcPr>
          <w:p w:rsidR="00A755CB" w:rsidRPr="00737B66" w:rsidRDefault="00A755CB" w:rsidP="00737B66">
            <w:pPr>
              <w:jc w:val="center"/>
              <w:rPr>
                <w:color w:val="000000"/>
                <w:sz w:val="16"/>
                <w:szCs w:val="16"/>
              </w:rPr>
            </w:pPr>
            <w:r w:rsidRPr="00737B66">
              <w:rPr>
                <w:color w:val="000000"/>
                <w:sz w:val="16"/>
                <w:szCs w:val="16"/>
                <w:lang w:val="lt-LT"/>
              </w:rPr>
              <w:t>14474,5</w:t>
            </w:r>
          </w:p>
        </w:tc>
        <w:tc>
          <w:tcPr>
            <w:tcW w:w="1468" w:type="dxa"/>
            <w:tcBorders>
              <w:top w:val="single" w:sz="6" w:space="0" w:color="auto"/>
              <w:left w:val="single" w:sz="12" w:space="0" w:color="auto"/>
              <w:bottom w:val="single" w:sz="6" w:space="0" w:color="auto"/>
              <w:right w:val="single" w:sz="12" w:space="0" w:color="auto"/>
            </w:tcBorders>
            <w:vAlign w:val="center"/>
          </w:tcPr>
          <w:p w:rsidR="00A755CB" w:rsidRPr="00737B66" w:rsidRDefault="00A755CB" w:rsidP="00737B66">
            <w:pPr>
              <w:spacing w:line="360" w:lineRule="auto"/>
              <w:jc w:val="center"/>
              <w:rPr>
                <w:sz w:val="16"/>
                <w:szCs w:val="16"/>
                <w:lang w:val="lt-LT"/>
              </w:rPr>
            </w:pPr>
            <w:r w:rsidRPr="00737B66">
              <w:rPr>
                <w:sz w:val="16"/>
                <w:szCs w:val="16"/>
                <w:lang w:val="lt-LT"/>
              </w:rPr>
              <w:t>103768,1</w:t>
            </w:r>
          </w:p>
        </w:tc>
      </w:tr>
      <w:tr w:rsidR="00A755CB" w:rsidRPr="00737B66" w:rsidTr="00737B66">
        <w:tc>
          <w:tcPr>
            <w:tcW w:w="714" w:type="dxa"/>
            <w:tcBorders>
              <w:top w:val="single" w:sz="6" w:space="0" w:color="auto"/>
              <w:left w:val="single" w:sz="12" w:space="0" w:color="auto"/>
              <w:bottom w:val="single" w:sz="12" w:space="0" w:color="auto"/>
              <w:right w:val="single" w:sz="12" w:space="0" w:color="auto"/>
            </w:tcBorders>
            <w:vAlign w:val="center"/>
          </w:tcPr>
          <w:p w:rsidR="00A755CB" w:rsidRPr="00737B66" w:rsidRDefault="00A755CB" w:rsidP="00737B66">
            <w:pPr>
              <w:jc w:val="center"/>
              <w:rPr>
                <w:b/>
                <w:sz w:val="16"/>
                <w:szCs w:val="16"/>
              </w:rPr>
            </w:pPr>
            <w:r w:rsidRPr="00737B66">
              <w:rPr>
                <w:b/>
                <w:sz w:val="16"/>
                <w:szCs w:val="16"/>
              </w:rPr>
              <w:t>UK</w:t>
            </w:r>
          </w:p>
        </w:tc>
        <w:tc>
          <w:tcPr>
            <w:tcW w:w="966" w:type="dxa"/>
            <w:tcBorders>
              <w:top w:val="single" w:sz="6" w:space="0" w:color="auto"/>
              <w:left w:val="single" w:sz="12" w:space="0" w:color="auto"/>
              <w:bottom w:val="single" w:sz="12" w:space="0" w:color="auto"/>
              <w:right w:val="single" w:sz="6" w:space="0" w:color="auto"/>
            </w:tcBorders>
            <w:vAlign w:val="center"/>
          </w:tcPr>
          <w:p w:rsidR="00A755CB" w:rsidRPr="00737B66" w:rsidRDefault="00A755CB" w:rsidP="00737B66">
            <w:pPr>
              <w:spacing w:line="360" w:lineRule="auto"/>
              <w:jc w:val="center"/>
              <w:rPr>
                <w:sz w:val="16"/>
                <w:szCs w:val="16"/>
                <w:lang w:val="lt-LT"/>
              </w:rPr>
            </w:pPr>
            <w:r w:rsidRPr="00737B66">
              <w:rPr>
                <w:sz w:val="16"/>
                <w:szCs w:val="16"/>
                <w:lang w:val="lt-LT"/>
              </w:rPr>
              <w:t>32312,2</w:t>
            </w:r>
          </w:p>
        </w:tc>
        <w:tc>
          <w:tcPr>
            <w:tcW w:w="1236" w:type="dxa"/>
            <w:tcBorders>
              <w:top w:val="single" w:sz="6" w:space="0" w:color="auto"/>
              <w:left w:val="single" w:sz="6" w:space="0" w:color="auto"/>
              <w:bottom w:val="single" w:sz="12" w:space="0" w:color="auto"/>
              <w:right w:val="single" w:sz="6" w:space="0" w:color="auto"/>
            </w:tcBorders>
            <w:vAlign w:val="center"/>
          </w:tcPr>
          <w:p w:rsidR="00A755CB" w:rsidRPr="00737B66" w:rsidRDefault="00A755CB" w:rsidP="00737B66">
            <w:pPr>
              <w:spacing w:line="360" w:lineRule="auto"/>
              <w:jc w:val="center"/>
              <w:rPr>
                <w:sz w:val="16"/>
                <w:szCs w:val="16"/>
                <w:lang w:val="lt-LT"/>
              </w:rPr>
            </w:pPr>
            <w:r w:rsidRPr="00737B66">
              <w:rPr>
                <w:sz w:val="16"/>
                <w:szCs w:val="16"/>
                <w:lang w:val="lt-LT"/>
              </w:rPr>
              <w:t>424,2</w:t>
            </w:r>
          </w:p>
        </w:tc>
        <w:tc>
          <w:tcPr>
            <w:tcW w:w="1000" w:type="dxa"/>
            <w:tcBorders>
              <w:top w:val="single" w:sz="6" w:space="0" w:color="auto"/>
              <w:left w:val="single" w:sz="6" w:space="0" w:color="auto"/>
              <w:bottom w:val="single" w:sz="12" w:space="0" w:color="auto"/>
              <w:right w:val="single" w:sz="12" w:space="0" w:color="auto"/>
            </w:tcBorders>
            <w:vAlign w:val="center"/>
          </w:tcPr>
          <w:p w:rsidR="00A755CB" w:rsidRPr="00737B66" w:rsidRDefault="00A755CB" w:rsidP="00737B66">
            <w:pPr>
              <w:spacing w:line="360" w:lineRule="auto"/>
              <w:jc w:val="center"/>
              <w:rPr>
                <w:sz w:val="16"/>
                <w:szCs w:val="16"/>
                <w:lang w:val="lt-LT"/>
              </w:rPr>
            </w:pPr>
          </w:p>
        </w:tc>
        <w:tc>
          <w:tcPr>
            <w:tcW w:w="1308" w:type="dxa"/>
            <w:tcBorders>
              <w:top w:val="single" w:sz="6" w:space="0" w:color="auto"/>
              <w:left w:val="single" w:sz="12" w:space="0" w:color="auto"/>
              <w:bottom w:val="single" w:sz="12" w:space="0" w:color="auto"/>
              <w:right w:val="single" w:sz="12" w:space="0" w:color="auto"/>
            </w:tcBorders>
            <w:vAlign w:val="center"/>
          </w:tcPr>
          <w:p w:rsidR="00A755CB" w:rsidRPr="00737B66" w:rsidRDefault="00A755CB" w:rsidP="00737B66">
            <w:pPr>
              <w:jc w:val="center"/>
              <w:rPr>
                <w:color w:val="000000"/>
                <w:sz w:val="16"/>
                <w:szCs w:val="16"/>
              </w:rPr>
            </w:pPr>
            <w:r w:rsidRPr="00737B66">
              <w:rPr>
                <w:color w:val="000000"/>
                <w:sz w:val="16"/>
                <w:szCs w:val="16"/>
              </w:rPr>
              <w:t>32736,4</w:t>
            </w:r>
          </w:p>
        </w:tc>
        <w:tc>
          <w:tcPr>
            <w:tcW w:w="1523" w:type="dxa"/>
            <w:tcBorders>
              <w:top w:val="single" w:sz="6" w:space="0" w:color="auto"/>
              <w:left w:val="single" w:sz="12" w:space="0" w:color="auto"/>
              <w:bottom w:val="single" w:sz="12" w:space="0" w:color="auto"/>
              <w:right w:val="single" w:sz="12" w:space="0" w:color="auto"/>
            </w:tcBorders>
            <w:vAlign w:val="center"/>
          </w:tcPr>
          <w:p w:rsidR="00A755CB" w:rsidRPr="00737B66" w:rsidRDefault="00A755CB" w:rsidP="00737B66">
            <w:pPr>
              <w:jc w:val="center"/>
              <w:rPr>
                <w:color w:val="000000"/>
                <w:sz w:val="16"/>
                <w:szCs w:val="16"/>
              </w:rPr>
            </w:pPr>
            <w:r w:rsidRPr="00737B66">
              <w:rPr>
                <w:color w:val="000000"/>
                <w:sz w:val="16"/>
                <w:szCs w:val="16"/>
              </w:rPr>
              <w:t>181845,4</w:t>
            </w:r>
          </w:p>
        </w:tc>
        <w:tc>
          <w:tcPr>
            <w:tcW w:w="1541" w:type="dxa"/>
            <w:tcBorders>
              <w:top w:val="single" w:sz="6" w:space="0" w:color="auto"/>
              <w:left w:val="single" w:sz="12" w:space="0" w:color="auto"/>
              <w:bottom w:val="single" w:sz="12" w:space="0" w:color="auto"/>
              <w:right w:val="single" w:sz="12" w:space="0" w:color="auto"/>
            </w:tcBorders>
            <w:vAlign w:val="center"/>
          </w:tcPr>
          <w:p w:rsidR="00A755CB" w:rsidRPr="00737B66" w:rsidRDefault="00A755CB" w:rsidP="00737B66">
            <w:pPr>
              <w:jc w:val="center"/>
              <w:rPr>
                <w:color w:val="000000"/>
                <w:sz w:val="16"/>
                <w:szCs w:val="16"/>
              </w:rPr>
            </w:pPr>
            <w:r w:rsidRPr="00737B66">
              <w:rPr>
                <w:color w:val="000000"/>
                <w:sz w:val="16"/>
                <w:szCs w:val="16"/>
                <w:lang w:val="lt-LT"/>
              </w:rPr>
              <w:t>39493,5</w:t>
            </w:r>
          </w:p>
        </w:tc>
        <w:tc>
          <w:tcPr>
            <w:tcW w:w="1468" w:type="dxa"/>
            <w:tcBorders>
              <w:top w:val="single" w:sz="6" w:space="0" w:color="auto"/>
              <w:left w:val="single" w:sz="12" w:space="0" w:color="auto"/>
              <w:bottom w:val="single" w:sz="12" w:space="0" w:color="auto"/>
              <w:right w:val="single" w:sz="12" w:space="0" w:color="auto"/>
            </w:tcBorders>
            <w:vAlign w:val="center"/>
          </w:tcPr>
          <w:p w:rsidR="00A755CB" w:rsidRPr="00737B66" w:rsidRDefault="00A755CB" w:rsidP="00737B66">
            <w:pPr>
              <w:spacing w:line="360" w:lineRule="auto"/>
              <w:jc w:val="center"/>
              <w:rPr>
                <w:sz w:val="16"/>
                <w:szCs w:val="16"/>
                <w:lang w:val="lt-LT"/>
              </w:rPr>
            </w:pPr>
            <w:r w:rsidRPr="00737B66">
              <w:rPr>
                <w:sz w:val="16"/>
                <w:szCs w:val="16"/>
                <w:lang w:val="lt-LT"/>
              </w:rPr>
              <w:t>254075,3</w:t>
            </w:r>
          </w:p>
        </w:tc>
      </w:tr>
    </w:tbl>
    <w:bookmarkEnd w:id="107"/>
    <w:p w:rsidR="00EE4556" w:rsidRDefault="00737B66" w:rsidP="007C3B56">
      <w:pPr>
        <w:spacing w:line="360" w:lineRule="auto"/>
        <w:rPr>
          <w:sz w:val="20"/>
          <w:szCs w:val="20"/>
          <w:lang w:val="lt-LT"/>
        </w:rPr>
      </w:pPr>
      <w:r w:rsidRPr="005A3A2B">
        <w:rPr>
          <w:b/>
          <w:sz w:val="20"/>
          <w:szCs w:val="20"/>
          <w:lang w:val="lt-LT"/>
        </w:rPr>
        <w:t>Šaltinis:</w:t>
      </w:r>
      <w:r>
        <w:rPr>
          <w:sz w:val="20"/>
          <w:szCs w:val="20"/>
          <w:lang w:val="lt-LT"/>
        </w:rPr>
        <w:t xml:space="preserve"> Eurostat duomenys</w:t>
      </w:r>
    </w:p>
    <w:p w:rsidR="00EE4556" w:rsidRDefault="00EE4556" w:rsidP="007C3B56">
      <w:pPr>
        <w:spacing w:line="360" w:lineRule="auto"/>
        <w:rPr>
          <w:sz w:val="20"/>
          <w:szCs w:val="20"/>
          <w:lang w:val="lt-LT"/>
        </w:rPr>
      </w:pPr>
    </w:p>
    <w:p w:rsidR="00EE4556" w:rsidRDefault="00EE4556" w:rsidP="007C3B56">
      <w:pPr>
        <w:spacing w:line="360" w:lineRule="auto"/>
        <w:rPr>
          <w:sz w:val="20"/>
          <w:szCs w:val="20"/>
          <w:lang w:val="lt-LT"/>
        </w:rPr>
      </w:pPr>
    </w:p>
    <w:p w:rsidR="00EE4556" w:rsidRDefault="00EE4556" w:rsidP="007C3B56">
      <w:pPr>
        <w:spacing w:line="360" w:lineRule="auto"/>
        <w:rPr>
          <w:sz w:val="20"/>
          <w:szCs w:val="20"/>
          <w:lang w:val="lt-LT"/>
        </w:rPr>
      </w:pPr>
    </w:p>
    <w:p w:rsidR="00737B66" w:rsidRDefault="00737B66" w:rsidP="007C3B56">
      <w:pPr>
        <w:spacing w:line="360" w:lineRule="auto"/>
        <w:rPr>
          <w:sz w:val="20"/>
          <w:szCs w:val="20"/>
          <w:lang w:val="lt-LT"/>
        </w:rPr>
      </w:pPr>
    </w:p>
    <w:p w:rsidR="00737B66" w:rsidRDefault="00737B66" w:rsidP="007C3B56">
      <w:pPr>
        <w:spacing w:line="360" w:lineRule="auto"/>
        <w:rPr>
          <w:sz w:val="20"/>
          <w:szCs w:val="20"/>
          <w:lang w:val="lt-LT"/>
        </w:rPr>
      </w:pPr>
    </w:p>
    <w:p w:rsidR="00EE4556" w:rsidRDefault="00EE4556" w:rsidP="007C3B56">
      <w:pPr>
        <w:spacing w:line="360" w:lineRule="auto"/>
        <w:rPr>
          <w:sz w:val="20"/>
          <w:szCs w:val="20"/>
          <w:lang w:val="lt-LT"/>
        </w:rPr>
      </w:pPr>
    </w:p>
    <w:p w:rsidR="00737B66" w:rsidRDefault="00737B66" w:rsidP="007C3B56">
      <w:pPr>
        <w:spacing w:line="360" w:lineRule="auto"/>
        <w:rPr>
          <w:sz w:val="20"/>
          <w:szCs w:val="20"/>
          <w:lang w:val="lt-LT"/>
        </w:rPr>
      </w:pPr>
    </w:p>
    <w:p w:rsidR="00737B66" w:rsidRPr="00737B66" w:rsidRDefault="00737B66" w:rsidP="00737B66">
      <w:pPr>
        <w:spacing w:line="360" w:lineRule="auto"/>
        <w:jc w:val="right"/>
        <w:rPr>
          <w:b/>
          <w:szCs w:val="20"/>
        </w:rPr>
      </w:pPr>
      <w:r w:rsidRPr="00737B66">
        <w:rPr>
          <w:b/>
          <w:szCs w:val="20"/>
        </w:rPr>
        <w:lastRenderedPageBreak/>
        <w:t>8 PRIEDAS</w:t>
      </w:r>
    </w:p>
    <w:p w:rsidR="005E2C30" w:rsidRPr="005E2C30" w:rsidRDefault="00737B66" w:rsidP="00C62571">
      <w:pPr>
        <w:pStyle w:val="Heading4"/>
        <w:rPr>
          <w:lang w:val="lt-LT"/>
        </w:rPr>
      </w:pPr>
      <w:bookmarkStart w:id="108" w:name="_Toc385241722"/>
      <w:bookmarkStart w:id="109" w:name="_Toc385241843"/>
      <w:r>
        <w:rPr>
          <w:lang w:val="lt-LT"/>
        </w:rPr>
        <w:t>ES</w:t>
      </w:r>
      <w:r w:rsidR="005E2C30" w:rsidRPr="005E2C30">
        <w:rPr>
          <w:lang w:val="lt-LT"/>
        </w:rPr>
        <w:t xml:space="preserve"> IR LIETUVOS BIUDŽETŲ IŠLAIDŲ PASKIRSTYMAS PAGAL VALSTYBĖS FUNKCIJAS, PROC.</w:t>
      </w:r>
      <w:bookmarkEnd w:id="108"/>
      <w:bookmarkEnd w:id="10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1134"/>
        <w:gridCol w:w="1276"/>
        <w:gridCol w:w="1276"/>
        <w:gridCol w:w="1417"/>
      </w:tblGrid>
      <w:tr w:rsidR="00880BC7" w:rsidRPr="00F4778B" w:rsidTr="0073127B">
        <w:trPr>
          <w:trHeight w:val="510"/>
        </w:trPr>
        <w:tc>
          <w:tcPr>
            <w:tcW w:w="1951" w:type="dxa"/>
            <w:tcBorders>
              <w:top w:val="single" w:sz="12" w:space="0" w:color="auto"/>
              <w:left w:val="single" w:sz="12" w:space="0" w:color="auto"/>
              <w:bottom w:val="single" w:sz="12" w:space="0" w:color="auto"/>
              <w:right w:val="single" w:sz="12" w:space="0" w:color="auto"/>
            </w:tcBorders>
            <w:shd w:val="clear" w:color="auto" w:fill="auto"/>
            <w:vAlign w:val="center"/>
          </w:tcPr>
          <w:p w:rsidR="00F27113" w:rsidRPr="0073127B" w:rsidRDefault="00871D36" w:rsidP="0073127B">
            <w:pPr>
              <w:spacing w:line="360" w:lineRule="auto"/>
              <w:jc w:val="center"/>
              <w:rPr>
                <w:b/>
                <w:sz w:val="18"/>
                <w:szCs w:val="20"/>
                <w:lang w:val="lt-LT"/>
              </w:rPr>
            </w:pPr>
            <w:r w:rsidRPr="0073127B">
              <w:rPr>
                <w:b/>
                <w:sz w:val="18"/>
                <w:szCs w:val="20"/>
                <w:lang w:val="lt-LT"/>
              </w:rPr>
              <w:t>Valstybės funkcijos</w:t>
            </w:r>
            <w:r w:rsidR="00E90491" w:rsidRPr="0073127B">
              <w:rPr>
                <w:b/>
                <w:sz w:val="18"/>
                <w:szCs w:val="20"/>
                <w:lang w:val="lt-LT"/>
              </w:rPr>
              <w:t xml:space="preserve"> pagal COFOG</w:t>
            </w:r>
          </w:p>
        </w:tc>
        <w:tc>
          <w:tcPr>
            <w:tcW w:w="1134" w:type="dxa"/>
            <w:tcBorders>
              <w:top w:val="single" w:sz="12" w:space="0" w:color="auto"/>
              <w:left w:val="single" w:sz="12" w:space="0" w:color="auto"/>
              <w:bottom w:val="single" w:sz="12" w:space="0" w:color="auto"/>
              <w:right w:val="single" w:sz="6" w:space="0" w:color="auto"/>
            </w:tcBorders>
            <w:shd w:val="clear" w:color="auto" w:fill="auto"/>
            <w:vAlign w:val="center"/>
          </w:tcPr>
          <w:p w:rsidR="00F27113" w:rsidRPr="0073127B" w:rsidRDefault="00F27113" w:rsidP="0073127B">
            <w:pPr>
              <w:spacing w:line="360" w:lineRule="auto"/>
              <w:jc w:val="center"/>
              <w:rPr>
                <w:b/>
                <w:sz w:val="18"/>
                <w:szCs w:val="20"/>
              </w:rPr>
            </w:pPr>
            <w:r w:rsidRPr="0073127B">
              <w:rPr>
                <w:b/>
                <w:sz w:val="18"/>
                <w:szCs w:val="20"/>
                <w:lang w:val="lt-LT"/>
              </w:rPr>
              <w:t>EU</w:t>
            </w:r>
            <w:r w:rsidRPr="0073127B">
              <w:rPr>
                <w:b/>
                <w:sz w:val="18"/>
                <w:szCs w:val="20"/>
              </w:rPr>
              <w:t>27</w:t>
            </w:r>
          </w:p>
        </w:tc>
        <w:tc>
          <w:tcPr>
            <w:tcW w:w="1276" w:type="dxa"/>
            <w:tcBorders>
              <w:top w:val="single" w:sz="12" w:space="0" w:color="auto"/>
              <w:left w:val="single" w:sz="6" w:space="0" w:color="auto"/>
              <w:bottom w:val="single" w:sz="12" w:space="0" w:color="auto"/>
              <w:right w:val="single" w:sz="6" w:space="0" w:color="auto"/>
            </w:tcBorders>
            <w:shd w:val="clear" w:color="auto" w:fill="auto"/>
            <w:vAlign w:val="center"/>
          </w:tcPr>
          <w:p w:rsidR="00F27113" w:rsidRPr="0073127B" w:rsidRDefault="00F27113" w:rsidP="0073127B">
            <w:pPr>
              <w:spacing w:line="360" w:lineRule="auto"/>
              <w:jc w:val="center"/>
              <w:rPr>
                <w:b/>
                <w:sz w:val="18"/>
                <w:szCs w:val="20"/>
                <w:lang w:val="lt-LT"/>
              </w:rPr>
            </w:pPr>
            <w:r w:rsidRPr="0073127B">
              <w:rPr>
                <w:b/>
                <w:sz w:val="18"/>
                <w:szCs w:val="20"/>
                <w:lang w:val="lt-LT"/>
              </w:rPr>
              <w:t>Lietuva</w:t>
            </w:r>
          </w:p>
        </w:tc>
        <w:tc>
          <w:tcPr>
            <w:tcW w:w="1276" w:type="dxa"/>
            <w:tcBorders>
              <w:top w:val="single" w:sz="12" w:space="0" w:color="auto"/>
              <w:left w:val="single" w:sz="6" w:space="0" w:color="auto"/>
              <w:bottom w:val="single" w:sz="12" w:space="0" w:color="auto"/>
              <w:right w:val="single" w:sz="6" w:space="0" w:color="auto"/>
            </w:tcBorders>
            <w:shd w:val="clear" w:color="auto" w:fill="auto"/>
            <w:vAlign w:val="center"/>
          </w:tcPr>
          <w:p w:rsidR="00F27113" w:rsidRPr="0073127B" w:rsidRDefault="00871D36" w:rsidP="0073127B">
            <w:pPr>
              <w:spacing w:line="360" w:lineRule="auto"/>
              <w:jc w:val="center"/>
              <w:rPr>
                <w:b/>
                <w:sz w:val="18"/>
                <w:szCs w:val="20"/>
                <w:lang w:val="lt-LT"/>
              </w:rPr>
            </w:pPr>
            <w:r w:rsidRPr="0073127B">
              <w:rPr>
                <w:b/>
                <w:sz w:val="18"/>
                <w:szCs w:val="20"/>
                <w:lang w:val="lt-LT"/>
              </w:rPr>
              <w:t>EU27 regioninė+vietinė valdžia</w:t>
            </w:r>
          </w:p>
        </w:tc>
        <w:tc>
          <w:tcPr>
            <w:tcW w:w="1417" w:type="dxa"/>
            <w:tcBorders>
              <w:top w:val="single" w:sz="12" w:space="0" w:color="auto"/>
              <w:left w:val="single" w:sz="6" w:space="0" w:color="auto"/>
              <w:bottom w:val="single" w:sz="12" w:space="0" w:color="auto"/>
              <w:right w:val="single" w:sz="12" w:space="0" w:color="auto"/>
            </w:tcBorders>
            <w:shd w:val="clear" w:color="auto" w:fill="auto"/>
            <w:vAlign w:val="center"/>
          </w:tcPr>
          <w:p w:rsidR="00F27113" w:rsidRPr="0073127B" w:rsidRDefault="00871D36" w:rsidP="0073127B">
            <w:pPr>
              <w:spacing w:line="360" w:lineRule="auto"/>
              <w:jc w:val="center"/>
              <w:rPr>
                <w:b/>
                <w:sz w:val="18"/>
                <w:szCs w:val="20"/>
                <w:lang w:val="lt-LT"/>
              </w:rPr>
            </w:pPr>
            <w:r w:rsidRPr="0073127B">
              <w:rPr>
                <w:b/>
                <w:sz w:val="18"/>
                <w:szCs w:val="20"/>
                <w:lang w:val="lt-LT"/>
              </w:rPr>
              <w:t>Lietuvos vietinė valdžia</w:t>
            </w:r>
          </w:p>
        </w:tc>
      </w:tr>
      <w:tr w:rsidR="00880BC7" w:rsidRPr="00F4778B" w:rsidTr="0073127B">
        <w:trPr>
          <w:trHeight w:val="510"/>
        </w:trPr>
        <w:tc>
          <w:tcPr>
            <w:tcW w:w="1951" w:type="dxa"/>
            <w:tcBorders>
              <w:top w:val="single" w:sz="12" w:space="0" w:color="auto"/>
              <w:left w:val="single" w:sz="12" w:space="0" w:color="auto"/>
              <w:bottom w:val="single" w:sz="6" w:space="0" w:color="auto"/>
              <w:right w:val="single" w:sz="12" w:space="0" w:color="auto"/>
            </w:tcBorders>
            <w:shd w:val="clear" w:color="auto" w:fill="auto"/>
            <w:vAlign w:val="center"/>
          </w:tcPr>
          <w:p w:rsidR="00F27113" w:rsidRPr="0073127B" w:rsidRDefault="00871D36" w:rsidP="0073127B">
            <w:pPr>
              <w:spacing w:line="360" w:lineRule="auto"/>
              <w:jc w:val="center"/>
              <w:rPr>
                <w:sz w:val="18"/>
                <w:szCs w:val="20"/>
                <w:lang w:val="lt-LT"/>
              </w:rPr>
            </w:pPr>
            <w:r w:rsidRPr="0073127B">
              <w:rPr>
                <w:sz w:val="18"/>
                <w:szCs w:val="20"/>
                <w:lang w:val="lt-LT"/>
              </w:rPr>
              <w:t>Bendros valstybės paslaugos</w:t>
            </w:r>
          </w:p>
        </w:tc>
        <w:tc>
          <w:tcPr>
            <w:tcW w:w="1134" w:type="dxa"/>
            <w:tcBorders>
              <w:top w:val="single" w:sz="12" w:space="0" w:color="auto"/>
              <w:left w:val="single" w:sz="12" w:space="0" w:color="auto"/>
              <w:bottom w:val="single" w:sz="6" w:space="0" w:color="auto"/>
              <w:right w:val="single" w:sz="6" w:space="0" w:color="auto"/>
            </w:tcBorders>
            <w:shd w:val="clear" w:color="auto" w:fill="auto"/>
            <w:vAlign w:val="center"/>
          </w:tcPr>
          <w:p w:rsidR="00F27113" w:rsidRPr="0073127B" w:rsidRDefault="00CB1B1F" w:rsidP="0073127B">
            <w:pPr>
              <w:spacing w:line="360" w:lineRule="auto"/>
              <w:jc w:val="center"/>
              <w:rPr>
                <w:sz w:val="18"/>
                <w:szCs w:val="20"/>
              </w:rPr>
            </w:pPr>
            <w:r w:rsidRPr="0073127B">
              <w:rPr>
                <w:sz w:val="18"/>
                <w:szCs w:val="20"/>
              </w:rPr>
              <w:t>4,5</w:t>
            </w:r>
          </w:p>
        </w:tc>
        <w:tc>
          <w:tcPr>
            <w:tcW w:w="1276" w:type="dxa"/>
            <w:tcBorders>
              <w:top w:val="single" w:sz="12" w:space="0" w:color="auto"/>
              <w:left w:val="single" w:sz="6" w:space="0" w:color="auto"/>
              <w:bottom w:val="single" w:sz="6" w:space="0" w:color="auto"/>
              <w:right w:val="single" w:sz="6" w:space="0" w:color="auto"/>
            </w:tcBorders>
            <w:shd w:val="clear" w:color="auto" w:fill="auto"/>
            <w:vAlign w:val="center"/>
          </w:tcPr>
          <w:p w:rsidR="00F27113" w:rsidRPr="0073127B" w:rsidRDefault="00CB1B1F" w:rsidP="0073127B">
            <w:pPr>
              <w:spacing w:line="360" w:lineRule="auto"/>
              <w:jc w:val="center"/>
              <w:rPr>
                <w:sz w:val="18"/>
                <w:szCs w:val="20"/>
                <w:lang w:val="lt-LT"/>
              </w:rPr>
            </w:pPr>
            <w:r w:rsidRPr="0073127B">
              <w:rPr>
                <w:sz w:val="18"/>
                <w:szCs w:val="20"/>
                <w:lang w:val="lt-LT"/>
              </w:rPr>
              <w:t>6,6</w:t>
            </w:r>
          </w:p>
        </w:tc>
        <w:tc>
          <w:tcPr>
            <w:tcW w:w="1276" w:type="dxa"/>
            <w:tcBorders>
              <w:top w:val="single" w:sz="12" w:space="0" w:color="auto"/>
              <w:left w:val="single" w:sz="6" w:space="0" w:color="auto"/>
              <w:bottom w:val="single" w:sz="6" w:space="0" w:color="auto"/>
              <w:right w:val="single" w:sz="6" w:space="0" w:color="auto"/>
            </w:tcBorders>
            <w:shd w:val="clear" w:color="auto" w:fill="auto"/>
            <w:vAlign w:val="center"/>
          </w:tcPr>
          <w:p w:rsidR="00F27113" w:rsidRPr="0073127B" w:rsidRDefault="00CB1B1F" w:rsidP="0073127B">
            <w:pPr>
              <w:spacing w:line="360" w:lineRule="auto"/>
              <w:jc w:val="center"/>
              <w:rPr>
                <w:sz w:val="18"/>
                <w:szCs w:val="20"/>
                <w:lang w:val="lt-LT"/>
              </w:rPr>
            </w:pPr>
            <w:r w:rsidRPr="0073127B">
              <w:rPr>
                <w:sz w:val="18"/>
                <w:szCs w:val="20"/>
                <w:lang w:val="lt-LT"/>
              </w:rPr>
              <w:t>2,7</w:t>
            </w:r>
          </w:p>
        </w:tc>
        <w:tc>
          <w:tcPr>
            <w:tcW w:w="1417" w:type="dxa"/>
            <w:tcBorders>
              <w:top w:val="single" w:sz="12" w:space="0" w:color="auto"/>
              <w:left w:val="single" w:sz="6" w:space="0" w:color="auto"/>
              <w:bottom w:val="single" w:sz="6" w:space="0" w:color="auto"/>
              <w:right w:val="single" w:sz="12" w:space="0" w:color="auto"/>
            </w:tcBorders>
            <w:shd w:val="clear" w:color="auto" w:fill="auto"/>
            <w:vAlign w:val="center"/>
          </w:tcPr>
          <w:p w:rsidR="00F27113" w:rsidRPr="0073127B" w:rsidRDefault="00CB1B1F" w:rsidP="0073127B">
            <w:pPr>
              <w:spacing w:line="360" w:lineRule="auto"/>
              <w:jc w:val="center"/>
              <w:rPr>
                <w:sz w:val="18"/>
                <w:szCs w:val="20"/>
                <w:lang w:val="lt-LT"/>
              </w:rPr>
            </w:pPr>
            <w:r w:rsidRPr="0073127B">
              <w:rPr>
                <w:sz w:val="18"/>
                <w:szCs w:val="20"/>
                <w:lang w:val="lt-LT"/>
              </w:rPr>
              <w:t>0,6</w:t>
            </w:r>
          </w:p>
        </w:tc>
      </w:tr>
      <w:tr w:rsidR="00880BC7" w:rsidRPr="00F4778B" w:rsidTr="0073127B">
        <w:trPr>
          <w:trHeight w:val="510"/>
        </w:trPr>
        <w:tc>
          <w:tcPr>
            <w:tcW w:w="1951" w:type="dxa"/>
            <w:tcBorders>
              <w:top w:val="single" w:sz="6" w:space="0" w:color="auto"/>
              <w:left w:val="single" w:sz="12" w:space="0" w:color="auto"/>
              <w:bottom w:val="single" w:sz="6" w:space="0" w:color="auto"/>
              <w:right w:val="single" w:sz="12" w:space="0" w:color="auto"/>
            </w:tcBorders>
            <w:shd w:val="clear" w:color="auto" w:fill="auto"/>
            <w:vAlign w:val="center"/>
          </w:tcPr>
          <w:p w:rsidR="00F27113" w:rsidRPr="0073127B" w:rsidRDefault="00871D36" w:rsidP="0073127B">
            <w:pPr>
              <w:spacing w:line="360" w:lineRule="auto"/>
              <w:jc w:val="center"/>
              <w:rPr>
                <w:sz w:val="18"/>
                <w:szCs w:val="20"/>
                <w:lang w:val="lt-LT"/>
              </w:rPr>
            </w:pPr>
            <w:r w:rsidRPr="0073127B">
              <w:rPr>
                <w:sz w:val="18"/>
                <w:szCs w:val="20"/>
                <w:lang w:val="lt-LT"/>
              </w:rPr>
              <w:t>Gynyba</w:t>
            </w:r>
          </w:p>
        </w:tc>
        <w:tc>
          <w:tcPr>
            <w:tcW w:w="1134" w:type="dxa"/>
            <w:tcBorders>
              <w:top w:val="single" w:sz="6" w:space="0" w:color="auto"/>
              <w:left w:val="single" w:sz="12" w:space="0" w:color="auto"/>
              <w:bottom w:val="single" w:sz="6" w:space="0" w:color="auto"/>
              <w:right w:val="single" w:sz="6" w:space="0" w:color="auto"/>
            </w:tcBorders>
            <w:shd w:val="clear" w:color="auto" w:fill="auto"/>
            <w:vAlign w:val="center"/>
          </w:tcPr>
          <w:p w:rsidR="00F27113" w:rsidRPr="0073127B" w:rsidRDefault="00CB1B1F" w:rsidP="0073127B">
            <w:pPr>
              <w:spacing w:line="360" w:lineRule="auto"/>
              <w:jc w:val="center"/>
              <w:rPr>
                <w:sz w:val="18"/>
                <w:szCs w:val="20"/>
                <w:lang w:val="lt-LT"/>
              </w:rPr>
            </w:pPr>
            <w:r w:rsidRPr="0073127B">
              <w:rPr>
                <w:sz w:val="18"/>
                <w:szCs w:val="20"/>
                <w:lang w:val="lt-LT"/>
              </w:rPr>
              <w:t>1,5</w:t>
            </w:r>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tcPr>
          <w:p w:rsidR="00F27113" w:rsidRPr="0073127B" w:rsidRDefault="00CB1B1F" w:rsidP="0073127B">
            <w:pPr>
              <w:spacing w:line="360" w:lineRule="auto"/>
              <w:jc w:val="center"/>
              <w:rPr>
                <w:sz w:val="18"/>
                <w:szCs w:val="20"/>
                <w:lang w:val="lt-LT"/>
              </w:rPr>
            </w:pPr>
            <w:r w:rsidRPr="0073127B">
              <w:rPr>
                <w:sz w:val="18"/>
                <w:szCs w:val="20"/>
                <w:lang w:val="lt-LT"/>
              </w:rPr>
              <w:t>1,1</w:t>
            </w:r>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tcPr>
          <w:p w:rsidR="00F27113" w:rsidRPr="0073127B" w:rsidRDefault="00CB1B1F" w:rsidP="0073127B">
            <w:pPr>
              <w:spacing w:line="360" w:lineRule="auto"/>
              <w:jc w:val="center"/>
              <w:rPr>
                <w:sz w:val="18"/>
                <w:szCs w:val="20"/>
                <w:lang w:val="lt-LT"/>
              </w:rPr>
            </w:pPr>
            <w:r w:rsidRPr="0073127B">
              <w:rPr>
                <w:sz w:val="18"/>
                <w:szCs w:val="20"/>
                <w:lang w:val="lt-LT"/>
              </w:rPr>
              <w:t>0</w:t>
            </w:r>
          </w:p>
        </w:tc>
        <w:tc>
          <w:tcPr>
            <w:tcW w:w="1417" w:type="dxa"/>
            <w:tcBorders>
              <w:top w:val="single" w:sz="6" w:space="0" w:color="auto"/>
              <w:left w:val="single" w:sz="6" w:space="0" w:color="auto"/>
              <w:bottom w:val="single" w:sz="6" w:space="0" w:color="auto"/>
              <w:right w:val="single" w:sz="12" w:space="0" w:color="auto"/>
            </w:tcBorders>
            <w:shd w:val="clear" w:color="auto" w:fill="auto"/>
            <w:vAlign w:val="center"/>
          </w:tcPr>
          <w:p w:rsidR="00F27113" w:rsidRPr="0073127B" w:rsidRDefault="00CB1B1F" w:rsidP="0073127B">
            <w:pPr>
              <w:spacing w:line="360" w:lineRule="auto"/>
              <w:jc w:val="center"/>
              <w:rPr>
                <w:sz w:val="18"/>
                <w:szCs w:val="20"/>
                <w:lang w:val="lt-LT"/>
              </w:rPr>
            </w:pPr>
            <w:r w:rsidRPr="0073127B">
              <w:rPr>
                <w:sz w:val="18"/>
                <w:szCs w:val="20"/>
                <w:lang w:val="lt-LT"/>
              </w:rPr>
              <w:t>0</w:t>
            </w:r>
          </w:p>
        </w:tc>
      </w:tr>
      <w:tr w:rsidR="00880BC7" w:rsidRPr="00F4778B" w:rsidTr="0073127B">
        <w:trPr>
          <w:trHeight w:val="510"/>
        </w:trPr>
        <w:tc>
          <w:tcPr>
            <w:tcW w:w="1951" w:type="dxa"/>
            <w:tcBorders>
              <w:top w:val="single" w:sz="6" w:space="0" w:color="auto"/>
              <w:left w:val="single" w:sz="12" w:space="0" w:color="auto"/>
              <w:bottom w:val="single" w:sz="6" w:space="0" w:color="auto"/>
              <w:right w:val="single" w:sz="12" w:space="0" w:color="auto"/>
            </w:tcBorders>
            <w:shd w:val="clear" w:color="auto" w:fill="auto"/>
            <w:vAlign w:val="center"/>
          </w:tcPr>
          <w:p w:rsidR="00F27113" w:rsidRPr="0073127B" w:rsidRDefault="00871D36" w:rsidP="0073127B">
            <w:pPr>
              <w:spacing w:line="360" w:lineRule="auto"/>
              <w:jc w:val="center"/>
              <w:rPr>
                <w:sz w:val="18"/>
                <w:szCs w:val="20"/>
                <w:lang w:val="lt-LT"/>
              </w:rPr>
            </w:pPr>
            <w:r w:rsidRPr="0073127B">
              <w:rPr>
                <w:sz w:val="18"/>
                <w:szCs w:val="20"/>
                <w:lang w:val="lt-LT"/>
              </w:rPr>
              <w:t>Viešoji tvarka ir visuomenės apsauga</w:t>
            </w:r>
          </w:p>
        </w:tc>
        <w:tc>
          <w:tcPr>
            <w:tcW w:w="1134" w:type="dxa"/>
            <w:tcBorders>
              <w:top w:val="single" w:sz="6" w:space="0" w:color="auto"/>
              <w:left w:val="single" w:sz="12" w:space="0" w:color="auto"/>
              <w:bottom w:val="single" w:sz="6" w:space="0" w:color="auto"/>
              <w:right w:val="single" w:sz="6" w:space="0" w:color="auto"/>
            </w:tcBorders>
            <w:shd w:val="clear" w:color="auto" w:fill="auto"/>
            <w:vAlign w:val="center"/>
          </w:tcPr>
          <w:p w:rsidR="00F27113" w:rsidRPr="0073127B" w:rsidRDefault="00CB1B1F" w:rsidP="0073127B">
            <w:pPr>
              <w:spacing w:line="360" w:lineRule="auto"/>
              <w:jc w:val="center"/>
              <w:rPr>
                <w:sz w:val="18"/>
                <w:szCs w:val="20"/>
                <w:lang w:val="lt-LT"/>
              </w:rPr>
            </w:pPr>
            <w:r w:rsidRPr="0073127B">
              <w:rPr>
                <w:sz w:val="18"/>
                <w:szCs w:val="20"/>
                <w:lang w:val="lt-LT"/>
              </w:rPr>
              <w:t>1,9</w:t>
            </w:r>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tcPr>
          <w:p w:rsidR="00F27113" w:rsidRPr="0073127B" w:rsidRDefault="00CB1B1F" w:rsidP="0073127B">
            <w:pPr>
              <w:spacing w:line="360" w:lineRule="auto"/>
              <w:jc w:val="center"/>
              <w:rPr>
                <w:sz w:val="18"/>
                <w:szCs w:val="20"/>
                <w:lang w:val="lt-LT"/>
              </w:rPr>
            </w:pPr>
            <w:r w:rsidRPr="0073127B">
              <w:rPr>
                <w:sz w:val="18"/>
                <w:szCs w:val="20"/>
                <w:lang w:val="lt-LT"/>
              </w:rPr>
              <w:t>1,9</w:t>
            </w:r>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tcPr>
          <w:p w:rsidR="00F27113" w:rsidRPr="0073127B" w:rsidRDefault="00CB1B1F" w:rsidP="0073127B">
            <w:pPr>
              <w:spacing w:line="360" w:lineRule="auto"/>
              <w:jc w:val="center"/>
              <w:rPr>
                <w:sz w:val="18"/>
                <w:szCs w:val="20"/>
                <w:lang w:val="lt-LT"/>
              </w:rPr>
            </w:pPr>
            <w:r w:rsidRPr="0073127B">
              <w:rPr>
                <w:sz w:val="18"/>
                <w:szCs w:val="20"/>
                <w:lang w:val="lt-LT"/>
              </w:rPr>
              <w:t>0,8</w:t>
            </w:r>
          </w:p>
        </w:tc>
        <w:tc>
          <w:tcPr>
            <w:tcW w:w="1417" w:type="dxa"/>
            <w:tcBorders>
              <w:top w:val="single" w:sz="6" w:space="0" w:color="auto"/>
              <w:left w:val="single" w:sz="6" w:space="0" w:color="auto"/>
              <w:bottom w:val="single" w:sz="6" w:space="0" w:color="auto"/>
              <w:right w:val="single" w:sz="12" w:space="0" w:color="auto"/>
            </w:tcBorders>
            <w:shd w:val="clear" w:color="auto" w:fill="auto"/>
            <w:vAlign w:val="center"/>
          </w:tcPr>
          <w:p w:rsidR="00F27113" w:rsidRPr="0073127B" w:rsidRDefault="00CB1B1F" w:rsidP="0073127B">
            <w:pPr>
              <w:spacing w:line="360" w:lineRule="auto"/>
              <w:jc w:val="center"/>
              <w:rPr>
                <w:sz w:val="18"/>
                <w:szCs w:val="20"/>
                <w:lang w:val="lt-LT"/>
              </w:rPr>
            </w:pPr>
            <w:r w:rsidRPr="0073127B">
              <w:rPr>
                <w:sz w:val="18"/>
                <w:szCs w:val="20"/>
                <w:lang w:val="lt-LT"/>
              </w:rPr>
              <w:t>0,3</w:t>
            </w:r>
          </w:p>
        </w:tc>
      </w:tr>
      <w:tr w:rsidR="00880BC7" w:rsidRPr="00F4778B" w:rsidTr="0073127B">
        <w:trPr>
          <w:trHeight w:val="510"/>
        </w:trPr>
        <w:tc>
          <w:tcPr>
            <w:tcW w:w="1951" w:type="dxa"/>
            <w:tcBorders>
              <w:top w:val="single" w:sz="6" w:space="0" w:color="auto"/>
              <w:left w:val="single" w:sz="12" w:space="0" w:color="auto"/>
              <w:bottom w:val="single" w:sz="6" w:space="0" w:color="auto"/>
              <w:right w:val="single" w:sz="12" w:space="0" w:color="auto"/>
            </w:tcBorders>
            <w:shd w:val="clear" w:color="auto" w:fill="auto"/>
            <w:vAlign w:val="center"/>
          </w:tcPr>
          <w:p w:rsidR="00F27113" w:rsidRPr="0073127B" w:rsidRDefault="00871D36" w:rsidP="0073127B">
            <w:pPr>
              <w:spacing w:line="360" w:lineRule="auto"/>
              <w:jc w:val="center"/>
              <w:rPr>
                <w:sz w:val="18"/>
                <w:szCs w:val="20"/>
                <w:lang w:val="lt-LT"/>
              </w:rPr>
            </w:pPr>
            <w:r w:rsidRPr="0073127B">
              <w:rPr>
                <w:sz w:val="18"/>
                <w:szCs w:val="20"/>
                <w:lang w:val="lt-LT"/>
              </w:rPr>
              <w:t>Ekonomika</w:t>
            </w:r>
          </w:p>
        </w:tc>
        <w:tc>
          <w:tcPr>
            <w:tcW w:w="1134" w:type="dxa"/>
            <w:tcBorders>
              <w:top w:val="single" w:sz="6" w:space="0" w:color="auto"/>
              <w:left w:val="single" w:sz="12" w:space="0" w:color="auto"/>
              <w:bottom w:val="single" w:sz="6" w:space="0" w:color="auto"/>
              <w:right w:val="single" w:sz="6" w:space="0" w:color="auto"/>
            </w:tcBorders>
            <w:shd w:val="clear" w:color="auto" w:fill="auto"/>
            <w:vAlign w:val="center"/>
          </w:tcPr>
          <w:p w:rsidR="00F27113" w:rsidRPr="0073127B" w:rsidRDefault="00CB1B1F" w:rsidP="0073127B">
            <w:pPr>
              <w:spacing w:line="360" w:lineRule="auto"/>
              <w:jc w:val="center"/>
              <w:rPr>
                <w:sz w:val="18"/>
                <w:szCs w:val="20"/>
                <w:lang w:val="lt-LT"/>
              </w:rPr>
            </w:pPr>
            <w:r w:rsidRPr="0073127B">
              <w:rPr>
                <w:sz w:val="18"/>
                <w:szCs w:val="20"/>
                <w:lang w:val="lt-LT"/>
              </w:rPr>
              <w:t>4</w:t>
            </w:r>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tcPr>
          <w:p w:rsidR="00F27113" w:rsidRPr="0073127B" w:rsidRDefault="00CB1B1F" w:rsidP="0073127B">
            <w:pPr>
              <w:spacing w:line="360" w:lineRule="auto"/>
              <w:jc w:val="center"/>
              <w:rPr>
                <w:sz w:val="18"/>
                <w:szCs w:val="20"/>
                <w:lang w:val="lt-LT"/>
              </w:rPr>
            </w:pPr>
            <w:r w:rsidRPr="0073127B">
              <w:rPr>
                <w:sz w:val="18"/>
                <w:szCs w:val="20"/>
                <w:lang w:val="lt-LT"/>
              </w:rPr>
              <w:t>4</w:t>
            </w:r>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tcPr>
          <w:p w:rsidR="00F27113" w:rsidRPr="0073127B" w:rsidRDefault="00CB1B1F" w:rsidP="0073127B">
            <w:pPr>
              <w:spacing w:line="360" w:lineRule="auto"/>
              <w:jc w:val="center"/>
              <w:rPr>
                <w:sz w:val="18"/>
                <w:szCs w:val="20"/>
                <w:lang w:val="lt-LT"/>
              </w:rPr>
            </w:pPr>
            <w:r w:rsidRPr="0073127B">
              <w:rPr>
                <w:sz w:val="18"/>
                <w:szCs w:val="20"/>
                <w:lang w:val="lt-LT"/>
              </w:rPr>
              <w:t>2</w:t>
            </w:r>
          </w:p>
        </w:tc>
        <w:tc>
          <w:tcPr>
            <w:tcW w:w="1417" w:type="dxa"/>
            <w:tcBorders>
              <w:top w:val="single" w:sz="6" w:space="0" w:color="auto"/>
              <w:left w:val="single" w:sz="6" w:space="0" w:color="auto"/>
              <w:bottom w:val="single" w:sz="6" w:space="0" w:color="auto"/>
              <w:right w:val="single" w:sz="12" w:space="0" w:color="auto"/>
            </w:tcBorders>
            <w:shd w:val="clear" w:color="auto" w:fill="auto"/>
            <w:vAlign w:val="center"/>
          </w:tcPr>
          <w:p w:rsidR="00F27113" w:rsidRPr="0073127B" w:rsidRDefault="00CB1B1F" w:rsidP="0073127B">
            <w:pPr>
              <w:spacing w:line="360" w:lineRule="auto"/>
              <w:jc w:val="center"/>
              <w:rPr>
                <w:sz w:val="18"/>
                <w:szCs w:val="20"/>
                <w:lang w:val="lt-LT"/>
              </w:rPr>
            </w:pPr>
            <w:r w:rsidRPr="0073127B">
              <w:rPr>
                <w:sz w:val="18"/>
                <w:szCs w:val="20"/>
                <w:lang w:val="lt-LT"/>
              </w:rPr>
              <w:t>0,8</w:t>
            </w:r>
          </w:p>
        </w:tc>
      </w:tr>
      <w:tr w:rsidR="00880BC7" w:rsidRPr="00F4778B" w:rsidTr="0073127B">
        <w:trPr>
          <w:trHeight w:val="510"/>
        </w:trPr>
        <w:tc>
          <w:tcPr>
            <w:tcW w:w="1951" w:type="dxa"/>
            <w:tcBorders>
              <w:top w:val="single" w:sz="6" w:space="0" w:color="auto"/>
              <w:left w:val="single" w:sz="12" w:space="0" w:color="auto"/>
              <w:bottom w:val="single" w:sz="6" w:space="0" w:color="auto"/>
              <w:right w:val="single" w:sz="12" w:space="0" w:color="auto"/>
            </w:tcBorders>
            <w:shd w:val="clear" w:color="auto" w:fill="auto"/>
            <w:vAlign w:val="center"/>
          </w:tcPr>
          <w:p w:rsidR="00F27113" w:rsidRPr="0073127B" w:rsidRDefault="00871D36" w:rsidP="0073127B">
            <w:pPr>
              <w:spacing w:line="360" w:lineRule="auto"/>
              <w:jc w:val="center"/>
              <w:rPr>
                <w:sz w:val="18"/>
                <w:szCs w:val="20"/>
                <w:lang w:val="lt-LT"/>
              </w:rPr>
            </w:pPr>
            <w:r w:rsidRPr="0073127B">
              <w:rPr>
                <w:sz w:val="18"/>
                <w:szCs w:val="20"/>
                <w:lang w:val="lt-LT"/>
              </w:rPr>
              <w:t>Aplinkos apsauga</w:t>
            </w:r>
          </w:p>
        </w:tc>
        <w:tc>
          <w:tcPr>
            <w:tcW w:w="1134" w:type="dxa"/>
            <w:tcBorders>
              <w:top w:val="single" w:sz="6" w:space="0" w:color="auto"/>
              <w:left w:val="single" w:sz="12" w:space="0" w:color="auto"/>
              <w:bottom w:val="single" w:sz="6" w:space="0" w:color="auto"/>
              <w:right w:val="single" w:sz="6" w:space="0" w:color="auto"/>
            </w:tcBorders>
            <w:shd w:val="clear" w:color="auto" w:fill="auto"/>
            <w:vAlign w:val="center"/>
          </w:tcPr>
          <w:p w:rsidR="00F27113" w:rsidRPr="0073127B" w:rsidRDefault="00CB1B1F" w:rsidP="0073127B">
            <w:pPr>
              <w:spacing w:line="360" w:lineRule="auto"/>
              <w:jc w:val="center"/>
              <w:rPr>
                <w:sz w:val="18"/>
                <w:szCs w:val="20"/>
                <w:lang w:val="lt-LT"/>
              </w:rPr>
            </w:pPr>
            <w:r w:rsidRPr="0073127B">
              <w:rPr>
                <w:sz w:val="18"/>
                <w:szCs w:val="20"/>
                <w:lang w:val="lt-LT"/>
              </w:rPr>
              <w:t>0,9</w:t>
            </w:r>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tcPr>
          <w:p w:rsidR="00F27113" w:rsidRPr="0073127B" w:rsidRDefault="00CB1B1F" w:rsidP="0073127B">
            <w:pPr>
              <w:spacing w:line="360" w:lineRule="auto"/>
              <w:jc w:val="center"/>
              <w:rPr>
                <w:sz w:val="18"/>
                <w:szCs w:val="20"/>
                <w:lang w:val="lt-LT"/>
              </w:rPr>
            </w:pPr>
            <w:r w:rsidRPr="0073127B">
              <w:rPr>
                <w:sz w:val="18"/>
                <w:szCs w:val="20"/>
                <w:lang w:val="lt-LT"/>
              </w:rPr>
              <w:t>0,9</w:t>
            </w:r>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tcPr>
          <w:p w:rsidR="00F27113" w:rsidRPr="0073127B" w:rsidRDefault="00CB1B1F" w:rsidP="0073127B">
            <w:pPr>
              <w:spacing w:line="360" w:lineRule="auto"/>
              <w:jc w:val="center"/>
              <w:rPr>
                <w:sz w:val="18"/>
                <w:szCs w:val="20"/>
                <w:lang w:val="lt-LT"/>
              </w:rPr>
            </w:pPr>
            <w:r w:rsidRPr="0073127B">
              <w:rPr>
                <w:sz w:val="18"/>
                <w:szCs w:val="20"/>
                <w:lang w:val="lt-LT"/>
              </w:rPr>
              <w:t>0,6</w:t>
            </w:r>
          </w:p>
        </w:tc>
        <w:tc>
          <w:tcPr>
            <w:tcW w:w="1417" w:type="dxa"/>
            <w:tcBorders>
              <w:top w:val="single" w:sz="6" w:space="0" w:color="auto"/>
              <w:left w:val="single" w:sz="6" w:space="0" w:color="auto"/>
              <w:bottom w:val="single" w:sz="6" w:space="0" w:color="auto"/>
              <w:right w:val="single" w:sz="12" w:space="0" w:color="auto"/>
            </w:tcBorders>
            <w:shd w:val="clear" w:color="auto" w:fill="auto"/>
            <w:vAlign w:val="center"/>
          </w:tcPr>
          <w:p w:rsidR="00F27113" w:rsidRPr="0073127B" w:rsidRDefault="00CB1B1F" w:rsidP="0073127B">
            <w:pPr>
              <w:spacing w:line="360" w:lineRule="auto"/>
              <w:jc w:val="center"/>
              <w:rPr>
                <w:sz w:val="18"/>
                <w:szCs w:val="20"/>
                <w:lang w:val="lt-LT"/>
              </w:rPr>
            </w:pPr>
            <w:r w:rsidRPr="0073127B">
              <w:rPr>
                <w:sz w:val="18"/>
                <w:szCs w:val="20"/>
                <w:lang w:val="lt-LT"/>
              </w:rPr>
              <w:t>0,8</w:t>
            </w:r>
          </w:p>
        </w:tc>
      </w:tr>
      <w:tr w:rsidR="00880BC7" w:rsidRPr="00F4778B" w:rsidTr="0073127B">
        <w:trPr>
          <w:trHeight w:val="510"/>
        </w:trPr>
        <w:tc>
          <w:tcPr>
            <w:tcW w:w="1951" w:type="dxa"/>
            <w:tcBorders>
              <w:top w:val="single" w:sz="6" w:space="0" w:color="auto"/>
              <w:left w:val="single" w:sz="12" w:space="0" w:color="auto"/>
              <w:bottom w:val="single" w:sz="6" w:space="0" w:color="auto"/>
              <w:right w:val="single" w:sz="12" w:space="0" w:color="auto"/>
            </w:tcBorders>
            <w:shd w:val="clear" w:color="auto" w:fill="auto"/>
            <w:vAlign w:val="center"/>
          </w:tcPr>
          <w:p w:rsidR="00F27113" w:rsidRPr="0073127B" w:rsidRDefault="00871D36" w:rsidP="0073127B">
            <w:pPr>
              <w:spacing w:line="360" w:lineRule="auto"/>
              <w:jc w:val="center"/>
              <w:rPr>
                <w:sz w:val="18"/>
                <w:szCs w:val="20"/>
                <w:lang w:val="lt-LT"/>
              </w:rPr>
            </w:pPr>
            <w:r w:rsidRPr="0073127B">
              <w:rPr>
                <w:sz w:val="18"/>
                <w:szCs w:val="20"/>
                <w:lang w:val="lt-LT"/>
              </w:rPr>
              <w:t>Būstas ir komunalinis ūkis</w:t>
            </w:r>
          </w:p>
        </w:tc>
        <w:tc>
          <w:tcPr>
            <w:tcW w:w="1134" w:type="dxa"/>
            <w:tcBorders>
              <w:top w:val="single" w:sz="6" w:space="0" w:color="auto"/>
              <w:left w:val="single" w:sz="12" w:space="0" w:color="auto"/>
              <w:bottom w:val="single" w:sz="6" w:space="0" w:color="auto"/>
              <w:right w:val="single" w:sz="6" w:space="0" w:color="auto"/>
            </w:tcBorders>
            <w:shd w:val="clear" w:color="auto" w:fill="auto"/>
            <w:vAlign w:val="center"/>
          </w:tcPr>
          <w:p w:rsidR="00F27113" w:rsidRPr="0073127B" w:rsidRDefault="00CB1B1F" w:rsidP="0073127B">
            <w:pPr>
              <w:spacing w:line="360" w:lineRule="auto"/>
              <w:jc w:val="center"/>
              <w:rPr>
                <w:sz w:val="18"/>
                <w:szCs w:val="20"/>
                <w:lang w:val="lt-LT"/>
              </w:rPr>
            </w:pPr>
            <w:r w:rsidRPr="0073127B">
              <w:rPr>
                <w:sz w:val="18"/>
                <w:szCs w:val="20"/>
                <w:lang w:val="lt-LT"/>
              </w:rPr>
              <w:t>0,9</w:t>
            </w:r>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tcPr>
          <w:p w:rsidR="00F27113" w:rsidRPr="0073127B" w:rsidRDefault="00CB1B1F" w:rsidP="0073127B">
            <w:pPr>
              <w:spacing w:line="360" w:lineRule="auto"/>
              <w:jc w:val="center"/>
              <w:rPr>
                <w:sz w:val="18"/>
                <w:szCs w:val="20"/>
                <w:lang w:val="lt-LT"/>
              </w:rPr>
            </w:pPr>
            <w:r w:rsidRPr="0073127B">
              <w:rPr>
                <w:sz w:val="18"/>
                <w:szCs w:val="20"/>
                <w:lang w:val="lt-LT"/>
              </w:rPr>
              <w:t>0,3</w:t>
            </w:r>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tcPr>
          <w:p w:rsidR="00F27113" w:rsidRPr="0073127B" w:rsidRDefault="00CB1B1F" w:rsidP="0073127B">
            <w:pPr>
              <w:spacing w:line="360" w:lineRule="auto"/>
              <w:jc w:val="center"/>
              <w:rPr>
                <w:sz w:val="18"/>
                <w:szCs w:val="20"/>
                <w:lang w:val="lt-LT"/>
              </w:rPr>
            </w:pPr>
            <w:r w:rsidRPr="0073127B">
              <w:rPr>
                <w:sz w:val="18"/>
                <w:szCs w:val="20"/>
                <w:lang w:val="lt-LT"/>
              </w:rPr>
              <w:t>0,8</w:t>
            </w:r>
          </w:p>
        </w:tc>
        <w:tc>
          <w:tcPr>
            <w:tcW w:w="1417" w:type="dxa"/>
            <w:tcBorders>
              <w:top w:val="single" w:sz="6" w:space="0" w:color="auto"/>
              <w:left w:val="single" w:sz="6" w:space="0" w:color="auto"/>
              <w:bottom w:val="single" w:sz="6" w:space="0" w:color="auto"/>
              <w:right w:val="single" w:sz="12" w:space="0" w:color="auto"/>
            </w:tcBorders>
            <w:shd w:val="clear" w:color="auto" w:fill="auto"/>
            <w:vAlign w:val="center"/>
          </w:tcPr>
          <w:p w:rsidR="00F27113" w:rsidRPr="0073127B" w:rsidRDefault="00CB1B1F" w:rsidP="0073127B">
            <w:pPr>
              <w:spacing w:line="360" w:lineRule="auto"/>
              <w:jc w:val="center"/>
              <w:rPr>
                <w:sz w:val="18"/>
                <w:szCs w:val="20"/>
                <w:lang w:val="lt-LT"/>
              </w:rPr>
            </w:pPr>
            <w:r w:rsidRPr="0073127B">
              <w:rPr>
                <w:sz w:val="18"/>
                <w:szCs w:val="20"/>
                <w:lang w:val="lt-LT"/>
              </w:rPr>
              <w:t>0,3</w:t>
            </w:r>
          </w:p>
        </w:tc>
      </w:tr>
      <w:tr w:rsidR="00880BC7" w:rsidRPr="00F4778B" w:rsidTr="0073127B">
        <w:trPr>
          <w:trHeight w:val="510"/>
        </w:trPr>
        <w:tc>
          <w:tcPr>
            <w:tcW w:w="1951" w:type="dxa"/>
            <w:tcBorders>
              <w:top w:val="single" w:sz="6" w:space="0" w:color="auto"/>
              <w:left w:val="single" w:sz="12" w:space="0" w:color="auto"/>
              <w:bottom w:val="single" w:sz="6" w:space="0" w:color="auto"/>
              <w:right w:val="single" w:sz="12" w:space="0" w:color="auto"/>
            </w:tcBorders>
            <w:shd w:val="clear" w:color="auto" w:fill="auto"/>
            <w:vAlign w:val="center"/>
          </w:tcPr>
          <w:p w:rsidR="00F27113" w:rsidRPr="0073127B" w:rsidRDefault="00871D36" w:rsidP="0073127B">
            <w:pPr>
              <w:spacing w:line="360" w:lineRule="auto"/>
              <w:jc w:val="center"/>
              <w:rPr>
                <w:sz w:val="18"/>
                <w:szCs w:val="20"/>
                <w:lang w:val="lt-LT"/>
              </w:rPr>
            </w:pPr>
            <w:r w:rsidRPr="0073127B">
              <w:rPr>
                <w:sz w:val="18"/>
                <w:szCs w:val="20"/>
                <w:lang w:val="lt-LT"/>
              </w:rPr>
              <w:t>Sveikatos apsauga</w:t>
            </w:r>
          </w:p>
        </w:tc>
        <w:tc>
          <w:tcPr>
            <w:tcW w:w="1134" w:type="dxa"/>
            <w:tcBorders>
              <w:top w:val="single" w:sz="6" w:space="0" w:color="auto"/>
              <w:left w:val="single" w:sz="12" w:space="0" w:color="auto"/>
              <w:bottom w:val="single" w:sz="6" w:space="0" w:color="auto"/>
              <w:right w:val="single" w:sz="6" w:space="0" w:color="auto"/>
            </w:tcBorders>
            <w:shd w:val="clear" w:color="auto" w:fill="auto"/>
            <w:vAlign w:val="center"/>
          </w:tcPr>
          <w:p w:rsidR="00F27113" w:rsidRPr="0073127B" w:rsidRDefault="00CB1B1F" w:rsidP="0073127B">
            <w:pPr>
              <w:spacing w:line="360" w:lineRule="auto"/>
              <w:jc w:val="center"/>
              <w:rPr>
                <w:sz w:val="18"/>
                <w:szCs w:val="20"/>
                <w:lang w:val="lt-LT"/>
              </w:rPr>
            </w:pPr>
            <w:r w:rsidRPr="0073127B">
              <w:rPr>
                <w:sz w:val="18"/>
                <w:szCs w:val="20"/>
                <w:lang w:val="lt-LT"/>
              </w:rPr>
              <w:t>7,3</w:t>
            </w:r>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tcPr>
          <w:p w:rsidR="00F27113" w:rsidRPr="0073127B" w:rsidRDefault="00F965F7" w:rsidP="0073127B">
            <w:pPr>
              <w:spacing w:line="360" w:lineRule="auto"/>
              <w:jc w:val="center"/>
              <w:rPr>
                <w:sz w:val="18"/>
                <w:szCs w:val="20"/>
                <w:lang w:val="lt-LT"/>
              </w:rPr>
            </w:pPr>
            <w:r w:rsidRPr="0073127B">
              <w:rPr>
                <w:sz w:val="18"/>
                <w:szCs w:val="20"/>
                <w:lang w:val="lt-LT"/>
              </w:rPr>
              <w:t>6,7</w:t>
            </w:r>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tcPr>
          <w:p w:rsidR="00F27113" w:rsidRPr="0073127B" w:rsidRDefault="00CB1B1F" w:rsidP="0073127B">
            <w:pPr>
              <w:spacing w:line="360" w:lineRule="auto"/>
              <w:jc w:val="center"/>
              <w:rPr>
                <w:sz w:val="18"/>
                <w:szCs w:val="20"/>
                <w:lang w:val="lt-LT"/>
              </w:rPr>
            </w:pPr>
            <w:r w:rsidRPr="0073127B">
              <w:rPr>
                <w:sz w:val="18"/>
                <w:szCs w:val="20"/>
                <w:lang w:val="lt-LT"/>
              </w:rPr>
              <w:t>2,2</w:t>
            </w:r>
          </w:p>
        </w:tc>
        <w:tc>
          <w:tcPr>
            <w:tcW w:w="1417" w:type="dxa"/>
            <w:tcBorders>
              <w:top w:val="single" w:sz="6" w:space="0" w:color="auto"/>
              <w:left w:val="single" w:sz="6" w:space="0" w:color="auto"/>
              <w:bottom w:val="single" w:sz="6" w:space="0" w:color="auto"/>
              <w:right w:val="single" w:sz="12" w:space="0" w:color="auto"/>
            </w:tcBorders>
            <w:shd w:val="clear" w:color="auto" w:fill="auto"/>
            <w:vAlign w:val="center"/>
          </w:tcPr>
          <w:p w:rsidR="00F27113" w:rsidRPr="0073127B" w:rsidRDefault="00CB1B1F" w:rsidP="0073127B">
            <w:pPr>
              <w:spacing w:line="360" w:lineRule="auto"/>
              <w:jc w:val="center"/>
              <w:rPr>
                <w:sz w:val="18"/>
                <w:szCs w:val="20"/>
                <w:lang w:val="lt-LT"/>
              </w:rPr>
            </w:pPr>
            <w:r w:rsidRPr="0073127B">
              <w:rPr>
                <w:sz w:val="18"/>
                <w:szCs w:val="20"/>
                <w:lang w:val="lt-LT"/>
              </w:rPr>
              <w:t>1,9</w:t>
            </w:r>
          </w:p>
        </w:tc>
      </w:tr>
      <w:tr w:rsidR="00880BC7" w:rsidRPr="00F4778B" w:rsidTr="0073127B">
        <w:trPr>
          <w:trHeight w:val="510"/>
        </w:trPr>
        <w:tc>
          <w:tcPr>
            <w:tcW w:w="1951" w:type="dxa"/>
            <w:tcBorders>
              <w:top w:val="single" w:sz="6" w:space="0" w:color="auto"/>
              <w:left w:val="single" w:sz="12" w:space="0" w:color="auto"/>
              <w:bottom w:val="single" w:sz="6" w:space="0" w:color="auto"/>
              <w:right w:val="single" w:sz="12" w:space="0" w:color="auto"/>
            </w:tcBorders>
            <w:shd w:val="clear" w:color="auto" w:fill="auto"/>
            <w:vAlign w:val="center"/>
          </w:tcPr>
          <w:p w:rsidR="00F27113" w:rsidRPr="0073127B" w:rsidRDefault="00871D36" w:rsidP="0073127B">
            <w:pPr>
              <w:spacing w:line="360" w:lineRule="auto"/>
              <w:jc w:val="center"/>
              <w:rPr>
                <w:sz w:val="18"/>
                <w:szCs w:val="20"/>
                <w:lang w:val="lt-LT"/>
              </w:rPr>
            </w:pPr>
            <w:r w:rsidRPr="0073127B">
              <w:rPr>
                <w:sz w:val="18"/>
                <w:szCs w:val="20"/>
                <w:lang w:val="lt-LT"/>
              </w:rPr>
              <w:t>Poilsis, kultūra ir religija</w:t>
            </w:r>
          </w:p>
        </w:tc>
        <w:tc>
          <w:tcPr>
            <w:tcW w:w="1134" w:type="dxa"/>
            <w:tcBorders>
              <w:top w:val="single" w:sz="6" w:space="0" w:color="auto"/>
              <w:left w:val="single" w:sz="12" w:space="0" w:color="auto"/>
              <w:bottom w:val="single" w:sz="6" w:space="0" w:color="auto"/>
              <w:right w:val="single" w:sz="6" w:space="0" w:color="auto"/>
            </w:tcBorders>
            <w:shd w:val="clear" w:color="auto" w:fill="auto"/>
            <w:vAlign w:val="center"/>
          </w:tcPr>
          <w:p w:rsidR="00F27113" w:rsidRPr="0073127B" w:rsidRDefault="00E53289" w:rsidP="0073127B">
            <w:pPr>
              <w:spacing w:line="360" w:lineRule="auto"/>
              <w:jc w:val="center"/>
              <w:rPr>
                <w:sz w:val="18"/>
                <w:szCs w:val="20"/>
                <w:lang w:val="lt-LT"/>
              </w:rPr>
            </w:pPr>
            <w:r w:rsidRPr="0073127B">
              <w:rPr>
                <w:sz w:val="18"/>
                <w:szCs w:val="20"/>
                <w:lang w:val="lt-LT"/>
              </w:rPr>
              <w:t>1,1</w:t>
            </w:r>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tcPr>
          <w:p w:rsidR="00F27113" w:rsidRPr="0073127B" w:rsidRDefault="00E53289" w:rsidP="0073127B">
            <w:pPr>
              <w:spacing w:line="360" w:lineRule="auto"/>
              <w:jc w:val="center"/>
              <w:rPr>
                <w:sz w:val="18"/>
                <w:szCs w:val="20"/>
                <w:lang w:val="lt-LT"/>
              </w:rPr>
            </w:pPr>
            <w:r w:rsidRPr="0073127B">
              <w:rPr>
                <w:sz w:val="18"/>
                <w:szCs w:val="20"/>
                <w:lang w:val="lt-LT"/>
              </w:rPr>
              <w:t>1</w:t>
            </w:r>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tcPr>
          <w:p w:rsidR="00F27113" w:rsidRPr="0073127B" w:rsidRDefault="00E53289" w:rsidP="0073127B">
            <w:pPr>
              <w:spacing w:line="360" w:lineRule="auto"/>
              <w:jc w:val="center"/>
              <w:rPr>
                <w:sz w:val="18"/>
                <w:szCs w:val="20"/>
                <w:lang w:val="lt-LT"/>
              </w:rPr>
            </w:pPr>
            <w:r w:rsidRPr="0073127B">
              <w:rPr>
                <w:sz w:val="18"/>
                <w:szCs w:val="20"/>
                <w:lang w:val="lt-LT"/>
              </w:rPr>
              <w:t>0,8</w:t>
            </w:r>
          </w:p>
        </w:tc>
        <w:tc>
          <w:tcPr>
            <w:tcW w:w="1417" w:type="dxa"/>
            <w:tcBorders>
              <w:top w:val="single" w:sz="6" w:space="0" w:color="auto"/>
              <w:left w:val="single" w:sz="6" w:space="0" w:color="auto"/>
              <w:bottom w:val="single" w:sz="6" w:space="0" w:color="auto"/>
              <w:right w:val="single" w:sz="12" w:space="0" w:color="auto"/>
            </w:tcBorders>
            <w:shd w:val="clear" w:color="auto" w:fill="auto"/>
            <w:vAlign w:val="center"/>
          </w:tcPr>
          <w:p w:rsidR="00F27113" w:rsidRPr="0073127B" w:rsidRDefault="00E53289" w:rsidP="0073127B">
            <w:pPr>
              <w:spacing w:line="360" w:lineRule="auto"/>
              <w:jc w:val="center"/>
              <w:rPr>
                <w:sz w:val="18"/>
                <w:szCs w:val="20"/>
                <w:lang w:val="lt-LT"/>
              </w:rPr>
            </w:pPr>
            <w:r w:rsidRPr="0073127B">
              <w:rPr>
                <w:sz w:val="18"/>
                <w:szCs w:val="20"/>
                <w:lang w:val="lt-LT"/>
              </w:rPr>
              <w:t>0,5</w:t>
            </w:r>
          </w:p>
        </w:tc>
      </w:tr>
      <w:tr w:rsidR="00880BC7" w:rsidRPr="00F4778B" w:rsidTr="0073127B">
        <w:trPr>
          <w:trHeight w:val="510"/>
        </w:trPr>
        <w:tc>
          <w:tcPr>
            <w:tcW w:w="1951" w:type="dxa"/>
            <w:tcBorders>
              <w:top w:val="single" w:sz="6" w:space="0" w:color="auto"/>
              <w:left w:val="single" w:sz="12" w:space="0" w:color="auto"/>
              <w:bottom w:val="single" w:sz="6" w:space="0" w:color="auto"/>
              <w:right w:val="single" w:sz="12" w:space="0" w:color="auto"/>
            </w:tcBorders>
            <w:shd w:val="clear" w:color="auto" w:fill="auto"/>
            <w:vAlign w:val="center"/>
          </w:tcPr>
          <w:p w:rsidR="00F27113" w:rsidRPr="0073127B" w:rsidRDefault="00871D36" w:rsidP="0073127B">
            <w:pPr>
              <w:spacing w:line="360" w:lineRule="auto"/>
              <w:jc w:val="center"/>
              <w:rPr>
                <w:sz w:val="18"/>
                <w:szCs w:val="20"/>
                <w:lang w:val="lt-LT"/>
              </w:rPr>
            </w:pPr>
            <w:r w:rsidRPr="0073127B">
              <w:rPr>
                <w:sz w:val="18"/>
                <w:szCs w:val="20"/>
                <w:lang w:val="lt-LT"/>
              </w:rPr>
              <w:t>Švietimas</w:t>
            </w:r>
          </w:p>
        </w:tc>
        <w:tc>
          <w:tcPr>
            <w:tcW w:w="1134" w:type="dxa"/>
            <w:tcBorders>
              <w:top w:val="single" w:sz="6" w:space="0" w:color="auto"/>
              <w:left w:val="single" w:sz="12" w:space="0" w:color="auto"/>
              <w:bottom w:val="single" w:sz="6" w:space="0" w:color="auto"/>
              <w:right w:val="single" w:sz="6" w:space="0" w:color="auto"/>
            </w:tcBorders>
            <w:shd w:val="clear" w:color="auto" w:fill="auto"/>
            <w:vAlign w:val="center"/>
          </w:tcPr>
          <w:p w:rsidR="00F27113" w:rsidRPr="0073127B" w:rsidRDefault="00E53289" w:rsidP="0073127B">
            <w:pPr>
              <w:spacing w:line="360" w:lineRule="auto"/>
              <w:jc w:val="center"/>
              <w:rPr>
                <w:sz w:val="18"/>
                <w:szCs w:val="20"/>
                <w:lang w:val="lt-LT"/>
              </w:rPr>
            </w:pPr>
            <w:r w:rsidRPr="0073127B">
              <w:rPr>
                <w:sz w:val="18"/>
                <w:szCs w:val="20"/>
                <w:lang w:val="lt-LT"/>
              </w:rPr>
              <w:t>5,3</w:t>
            </w:r>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tcPr>
          <w:p w:rsidR="00F27113" w:rsidRPr="0073127B" w:rsidRDefault="00E53289" w:rsidP="0073127B">
            <w:pPr>
              <w:spacing w:line="360" w:lineRule="auto"/>
              <w:jc w:val="center"/>
              <w:rPr>
                <w:sz w:val="18"/>
                <w:szCs w:val="20"/>
                <w:lang w:val="lt-LT"/>
              </w:rPr>
            </w:pPr>
            <w:r w:rsidRPr="0073127B">
              <w:rPr>
                <w:sz w:val="18"/>
                <w:szCs w:val="20"/>
                <w:lang w:val="lt-LT"/>
              </w:rPr>
              <w:t>5,8</w:t>
            </w:r>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tcPr>
          <w:p w:rsidR="00F27113" w:rsidRPr="0073127B" w:rsidRDefault="00E53289" w:rsidP="0073127B">
            <w:pPr>
              <w:spacing w:line="360" w:lineRule="auto"/>
              <w:jc w:val="center"/>
              <w:rPr>
                <w:sz w:val="18"/>
                <w:szCs w:val="20"/>
                <w:lang w:val="lt-LT"/>
              </w:rPr>
            </w:pPr>
            <w:r w:rsidRPr="0073127B">
              <w:rPr>
                <w:sz w:val="18"/>
                <w:szCs w:val="20"/>
                <w:lang w:val="lt-LT"/>
              </w:rPr>
              <w:t>3,5</w:t>
            </w:r>
          </w:p>
        </w:tc>
        <w:tc>
          <w:tcPr>
            <w:tcW w:w="1417" w:type="dxa"/>
            <w:tcBorders>
              <w:top w:val="single" w:sz="6" w:space="0" w:color="auto"/>
              <w:left w:val="single" w:sz="6" w:space="0" w:color="auto"/>
              <w:bottom w:val="single" w:sz="6" w:space="0" w:color="auto"/>
              <w:right w:val="single" w:sz="12" w:space="0" w:color="auto"/>
            </w:tcBorders>
            <w:shd w:val="clear" w:color="auto" w:fill="auto"/>
            <w:vAlign w:val="center"/>
          </w:tcPr>
          <w:p w:rsidR="00F27113" w:rsidRPr="0073127B" w:rsidRDefault="00E53289" w:rsidP="0073127B">
            <w:pPr>
              <w:spacing w:line="360" w:lineRule="auto"/>
              <w:jc w:val="center"/>
              <w:rPr>
                <w:sz w:val="18"/>
                <w:szCs w:val="20"/>
                <w:lang w:val="lt-LT"/>
              </w:rPr>
            </w:pPr>
            <w:r w:rsidRPr="0073127B">
              <w:rPr>
                <w:sz w:val="18"/>
                <w:szCs w:val="20"/>
                <w:lang w:val="lt-LT"/>
              </w:rPr>
              <w:t>3,6</w:t>
            </w:r>
          </w:p>
        </w:tc>
      </w:tr>
      <w:tr w:rsidR="00880BC7" w:rsidRPr="00F4778B" w:rsidTr="0073127B">
        <w:trPr>
          <w:trHeight w:val="510"/>
        </w:trPr>
        <w:tc>
          <w:tcPr>
            <w:tcW w:w="1951" w:type="dxa"/>
            <w:tcBorders>
              <w:top w:val="single" w:sz="6" w:space="0" w:color="auto"/>
              <w:left w:val="single" w:sz="12" w:space="0" w:color="auto"/>
              <w:bottom w:val="single" w:sz="12" w:space="0" w:color="auto"/>
              <w:right w:val="single" w:sz="12" w:space="0" w:color="auto"/>
            </w:tcBorders>
            <w:shd w:val="clear" w:color="auto" w:fill="auto"/>
            <w:vAlign w:val="center"/>
          </w:tcPr>
          <w:p w:rsidR="00F27113" w:rsidRPr="0073127B" w:rsidRDefault="00871D36" w:rsidP="0073127B">
            <w:pPr>
              <w:spacing w:line="360" w:lineRule="auto"/>
              <w:jc w:val="center"/>
              <w:rPr>
                <w:sz w:val="18"/>
                <w:szCs w:val="20"/>
                <w:lang w:val="lt-LT"/>
              </w:rPr>
            </w:pPr>
            <w:r w:rsidRPr="0073127B">
              <w:rPr>
                <w:sz w:val="18"/>
                <w:szCs w:val="20"/>
                <w:lang w:val="lt-LT"/>
              </w:rPr>
              <w:t>Socialinė apsauga</w:t>
            </w:r>
          </w:p>
        </w:tc>
        <w:tc>
          <w:tcPr>
            <w:tcW w:w="1134" w:type="dxa"/>
            <w:tcBorders>
              <w:top w:val="single" w:sz="6" w:space="0" w:color="auto"/>
              <w:left w:val="single" w:sz="12" w:space="0" w:color="auto"/>
              <w:bottom w:val="single" w:sz="12" w:space="0" w:color="auto"/>
              <w:right w:val="single" w:sz="6" w:space="0" w:color="auto"/>
            </w:tcBorders>
            <w:shd w:val="clear" w:color="auto" w:fill="auto"/>
            <w:vAlign w:val="center"/>
          </w:tcPr>
          <w:p w:rsidR="00F27113" w:rsidRPr="0073127B" w:rsidRDefault="00E53289" w:rsidP="0073127B">
            <w:pPr>
              <w:spacing w:line="360" w:lineRule="auto"/>
              <w:jc w:val="center"/>
              <w:rPr>
                <w:sz w:val="18"/>
                <w:szCs w:val="20"/>
                <w:lang w:val="lt-LT"/>
              </w:rPr>
            </w:pPr>
            <w:r w:rsidRPr="0073127B">
              <w:rPr>
                <w:sz w:val="18"/>
                <w:szCs w:val="20"/>
                <w:lang w:val="lt-LT"/>
              </w:rPr>
              <w:t>19,6</w:t>
            </w:r>
          </w:p>
        </w:tc>
        <w:tc>
          <w:tcPr>
            <w:tcW w:w="1276" w:type="dxa"/>
            <w:tcBorders>
              <w:top w:val="single" w:sz="6" w:space="0" w:color="auto"/>
              <w:left w:val="single" w:sz="6" w:space="0" w:color="auto"/>
              <w:bottom w:val="single" w:sz="12" w:space="0" w:color="auto"/>
              <w:right w:val="single" w:sz="6" w:space="0" w:color="auto"/>
            </w:tcBorders>
            <w:shd w:val="clear" w:color="auto" w:fill="auto"/>
            <w:vAlign w:val="center"/>
          </w:tcPr>
          <w:p w:rsidR="00F27113" w:rsidRPr="0073127B" w:rsidRDefault="00E53289" w:rsidP="0073127B">
            <w:pPr>
              <w:spacing w:line="360" w:lineRule="auto"/>
              <w:jc w:val="center"/>
              <w:rPr>
                <w:sz w:val="18"/>
                <w:szCs w:val="20"/>
                <w:lang w:val="lt-LT"/>
              </w:rPr>
            </w:pPr>
            <w:r w:rsidRPr="0073127B">
              <w:rPr>
                <w:sz w:val="18"/>
                <w:szCs w:val="20"/>
                <w:lang w:val="lt-LT"/>
              </w:rPr>
              <w:t>12,6</w:t>
            </w:r>
          </w:p>
        </w:tc>
        <w:tc>
          <w:tcPr>
            <w:tcW w:w="1276" w:type="dxa"/>
            <w:tcBorders>
              <w:top w:val="single" w:sz="6" w:space="0" w:color="auto"/>
              <w:left w:val="single" w:sz="6" w:space="0" w:color="auto"/>
              <w:bottom w:val="single" w:sz="12" w:space="0" w:color="auto"/>
              <w:right w:val="single" w:sz="6" w:space="0" w:color="auto"/>
            </w:tcBorders>
            <w:shd w:val="clear" w:color="auto" w:fill="auto"/>
            <w:vAlign w:val="center"/>
          </w:tcPr>
          <w:p w:rsidR="00F27113" w:rsidRPr="0073127B" w:rsidRDefault="00E53289" w:rsidP="0073127B">
            <w:pPr>
              <w:spacing w:line="360" w:lineRule="auto"/>
              <w:jc w:val="center"/>
              <w:rPr>
                <w:sz w:val="18"/>
                <w:szCs w:val="20"/>
                <w:lang w:val="lt-LT"/>
              </w:rPr>
            </w:pPr>
            <w:r w:rsidRPr="0073127B">
              <w:rPr>
                <w:sz w:val="18"/>
                <w:szCs w:val="20"/>
                <w:lang w:val="lt-LT"/>
              </w:rPr>
              <w:t>3,3</w:t>
            </w:r>
          </w:p>
        </w:tc>
        <w:tc>
          <w:tcPr>
            <w:tcW w:w="1417" w:type="dxa"/>
            <w:tcBorders>
              <w:top w:val="single" w:sz="6" w:space="0" w:color="auto"/>
              <w:left w:val="single" w:sz="6" w:space="0" w:color="auto"/>
              <w:bottom w:val="single" w:sz="12" w:space="0" w:color="auto"/>
              <w:right w:val="single" w:sz="12" w:space="0" w:color="auto"/>
            </w:tcBorders>
            <w:shd w:val="clear" w:color="auto" w:fill="auto"/>
            <w:vAlign w:val="center"/>
          </w:tcPr>
          <w:p w:rsidR="00F27113" w:rsidRPr="0073127B" w:rsidRDefault="00E53289" w:rsidP="0073127B">
            <w:pPr>
              <w:spacing w:line="360" w:lineRule="auto"/>
              <w:jc w:val="center"/>
              <w:rPr>
                <w:sz w:val="18"/>
                <w:szCs w:val="20"/>
                <w:lang w:val="lt-LT"/>
              </w:rPr>
            </w:pPr>
            <w:r w:rsidRPr="0073127B">
              <w:rPr>
                <w:sz w:val="18"/>
                <w:szCs w:val="20"/>
                <w:lang w:val="lt-LT"/>
              </w:rPr>
              <w:t>1,4</w:t>
            </w:r>
          </w:p>
        </w:tc>
      </w:tr>
    </w:tbl>
    <w:p w:rsidR="00EE4556" w:rsidRDefault="00737B66" w:rsidP="007C3B56">
      <w:pPr>
        <w:spacing w:line="360" w:lineRule="auto"/>
        <w:rPr>
          <w:sz w:val="20"/>
          <w:szCs w:val="20"/>
          <w:lang w:val="lt-LT"/>
        </w:rPr>
      </w:pPr>
      <w:r w:rsidRPr="005A3A2B">
        <w:rPr>
          <w:b/>
          <w:sz w:val="20"/>
          <w:szCs w:val="20"/>
          <w:lang w:val="lt-LT"/>
        </w:rPr>
        <w:t>Šaltinis:</w:t>
      </w:r>
      <w:r>
        <w:rPr>
          <w:sz w:val="20"/>
          <w:szCs w:val="20"/>
          <w:lang w:val="lt-LT"/>
        </w:rPr>
        <w:t xml:space="preserve"> Eurostat duomenys</w:t>
      </w:r>
    </w:p>
    <w:p w:rsidR="00EE4556" w:rsidRDefault="00EE4556" w:rsidP="007C3B56">
      <w:pPr>
        <w:spacing w:line="360" w:lineRule="auto"/>
        <w:rPr>
          <w:sz w:val="20"/>
          <w:szCs w:val="20"/>
          <w:lang w:val="lt-LT"/>
        </w:rPr>
      </w:pPr>
    </w:p>
    <w:p w:rsidR="00EE4556" w:rsidRDefault="00EE4556" w:rsidP="007C3B56">
      <w:pPr>
        <w:spacing w:line="360" w:lineRule="auto"/>
        <w:rPr>
          <w:b/>
          <w:lang w:val="lt-LT"/>
        </w:rPr>
      </w:pPr>
    </w:p>
    <w:p w:rsidR="005B66A6" w:rsidRDefault="005B66A6" w:rsidP="007C3B56">
      <w:pPr>
        <w:spacing w:line="360" w:lineRule="auto"/>
        <w:rPr>
          <w:b/>
          <w:lang w:val="lt-LT"/>
        </w:rPr>
      </w:pPr>
    </w:p>
    <w:p w:rsidR="005B66A6" w:rsidRDefault="005B66A6" w:rsidP="007C3B56">
      <w:pPr>
        <w:spacing w:line="360" w:lineRule="auto"/>
        <w:rPr>
          <w:b/>
          <w:lang w:val="lt-LT"/>
        </w:rPr>
      </w:pPr>
    </w:p>
    <w:p w:rsidR="005B66A6" w:rsidRDefault="005B66A6" w:rsidP="007C3B56">
      <w:pPr>
        <w:spacing w:line="360" w:lineRule="auto"/>
        <w:rPr>
          <w:b/>
          <w:lang w:val="lt-LT"/>
        </w:rPr>
      </w:pPr>
    </w:p>
    <w:p w:rsidR="005B66A6" w:rsidRDefault="005B66A6" w:rsidP="007C3B56">
      <w:pPr>
        <w:spacing w:line="360" w:lineRule="auto"/>
        <w:rPr>
          <w:b/>
          <w:lang w:val="lt-LT"/>
        </w:rPr>
      </w:pPr>
    </w:p>
    <w:p w:rsidR="005B66A6" w:rsidRDefault="005B66A6" w:rsidP="007C3B56">
      <w:pPr>
        <w:spacing w:line="360" w:lineRule="auto"/>
        <w:rPr>
          <w:b/>
          <w:lang w:val="lt-LT"/>
        </w:rPr>
      </w:pPr>
    </w:p>
    <w:p w:rsidR="005B66A6" w:rsidRDefault="005B66A6" w:rsidP="007C3B56">
      <w:pPr>
        <w:spacing w:line="360" w:lineRule="auto"/>
        <w:rPr>
          <w:b/>
          <w:lang w:val="lt-LT"/>
        </w:rPr>
      </w:pPr>
    </w:p>
    <w:p w:rsidR="005B66A6" w:rsidRDefault="005B66A6" w:rsidP="007C3B56">
      <w:pPr>
        <w:spacing w:line="360" w:lineRule="auto"/>
        <w:rPr>
          <w:b/>
          <w:lang w:val="lt-LT"/>
        </w:rPr>
      </w:pPr>
    </w:p>
    <w:p w:rsidR="005B66A6" w:rsidRDefault="005B66A6" w:rsidP="007C3B56">
      <w:pPr>
        <w:spacing w:line="360" w:lineRule="auto"/>
        <w:rPr>
          <w:b/>
          <w:lang w:val="lt-LT"/>
        </w:rPr>
      </w:pPr>
    </w:p>
    <w:p w:rsidR="005B66A6" w:rsidRDefault="005B66A6" w:rsidP="007C3B56">
      <w:pPr>
        <w:spacing w:line="360" w:lineRule="auto"/>
        <w:rPr>
          <w:b/>
          <w:lang w:val="lt-LT"/>
        </w:rPr>
      </w:pPr>
    </w:p>
    <w:p w:rsidR="005B66A6" w:rsidRDefault="005B66A6" w:rsidP="007C3B56">
      <w:pPr>
        <w:spacing w:line="360" w:lineRule="auto"/>
        <w:rPr>
          <w:b/>
          <w:lang w:val="lt-LT"/>
        </w:rPr>
      </w:pPr>
    </w:p>
    <w:p w:rsidR="005B66A6" w:rsidRPr="00EE4556" w:rsidRDefault="005B66A6" w:rsidP="007C3B56">
      <w:pPr>
        <w:spacing w:line="360" w:lineRule="auto"/>
        <w:rPr>
          <w:b/>
          <w:lang w:val="lt-LT"/>
        </w:rPr>
      </w:pPr>
    </w:p>
    <w:sectPr w:rsidR="005B66A6" w:rsidRPr="00EE4556" w:rsidSect="00176CB9">
      <w:pgSz w:w="12240" w:h="15840"/>
      <w:pgMar w:top="1134" w:right="567"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6DBD" w:rsidRDefault="00336DBD">
      <w:r>
        <w:separator/>
      </w:r>
    </w:p>
    <w:p w:rsidR="00336DBD" w:rsidRDefault="00336DBD"/>
    <w:p w:rsidR="00336DBD" w:rsidRDefault="00336DBD" w:rsidP="006E18A5"/>
    <w:p w:rsidR="00336DBD" w:rsidRDefault="00336DBD" w:rsidP="006E18A5"/>
  </w:endnote>
  <w:endnote w:type="continuationSeparator" w:id="0">
    <w:p w:rsidR="00336DBD" w:rsidRDefault="00336DBD">
      <w:r>
        <w:continuationSeparator/>
      </w:r>
    </w:p>
    <w:p w:rsidR="00336DBD" w:rsidRDefault="00336DBD"/>
    <w:p w:rsidR="00336DBD" w:rsidRDefault="00336DBD" w:rsidP="006E18A5"/>
    <w:p w:rsidR="00336DBD" w:rsidRDefault="00336DBD" w:rsidP="006E18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MR10">
    <w:altName w:val="Times New Roman"/>
    <w:panose1 w:val="00000000000000000000"/>
    <w:charset w:val="00"/>
    <w:family w:val="auto"/>
    <w:notTrueType/>
    <w:pitch w:val="default"/>
    <w:sig w:usb0="00000003" w:usb1="00000000" w:usb2="00000000" w:usb3="00000000" w:csb0="00000001" w:csb1="00000000"/>
  </w:font>
  <w:font w:name="TimesNewRomanPS-BoldMT">
    <w:altName w:val="Times New Roman"/>
    <w:panose1 w:val="00000000000000000000"/>
    <w:charset w:val="00"/>
    <w:family w:val="roman"/>
    <w:notTrueType/>
    <w:pitch w:val="default"/>
    <w:sig w:usb0="00000007" w:usb1="00000000" w:usb2="00000000" w:usb3="00000000" w:csb0="00000003"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Kunstler Script">
    <w:panose1 w:val="030304020206070D0D06"/>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6DBD" w:rsidRDefault="00336DBD">
      <w:r>
        <w:separator/>
      </w:r>
    </w:p>
    <w:p w:rsidR="00336DBD" w:rsidRDefault="00336DBD"/>
    <w:p w:rsidR="00336DBD" w:rsidRDefault="00336DBD" w:rsidP="006E18A5"/>
    <w:p w:rsidR="00336DBD" w:rsidRDefault="00336DBD" w:rsidP="006E18A5"/>
  </w:footnote>
  <w:footnote w:type="continuationSeparator" w:id="0">
    <w:p w:rsidR="00336DBD" w:rsidRDefault="00336DBD">
      <w:r>
        <w:continuationSeparator/>
      </w:r>
    </w:p>
    <w:p w:rsidR="00336DBD" w:rsidRDefault="00336DBD"/>
    <w:p w:rsidR="00336DBD" w:rsidRDefault="00336DBD" w:rsidP="006E18A5"/>
    <w:p w:rsidR="00336DBD" w:rsidRDefault="00336DBD" w:rsidP="006E18A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5477136"/>
      <w:docPartObj>
        <w:docPartGallery w:val="Page Numbers (Top of Page)"/>
        <w:docPartUnique/>
      </w:docPartObj>
    </w:sdtPr>
    <w:sdtEndPr>
      <w:rPr>
        <w:noProof/>
      </w:rPr>
    </w:sdtEndPr>
    <w:sdtContent>
      <w:p w:rsidR="00F57DE9" w:rsidRDefault="00F57DE9">
        <w:pPr>
          <w:pStyle w:val="Header"/>
          <w:jc w:val="right"/>
        </w:pPr>
        <w:r>
          <w:fldChar w:fldCharType="begin"/>
        </w:r>
        <w:r>
          <w:instrText xml:space="preserve"> PAGE   \* MERGEFORMAT </w:instrText>
        </w:r>
        <w:r>
          <w:fldChar w:fldCharType="separate"/>
        </w:r>
        <w:r w:rsidR="000A5691">
          <w:rPr>
            <w:noProof/>
          </w:rPr>
          <w:t>78</w:t>
        </w:r>
        <w:r>
          <w:rPr>
            <w:noProof/>
          </w:rPr>
          <w:fldChar w:fldCharType="end"/>
        </w:r>
      </w:p>
    </w:sdtContent>
  </w:sdt>
  <w:p w:rsidR="00F57DE9" w:rsidRDefault="00F57DE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630C9"/>
    <w:multiLevelType w:val="hybridMultilevel"/>
    <w:tmpl w:val="773224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6B86763"/>
    <w:multiLevelType w:val="hybridMultilevel"/>
    <w:tmpl w:val="1C8ECDF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nsid w:val="0E5A55A9"/>
    <w:multiLevelType w:val="hybridMultilevel"/>
    <w:tmpl w:val="8E14319A"/>
    <w:lvl w:ilvl="0" w:tplc="3A84283C">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512169D"/>
    <w:multiLevelType w:val="hybridMultilevel"/>
    <w:tmpl w:val="92F4103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nsid w:val="16223D0C"/>
    <w:multiLevelType w:val="hybridMultilevel"/>
    <w:tmpl w:val="45EA8E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86B05A5"/>
    <w:multiLevelType w:val="hybridMultilevel"/>
    <w:tmpl w:val="B71E823E"/>
    <w:lvl w:ilvl="0" w:tplc="F31ADF4E">
      <w:start w:val="1"/>
      <w:numFmt w:val="decimal"/>
      <w:pStyle w:val="NoSpacing"/>
      <w:lvlText w:val="%1 priedas"/>
      <w:lvlJc w:val="left"/>
      <w:pPr>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3B106BE"/>
    <w:multiLevelType w:val="hybridMultilevel"/>
    <w:tmpl w:val="8AC4F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5282F25"/>
    <w:multiLevelType w:val="hybridMultilevel"/>
    <w:tmpl w:val="D102F0D2"/>
    <w:lvl w:ilvl="0" w:tplc="04090001">
      <w:start w:val="1"/>
      <w:numFmt w:val="bullet"/>
      <w:lvlText w:val=""/>
      <w:lvlJc w:val="left"/>
      <w:pPr>
        <w:ind w:left="1282" w:hanging="360"/>
      </w:pPr>
      <w:rPr>
        <w:rFonts w:ascii="Symbol" w:hAnsi="Symbol" w:hint="default"/>
      </w:rPr>
    </w:lvl>
    <w:lvl w:ilvl="1" w:tplc="04090003" w:tentative="1">
      <w:start w:val="1"/>
      <w:numFmt w:val="bullet"/>
      <w:lvlText w:val="o"/>
      <w:lvlJc w:val="left"/>
      <w:pPr>
        <w:ind w:left="2002" w:hanging="360"/>
      </w:pPr>
      <w:rPr>
        <w:rFonts w:ascii="Courier New" w:hAnsi="Courier New" w:cs="Courier New" w:hint="default"/>
      </w:rPr>
    </w:lvl>
    <w:lvl w:ilvl="2" w:tplc="04090005" w:tentative="1">
      <w:start w:val="1"/>
      <w:numFmt w:val="bullet"/>
      <w:lvlText w:val=""/>
      <w:lvlJc w:val="left"/>
      <w:pPr>
        <w:ind w:left="2722" w:hanging="360"/>
      </w:pPr>
      <w:rPr>
        <w:rFonts w:ascii="Wingdings" w:hAnsi="Wingdings" w:hint="default"/>
      </w:rPr>
    </w:lvl>
    <w:lvl w:ilvl="3" w:tplc="04090001" w:tentative="1">
      <w:start w:val="1"/>
      <w:numFmt w:val="bullet"/>
      <w:lvlText w:val=""/>
      <w:lvlJc w:val="left"/>
      <w:pPr>
        <w:ind w:left="3442" w:hanging="360"/>
      </w:pPr>
      <w:rPr>
        <w:rFonts w:ascii="Symbol" w:hAnsi="Symbol" w:hint="default"/>
      </w:rPr>
    </w:lvl>
    <w:lvl w:ilvl="4" w:tplc="04090003" w:tentative="1">
      <w:start w:val="1"/>
      <w:numFmt w:val="bullet"/>
      <w:lvlText w:val="o"/>
      <w:lvlJc w:val="left"/>
      <w:pPr>
        <w:ind w:left="4162" w:hanging="360"/>
      </w:pPr>
      <w:rPr>
        <w:rFonts w:ascii="Courier New" w:hAnsi="Courier New" w:cs="Courier New" w:hint="default"/>
      </w:rPr>
    </w:lvl>
    <w:lvl w:ilvl="5" w:tplc="04090005" w:tentative="1">
      <w:start w:val="1"/>
      <w:numFmt w:val="bullet"/>
      <w:lvlText w:val=""/>
      <w:lvlJc w:val="left"/>
      <w:pPr>
        <w:ind w:left="4882" w:hanging="360"/>
      </w:pPr>
      <w:rPr>
        <w:rFonts w:ascii="Wingdings" w:hAnsi="Wingdings" w:hint="default"/>
      </w:rPr>
    </w:lvl>
    <w:lvl w:ilvl="6" w:tplc="04090001" w:tentative="1">
      <w:start w:val="1"/>
      <w:numFmt w:val="bullet"/>
      <w:lvlText w:val=""/>
      <w:lvlJc w:val="left"/>
      <w:pPr>
        <w:ind w:left="5602" w:hanging="360"/>
      </w:pPr>
      <w:rPr>
        <w:rFonts w:ascii="Symbol" w:hAnsi="Symbol" w:hint="default"/>
      </w:rPr>
    </w:lvl>
    <w:lvl w:ilvl="7" w:tplc="04090003" w:tentative="1">
      <w:start w:val="1"/>
      <w:numFmt w:val="bullet"/>
      <w:lvlText w:val="o"/>
      <w:lvlJc w:val="left"/>
      <w:pPr>
        <w:ind w:left="6322" w:hanging="360"/>
      </w:pPr>
      <w:rPr>
        <w:rFonts w:ascii="Courier New" w:hAnsi="Courier New" w:cs="Courier New" w:hint="default"/>
      </w:rPr>
    </w:lvl>
    <w:lvl w:ilvl="8" w:tplc="04090005" w:tentative="1">
      <w:start w:val="1"/>
      <w:numFmt w:val="bullet"/>
      <w:lvlText w:val=""/>
      <w:lvlJc w:val="left"/>
      <w:pPr>
        <w:ind w:left="7042" w:hanging="360"/>
      </w:pPr>
      <w:rPr>
        <w:rFonts w:ascii="Wingdings" w:hAnsi="Wingdings" w:hint="default"/>
      </w:rPr>
    </w:lvl>
  </w:abstractNum>
  <w:abstractNum w:abstractNumId="8">
    <w:nsid w:val="2E2D2B47"/>
    <w:multiLevelType w:val="hybridMultilevel"/>
    <w:tmpl w:val="EA2ADA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318E4E64"/>
    <w:multiLevelType w:val="hybridMultilevel"/>
    <w:tmpl w:val="541C4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5D15664"/>
    <w:multiLevelType w:val="multilevel"/>
    <w:tmpl w:val="1E0AA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9110034"/>
    <w:multiLevelType w:val="hybridMultilevel"/>
    <w:tmpl w:val="FAB47F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3E2000FC"/>
    <w:multiLevelType w:val="hybridMultilevel"/>
    <w:tmpl w:val="EAF689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3EB2772E"/>
    <w:multiLevelType w:val="hybridMultilevel"/>
    <w:tmpl w:val="BF885AF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D942F8B"/>
    <w:multiLevelType w:val="hybridMultilevel"/>
    <w:tmpl w:val="3B545AF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1AF429D"/>
    <w:multiLevelType w:val="hybridMultilevel"/>
    <w:tmpl w:val="7214C4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65176875"/>
    <w:multiLevelType w:val="hybridMultilevel"/>
    <w:tmpl w:val="6164B56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nsid w:val="655775B8"/>
    <w:multiLevelType w:val="hybridMultilevel"/>
    <w:tmpl w:val="B5342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65933A7"/>
    <w:multiLevelType w:val="hybridMultilevel"/>
    <w:tmpl w:val="798C75EA"/>
    <w:lvl w:ilvl="0" w:tplc="04090001">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19">
    <w:nsid w:val="68B11803"/>
    <w:multiLevelType w:val="hybridMultilevel"/>
    <w:tmpl w:val="B4C0C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0C344D9"/>
    <w:multiLevelType w:val="hybridMultilevel"/>
    <w:tmpl w:val="9E4E7D78"/>
    <w:lvl w:ilvl="0" w:tplc="47E6A580">
      <w:start w:val="1"/>
      <w:numFmt w:val="decimal"/>
      <w:lvlText w:val="%1."/>
      <w:lvlJc w:val="left"/>
      <w:pPr>
        <w:ind w:left="1770" w:hanging="105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70D01B3D"/>
    <w:multiLevelType w:val="hybridMultilevel"/>
    <w:tmpl w:val="51DCD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4E132FF"/>
    <w:multiLevelType w:val="hybridMultilevel"/>
    <w:tmpl w:val="47FAAA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7AC594A"/>
    <w:multiLevelType w:val="hybridMultilevel"/>
    <w:tmpl w:val="7932D2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7EAF4D93"/>
    <w:multiLevelType w:val="hybridMultilevel"/>
    <w:tmpl w:val="A398A840"/>
    <w:lvl w:ilvl="0" w:tplc="04270001">
      <w:start w:val="1"/>
      <w:numFmt w:val="bullet"/>
      <w:lvlText w:val=""/>
      <w:lvlJc w:val="left"/>
      <w:pPr>
        <w:ind w:left="765" w:hanging="360"/>
      </w:pPr>
      <w:rPr>
        <w:rFonts w:ascii="Symbol" w:hAnsi="Symbol" w:hint="default"/>
      </w:rPr>
    </w:lvl>
    <w:lvl w:ilvl="1" w:tplc="04270003" w:tentative="1">
      <w:start w:val="1"/>
      <w:numFmt w:val="bullet"/>
      <w:lvlText w:val="o"/>
      <w:lvlJc w:val="left"/>
      <w:pPr>
        <w:ind w:left="1485" w:hanging="360"/>
      </w:pPr>
      <w:rPr>
        <w:rFonts w:ascii="Courier New" w:hAnsi="Courier New" w:cs="Courier New" w:hint="default"/>
      </w:rPr>
    </w:lvl>
    <w:lvl w:ilvl="2" w:tplc="04270005" w:tentative="1">
      <w:start w:val="1"/>
      <w:numFmt w:val="bullet"/>
      <w:lvlText w:val=""/>
      <w:lvlJc w:val="left"/>
      <w:pPr>
        <w:ind w:left="2205" w:hanging="360"/>
      </w:pPr>
      <w:rPr>
        <w:rFonts w:ascii="Wingdings" w:hAnsi="Wingdings" w:hint="default"/>
      </w:rPr>
    </w:lvl>
    <w:lvl w:ilvl="3" w:tplc="04270001" w:tentative="1">
      <w:start w:val="1"/>
      <w:numFmt w:val="bullet"/>
      <w:lvlText w:val=""/>
      <w:lvlJc w:val="left"/>
      <w:pPr>
        <w:ind w:left="2925" w:hanging="360"/>
      </w:pPr>
      <w:rPr>
        <w:rFonts w:ascii="Symbol" w:hAnsi="Symbol" w:hint="default"/>
      </w:rPr>
    </w:lvl>
    <w:lvl w:ilvl="4" w:tplc="04270003" w:tentative="1">
      <w:start w:val="1"/>
      <w:numFmt w:val="bullet"/>
      <w:lvlText w:val="o"/>
      <w:lvlJc w:val="left"/>
      <w:pPr>
        <w:ind w:left="3645" w:hanging="360"/>
      </w:pPr>
      <w:rPr>
        <w:rFonts w:ascii="Courier New" w:hAnsi="Courier New" w:cs="Courier New" w:hint="default"/>
      </w:rPr>
    </w:lvl>
    <w:lvl w:ilvl="5" w:tplc="04270005" w:tentative="1">
      <w:start w:val="1"/>
      <w:numFmt w:val="bullet"/>
      <w:lvlText w:val=""/>
      <w:lvlJc w:val="left"/>
      <w:pPr>
        <w:ind w:left="4365" w:hanging="360"/>
      </w:pPr>
      <w:rPr>
        <w:rFonts w:ascii="Wingdings" w:hAnsi="Wingdings" w:hint="default"/>
      </w:rPr>
    </w:lvl>
    <w:lvl w:ilvl="6" w:tplc="04270001" w:tentative="1">
      <w:start w:val="1"/>
      <w:numFmt w:val="bullet"/>
      <w:lvlText w:val=""/>
      <w:lvlJc w:val="left"/>
      <w:pPr>
        <w:ind w:left="5085" w:hanging="360"/>
      </w:pPr>
      <w:rPr>
        <w:rFonts w:ascii="Symbol" w:hAnsi="Symbol" w:hint="default"/>
      </w:rPr>
    </w:lvl>
    <w:lvl w:ilvl="7" w:tplc="04270003" w:tentative="1">
      <w:start w:val="1"/>
      <w:numFmt w:val="bullet"/>
      <w:lvlText w:val="o"/>
      <w:lvlJc w:val="left"/>
      <w:pPr>
        <w:ind w:left="5805" w:hanging="360"/>
      </w:pPr>
      <w:rPr>
        <w:rFonts w:ascii="Courier New" w:hAnsi="Courier New" w:cs="Courier New" w:hint="default"/>
      </w:rPr>
    </w:lvl>
    <w:lvl w:ilvl="8" w:tplc="04270005" w:tentative="1">
      <w:start w:val="1"/>
      <w:numFmt w:val="bullet"/>
      <w:lvlText w:val=""/>
      <w:lvlJc w:val="left"/>
      <w:pPr>
        <w:ind w:left="6525" w:hanging="360"/>
      </w:pPr>
      <w:rPr>
        <w:rFonts w:ascii="Wingdings" w:hAnsi="Wingdings" w:hint="default"/>
      </w:rPr>
    </w:lvl>
  </w:abstractNum>
  <w:num w:numId="1">
    <w:abstractNumId w:val="24"/>
  </w:num>
  <w:num w:numId="2">
    <w:abstractNumId w:val="1"/>
  </w:num>
  <w:num w:numId="3">
    <w:abstractNumId w:val="16"/>
  </w:num>
  <w:num w:numId="4">
    <w:abstractNumId w:val="2"/>
  </w:num>
  <w:num w:numId="5">
    <w:abstractNumId w:val="7"/>
  </w:num>
  <w:num w:numId="6">
    <w:abstractNumId w:val="10"/>
  </w:num>
  <w:num w:numId="7">
    <w:abstractNumId w:val="9"/>
  </w:num>
  <w:num w:numId="8">
    <w:abstractNumId w:val="6"/>
  </w:num>
  <w:num w:numId="9">
    <w:abstractNumId w:val="13"/>
  </w:num>
  <w:num w:numId="10">
    <w:abstractNumId w:val="14"/>
  </w:num>
  <w:num w:numId="11">
    <w:abstractNumId w:val="8"/>
  </w:num>
  <w:num w:numId="12">
    <w:abstractNumId w:val="15"/>
  </w:num>
  <w:num w:numId="13">
    <w:abstractNumId w:val="0"/>
  </w:num>
  <w:num w:numId="14">
    <w:abstractNumId w:val="22"/>
  </w:num>
  <w:num w:numId="15">
    <w:abstractNumId w:val="18"/>
  </w:num>
  <w:num w:numId="16">
    <w:abstractNumId w:val="12"/>
  </w:num>
  <w:num w:numId="17">
    <w:abstractNumId w:val="4"/>
  </w:num>
  <w:num w:numId="18">
    <w:abstractNumId w:val="17"/>
  </w:num>
  <w:num w:numId="19">
    <w:abstractNumId w:val="21"/>
  </w:num>
  <w:num w:numId="20">
    <w:abstractNumId w:val="19"/>
  </w:num>
  <w:num w:numId="21">
    <w:abstractNumId w:val="11"/>
  </w:num>
  <w:num w:numId="22">
    <w:abstractNumId w:val="23"/>
  </w:num>
  <w:num w:numId="23">
    <w:abstractNumId w:val="20"/>
  </w:num>
  <w:num w:numId="24">
    <w:abstractNumId w:val="3"/>
  </w:num>
  <w:num w:numId="25">
    <w:abstractNumId w:val="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hideSpellingErrors/>
  <w:proofState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19EB"/>
    <w:rsid w:val="00000252"/>
    <w:rsid w:val="00000A6F"/>
    <w:rsid w:val="000031F3"/>
    <w:rsid w:val="00003E58"/>
    <w:rsid w:val="00013151"/>
    <w:rsid w:val="00013211"/>
    <w:rsid w:val="000160D3"/>
    <w:rsid w:val="0001707B"/>
    <w:rsid w:val="00021799"/>
    <w:rsid w:val="00021CDB"/>
    <w:rsid w:val="00024AD6"/>
    <w:rsid w:val="00024E14"/>
    <w:rsid w:val="00034927"/>
    <w:rsid w:val="00037187"/>
    <w:rsid w:val="0004101C"/>
    <w:rsid w:val="0004205E"/>
    <w:rsid w:val="00044B79"/>
    <w:rsid w:val="000513AB"/>
    <w:rsid w:val="000550EB"/>
    <w:rsid w:val="00057E1B"/>
    <w:rsid w:val="000610FE"/>
    <w:rsid w:val="00062C7A"/>
    <w:rsid w:val="00064BB8"/>
    <w:rsid w:val="00065284"/>
    <w:rsid w:val="0007290B"/>
    <w:rsid w:val="000731B7"/>
    <w:rsid w:val="00073B90"/>
    <w:rsid w:val="00074B88"/>
    <w:rsid w:val="00080178"/>
    <w:rsid w:val="000852CC"/>
    <w:rsid w:val="000A2164"/>
    <w:rsid w:val="000A5691"/>
    <w:rsid w:val="000B01C3"/>
    <w:rsid w:val="000C737B"/>
    <w:rsid w:val="000D1B96"/>
    <w:rsid w:val="000D32A1"/>
    <w:rsid w:val="000D4304"/>
    <w:rsid w:val="000D78AD"/>
    <w:rsid w:val="000E24C1"/>
    <w:rsid w:val="000E380F"/>
    <w:rsid w:val="000E529C"/>
    <w:rsid w:val="000E624D"/>
    <w:rsid w:val="000E6FB7"/>
    <w:rsid w:val="000E775E"/>
    <w:rsid w:val="000F289B"/>
    <w:rsid w:val="000F355E"/>
    <w:rsid w:val="000F3EDF"/>
    <w:rsid w:val="000F4034"/>
    <w:rsid w:val="000F5A25"/>
    <w:rsid w:val="000F5A55"/>
    <w:rsid w:val="00100F12"/>
    <w:rsid w:val="00102E26"/>
    <w:rsid w:val="001031CB"/>
    <w:rsid w:val="001039EC"/>
    <w:rsid w:val="0011437D"/>
    <w:rsid w:val="00114D5A"/>
    <w:rsid w:val="00114D8E"/>
    <w:rsid w:val="00116E3B"/>
    <w:rsid w:val="00117C34"/>
    <w:rsid w:val="001228A8"/>
    <w:rsid w:val="00123A63"/>
    <w:rsid w:val="00133835"/>
    <w:rsid w:val="00136BB6"/>
    <w:rsid w:val="001410ED"/>
    <w:rsid w:val="0014331B"/>
    <w:rsid w:val="001460D6"/>
    <w:rsid w:val="00146F6C"/>
    <w:rsid w:val="001503EE"/>
    <w:rsid w:val="0015507F"/>
    <w:rsid w:val="001622CD"/>
    <w:rsid w:val="001658CE"/>
    <w:rsid w:val="00166E99"/>
    <w:rsid w:val="001724E6"/>
    <w:rsid w:val="00172FFD"/>
    <w:rsid w:val="001740B1"/>
    <w:rsid w:val="001749A1"/>
    <w:rsid w:val="00176AC8"/>
    <w:rsid w:val="00176CB9"/>
    <w:rsid w:val="00180746"/>
    <w:rsid w:val="0018099A"/>
    <w:rsid w:val="0018127F"/>
    <w:rsid w:val="00181B0C"/>
    <w:rsid w:val="0018228E"/>
    <w:rsid w:val="00185C89"/>
    <w:rsid w:val="00186601"/>
    <w:rsid w:val="001878AB"/>
    <w:rsid w:val="001923FD"/>
    <w:rsid w:val="001942F9"/>
    <w:rsid w:val="00196410"/>
    <w:rsid w:val="001A095D"/>
    <w:rsid w:val="001A0F52"/>
    <w:rsid w:val="001A5B7D"/>
    <w:rsid w:val="001B05A8"/>
    <w:rsid w:val="001B1CC5"/>
    <w:rsid w:val="001B6480"/>
    <w:rsid w:val="001B70DA"/>
    <w:rsid w:val="001C248A"/>
    <w:rsid w:val="001C33A2"/>
    <w:rsid w:val="001D1AFC"/>
    <w:rsid w:val="001D3F2B"/>
    <w:rsid w:val="001E2050"/>
    <w:rsid w:val="001E3E76"/>
    <w:rsid w:val="00200BBA"/>
    <w:rsid w:val="00205FDE"/>
    <w:rsid w:val="00207418"/>
    <w:rsid w:val="002117FB"/>
    <w:rsid w:val="00213D04"/>
    <w:rsid w:val="00214203"/>
    <w:rsid w:val="00217008"/>
    <w:rsid w:val="00222D42"/>
    <w:rsid w:val="00223536"/>
    <w:rsid w:val="00226322"/>
    <w:rsid w:val="0022721E"/>
    <w:rsid w:val="0022778F"/>
    <w:rsid w:val="002309BB"/>
    <w:rsid w:val="00230E7B"/>
    <w:rsid w:val="00232F89"/>
    <w:rsid w:val="00233540"/>
    <w:rsid w:val="00233ED5"/>
    <w:rsid w:val="00234F06"/>
    <w:rsid w:val="00237B6E"/>
    <w:rsid w:val="00240316"/>
    <w:rsid w:val="00240C9F"/>
    <w:rsid w:val="00241C9E"/>
    <w:rsid w:val="00244D1D"/>
    <w:rsid w:val="00250F83"/>
    <w:rsid w:val="0025363F"/>
    <w:rsid w:val="00253DAD"/>
    <w:rsid w:val="00255CC9"/>
    <w:rsid w:val="00256E43"/>
    <w:rsid w:val="00264F9E"/>
    <w:rsid w:val="0027142D"/>
    <w:rsid w:val="0027355F"/>
    <w:rsid w:val="00281380"/>
    <w:rsid w:val="00284CA7"/>
    <w:rsid w:val="00291BCB"/>
    <w:rsid w:val="0029491B"/>
    <w:rsid w:val="0029680E"/>
    <w:rsid w:val="00296901"/>
    <w:rsid w:val="002A4977"/>
    <w:rsid w:val="002A50B6"/>
    <w:rsid w:val="002A7538"/>
    <w:rsid w:val="002B4143"/>
    <w:rsid w:val="002B73AD"/>
    <w:rsid w:val="002C0A56"/>
    <w:rsid w:val="002C0EBC"/>
    <w:rsid w:val="002C1897"/>
    <w:rsid w:val="002C5D47"/>
    <w:rsid w:val="002C6E5A"/>
    <w:rsid w:val="002C7F0F"/>
    <w:rsid w:val="002D0223"/>
    <w:rsid w:val="002D3F6B"/>
    <w:rsid w:val="002D5DB6"/>
    <w:rsid w:val="002D6B4C"/>
    <w:rsid w:val="002E1BF3"/>
    <w:rsid w:val="002E31A3"/>
    <w:rsid w:val="002E3544"/>
    <w:rsid w:val="002E6E82"/>
    <w:rsid w:val="002F1113"/>
    <w:rsid w:val="002F362A"/>
    <w:rsid w:val="002F4763"/>
    <w:rsid w:val="002F639B"/>
    <w:rsid w:val="002F64EF"/>
    <w:rsid w:val="002F6E45"/>
    <w:rsid w:val="00303039"/>
    <w:rsid w:val="00303754"/>
    <w:rsid w:val="00307606"/>
    <w:rsid w:val="00307673"/>
    <w:rsid w:val="00313B73"/>
    <w:rsid w:val="00316F27"/>
    <w:rsid w:val="00320292"/>
    <w:rsid w:val="003249E7"/>
    <w:rsid w:val="00325384"/>
    <w:rsid w:val="003261E4"/>
    <w:rsid w:val="003311B2"/>
    <w:rsid w:val="00336DBD"/>
    <w:rsid w:val="00336F9D"/>
    <w:rsid w:val="00340B18"/>
    <w:rsid w:val="00350253"/>
    <w:rsid w:val="00353A6F"/>
    <w:rsid w:val="00362EE9"/>
    <w:rsid w:val="0036463A"/>
    <w:rsid w:val="00371FCA"/>
    <w:rsid w:val="00372F42"/>
    <w:rsid w:val="00375A06"/>
    <w:rsid w:val="00376E59"/>
    <w:rsid w:val="003827A2"/>
    <w:rsid w:val="00382EA4"/>
    <w:rsid w:val="00386577"/>
    <w:rsid w:val="00387AE1"/>
    <w:rsid w:val="00387C0F"/>
    <w:rsid w:val="00390496"/>
    <w:rsid w:val="00390FB6"/>
    <w:rsid w:val="003910A3"/>
    <w:rsid w:val="003977D0"/>
    <w:rsid w:val="003A0A1D"/>
    <w:rsid w:val="003A187A"/>
    <w:rsid w:val="003A30EE"/>
    <w:rsid w:val="003A615E"/>
    <w:rsid w:val="003B1048"/>
    <w:rsid w:val="003B3CF0"/>
    <w:rsid w:val="003B624A"/>
    <w:rsid w:val="003B6DD8"/>
    <w:rsid w:val="003C04AF"/>
    <w:rsid w:val="003C50A0"/>
    <w:rsid w:val="003C6ACD"/>
    <w:rsid w:val="003D051E"/>
    <w:rsid w:val="003E26D8"/>
    <w:rsid w:val="003E52B4"/>
    <w:rsid w:val="003F17D0"/>
    <w:rsid w:val="003F2E12"/>
    <w:rsid w:val="004007A5"/>
    <w:rsid w:val="00406B91"/>
    <w:rsid w:val="00411B1F"/>
    <w:rsid w:val="00412F83"/>
    <w:rsid w:val="00413394"/>
    <w:rsid w:val="004152FB"/>
    <w:rsid w:val="004168AD"/>
    <w:rsid w:val="004174A9"/>
    <w:rsid w:val="00422459"/>
    <w:rsid w:val="004227C2"/>
    <w:rsid w:val="00422EDE"/>
    <w:rsid w:val="00423147"/>
    <w:rsid w:val="00423772"/>
    <w:rsid w:val="00424C17"/>
    <w:rsid w:val="00426245"/>
    <w:rsid w:val="00431B7E"/>
    <w:rsid w:val="004357EE"/>
    <w:rsid w:val="00440109"/>
    <w:rsid w:val="00443899"/>
    <w:rsid w:val="00443EED"/>
    <w:rsid w:val="00444642"/>
    <w:rsid w:val="00445AD9"/>
    <w:rsid w:val="004463A2"/>
    <w:rsid w:val="00446DF4"/>
    <w:rsid w:val="0044793B"/>
    <w:rsid w:val="004521A6"/>
    <w:rsid w:val="00452D18"/>
    <w:rsid w:val="004535A6"/>
    <w:rsid w:val="0045633A"/>
    <w:rsid w:val="00457590"/>
    <w:rsid w:val="004735B5"/>
    <w:rsid w:val="00475405"/>
    <w:rsid w:val="00482AF1"/>
    <w:rsid w:val="00485DE3"/>
    <w:rsid w:val="00487CE9"/>
    <w:rsid w:val="00493F8C"/>
    <w:rsid w:val="00497ADB"/>
    <w:rsid w:val="004A0805"/>
    <w:rsid w:val="004A1A97"/>
    <w:rsid w:val="004A2C6D"/>
    <w:rsid w:val="004A4EC1"/>
    <w:rsid w:val="004B1758"/>
    <w:rsid w:val="004B47A2"/>
    <w:rsid w:val="004C270A"/>
    <w:rsid w:val="004C536E"/>
    <w:rsid w:val="004D0C78"/>
    <w:rsid w:val="004D1D31"/>
    <w:rsid w:val="004D561D"/>
    <w:rsid w:val="004E2197"/>
    <w:rsid w:val="004E7EEB"/>
    <w:rsid w:val="004F5E1D"/>
    <w:rsid w:val="004F7281"/>
    <w:rsid w:val="00500E83"/>
    <w:rsid w:val="0050503B"/>
    <w:rsid w:val="0050591C"/>
    <w:rsid w:val="00505B60"/>
    <w:rsid w:val="00505D1D"/>
    <w:rsid w:val="00506EA1"/>
    <w:rsid w:val="00514973"/>
    <w:rsid w:val="00520DA9"/>
    <w:rsid w:val="00521E45"/>
    <w:rsid w:val="005232AB"/>
    <w:rsid w:val="00524AF9"/>
    <w:rsid w:val="00526632"/>
    <w:rsid w:val="0052785E"/>
    <w:rsid w:val="005333ED"/>
    <w:rsid w:val="005367A0"/>
    <w:rsid w:val="00536824"/>
    <w:rsid w:val="00537CF1"/>
    <w:rsid w:val="00541CA3"/>
    <w:rsid w:val="005445F7"/>
    <w:rsid w:val="00544BCB"/>
    <w:rsid w:val="0054632A"/>
    <w:rsid w:val="005469E1"/>
    <w:rsid w:val="00546E7C"/>
    <w:rsid w:val="005473FB"/>
    <w:rsid w:val="00553C92"/>
    <w:rsid w:val="00553DA9"/>
    <w:rsid w:val="005553D8"/>
    <w:rsid w:val="005607E4"/>
    <w:rsid w:val="00561AF0"/>
    <w:rsid w:val="00572183"/>
    <w:rsid w:val="00573E12"/>
    <w:rsid w:val="005744DF"/>
    <w:rsid w:val="00574EA3"/>
    <w:rsid w:val="00575ABB"/>
    <w:rsid w:val="00580E29"/>
    <w:rsid w:val="0058138C"/>
    <w:rsid w:val="005818EF"/>
    <w:rsid w:val="00583073"/>
    <w:rsid w:val="005841C9"/>
    <w:rsid w:val="00585445"/>
    <w:rsid w:val="0058570F"/>
    <w:rsid w:val="00592B75"/>
    <w:rsid w:val="00593149"/>
    <w:rsid w:val="00593253"/>
    <w:rsid w:val="005941F4"/>
    <w:rsid w:val="00594938"/>
    <w:rsid w:val="005A3A2B"/>
    <w:rsid w:val="005A46F3"/>
    <w:rsid w:val="005A55E8"/>
    <w:rsid w:val="005A5CD3"/>
    <w:rsid w:val="005A794C"/>
    <w:rsid w:val="005B4AF5"/>
    <w:rsid w:val="005B66A6"/>
    <w:rsid w:val="005C3483"/>
    <w:rsid w:val="005C631D"/>
    <w:rsid w:val="005C7FDE"/>
    <w:rsid w:val="005D16D8"/>
    <w:rsid w:val="005D22FD"/>
    <w:rsid w:val="005D4319"/>
    <w:rsid w:val="005D7576"/>
    <w:rsid w:val="005D78C6"/>
    <w:rsid w:val="005D7F3B"/>
    <w:rsid w:val="005E2C30"/>
    <w:rsid w:val="005E5151"/>
    <w:rsid w:val="005E5428"/>
    <w:rsid w:val="005E795B"/>
    <w:rsid w:val="005F090A"/>
    <w:rsid w:val="005F10DB"/>
    <w:rsid w:val="005F32AD"/>
    <w:rsid w:val="005F41B8"/>
    <w:rsid w:val="00600DAC"/>
    <w:rsid w:val="00602C5A"/>
    <w:rsid w:val="00612E3D"/>
    <w:rsid w:val="00615C09"/>
    <w:rsid w:val="00620537"/>
    <w:rsid w:val="0062344D"/>
    <w:rsid w:val="00626F91"/>
    <w:rsid w:val="006276CF"/>
    <w:rsid w:val="006312D0"/>
    <w:rsid w:val="006368DB"/>
    <w:rsid w:val="00637751"/>
    <w:rsid w:val="00646EFA"/>
    <w:rsid w:val="00647ADA"/>
    <w:rsid w:val="00653DE1"/>
    <w:rsid w:val="006547F5"/>
    <w:rsid w:val="00656466"/>
    <w:rsid w:val="006567D1"/>
    <w:rsid w:val="00660CFE"/>
    <w:rsid w:val="006663AA"/>
    <w:rsid w:val="006673BC"/>
    <w:rsid w:val="006710B8"/>
    <w:rsid w:val="006729B3"/>
    <w:rsid w:val="00672BDC"/>
    <w:rsid w:val="00674D00"/>
    <w:rsid w:val="00674F33"/>
    <w:rsid w:val="00675AEB"/>
    <w:rsid w:val="00680507"/>
    <w:rsid w:val="00682259"/>
    <w:rsid w:val="00684009"/>
    <w:rsid w:val="00686F33"/>
    <w:rsid w:val="00690747"/>
    <w:rsid w:val="006927B0"/>
    <w:rsid w:val="00694D7A"/>
    <w:rsid w:val="00695D69"/>
    <w:rsid w:val="0069772C"/>
    <w:rsid w:val="00697CEF"/>
    <w:rsid w:val="00697F87"/>
    <w:rsid w:val="006A1BB4"/>
    <w:rsid w:val="006A2D3C"/>
    <w:rsid w:val="006A32F8"/>
    <w:rsid w:val="006A5E26"/>
    <w:rsid w:val="006A754C"/>
    <w:rsid w:val="006B5B24"/>
    <w:rsid w:val="006B7152"/>
    <w:rsid w:val="006C097F"/>
    <w:rsid w:val="006C3425"/>
    <w:rsid w:val="006C49F7"/>
    <w:rsid w:val="006C5937"/>
    <w:rsid w:val="006C5A81"/>
    <w:rsid w:val="006C7936"/>
    <w:rsid w:val="006D4446"/>
    <w:rsid w:val="006D5017"/>
    <w:rsid w:val="006D7635"/>
    <w:rsid w:val="006D7D89"/>
    <w:rsid w:val="006E18A5"/>
    <w:rsid w:val="006E1AC2"/>
    <w:rsid w:val="006E20EB"/>
    <w:rsid w:val="006F072A"/>
    <w:rsid w:val="006F0891"/>
    <w:rsid w:val="006F0A6F"/>
    <w:rsid w:val="006F44C6"/>
    <w:rsid w:val="006F5881"/>
    <w:rsid w:val="007024FA"/>
    <w:rsid w:val="00702A9A"/>
    <w:rsid w:val="00702F50"/>
    <w:rsid w:val="007058B0"/>
    <w:rsid w:val="007120D3"/>
    <w:rsid w:val="00714F63"/>
    <w:rsid w:val="0071563E"/>
    <w:rsid w:val="0071650E"/>
    <w:rsid w:val="007260E5"/>
    <w:rsid w:val="00730B98"/>
    <w:rsid w:val="00730FAC"/>
    <w:rsid w:val="0073127B"/>
    <w:rsid w:val="00734D04"/>
    <w:rsid w:val="00735175"/>
    <w:rsid w:val="00737B66"/>
    <w:rsid w:val="00737BB7"/>
    <w:rsid w:val="00744E41"/>
    <w:rsid w:val="0074745A"/>
    <w:rsid w:val="0074761A"/>
    <w:rsid w:val="007477F7"/>
    <w:rsid w:val="00747C63"/>
    <w:rsid w:val="0075026F"/>
    <w:rsid w:val="0075136E"/>
    <w:rsid w:val="007539C3"/>
    <w:rsid w:val="007550B1"/>
    <w:rsid w:val="00763DFF"/>
    <w:rsid w:val="00765333"/>
    <w:rsid w:val="00767D66"/>
    <w:rsid w:val="00770306"/>
    <w:rsid w:val="007714C4"/>
    <w:rsid w:val="007762CB"/>
    <w:rsid w:val="00776B55"/>
    <w:rsid w:val="00780066"/>
    <w:rsid w:val="00781AEB"/>
    <w:rsid w:val="00783165"/>
    <w:rsid w:val="00784AA0"/>
    <w:rsid w:val="00785117"/>
    <w:rsid w:val="0079157A"/>
    <w:rsid w:val="00797F97"/>
    <w:rsid w:val="007A10D7"/>
    <w:rsid w:val="007A17A0"/>
    <w:rsid w:val="007A26F3"/>
    <w:rsid w:val="007A3903"/>
    <w:rsid w:val="007B21F5"/>
    <w:rsid w:val="007B2BCF"/>
    <w:rsid w:val="007B3574"/>
    <w:rsid w:val="007B4FBD"/>
    <w:rsid w:val="007B7E46"/>
    <w:rsid w:val="007C0263"/>
    <w:rsid w:val="007C2340"/>
    <w:rsid w:val="007C3883"/>
    <w:rsid w:val="007C3B56"/>
    <w:rsid w:val="007C5682"/>
    <w:rsid w:val="007D05A2"/>
    <w:rsid w:val="007D2A37"/>
    <w:rsid w:val="007D57DF"/>
    <w:rsid w:val="007D673B"/>
    <w:rsid w:val="007D6838"/>
    <w:rsid w:val="007E14FC"/>
    <w:rsid w:val="007E79B7"/>
    <w:rsid w:val="007F3937"/>
    <w:rsid w:val="007F5077"/>
    <w:rsid w:val="007F5568"/>
    <w:rsid w:val="007F61BD"/>
    <w:rsid w:val="0080000F"/>
    <w:rsid w:val="00805804"/>
    <w:rsid w:val="00807BE8"/>
    <w:rsid w:val="00807CBF"/>
    <w:rsid w:val="00816B8D"/>
    <w:rsid w:val="00824362"/>
    <w:rsid w:val="00824D82"/>
    <w:rsid w:val="00825A49"/>
    <w:rsid w:val="00827930"/>
    <w:rsid w:val="0083240E"/>
    <w:rsid w:val="00837F24"/>
    <w:rsid w:val="00844BF1"/>
    <w:rsid w:val="00846A32"/>
    <w:rsid w:val="00851064"/>
    <w:rsid w:val="0085166C"/>
    <w:rsid w:val="008529F0"/>
    <w:rsid w:val="00855841"/>
    <w:rsid w:val="00855939"/>
    <w:rsid w:val="0086042B"/>
    <w:rsid w:val="00861C41"/>
    <w:rsid w:val="00865D54"/>
    <w:rsid w:val="008677C8"/>
    <w:rsid w:val="008718CD"/>
    <w:rsid w:val="00871D36"/>
    <w:rsid w:val="0087292B"/>
    <w:rsid w:val="00873A00"/>
    <w:rsid w:val="00873DC4"/>
    <w:rsid w:val="00877E67"/>
    <w:rsid w:val="00880BC7"/>
    <w:rsid w:val="00884587"/>
    <w:rsid w:val="00885B52"/>
    <w:rsid w:val="008864B1"/>
    <w:rsid w:val="00887CAE"/>
    <w:rsid w:val="00890528"/>
    <w:rsid w:val="00891A76"/>
    <w:rsid w:val="0089369E"/>
    <w:rsid w:val="00894044"/>
    <w:rsid w:val="008960D6"/>
    <w:rsid w:val="008972D3"/>
    <w:rsid w:val="008A1711"/>
    <w:rsid w:val="008A7908"/>
    <w:rsid w:val="008B1F51"/>
    <w:rsid w:val="008B4BFC"/>
    <w:rsid w:val="008C1336"/>
    <w:rsid w:val="008C1DD6"/>
    <w:rsid w:val="008C40D3"/>
    <w:rsid w:val="008C4BAC"/>
    <w:rsid w:val="008C5DDA"/>
    <w:rsid w:val="008D0149"/>
    <w:rsid w:val="008D0A73"/>
    <w:rsid w:val="008D3508"/>
    <w:rsid w:val="008D4599"/>
    <w:rsid w:val="008D5143"/>
    <w:rsid w:val="008E1A38"/>
    <w:rsid w:val="008E4AF8"/>
    <w:rsid w:val="008E5474"/>
    <w:rsid w:val="008E76D5"/>
    <w:rsid w:val="008E7B1E"/>
    <w:rsid w:val="008F1251"/>
    <w:rsid w:val="008F1E95"/>
    <w:rsid w:val="008F450C"/>
    <w:rsid w:val="008F513B"/>
    <w:rsid w:val="00903E6E"/>
    <w:rsid w:val="0090626C"/>
    <w:rsid w:val="00906D84"/>
    <w:rsid w:val="009117DB"/>
    <w:rsid w:val="00912086"/>
    <w:rsid w:val="00914166"/>
    <w:rsid w:val="00917ACD"/>
    <w:rsid w:val="00920201"/>
    <w:rsid w:val="00923114"/>
    <w:rsid w:val="00934203"/>
    <w:rsid w:val="00936E98"/>
    <w:rsid w:val="00940267"/>
    <w:rsid w:val="00943EB6"/>
    <w:rsid w:val="00945276"/>
    <w:rsid w:val="00950EA1"/>
    <w:rsid w:val="009522DF"/>
    <w:rsid w:val="00952744"/>
    <w:rsid w:val="00953503"/>
    <w:rsid w:val="00953B18"/>
    <w:rsid w:val="009540CC"/>
    <w:rsid w:val="00955BF5"/>
    <w:rsid w:val="00956C81"/>
    <w:rsid w:val="00960705"/>
    <w:rsid w:val="009621FA"/>
    <w:rsid w:val="00964D5D"/>
    <w:rsid w:val="0096508C"/>
    <w:rsid w:val="00970285"/>
    <w:rsid w:val="009732E2"/>
    <w:rsid w:val="00977B4F"/>
    <w:rsid w:val="0098018D"/>
    <w:rsid w:val="00980854"/>
    <w:rsid w:val="0098401F"/>
    <w:rsid w:val="00986D78"/>
    <w:rsid w:val="00987DAC"/>
    <w:rsid w:val="009903EA"/>
    <w:rsid w:val="009924B5"/>
    <w:rsid w:val="00995D49"/>
    <w:rsid w:val="00996C09"/>
    <w:rsid w:val="009A06AB"/>
    <w:rsid w:val="009A0A55"/>
    <w:rsid w:val="009A1242"/>
    <w:rsid w:val="009A204B"/>
    <w:rsid w:val="009A4AB9"/>
    <w:rsid w:val="009A5DC2"/>
    <w:rsid w:val="009B2AF9"/>
    <w:rsid w:val="009C0D7B"/>
    <w:rsid w:val="009C48D0"/>
    <w:rsid w:val="009C5E85"/>
    <w:rsid w:val="009C67B1"/>
    <w:rsid w:val="009D1972"/>
    <w:rsid w:val="009D3FBA"/>
    <w:rsid w:val="009D43C7"/>
    <w:rsid w:val="009E631E"/>
    <w:rsid w:val="009F7BCD"/>
    <w:rsid w:val="00A005F3"/>
    <w:rsid w:val="00A0151E"/>
    <w:rsid w:val="00A037CB"/>
    <w:rsid w:val="00A04E58"/>
    <w:rsid w:val="00A15473"/>
    <w:rsid w:val="00A16588"/>
    <w:rsid w:val="00A17E95"/>
    <w:rsid w:val="00A204BB"/>
    <w:rsid w:val="00A22400"/>
    <w:rsid w:val="00A27A9E"/>
    <w:rsid w:val="00A3107B"/>
    <w:rsid w:val="00A31D10"/>
    <w:rsid w:val="00A3587A"/>
    <w:rsid w:val="00A4136A"/>
    <w:rsid w:val="00A41672"/>
    <w:rsid w:val="00A42146"/>
    <w:rsid w:val="00A43242"/>
    <w:rsid w:val="00A47FB8"/>
    <w:rsid w:val="00A5328E"/>
    <w:rsid w:val="00A6021A"/>
    <w:rsid w:val="00A61292"/>
    <w:rsid w:val="00A61C06"/>
    <w:rsid w:val="00A62E8A"/>
    <w:rsid w:val="00A637DA"/>
    <w:rsid w:val="00A70442"/>
    <w:rsid w:val="00A73859"/>
    <w:rsid w:val="00A755CB"/>
    <w:rsid w:val="00A81AD2"/>
    <w:rsid w:val="00A81F02"/>
    <w:rsid w:val="00A824E0"/>
    <w:rsid w:val="00A826F1"/>
    <w:rsid w:val="00A8529F"/>
    <w:rsid w:val="00A859F3"/>
    <w:rsid w:val="00A953D7"/>
    <w:rsid w:val="00AA5A3F"/>
    <w:rsid w:val="00AB1263"/>
    <w:rsid w:val="00AB7738"/>
    <w:rsid w:val="00AC2499"/>
    <w:rsid w:val="00AC57FA"/>
    <w:rsid w:val="00AC69FE"/>
    <w:rsid w:val="00AD0A77"/>
    <w:rsid w:val="00AD213B"/>
    <w:rsid w:val="00AD6ACB"/>
    <w:rsid w:val="00AD7523"/>
    <w:rsid w:val="00AD784F"/>
    <w:rsid w:val="00AE5A49"/>
    <w:rsid w:val="00AE7BDC"/>
    <w:rsid w:val="00AF6090"/>
    <w:rsid w:val="00AF693D"/>
    <w:rsid w:val="00AF70D6"/>
    <w:rsid w:val="00AF74D5"/>
    <w:rsid w:val="00B00A7E"/>
    <w:rsid w:val="00B0106A"/>
    <w:rsid w:val="00B013C3"/>
    <w:rsid w:val="00B02B60"/>
    <w:rsid w:val="00B02C09"/>
    <w:rsid w:val="00B042C2"/>
    <w:rsid w:val="00B06443"/>
    <w:rsid w:val="00B14D32"/>
    <w:rsid w:val="00B15F51"/>
    <w:rsid w:val="00B22A3D"/>
    <w:rsid w:val="00B23BB8"/>
    <w:rsid w:val="00B23FAB"/>
    <w:rsid w:val="00B2488D"/>
    <w:rsid w:val="00B26402"/>
    <w:rsid w:val="00B31D32"/>
    <w:rsid w:val="00B36867"/>
    <w:rsid w:val="00B375C0"/>
    <w:rsid w:val="00B418B0"/>
    <w:rsid w:val="00B4194F"/>
    <w:rsid w:val="00B474A5"/>
    <w:rsid w:val="00B509D1"/>
    <w:rsid w:val="00B51233"/>
    <w:rsid w:val="00B51FF7"/>
    <w:rsid w:val="00B55FD9"/>
    <w:rsid w:val="00B56A67"/>
    <w:rsid w:val="00B60DCB"/>
    <w:rsid w:val="00B659BB"/>
    <w:rsid w:val="00B67C86"/>
    <w:rsid w:val="00B737DF"/>
    <w:rsid w:val="00B7543A"/>
    <w:rsid w:val="00B7584B"/>
    <w:rsid w:val="00B7763A"/>
    <w:rsid w:val="00B80043"/>
    <w:rsid w:val="00B8038B"/>
    <w:rsid w:val="00B8492D"/>
    <w:rsid w:val="00B85001"/>
    <w:rsid w:val="00B95BD9"/>
    <w:rsid w:val="00B97AB2"/>
    <w:rsid w:val="00BA1B64"/>
    <w:rsid w:val="00BA2DFB"/>
    <w:rsid w:val="00BA57FF"/>
    <w:rsid w:val="00BB14AA"/>
    <w:rsid w:val="00BB2142"/>
    <w:rsid w:val="00BB40FB"/>
    <w:rsid w:val="00BB6BC9"/>
    <w:rsid w:val="00BB7CCE"/>
    <w:rsid w:val="00BC174D"/>
    <w:rsid w:val="00BC4FD1"/>
    <w:rsid w:val="00BC54D4"/>
    <w:rsid w:val="00BC763D"/>
    <w:rsid w:val="00BC7DCF"/>
    <w:rsid w:val="00BD07D3"/>
    <w:rsid w:val="00BD7C74"/>
    <w:rsid w:val="00BD7D17"/>
    <w:rsid w:val="00BD7D47"/>
    <w:rsid w:val="00BE3B3B"/>
    <w:rsid w:val="00BE7214"/>
    <w:rsid w:val="00C0658F"/>
    <w:rsid w:val="00C07F9D"/>
    <w:rsid w:val="00C100B5"/>
    <w:rsid w:val="00C1037A"/>
    <w:rsid w:val="00C107C3"/>
    <w:rsid w:val="00C13D2C"/>
    <w:rsid w:val="00C13F18"/>
    <w:rsid w:val="00C17102"/>
    <w:rsid w:val="00C1743C"/>
    <w:rsid w:val="00C219EB"/>
    <w:rsid w:val="00C2248E"/>
    <w:rsid w:val="00C2249C"/>
    <w:rsid w:val="00C229E3"/>
    <w:rsid w:val="00C248ED"/>
    <w:rsid w:val="00C2628C"/>
    <w:rsid w:val="00C26925"/>
    <w:rsid w:val="00C3061E"/>
    <w:rsid w:val="00C32F91"/>
    <w:rsid w:val="00C32FE3"/>
    <w:rsid w:val="00C353FB"/>
    <w:rsid w:val="00C37E4C"/>
    <w:rsid w:val="00C402C1"/>
    <w:rsid w:val="00C4065A"/>
    <w:rsid w:val="00C43066"/>
    <w:rsid w:val="00C44B59"/>
    <w:rsid w:val="00C514F7"/>
    <w:rsid w:val="00C51540"/>
    <w:rsid w:val="00C5422E"/>
    <w:rsid w:val="00C55626"/>
    <w:rsid w:val="00C556A5"/>
    <w:rsid w:val="00C57715"/>
    <w:rsid w:val="00C60427"/>
    <w:rsid w:val="00C62571"/>
    <w:rsid w:val="00C65378"/>
    <w:rsid w:val="00C70455"/>
    <w:rsid w:val="00C70EA2"/>
    <w:rsid w:val="00C723A0"/>
    <w:rsid w:val="00C72B04"/>
    <w:rsid w:val="00C74843"/>
    <w:rsid w:val="00C77147"/>
    <w:rsid w:val="00C83414"/>
    <w:rsid w:val="00C84672"/>
    <w:rsid w:val="00C8612C"/>
    <w:rsid w:val="00C872B4"/>
    <w:rsid w:val="00C87D68"/>
    <w:rsid w:val="00C87E80"/>
    <w:rsid w:val="00C9344A"/>
    <w:rsid w:val="00C957C3"/>
    <w:rsid w:val="00C96EB3"/>
    <w:rsid w:val="00CA14C4"/>
    <w:rsid w:val="00CA45A5"/>
    <w:rsid w:val="00CA543E"/>
    <w:rsid w:val="00CA6AE8"/>
    <w:rsid w:val="00CB0757"/>
    <w:rsid w:val="00CB1B1F"/>
    <w:rsid w:val="00CB1D1E"/>
    <w:rsid w:val="00CC565B"/>
    <w:rsid w:val="00CC759C"/>
    <w:rsid w:val="00CD053D"/>
    <w:rsid w:val="00CD6366"/>
    <w:rsid w:val="00CD67F9"/>
    <w:rsid w:val="00CE1C8B"/>
    <w:rsid w:val="00CE373F"/>
    <w:rsid w:val="00CE3EBB"/>
    <w:rsid w:val="00CF67C4"/>
    <w:rsid w:val="00CF7F36"/>
    <w:rsid w:val="00D01880"/>
    <w:rsid w:val="00D02952"/>
    <w:rsid w:val="00D03B02"/>
    <w:rsid w:val="00D05D1E"/>
    <w:rsid w:val="00D065AA"/>
    <w:rsid w:val="00D11552"/>
    <w:rsid w:val="00D1258B"/>
    <w:rsid w:val="00D13152"/>
    <w:rsid w:val="00D13C74"/>
    <w:rsid w:val="00D14552"/>
    <w:rsid w:val="00D16E2A"/>
    <w:rsid w:val="00D16FF9"/>
    <w:rsid w:val="00D2065C"/>
    <w:rsid w:val="00D214A2"/>
    <w:rsid w:val="00D27093"/>
    <w:rsid w:val="00D326DD"/>
    <w:rsid w:val="00D328F6"/>
    <w:rsid w:val="00D34396"/>
    <w:rsid w:val="00D352C7"/>
    <w:rsid w:val="00D41991"/>
    <w:rsid w:val="00D41A8E"/>
    <w:rsid w:val="00D428F6"/>
    <w:rsid w:val="00D44D62"/>
    <w:rsid w:val="00D45266"/>
    <w:rsid w:val="00D46406"/>
    <w:rsid w:val="00D534D6"/>
    <w:rsid w:val="00D540DC"/>
    <w:rsid w:val="00D554EF"/>
    <w:rsid w:val="00D55D3A"/>
    <w:rsid w:val="00D57172"/>
    <w:rsid w:val="00D63C9E"/>
    <w:rsid w:val="00D64650"/>
    <w:rsid w:val="00D73597"/>
    <w:rsid w:val="00D735C5"/>
    <w:rsid w:val="00D76298"/>
    <w:rsid w:val="00D82B52"/>
    <w:rsid w:val="00D858EA"/>
    <w:rsid w:val="00D87419"/>
    <w:rsid w:val="00D904CB"/>
    <w:rsid w:val="00D92DBB"/>
    <w:rsid w:val="00D95018"/>
    <w:rsid w:val="00D95E2A"/>
    <w:rsid w:val="00DA007E"/>
    <w:rsid w:val="00DA2839"/>
    <w:rsid w:val="00DA3BDA"/>
    <w:rsid w:val="00DA7A69"/>
    <w:rsid w:val="00DB0888"/>
    <w:rsid w:val="00DB242B"/>
    <w:rsid w:val="00DB430F"/>
    <w:rsid w:val="00DB4A67"/>
    <w:rsid w:val="00DB76F6"/>
    <w:rsid w:val="00DC2E8B"/>
    <w:rsid w:val="00DC36B5"/>
    <w:rsid w:val="00DC5BAB"/>
    <w:rsid w:val="00DC62A8"/>
    <w:rsid w:val="00DC6DD8"/>
    <w:rsid w:val="00DC747E"/>
    <w:rsid w:val="00DD1E81"/>
    <w:rsid w:val="00DE45AC"/>
    <w:rsid w:val="00DE4F51"/>
    <w:rsid w:val="00DE7908"/>
    <w:rsid w:val="00DF0D9F"/>
    <w:rsid w:val="00DF20DC"/>
    <w:rsid w:val="00DF3523"/>
    <w:rsid w:val="00E02084"/>
    <w:rsid w:val="00E03AEA"/>
    <w:rsid w:val="00E059D5"/>
    <w:rsid w:val="00E06981"/>
    <w:rsid w:val="00E1211D"/>
    <w:rsid w:val="00E2442B"/>
    <w:rsid w:val="00E24CB8"/>
    <w:rsid w:val="00E265A2"/>
    <w:rsid w:val="00E26D74"/>
    <w:rsid w:val="00E313F8"/>
    <w:rsid w:val="00E332B4"/>
    <w:rsid w:val="00E344D9"/>
    <w:rsid w:val="00E34B7C"/>
    <w:rsid w:val="00E4218B"/>
    <w:rsid w:val="00E45BDE"/>
    <w:rsid w:val="00E479F8"/>
    <w:rsid w:val="00E47ECC"/>
    <w:rsid w:val="00E51DBD"/>
    <w:rsid w:val="00E52761"/>
    <w:rsid w:val="00E53289"/>
    <w:rsid w:val="00E53A4C"/>
    <w:rsid w:val="00E55270"/>
    <w:rsid w:val="00E62073"/>
    <w:rsid w:val="00E6617F"/>
    <w:rsid w:val="00E664FD"/>
    <w:rsid w:val="00E74327"/>
    <w:rsid w:val="00E8188C"/>
    <w:rsid w:val="00E879AC"/>
    <w:rsid w:val="00E90491"/>
    <w:rsid w:val="00E91E87"/>
    <w:rsid w:val="00E94614"/>
    <w:rsid w:val="00E95D4A"/>
    <w:rsid w:val="00E97780"/>
    <w:rsid w:val="00EA05FE"/>
    <w:rsid w:val="00EA3C56"/>
    <w:rsid w:val="00EA413F"/>
    <w:rsid w:val="00EA79F1"/>
    <w:rsid w:val="00EB5455"/>
    <w:rsid w:val="00EB74BD"/>
    <w:rsid w:val="00EC18F9"/>
    <w:rsid w:val="00EC37DC"/>
    <w:rsid w:val="00EC5900"/>
    <w:rsid w:val="00ED0A1C"/>
    <w:rsid w:val="00ED0D1D"/>
    <w:rsid w:val="00ED2C8D"/>
    <w:rsid w:val="00ED4EDE"/>
    <w:rsid w:val="00ED57AC"/>
    <w:rsid w:val="00EE094C"/>
    <w:rsid w:val="00EE3408"/>
    <w:rsid w:val="00EE4556"/>
    <w:rsid w:val="00EE54D9"/>
    <w:rsid w:val="00EF40D0"/>
    <w:rsid w:val="00EF453C"/>
    <w:rsid w:val="00EF5882"/>
    <w:rsid w:val="00EF5A6F"/>
    <w:rsid w:val="00EF6FEB"/>
    <w:rsid w:val="00EF7ADA"/>
    <w:rsid w:val="00F02837"/>
    <w:rsid w:val="00F03334"/>
    <w:rsid w:val="00F043A6"/>
    <w:rsid w:val="00F12B3B"/>
    <w:rsid w:val="00F157FB"/>
    <w:rsid w:val="00F16385"/>
    <w:rsid w:val="00F170A7"/>
    <w:rsid w:val="00F201DE"/>
    <w:rsid w:val="00F20E97"/>
    <w:rsid w:val="00F225FC"/>
    <w:rsid w:val="00F2287C"/>
    <w:rsid w:val="00F2512D"/>
    <w:rsid w:val="00F27113"/>
    <w:rsid w:val="00F276CC"/>
    <w:rsid w:val="00F350B3"/>
    <w:rsid w:val="00F36B8F"/>
    <w:rsid w:val="00F40AF8"/>
    <w:rsid w:val="00F428A8"/>
    <w:rsid w:val="00F468FB"/>
    <w:rsid w:val="00F4778B"/>
    <w:rsid w:val="00F574FF"/>
    <w:rsid w:val="00F5784C"/>
    <w:rsid w:val="00F57DE9"/>
    <w:rsid w:val="00F64904"/>
    <w:rsid w:val="00F67613"/>
    <w:rsid w:val="00F67952"/>
    <w:rsid w:val="00F70E2F"/>
    <w:rsid w:val="00F71676"/>
    <w:rsid w:val="00F71AAF"/>
    <w:rsid w:val="00F71CBD"/>
    <w:rsid w:val="00F734DC"/>
    <w:rsid w:val="00F76A1D"/>
    <w:rsid w:val="00F77A9A"/>
    <w:rsid w:val="00F812CC"/>
    <w:rsid w:val="00F84344"/>
    <w:rsid w:val="00F86DD9"/>
    <w:rsid w:val="00F909F5"/>
    <w:rsid w:val="00F92ECC"/>
    <w:rsid w:val="00F957BA"/>
    <w:rsid w:val="00F965F7"/>
    <w:rsid w:val="00FA0A0E"/>
    <w:rsid w:val="00FA0B2C"/>
    <w:rsid w:val="00FA1FC9"/>
    <w:rsid w:val="00FA368C"/>
    <w:rsid w:val="00FA7F20"/>
    <w:rsid w:val="00FB05A6"/>
    <w:rsid w:val="00FB4422"/>
    <w:rsid w:val="00FB5CA1"/>
    <w:rsid w:val="00FB6FF1"/>
    <w:rsid w:val="00FC05C0"/>
    <w:rsid w:val="00FC16C1"/>
    <w:rsid w:val="00FC1A8C"/>
    <w:rsid w:val="00FD53AA"/>
    <w:rsid w:val="00FD5B2C"/>
    <w:rsid w:val="00FD6F38"/>
    <w:rsid w:val="00FD7880"/>
    <w:rsid w:val="00FE00EC"/>
    <w:rsid w:val="00FE0B13"/>
    <w:rsid w:val="00FE0F90"/>
    <w:rsid w:val="00FE19D5"/>
    <w:rsid w:val="00FE649B"/>
    <w:rsid w:val="00FE78CB"/>
    <w:rsid w:val="00FE7B35"/>
    <w:rsid w:val="00FF06A6"/>
    <w:rsid w:val="00FF5738"/>
    <w:rsid w:val="00FF5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ate"/>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caption" w:qFormat="1"/>
    <w:lsdException w:name="Title" w:qFormat="1"/>
    <w:lsdException w:name="Subtitle" w:qFormat="1"/>
    <w:lsdException w:name="Hyperlink" w:uiPriority="99"/>
    <w:lsdException w:name="Strong"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03B02"/>
    <w:rPr>
      <w:sz w:val="24"/>
      <w:szCs w:val="24"/>
    </w:rPr>
  </w:style>
  <w:style w:type="paragraph" w:styleId="Heading1">
    <w:name w:val="heading 1"/>
    <w:basedOn w:val="Normal"/>
    <w:next w:val="Normal"/>
    <w:qFormat/>
    <w:rsid w:val="00AC57FA"/>
    <w:pPr>
      <w:keepNext/>
      <w:spacing w:before="240" w:after="60"/>
      <w:outlineLvl w:val="0"/>
    </w:pPr>
    <w:rPr>
      <w:rFonts w:cs="Arial"/>
      <w:b/>
      <w:bCs/>
      <w:kern w:val="32"/>
      <w:szCs w:val="32"/>
    </w:rPr>
  </w:style>
  <w:style w:type="paragraph" w:styleId="Heading2">
    <w:name w:val="heading 2"/>
    <w:basedOn w:val="Normal"/>
    <w:next w:val="Normal"/>
    <w:qFormat/>
    <w:rsid w:val="00AC57FA"/>
    <w:pPr>
      <w:keepNext/>
      <w:spacing w:before="240" w:after="60"/>
      <w:outlineLvl w:val="1"/>
    </w:pPr>
    <w:rPr>
      <w:rFonts w:cs="Arial"/>
      <w:b/>
      <w:bCs/>
      <w:iCs/>
      <w:szCs w:val="28"/>
    </w:rPr>
  </w:style>
  <w:style w:type="paragraph" w:styleId="Heading3">
    <w:name w:val="heading 3"/>
    <w:basedOn w:val="Normal"/>
    <w:next w:val="Normal"/>
    <w:link w:val="Heading3Char"/>
    <w:unhideWhenUsed/>
    <w:qFormat/>
    <w:rsid w:val="00890528"/>
    <w:pPr>
      <w:keepNext/>
      <w:keepLines/>
      <w:spacing w:before="200"/>
      <w:jc w:val="center"/>
      <w:outlineLvl w:val="2"/>
    </w:pPr>
    <w:rPr>
      <w:rFonts w:eastAsiaTheme="majorEastAsia" w:cstheme="majorBidi"/>
      <w:b/>
      <w:bCs/>
      <w:color w:val="000000" w:themeColor="text1"/>
    </w:rPr>
  </w:style>
  <w:style w:type="paragraph" w:styleId="Heading4">
    <w:name w:val="heading 4"/>
    <w:basedOn w:val="Normal"/>
    <w:next w:val="Normal"/>
    <w:link w:val="Heading4Char"/>
    <w:unhideWhenUsed/>
    <w:qFormat/>
    <w:rsid w:val="00C62571"/>
    <w:pPr>
      <w:keepNext/>
      <w:keepLines/>
      <w:spacing w:before="200"/>
      <w:jc w:val="center"/>
      <w:outlineLvl w:val="3"/>
    </w:pPr>
    <w:rPr>
      <w:rFonts w:eastAsiaTheme="majorEastAsia" w:cstheme="majorBidi"/>
      <w:b/>
      <w:bCs/>
      <w:iCs/>
      <w:color w:val="000000" w:themeColor="text1"/>
    </w:rPr>
  </w:style>
  <w:style w:type="paragraph" w:styleId="Heading5">
    <w:name w:val="heading 5"/>
    <w:aliases w:val="Lenteles"/>
    <w:basedOn w:val="Normal"/>
    <w:next w:val="Normal"/>
    <w:link w:val="Heading5Char"/>
    <w:unhideWhenUsed/>
    <w:qFormat/>
    <w:rsid w:val="00C62571"/>
    <w:pPr>
      <w:keepNext/>
      <w:keepLines/>
      <w:spacing w:before="200"/>
      <w:jc w:val="center"/>
      <w:outlineLvl w:val="4"/>
    </w:pPr>
    <w:rPr>
      <w:rFonts w:eastAsiaTheme="majorEastAsia" w:cstheme="majorBidi"/>
      <w:b/>
      <w:color w:val="000000" w:themeColor="text1"/>
    </w:rPr>
  </w:style>
  <w:style w:type="paragraph" w:styleId="Heading6">
    <w:name w:val="heading 6"/>
    <w:basedOn w:val="Normal"/>
    <w:next w:val="Normal"/>
    <w:link w:val="Heading6Char"/>
    <w:unhideWhenUsed/>
    <w:qFormat/>
    <w:rsid w:val="0030760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890528"/>
    <w:rPr>
      <w:rFonts w:eastAsiaTheme="majorEastAsia" w:cstheme="majorBidi"/>
      <w:b/>
      <w:bCs/>
      <w:color w:val="000000" w:themeColor="text1"/>
      <w:sz w:val="24"/>
      <w:szCs w:val="24"/>
    </w:rPr>
  </w:style>
  <w:style w:type="table" w:styleId="TableGrid">
    <w:name w:val="Table Grid"/>
    <w:basedOn w:val="TableNormal"/>
    <w:rsid w:val="00A3587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2">
    <w:name w:val="List 2"/>
    <w:basedOn w:val="Normal"/>
    <w:rsid w:val="00505B60"/>
    <w:pPr>
      <w:ind w:left="566" w:hanging="283"/>
    </w:pPr>
  </w:style>
  <w:style w:type="character" w:customStyle="1" w:styleId="st">
    <w:name w:val="st"/>
    <w:basedOn w:val="DefaultParagraphFont"/>
    <w:rsid w:val="00AF6090"/>
  </w:style>
  <w:style w:type="character" w:styleId="Hyperlink">
    <w:name w:val="Hyperlink"/>
    <w:uiPriority w:val="99"/>
    <w:rsid w:val="00AF6090"/>
    <w:rPr>
      <w:color w:val="0000FF"/>
      <w:u w:val="single"/>
    </w:rPr>
  </w:style>
  <w:style w:type="paragraph" w:styleId="TOC1">
    <w:name w:val="toc 1"/>
    <w:basedOn w:val="Normal"/>
    <w:next w:val="Normal"/>
    <w:autoRedefine/>
    <w:uiPriority w:val="39"/>
    <w:qFormat/>
    <w:rsid w:val="00A81AD2"/>
    <w:pPr>
      <w:tabs>
        <w:tab w:val="right" w:leader="dot" w:pos="10245"/>
      </w:tabs>
      <w:spacing w:line="360" w:lineRule="auto"/>
    </w:pPr>
  </w:style>
  <w:style w:type="paragraph" w:styleId="TOC2">
    <w:name w:val="toc 2"/>
    <w:basedOn w:val="Normal"/>
    <w:next w:val="Normal"/>
    <w:autoRedefine/>
    <w:uiPriority w:val="39"/>
    <w:qFormat/>
    <w:rsid w:val="004B1758"/>
    <w:pPr>
      <w:ind w:left="240"/>
    </w:pPr>
  </w:style>
  <w:style w:type="paragraph" w:styleId="TOC3">
    <w:name w:val="toc 3"/>
    <w:basedOn w:val="Normal"/>
    <w:next w:val="Normal"/>
    <w:autoRedefine/>
    <w:uiPriority w:val="39"/>
    <w:qFormat/>
    <w:rsid w:val="007C3B56"/>
    <w:pPr>
      <w:ind w:left="480"/>
    </w:pPr>
  </w:style>
  <w:style w:type="paragraph" w:styleId="Header">
    <w:name w:val="header"/>
    <w:basedOn w:val="Normal"/>
    <w:link w:val="HeaderChar"/>
    <w:uiPriority w:val="99"/>
    <w:rsid w:val="00861C41"/>
    <w:pPr>
      <w:widowControl w:val="0"/>
      <w:tabs>
        <w:tab w:val="center" w:pos="4320"/>
        <w:tab w:val="right" w:pos="8640"/>
      </w:tabs>
      <w:ind w:firstLine="567"/>
      <w:jc w:val="both"/>
    </w:pPr>
    <w:rPr>
      <w:sz w:val="20"/>
      <w:szCs w:val="20"/>
      <w:lang w:val="lt-LT"/>
    </w:rPr>
  </w:style>
  <w:style w:type="character" w:customStyle="1" w:styleId="HeaderChar">
    <w:name w:val="Header Char"/>
    <w:basedOn w:val="DefaultParagraphFont"/>
    <w:link w:val="Header"/>
    <w:uiPriority w:val="99"/>
    <w:rsid w:val="00F40AF8"/>
    <w:rPr>
      <w:lang w:val="lt-LT"/>
    </w:rPr>
  </w:style>
  <w:style w:type="paragraph" w:styleId="Caption">
    <w:name w:val="caption"/>
    <w:basedOn w:val="Normal"/>
    <w:next w:val="Normal"/>
    <w:qFormat/>
    <w:rsid w:val="00737B66"/>
    <w:pPr>
      <w:widowControl w:val="0"/>
      <w:spacing w:before="120" w:after="120"/>
      <w:ind w:left="851" w:firstLine="720"/>
      <w:jc w:val="center"/>
    </w:pPr>
    <w:rPr>
      <w:b/>
      <w:szCs w:val="20"/>
      <w:lang w:val="en-AU"/>
    </w:rPr>
  </w:style>
  <w:style w:type="paragraph" w:styleId="BodyText">
    <w:name w:val="Body Text"/>
    <w:basedOn w:val="Normal"/>
    <w:rsid w:val="00861C41"/>
    <w:pPr>
      <w:spacing w:after="120"/>
      <w:jc w:val="both"/>
    </w:pPr>
    <w:rPr>
      <w:sz w:val="20"/>
      <w:szCs w:val="20"/>
      <w:lang w:val="lt-LT"/>
    </w:rPr>
  </w:style>
  <w:style w:type="paragraph" w:styleId="FootnoteText">
    <w:name w:val="footnote text"/>
    <w:basedOn w:val="Normal"/>
    <w:semiHidden/>
    <w:rsid w:val="00861C41"/>
    <w:rPr>
      <w:sz w:val="20"/>
      <w:szCs w:val="20"/>
    </w:rPr>
  </w:style>
  <w:style w:type="character" w:styleId="FootnoteReference">
    <w:name w:val="footnote reference"/>
    <w:semiHidden/>
    <w:rsid w:val="00861C41"/>
    <w:rPr>
      <w:vertAlign w:val="superscript"/>
    </w:rPr>
  </w:style>
  <w:style w:type="paragraph" w:styleId="BalloonText">
    <w:name w:val="Balloon Text"/>
    <w:basedOn w:val="Normal"/>
    <w:link w:val="BalloonTextChar"/>
    <w:rsid w:val="00475405"/>
    <w:rPr>
      <w:rFonts w:ascii="Tahoma" w:hAnsi="Tahoma" w:cs="Tahoma"/>
      <w:sz w:val="16"/>
      <w:szCs w:val="16"/>
    </w:rPr>
  </w:style>
  <w:style w:type="character" w:customStyle="1" w:styleId="BalloonTextChar">
    <w:name w:val="Balloon Text Char"/>
    <w:link w:val="BalloonText"/>
    <w:rsid w:val="00475405"/>
    <w:rPr>
      <w:rFonts w:ascii="Tahoma" w:hAnsi="Tahoma" w:cs="Tahoma"/>
      <w:sz w:val="16"/>
      <w:szCs w:val="16"/>
    </w:rPr>
  </w:style>
  <w:style w:type="paragraph" w:styleId="BodyText3">
    <w:name w:val="Body Text 3"/>
    <w:basedOn w:val="Normal"/>
    <w:link w:val="BodyText3Char"/>
    <w:rsid w:val="00457590"/>
    <w:pPr>
      <w:spacing w:after="120"/>
    </w:pPr>
    <w:rPr>
      <w:sz w:val="16"/>
      <w:szCs w:val="16"/>
    </w:rPr>
  </w:style>
  <w:style w:type="character" w:customStyle="1" w:styleId="BodyText3Char">
    <w:name w:val="Body Text 3 Char"/>
    <w:link w:val="BodyText3"/>
    <w:rsid w:val="00457590"/>
    <w:rPr>
      <w:sz w:val="16"/>
      <w:szCs w:val="16"/>
    </w:rPr>
  </w:style>
  <w:style w:type="character" w:customStyle="1" w:styleId="fontstyle148">
    <w:name w:val="fontstyle148"/>
    <w:basedOn w:val="DefaultParagraphFont"/>
    <w:rsid w:val="00D13152"/>
  </w:style>
  <w:style w:type="paragraph" w:styleId="ListParagraph">
    <w:name w:val="List Paragraph"/>
    <w:basedOn w:val="Normal"/>
    <w:uiPriority w:val="34"/>
    <w:qFormat/>
    <w:rsid w:val="00585445"/>
    <w:pPr>
      <w:ind w:left="720"/>
      <w:contextualSpacing/>
    </w:pPr>
  </w:style>
  <w:style w:type="table" w:styleId="LightShading">
    <w:name w:val="Light Shading"/>
    <w:basedOn w:val="TableNormal"/>
    <w:uiPriority w:val="60"/>
    <w:rsid w:val="00585445"/>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Footer">
    <w:name w:val="footer"/>
    <w:basedOn w:val="Normal"/>
    <w:link w:val="FooterChar"/>
    <w:rsid w:val="00DB76F6"/>
    <w:pPr>
      <w:tabs>
        <w:tab w:val="center" w:pos="4680"/>
        <w:tab w:val="right" w:pos="9360"/>
      </w:tabs>
    </w:pPr>
  </w:style>
  <w:style w:type="character" w:customStyle="1" w:styleId="FooterChar">
    <w:name w:val="Footer Char"/>
    <w:basedOn w:val="DefaultParagraphFont"/>
    <w:link w:val="Footer"/>
    <w:rsid w:val="00DB76F6"/>
    <w:rPr>
      <w:sz w:val="24"/>
      <w:szCs w:val="24"/>
    </w:rPr>
  </w:style>
  <w:style w:type="paragraph" w:styleId="NormalWeb">
    <w:name w:val="Normal (Web)"/>
    <w:basedOn w:val="Normal"/>
    <w:uiPriority w:val="99"/>
    <w:unhideWhenUsed/>
    <w:rsid w:val="00737BB7"/>
    <w:pPr>
      <w:spacing w:before="100" w:beforeAutospacing="1" w:after="100" w:afterAutospacing="1"/>
    </w:pPr>
  </w:style>
  <w:style w:type="character" w:customStyle="1" w:styleId="hps">
    <w:name w:val="hps"/>
    <w:basedOn w:val="DefaultParagraphFont"/>
    <w:rsid w:val="00675AEB"/>
  </w:style>
  <w:style w:type="table" w:styleId="Table3Deffects2">
    <w:name w:val="Table 3D effects 2"/>
    <w:basedOn w:val="TableNormal"/>
    <w:rsid w:val="00807CBF"/>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1">
    <w:name w:val="Table List 1"/>
    <w:basedOn w:val="TableNormal"/>
    <w:rsid w:val="001D1AFC"/>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Emphasis">
    <w:name w:val="Emphasis"/>
    <w:basedOn w:val="DefaultParagraphFont"/>
    <w:rsid w:val="006E18A5"/>
    <w:rPr>
      <w:b/>
      <w:iCs/>
    </w:rPr>
  </w:style>
  <w:style w:type="character" w:styleId="FollowedHyperlink">
    <w:name w:val="FollowedHyperlink"/>
    <w:basedOn w:val="DefaultParagraphFont"/>
    <w:rsid w:val="00964D5D"/>
    <w:rPr>
      <w:color w:val="800080" w:themeColor="followedHyperlink"/>
      <w:u w:val="single"/>
    </w:rPr>
  </w:style>
  <w:style w:type="table" w:customStyle="1" w:styleId="TableGrid1">
    <w:name w:val="Table Grid1"/>
    <w:basedOn w:val="TableNormal"/>
    <w:next w:val="TableGrid"/>
    <w:uiPriority w:val="59"/>
    <w:rsid w:val="005A5CD3"/>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unhideWhenUsed/>
    <w:qFormat/>
    <w:rsid w:val="00A22400"/>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ja-JP"/>
    </w:rPr>
  </w:style>
  <w:style w:type="paragraph" w:styleId="NoSpacing">
    <w:name w:val="No Spacing"/>
    <w:uiPriority w:val="1"/>
    <w:qFormat/>
    <w:rsid w:val="006E18A5"/>
    <w:pPr>
      <w:numPr>
        <w:numId w:val="25"/>
      </w:numPr>
    </w:pPr>
    <w:rPr>
      <w:sz w:val="24"/>
      <w:szCs w:val="24"/>
    </w:rPr>
  </w:style>
  <w:style w:type="character" w:customStyle="1" w:styleId="Heading4Char">
    <w:name w:val="Heading 4 Char"/>
    <w:basedOn w:val="DefaultParagraphFont"/>
    <w:link w:val="Heading4"/>
    <w:rsid w:val="00C62571"/>
    <w:rPr>
      <w:rFonts w:eastAsiaTheme="majorEastAsia" w:cstheme="majorBidi"/>
      <w:b/>
      <w:bCs/>
      <w:iCs/>
      <w:color w:val="000000" w:themeColor="text1"/>
      <w:sz w:val="24"/>
      <w:szCs w:val="24"/>
    </w:rPr>
  </w:style>
  <w:style w:type="character" w:customStyle="1" w:styleId="Heading5Char">
    <w:name w:val="Heading 5 Char"/>
    <w:aliases w:val="Lenteles Char"/>
    <w:basedOn w:val="DefaultParagraphFont"/>
    <w:link w:val="Heading5"/>
    <w:rsid w:val="00C62571"/>
    <w:rPr>
      <w:rFonts w:eastAsiaTheme="majorEastAsia" w:cstheme="majorBidi"/>
      <w:b/>
      <w:color w:val="000000" w:themeColor="text1"/>
      <w:sz w:val="24"/>
      <w:szCs w:val="24"/>
    </w:rPr>
  </w:style>
  <w:style w:type="character" w:customStyle="1" w:styleId="Heading6Char">
    <w:name w:val="Heading 6 Char"/>
    <w:basedOn w:val="DefaultParagraphFont"/>
    <w:link w:val="Heading6"/>
    <w:rsid w:val="00307606"/>
    <w:rPr>
      <w:rFonts w:asciiTheme="majorHAnsi" w:eastAsiaTheme="majorEastAsia" w:hAnsiTheme="majorHAnsi" w:cstheme="majorBidi"/>
      <w:i/>
      <w:iCs/>
      <w:color w:val="243F60" w:themeColor="accent1" w:themeShade="7F"/>
      <w:sz w:val="24"/>
      <w:szCs w:val="24"/>
    </w:rPr>
  </w:style>
  <w:style w:type="paragraph" w:styleId="Title">
    <w:name w:val="Title"/>
    <w:basedOn w:val="Normal"/>
    <w:next w:val="Normal"/>
    <w:link w:val="TitleChar"/>
    <w:qFormat/>
    <w:rsid w:val="005744D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5744DF"/>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caption" w:qFormat="1"/>
    <w:lsdException w:name="Title" w:qFormat="1"/>
    <w:lsdException w:name="Subtitle" w:qFormat="1"/>
    <w:lsdException w:name="Hyperlink" w:uiPriority="99"/>
    <w:lsdException w:name="Strong"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03B02"/>
    <w:rPr>
      <w:sz w:val="24"/>
      <w:szCs w:val="24"/>
    </w:rPr>
  </w:style>
  <w:style w:type="paragraph" w:styleId="Heading1">
    <w:name w:val="heading 1"/>
    <w:basedOn w:val="Normal"/>
    <w:next w:val="Normal"/>
    <w:qFormat/>
    <w:rsid w:val="00AC57FA"/>
    <w:pPr>
      <w:keepNext/>
      <w:spacing w:before="240" w:after="60"/>
      <w:outlineLvl w:val="0"/>
    </w:pPr>
    <w:rPr>
      <w:rFonts w:cs="Arial"/>
      <w:b/>
      <w:bCs/>
      <w:kern w:val="32"/>
      <w:szCs w:val="32"/>
    </w:rPr>
  </w:style>
  <w:style w:type="paragraph" w:styleId="Heading2">
    <w:name w:val="heading 2"/>
    <w:basedOn w:val="Normal"/>
    <w:next w:val="Normal"/>
    <w:qFormat/>
    <w:rsid w:val="00AC57FA"/>
    <w:pPr>
      <w:keepNext/>
      <w:spacing w:before="240" w:after="60"/>
      <w:outlineLvl w:val="1"/>
    </w:pPr>
    <w:rPr>
      <w:rFonts w:cs="Arial"/>
      <w:b/>
      <w:bCs/>
      <w:iCs/>
      <w:szCs w:val="28"/>
    </w:rPr>
  </w:style>
  <w:style w:type="paragraph" w:styleId="Heading3">
    <w:name w:val="heading 3"/>
    <w:basedOn w:val="Normal"/>
    <w:next w:val="Normal"/>
    <w:link w:val="Heading3Char"/>
    <w:unhideWhenUsed/>
    <w:qFormat/>
    <w:rsid w:val="00890528"/>
    <w:pPr>
      <w:keepNext/>
      <w:keepLines/>
      <w:spacing w:before="200"/>
      <w:jc w:val="center"/>
      <w:outlineLvl w:val="2"/>
    </w:pPr>
    <w:rPr>
      <w:rFonts w:eastAsiaTheme="majorEastAsia" w:cstheme="majorBidi"/>
      <w:b/>
      <w:bCs/>
      <w:color w:val="000000" w:themeColor="text1"/>
    </w:rPr>
  </w:style>
  <w:style w:type="paragraph" w:styleId="Heading4">
    <w:name w:val="heading 4"/>
    <w:basedOn w:val="Normal"/>
    <w:next w:val="Normal"/>
    <w:link w:val="Heading4Char"/>
    <w:unhideWhenUsed/>
    <w:qFormat/>
    <w:rsid w:val="00C62571"/>
    <w:pPr>
      <w:keepNext/>
      <w:keepLines/>
      <w:spacing w:before="200"/>
      <w:jc w:val="center"/>
      <w:outlineLvl w:val="3"/>
    </w:pPr>
    <w:rPr>
      <w:rFonts w:eastAsiaTheme="majorEastAsia" w:cstheme="majorBidi"/>
      <w:b/>
      <w:bCs/>
      <w:iCs/>
      <w:color w:val="000000" w:themeColor="text1"/>
    </w:rPr>
  </w:style>
  <w:style w:type="paragraph" w:styleId="Heading5">
    <w:name w:val="heading 5"/>
    <w:aliases w:val="Lenteles"/>
    <w:basedOn w:val="Normal"/>
    <w:next w:val="Normal"/>
    <w:link w:val="Heading5Char"/>
    <w:unhideWhenUsed/>
    <w:qFormat/>
    <w:rsid w:val="00C62571"/>
    <w:pPr>
      <w:keepNext/>
      <w:keepLines/>
      <w:spacing w:before="200"/>
      <w:jc w:val="center"/>
      <w:outlineLvl w:val="4"/>
    </w:pPr>
    <w:rPr>
      <w:rFonts w:eastAsiaTheme="majorEastAsia" w:cstheme="majorBidi"/>
      <w:b/>
      <w:color w:val="000000" w:themeColor="text1"/>
    </w:rPr>
  </w:style>
  <w:style w:type="paragraph" w:styleId="Heading6">
    <w:name w:val="heading 6"/>
    <w:basedOn w:val="Normal"/>
    <w:next w:val="Normal"/>
    <w:link w:val="Heading6Char"/>
    <w:unhideWhenUsed/>
    <w:qFormat/>
    <w:rsid w:val="0030760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890528"/>
    <w:rPr>
      <w:rFonts w:eastAsiaTheme="majorEastAsia" w:cstheme="majorBidi"/>
      <w:b/>
      <w:bCs/>
      <w:color w:val="000000" w:themeColor="text1"/>
      <w:sz w:val="24"/>
      <w:szCs w:val="24"/>
    </w:rPr>
  </w:style>
  <w:style w:type="table" w:styleId="TableGrid">
    <w:name w:val="Table Grid"/>
    <w:basedOn w:val="TableNormal"/>
    <w:rsid w:val="00A3587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2">
    <w:name w:val="List 2"/>
    <w:basedOn w:val="Normal"/>
    <w:rsid w:val="00505B60"/>
    <w:pPr>
      <w:ind w:left="566" w:hanging="283"/>
    </w:pPr>
  </w:style>
  <w:style w:type="character" w:customStyle="1" w:styleId="st">
    <w:name w:val="st"/>
    <w:basedOn w:val="DefaultParagraphFont"/>
    <w:rsid w:val="00AF6090"/>
  </w:style>
  <w:style w:type="character" w:styleId="Hyperlink">
    <w:name w:val="Hyperlink"/>
    <w:uiPriority w:val="99"/>
    <w:rsid w:val="00AF6090"/>
    <w:rPr>
      <w:color w:val="0000FF"/>
      <w:u w:val="single"/>
    </w:rPr>
  </w:style>
  <w:style w:type="paragraph" w:styleId="TOC1">
    <w:name w:val="toc 1"/>
    <w:basedOn w:val="Normal"/>
    <w:next w:val="Normal"/>
    <w:autoRedefine/>
    <w:uiPriority w:val="39"/>
    <w:qFormat/>
    <w:rsid w:val="00A81AD2"/>
    <w:pPr>
      <w:tabs>
        <w:tab w:val="right" w:leader="dot" w:pos="10245"/>
      </w:tabs>
      <w:spacing w:line="360" w:lineRule="auto"/>
    </w:pPr>
  </w:style>
  <w:style w:type="paragraph" w:styleId="TOC2">
    <w:name w:val="toc 2"/>
    <w:basedOn w:val="Normal"/>
    <w:next w:val="Normal"/>
    <w:autoRedefine/>
    <w:uiPriority w:val="39"/>
    <w:qFormat/>
    <w:rsid w:val="004B1758"/>
    <w:pPr>
      <w:ind w:left="240"/>
    </w:pPr>
  </w:style>
  <w:style w:type="paragraph" w:styleId="TOC3">
    <w:name w:val="toc 3"/>
    <w:basedOn w:val="Normal"/>
    <w:next w:val="Normal"/>
    <w:autoRedefine/>
    <w:uiPriority w:val="39"/>
    <w:qFormat/>
    <w:rsid w:val="007C3B56"/>
    <w:pPr>
      <w:ind w:left="480"/>
    </w:pPr>
  </w:style>
  <w:style w:type="paragraph" w:styleId="Header">
    <w:name w:val="header"/>
    <w:basedOn w:val="Normal"/>
    <w:link w:val="HeaderChar"/>
    <w:uiPriority w:val="99"/>
    <w:rsid w:val="00861C41"/>
    <w:pPr>
      <w:widowControl w:val="0"/>
      <w:tabs>
        <w:tab w:val="center" w:pos="4320"/>
        <w:tab w:val="right" w:pos="8640"/>
      </w:tabs>
      <w:ind w:firstLine="567"/>
      <w:jc w:val="both"/>
    </w:pPr>
    <w:rPr>
      <w:sz w:val="20"/>
      <w:szCs w:val="20"/>
      <w:lang w:val="lt-LT"/>
    </w:rPr>
  </w:style>
  <w:style w:type="character" w:customStyle="1" w:styleId="HeaderChar">
    <w:name w:val="Header Char"/>
    <w:basedOn w:val="DefaultParagraphFont"/>
    <w:link w:val="Header"/>
    <w:uiPriority w:val="99"/>
    <w:rsid w:val="00F40AF8"/>
    <w:rPr>
      <w:lang w:val="lt-LT"/>
    </w:rPr>
  </w:style>
  <w:style w:type="paragraph" w:styleId="Caption">
    <w:name w:val="caption"/>
    <w:basedOn w:val="Normal"/>
    <w:next w:val="Normal"/>
    <w:qFormat/>
    <w:rsid w:val="00737B66"/>
    <w:pPr>
      <w:widowControl w:val="0"/>
      <w:spacing w:before="120" w:after="120"/>
      <w:ind w:left="851" w:firstLine="720"/>
      <w:jc w:val="center"/>
    </w:pPr>
    <w:rPr>
      <w:b/>
      <w:szCs w:val="20"/>
      <w:lang w:val="en-AU"/>
    </w:rPr>
  </w:style>
  <w:style w:type="paragraph" w:styleId="BodyText">
    <w:name w:val="Body Text"/>
    <w:basedOn w:val="Normal"/>
    <w:rsid w:val="00861C41"/>
    <w:pPr>
      <w:spacing w:after="120"/>
      <w:jc w:val="both"/>
    </w:pPr>
    <w:rPr>
      <w:sz w:val="20"/>
      <w:szCs w:val="20"/>
      <w:lang w:val="lt-LT"/>
    </w:rPr>
  </w:style>
  <w:style w:type="paragraph" w:styleId="FootnoteText">
    <w:name w:val="footnote text"/>
    <w:basedOn w:val="Normal"/>
    <w:semiHidden/>
    <w:rsid w:val="00861C41"/>
    <w:rPr>
      <w:sz w:val="20"/>
      <w:szCs w:val="20"/>
    </w:rPr>
  </w:style>
  <w:style w:type="character" w:styleId="FootnoteReference">
    <w:name w:val="footnote reference"/>
    <w:semiHidden/>
    <w:rsid w:val="00861C41"/>
    <w:rPr>
      <w:vertAlign w:val="superscript"/>
    </w:rPr>
  </w:style>
  <w:style w:type="paragraph" w:styleId="BalloonText">
    <w:name w:val="Balloon Text"/>
    <w:basedOn w:val="Normal"/>
    <w:link w:val="BalloonTextChar"/>
    <w:rsid w:val="00475405"/>
    <w:rPr>
      <w:rFonts w:ascii="Tahoma" w:hAnsi="Tahoma" w:cs="Tahoma"/>
      <w:sz w:val="16"/>
      <w:szCs w:val="16"/>
    </w:rPr>
  </w:style>
  <w:style w:type="character" w:customStyle="1" w:styleId="BalloonTextChar">
    <w:name w:val="Balloon Text Char"/>
    <w:link w:val="BalloonText"/>
    <w:rsid w:val="00475405"/>
    <w:rPr>
      <w:rFonts w:ascii="Tahoma" w:hAnsi="Tahoma" w:cs="Tahoma"/>
      <w:sz w:val="16"/>
      <w:szCs w:val="16"/>
    </w:rPr>
  </w:style>
  <w:style w:type="paragraph" w:styleId="BodyText3">
    <w:name w:val="Body Text 3"/>
    <w:basedOn w:val="Normal"/>
    <w:link w:val="BodyText3Char"/>
    <w:rsid w:val="00457590"/>
    <w:pPr>
      <w:spacing w:after="120"/>
    </w:pPr>
    <w:rPr>
      <w:sz w:val="16"/>
      <w:szCs w:val="16"/>
    </w:rPr>
  </w:style>
  <w:style w:type="character" w:customStyle="1" w:styleId="BodyText3Char">
    <w:name w:val="Body Text 3 Char"/>
    <w:link w:val="BodyText3"/>
    <w:rsid w:val="00457590"/>
    <w:rPr>
      <w:sz w:val="16"/>
      <w:szCs w:val="16"/>
    </w:rPr>
  </w:style>
  <w:style w:type="character" w:customStyle="1" w:styleId="fontstyle148">
    <w:name w:val="fontstyle148"/>
    <w:basedOn w:val="DefaultParagraphFont"/>
    <w:rsid w:val="00D13152"/>
  </w:style>
  <w:style w:type="paragraph" w:styleId="ListParagraph">
    <w:name w:val="List Paragraph"/>
    <w:basedOn w:val="Normal"/>
    <w:uiPriority w:val="34"/>
    <w:qFormat/>
    <w:rsid w:val="00585445"/>
    <w:pPr>
      <w:ind w:left="720"/>
      <w:contextualSpacing/>
    </w:pPr>
  </w:style>
  <w:style w:type="table" w:styleId="LightShading">
    <w:name w:val="Light Shading"/>
    <w:basedOn w:val="TableNormal"/>
    <w:uiPriority w:val="60"/>
    <w:rsid w:val="00585445"/>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Footer">
    <w:name w:val="footer"/>
    <w:basedOn w:val="Normal"/>
    <w:link w:val="FooterChar"/>
    <w:rsid w:val="00DB76F6"/>
    <w:pPr>
      <w:tabs>
        <w:tab w:val="center" w:pos="4680"/>
        <w:tab w:val="right" w:pos="9360"/>
      </w:tabs>
    </w:pPr>
  </w:style>
  <w:style w:type="character" w:customStyle="1" w:styleId="FooterChar">
    <w:name w:val="Footer Char"/>
    <w:basedOn w:val="DefaultParagraphFont"/>
    <w:link w:val="Footer"/>
    <w:rsid w:val="00DB76F6"/>
    <w:rPr>
      <w:sz w:val="24"/>
      <w:szCs w:val="24"/>
    </w:rPr>
  </w:style>
  <w:style w:type="paragraph" w:styleId="NormalWeb">
    <w:name w:val="Normal (Web)"/>
    <w:basedOn w:val="Normal"/>
    <w:uiPriority w:val="99"/>
    <w:unhideWhenUsed/>
    <w:rsid w:val="00737BB7"/>
    <w:pPr>
      <w:spacing w:before="100" w:beforeAutospacing="1" w:after="100" w:afterAutospacing="1"/>
    </w:pPr>
  </w:style>
  <w:style w:type="character" w:customStyle="1" w:styleId="hps">
    <w:name w:val="hps"/>
    <w:basedOn w:val="DefaultParagraphFont"/>
    <w:rsid w:val="00675AEB"/>
  </w:style>
  <w:style w:type="table" w:styleId="Table3Deffects2">
    <w:name w:val="Table 3D effects 2"/>
    <w:basedOn w:val="TableNormal"/>
    <w:rsid w:val="00807CBF"/>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1">
    <w:name w:val="Table List 1"/>
    <w:basedOn w:val="TableNormal"/>
    <w:rsid w:val="001D1AFC"/>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Emphasis">
    <w:name w:val="Emphasis"/>
    <w:basedOn w:val="DefaultParagraphFont"/>
    <w:rsid w:val="006E18A5"/>
    <w:rPr>
      <w:b/>
      <w:iCs/>
    </w:rPr>
  </w:style>
  <w:style w:type="character" w:styleId="FollowedHyperlink">
    <w:name w:val="FollowedHyperlink"/>
    <w:basedOn w:val="DefaultParagraphFont"/>
    <w:rsid w:val="00964D5D"/>
    <w:rPr>
      <w:color w:val="800080" w:themeColor="followedHyperlink"/>
      <w:u w:val="single"/>
    </w:rPr>
  </w:style>
  <w:style w:type="table" w:customStyle="1" w:styleId="TableGrid1">
    <w:name w:val="Table Grid1"/>
    <w:basedOn w:val="TableNormal"/>
    <w:next w:val="TableGrid"/>
    <w:uiPriority w:val="59"/>
    <w:rsid w:val="005A5CD3"/>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unhideWhenUsed/>
    <w:qFormat/>
    <w:rsid w:val="00A22400"/>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ja-JP"/>
    </w:rPr>
  </w:style>
  <w:style w:type="paragraph" w:styleId="NoSpacing">
    <w:name w:val="No Spacing"/>
    <w:uiPriority w:val="1"/>
    <w:qFormat/>
    <w:rsid w:val="006E18A5"/>
    <w:pPr>
      <w:numPr>
        <w:numId w:val="25"/>
      </w:numPr>
    </w:pPr>
    <w:rPr>
      <w:sz w:val="24"/>
      <w:szCs w:val="24"/>
    </w:rPr>
  </w:style>
  <w:style w:type="character" w:customStyle="1" w:styleId="Heading4Char">
    <w:name w:val="Heading 4 Char"/>
    <w:basedOn w:val="DefaultParagraphFont"/>
    <w:link w:val="Heading4"/>
    <w:rsid w:val="00C62571"/>
    <w:rPr>
      <w:rFonts w:eastAsiaTheme="majorEastAsia" w:cstheme="majorBidi"/>
      <w:b/>
      <w:bCs/>
      <w:iCs/>
      <w:color w:val="000000" w:themeColor="text1"/>
      <w:sz w:val="24"/>
      <w:szCs w:val="24"/>
    </w:rPr>
  </w:style>
  <w:style w:type="character" w:customStyle="1" w:styleId="Heading5Char">
    <w:name w:val="Heading 5 Char"/>
    <w:aliases w:val="Lenteles Char"/>
    <w:basedOn w:val="DefaultParagraphFont"/>
    <w:link w:val="Heading5"/>
    <w:rsid w:val="00C62571"/>
    <w:rPr>
      <w:rFonts w:eastAsiaTheme="majorEastAsia" w:cstheme="majorBidi"/>
      <w:b/>
      <w:color w:val="000000" w:themeColor="text1"/>
      <w:sz w:val="24"/>
      <w:szCs w:val="24"/>
    </w:rPr>
  </w:style>
  <w:style w:type="character" w:customStyle="1" w:styleId="Heading6Char">
    <w:name w:val="Heading 6 Char"/>
    <w:basedOn w:val="DefaultParagraphFont"/>
    <w:link w:val="Heading6"/>
    <w:rsid w:val="00307606"/>
    <w:rPr>
      <w:rFonts w:asciiTheme="majorHAnsi" w:eastAsiaTheme="majorEastAsia" w:hAnsiTheme="majorHAnsi" w:cstheme="majorBidi"/>
      <w:i/>
      <w:iCs/>
      <w:color w:val="243F60" w:themeColor="accent1" w:themeShade="7F"/>
      <w:sz w:val="24"/>
      <w:szCs w:val="24"/>
    </w:rPr>
  </w:style>
  <w:style w:type="paragraph" w:styleId="Title">
    <w:name w:val="Title"/>
    <w:basedOn w:val="Normal"/>
    <w:next w:val="Normal"/>
    <w:link w:val="TitleChar"/>
    <w:qFormat/>
    <w:rsid w:val="005744D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5744DF"/>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504695">
      <w:bodyDiv w:val="1"/>
      <w:marLeft w:val="0"/>
      <w:marRight w:val="0"/>
      <w:marTop w:val="0"/>
      <w:marBottom w:val="0"/>
      <w:divBdr>
        <w:top w:val="none" w:sz="0" w:space="0" w:color="auto"/>
        <w:left w:val="none" w:sz="0" w:space="0" w:color="auto"/>
        <w:bottom w:val="none" w:sz="0" w:space="0" w:color="auto"/>
        <w:right w:val="none" w:sz="0" w:space="0" w:color="auto"/>
      </w:divBdr>
      <w:divsChild>
        <w:div w:id="1161582838">
          <w:marLeft w:val="0"/>
          <w:marRight w:val="0"/>
          <w:marTop w:val="0"/>
          <w:marBottom w:val="0"/>
          <w:divBdr>
            <w:top w:val="none" w:sz="0" w:space="0" w:color="auto"/>
            <w:left w:val="none" w:sz="0" w:space="0" w:color="auto"/>
            <w:bottom w:val="none" w:sz="0" w:space="0" w:color="auto"/>
            <w:right w:val="none" w:sz="0" w:space="0" w:color="auto"/>
          </w:divBdr>
          <w:divsChild>
            <w:div w:id="179394110">
              <w:marLeft w:val="0"/>
              <w:marRight w:val="0"/>
              <w:marTop w:val="0"/>
              <w:marBottom w:val="0"/>
              <w:divBdr>
                <w:top w:val="none" w:sz="0" w:space="0" w:color="auto"/>
                <w:left w:val="none" w:sz="0" w:space="0" w:color="auto"/>
                <w:bottom w:val="none" w:sz="0" w:space="0" w:color="auto"/>
                <w:right w:val="none" w:sz="0" w:space="0" w:color="auto"/>
              </w:divBdr>
            </w:div>
            <w:div w:id="194199548">
              <w:marLeft w:val="0"/>
              <w:marRight w:val="0"/>
              <w:marTop w:val="0"/>
              <w:marBottom w:val="0"/>
              <w:divBdr>
                <w:top w:val="none" w:sz="0" w:space="0" w:color="auto"/>
                <w:left w:val="none" w:sz="0" w:space="0" w:color="auto"/>
                <w:bottom w:val="none" w:sz="0" w:space="0" w:color="auto"/>
                <w:right w:val="none" w:sz="0" w:space="0" w:color="auto"/>
              </w:divBdr>
            </w:div>
            <w:div w:id="227570817">
              <w:marLeft w:val="0"/>
              <w:marRight w:val="0"/>
              <w:marTop w:val="0"/>
              <w:marBottom w:val="0"/>
              <w:divBdr>
                <w:top w:val="none" w:sz="0" w:space="0" w:color="auto"/>
                <w:left w:val="none" w:sz="0" w:space="0" w:color="auto"/>
                <w:bottom w:val="none" w:sz="0" w:space="0" w:color="auto"/>
                <w:right w:val="none" w:sz="0" w:space="0" w:color="auto"/>
              </w:divBdr>
            </w:div>
            <w:div w:id="284119709">
              <w:marLeft w:val="0"/>
              <w:marRight w:val="0"/>
              <w:marTop w:val="0"/>
              <w:marBottom w:val="0"/>
              <w:divBdr>
                <w:top w:val="none" w:sz="0" w:space="0" w:color="auto"/>
                <w:left w:val="none" w:sz="0" w:space="0" w:color="auto"/>
                <w:bottom w:val="none" w:sz="0" w:space="0" w:color="auto"/>
                <w:right w:val="none" w:sz="0" w:space="0" w:color="auto"/>
              </w:divBdr>
            </w:div>
            <w:div w:id="420565677">
              <w:marLeft w:val="0"/>
              <w:marRight w:val="0"/>
              <w:marTop w:val="0"/>
              <w:marBottom w:val="0"/>
              <w:divBdr>
                <w:top w:val="none" w:sz="0" w:space="0" w:color="auto"/>
                <w:left w:val="none" w:sz="0" w:space="0" w:color="auto"/>
                <w:bottom w:val="none" w:sz="0" w:space="0" w:color="auto"/>
                <w:right w:val="none" w:sz="0" w:space="0" w:color="auto"/>
              </w:divBdr>
            </w:div>
            <w:div w:id="460849173">
              <w:marLeft w:val="0"/>
              <w:marRight w:val="0"/>
              <w:marTop w:val="0"/>
              <w:marBottom w:val="0"/>
              <w:divBdr>
                <w:top w:val="none" w:sz="0" w:space="0" w:color="auto"/>
                <w:left w:val="none" w:sz="0" w:space="0" w:color="auto"/>
                <w:bottom w:val="none" w:sz="0" w:space="0" w:color="auto"/>
                <w:right w:val="none" w:sz="0" w:space="0" w:color="auto"/>
              </w:divBdr>
            </w:div>
            <w:div w:id="502204910">
              <w:marLeft w:val="0"/>
              <w:marRight w:val="0"/>
              <w:marTop w:val="0"/>
              <w:marBottom w:val="0"/>
              <w:divBdr>
                <w:top w:val="none" w:sz="0" w:space="0" w:color="auto"/>
                <w:left w:val="none" w:sz="0" w:space="0" w:color="auto"/>
                <w:bottom w:val="none" w:sz="0" w:space="0" w:color="auto"/>
                <w:right w:val="none" w:sz="0" w:space="0" w:color="auto"/>
              </w:divBdr>
            </w:div>
            <w:div w:id="530924356">
              <w:marLeft w:val="0"/>
              <w:marRight w:val="0"/>
              <w:marTop w:val="0"/>
              <w:marBottom w:val="0"/>
              <w:divBdr>
                <w:top w:val="none" w:sz="0" w:space="0" w:color="auto"/>
                <w:left w:val="none" w:sz="0" w:space="0" w:color="auto"/>
                <w:bottom w:val="none" w:sz="0" w:space="0" w:color="auto"/>
                <w:right w:val="none" w:sz="0" w:space="0" w:color="auto"/>
              </w:divBdr>
            </w:div>
            <w:div w:id="579215811">
              <w:marLeft w:val="0"/>
              <w:marRight w:val="0"/>
              <w:marTop w:val="0"/>
              <w:marBottom w:val="0"/>
              <w:divBdr>
                <w:top w:val="none" w:sz="0" w:space="0" w:color="auto"/>
                <w:left w:val="none" w:sz="0" w:space="0" w:color="auto"/>
                <w:bottom w:val="none" w:sz="0" w:space="0" w:color="auto"/>
                <w:right w:val="none" w:sz="0" w:space="0" w:color="auto"/>
              </w:divBdr>
            </w:div>
            <w:div w:id="701519253">
              <w:marLeft w:val="0"/>
              <w:marRight w:val="0"/>
              <w:marTop w:val="0"/>
              <w:marBottom w:val="0"/>
              <w:divBdr>
                <w:top w:val="none" w:sz="0" w:space="0" w:color="auto"/>
                <w:left w:val="none" w:sz="0" w:space="0" w:color="auto"/>
                <w:bottom w:val="none" w:sz="0" w:space="0" w:color="auto"/>
                <w:right w:val="none" w:sz="0" w:space="0" w:color="auto"/>
              </w:divBdr>
            </w:div>
            <w:div w:id="812138496">
              <w:marLeft w:val="0"/>
              <w:marRight w:val="0"/>
              <w:marTop w:val="0"/>
              <w:marBottom w:val="0"/>
              <w:divBdr>
                <w:top w:val="none" w:sz="0" w:space="0" w:color="auto"/>
                <w:left w:val="none" w:sz="0" w:space="0" w:color="auto"/>
                <w:bottom w:val="none" w:sz="0" w:space="0" w:color="auto"/>
                <w:right w:val="none" w:sz="0" w:space="0" w:color="auto"/>
              </w:divBdr>
            </w:div>
            <w:div w:id="822625588">
              <w:marLeft w:val="0"/>
              <w:marRight w:val="0"/>
              <w:marTop w:val="0"/>
              <w:marBottom w:val="0"/>
              <w:divBdr>
                <w:top w:val="none" w:sz="0" w:space="0" w:color="auto"/>
                <w:left w:val="none" w:sz="0" w:space="0" w:color="auto"/>
                <w:bottom w:val="none" w:sz="0" w:space="0" w:color="auto"/>
                <w:right w:val="none" w:sz="0" w:space="0" w:color="auto"/>
              </w:divBdr>
            </w:div>
            <w:div w:id="830756521">
              <w:marLeft w:val="0"/>
              <w:marRight w:val="0"/>
              <w:marTop w:val="0"/>
              <w:marBottom w:val="0"/>
              <w:divBdr>
                <w:top w:val="none" w:sz="0" w:space="0" w:color="auto"/>
                <w:left w:val="none" w:sz="0" w:space="0" w:color="auto"/>
                <w:bottom w:val="none" w:sz="0" w:space="0" w:color="auto"/>
                <w:right w:val="none" w:sz="0" w:space="0" w:color="auto"/>
              </w:divBdr>
            </w:div>
            <w:div w:id="836504287">
              <w:marLeft w:val="0"/>
              <w:marRight w:val="0"/>
              <w:marTop w:val="0"/>
              <w:marBottom w:val="0"/>
              <w:divBdr>
                <w:top w:val="none" w:sz="0" w:space="0" w:color="auto"/>
                <w:left w:val="none" w:sz="0" w:space="0" w:color="auto"/>
                <w:bottom w:val="none" w:sz="0" w:space="0" w:color="auto"/>
                <w:right w:val="none" w:sz="0" w:space="0" w:color="auto"/>
              </w:divBdr>
            </w:div>
            <w:div w:id="973295781">
              <w:marLeft w:val="0"/>
              <w:marRight w:val="0"/>
              <w:marTop w:val="0"/>
              <w:marBottom w:val="0"/>
              <w:divBdr>
                <w:top w:val="none" w:sz="0" w:space="0" w:color="auto"/>
                <w:left w:val="none" w:sz="0" w:space="0" w:color="auto"/>
                <w:bottom w:val="none" w:sz="0" w:space="0" w:color="auto"/>
                <w:right w:val="none" w:sz="0" w:space="0" w:color="auto"/>
              </w:divBdr>
            </w:div>
            <w:div w:id="985087168">
              <w:marLeft w:val="0"/>
              <w:marRight w:val="0"/>
              <w:marTop w:val="0"/>
              <w:marBottom w:val="0"/>
              <w:divBdr>
                <w:top w:val="none" w:sz="0" w:space="0" w:color="auto"/>
                <w:left w:val="none" w:sz="0" w:space="0" w:color="auto"/>
                <w:bottom w:val="none" w:sz="0" w:space="0" w:color="auto"/>
                <w:right w:val="none" w:sz="0" w:space="0" w:color="auto"/>
              </w:divBdr>
            </w:div>
            <w:div w:id="1113986249">
              <w:marLeft w:val="0"/>
              <w:marRight w:val="0"/>
              <w:marTop w:val="0"/>
              <w:marBottom w:val="0"/>
              <w:divBdr>
                <w:top w:val="none" w:sz="0" w:space="0" w:color="auto"/>
                <w:left w:val="none" w:sz="0" w:space="0" w:color="auto"/>
                <w:bottom w:val="none" w:sz="0" w:space="0" w:color="auto"/>
                <w:right w:val="none" w:sz="0" w:space="0" w:color="auto"/>
              </w:divBdr>
            </w:div>
            <w:div w:id="1165242176">
              <w:marLeft w:val="0"/>
              <w:marRight w:val="0"/>
              <w:marTop w:val="0"/>
              <w:marBottom w:val="0"/>
              <w:divBdr>
                <w:top w:val="none" w:sz="0" w:space="0" w:color="auto"/>
                <w:left w:val="none" w:sz="0" w:space="0" w:color="auto"/>
                <w:bottom w:val="none" w:sz="0" w:space="0" w:color="auto"/>
                <w:right w:val="none" w:sz="0" w:space="0" w:color="auto"/>
              </w:divBdr>
            </w:div>
            <w:div w:id="1276868554">
              <w:marLeft w:val="0"/>
              <w:marRight w:val="0"/>
              <w:marTop w:val="0"/>
              <w:marBottom w:val="0"/>
              <w:divBdr>
                <w:top w:val="none" w:sz="0" w:space="0" w:color="auto"/>
                <w:left w:val="none" w:sz="0" w:space="0" w:color="auto"/>
                <w:bottom w:val="none" w:sz="0" w:space="0" w:color="auto"/>
                <w:right w:val="none" w:sz="0" w:space="0" w:color="auto"/>
              </w:divBdr>
            </w:div>
            <w:div w:id="1324238077">
              <w:marLeft w:val="0"/>
              <w:marRight w:val="0"/>
              <w:marTop w:val="0"/>
              <w:marBottom w:val="0"/>
              <w:divBdr>
                <w:top w:val="none" w:sz="0" w:space="0" w:color="auto"/>
                <w:left w:val="none" w:sz="0" w:space="0" w:color="auto"/>
                <w:bottom w:val="none" w:sz="0" w:space="0" w:color="auto"/>
                <w:right w:val="none" w:sz="0" w:space="0" w:color="auto"/>
              </w:divBdr>
            </w:div>
            <w:div w:id="1331300220">
              <w:marLeft w:val="0"/>
              <w:marRight w:val="0"/>
              <w:marTop w:val="0"/>
              <w:marBottom w:val="0"/>
              <w:divBdr>
                <w:top w:val="none" w:sz="0" w:space="0" w:color="auto"/>
                <w:left w:val="none" w:sz="0" w:space="0" w:color="auto"/>
                <w:bottom w:val="none" w:sz="0" w:space="0" w:color="auto"/>
                <w:right w:val="none" w:sz="0" w:space="0" w:color="auto"/>
              </w:divBdr>
            </w:div>
            <w:div w:id="1341934264">
              <w:marLeft w:val="0"/>
              <w:marRight w:val="0"/>
              <w:marTop w:val="0"/>
              <w:marBottom w:val="0"/>
              <w:divBdr>
                <w:top w:val="none" w:sz="0" w:space="0" w:color="auto"/>
                <w:left w:val="none" w:sz="0" w:space="0" w:color="auto"/>
                <w:bottom w:val="none" w:sz="0" w:space="0" w:color="auto"/>
                <w:right w:val="none" w:sz="0" w:space="0" w:color="auto"/>
              </w:divBdr>
            </w:div>
            <w:div w:id="1399547723">
              <w:marLeft w:val="0"/>
              <w:marRight w:val="0"/>
              <w:marTop w:val="0"/>
              <w:marBottom w:val="0"/>
              <w:divBdr>
                <w:top w:val="none" w:sz="0" w:space="0" w:color="auto"/>
                <w:left w:val="none" w:sz="0" w:space="0" w:color="auto"/>
                <w:bottom w:val="none" w:sz="0" w:space="0" w:color="auto"/>
                <w:right w:val="none" w:sz="0" w:space="0" w:color="auto"/>
              </w:divBdr>
            </w:div>
            <w:div w:id="1501966058">
              <w:marLeft w:val="0"/>
              <w:marRight w:val="0"/>
              <w:marTop w:val="0"/>
              <w:marBottom w:val="0"/>
              <w:divBdr>
                <w:top w:val="none" w:sz="0" w:space="0" w:color="auto"/>
                <w:left w:val="none" w:sz="0" w:space="0" w:color="auto"/>
                <w:bottom w:val="none" w:sz="0" w:space="0" w:color="auto"/>
                <w:right w:val="none" w:sz="0" w:space="0" w:color="auto"/>
              </w:divBdr>
            </w:div>
            <w:div w:id="1530676593">
              <w:marLeft w:val="0"/>
              <w:marRight w:val="0"/>
              <w:marTop w:val="0"/>
              <w:marBottom w:val="0"/>
              <w:divBdr>
                <w:top w:val="none" w:sz="0" w:space="0" w:color="auto"/>
                <w:left w:val="none" w:sz="0" w:space="0" w:color="auto"/>
                <w:bottom w:val="none" w:sz="0" w:space="0" w:color="auto"/>
                <w:right w:val="none" w:sz="0" w:space="0" w:color="auto"/>
              </w:divBdr>
            </w:div>
            <w:div w:id="1571112403">
              <w:marLeft w:val="0"/>
              <w:marRight w:val="0"/>
              <w:marTop w:val="0"/>
              <w:marBottom w:val="0"/>
              <w:divBdr>
                <w:top w:val="none" w:sz="0" w:space="0" w:color="auto"/>
                <w:left w:val="none" w:sz="0" w:space="0" w:color="auto"/>
                <w:bottom w:val="none" w:sz="0" w:space="0" w:color="auto"/>
                <w:right w:val="none" w:sz="0" w:space="0" w:color="auto"/>
              </w:divBdr>
            </w:div>
            <w:div w:id="1605502278">
              <w:marLeft w:val="0"/>
              <w:marRight w:val="0"/>
              <w:marTop w:val="0"/>
              <w:marBottom w:val="0"/>
              <w:divBdr>
                <w:top w:val="none" w:sz="0" w:space="0" w:color="auto"/>
                <w:left w:val="none" w:sz="0" w:space="0" w:color="auto"/>
                <w:bottom w:val="none" w:sz="0" w:space="0" w:color="auto"/>
                <w:right w:val="none" w:sz="0" w:space="0" w:color="auto"/>
              </w:divBdr>
            </w:div>
            <w:div w:id="1806779354">
              <w:marLeft w:val="0"/>
              <w:marRight w:val="0"/>
              <w:marTop w:val="0"/>
              <w:marBottom w:val="0"/>
              <w:divBdr>
                <w:top w:val="none" w:sz="0" w:space="0" w:color="auto"/>
                <w:left w:val="none" w:sz="0" w:space="0" w:color="auto"/>
                <w:bottom w:val="none" w:sz="0" w:space="0" w:color="auto"/>
                <w:right w:val="none" w:sz="0" w:space="0" w:color="auto"/>
              </w:divBdr>
            </w:div>
            <w:div w:id="1903833683">
              <w:marLeft w:val="0"/>
              <w:marRight w:val="0"/>
              <w:marTop w:val="0"/>
              <w:marBottom w:val="0"/>
              <w:divBdr>
                <w:top w:val="none" w:sz="0" w:space="0" w:color="auto"/>
                <w:left w:val="none" w:sz="0" w:space="0" w:color="auto"/>
                <w:bottom w:val="none" w:sz="0" w:space="0" w:color="auto"/>
                <w:right w:val="none" w:sz="0" w:space="0" w:color="auto"/>
              </w:divBdr>
            </w:div>
            <w:div w:id="2072651754">
              <w:marLeft w:val="0"/>
              <w:marRight w:val="0"/>
              <w:marTop w:val="0"/>
              <w:marBottom w:val="0"/>
              <w:divBdr>
                <w:top w:val="none" w:sz="0" w:space="0" w:color="auto"/>
                <w:left w:val="none" w:sz="0" w:space="0" w:color="auto"/>
                <w:bottom w:val="none" w:sz="0" w:space="0" w:color="auto"/>
                <w:right w:val="none" w:sz="0" w:space="0" w:color="auto"/>
              </w:divBdr>
            </w:div>
            <w:div w:id="208595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66686">
      <w:bodyDiv w:val="1"/>
      <w:marLeft w:val="0"/>
      <w:marRight w:val="0"/>
      <w:marTop w:val="0"/>
      <w:marBottom w:val="0"/>
      <w:divBdr>
        <w:top w:val="none" w:sz="0" w:space="0" w:color="auto"/>
        <w:left w:val="none" w:sz="0" w:space="0" w:color="auto"/>
        <w:bottom w:val="none" w:sz="0" w:space="0" w:color="auto"/>
        <w:right w:val="none" w:sz="0" w:space="0" w:color="auto"/>
      </w:divBdr>
      <w:divsChild>
        <w:div w:id="87309735">
          <w:marLeft w:val="0"/>
          <w:marRight w:val="0"/>
          <w:marTop w:val="0"/>
          <w:marBottom w:val="0"/>
          <w:divBdr>
            <w:top w:val="none" w:sz="0" w:space="0" w:color="auto"/>
            <w:left w:val="none" w:sz="0" w:space="0" w:color="auto"/>
            <w:bottom w:val="none" w:sz="0" w:space="0" w:color="auto"/>
            <w:right w:val="none" w:sz="0" w:space="0" w:color="auto"/>
          </w:divBdr>
        </w:div>
        <w:div w:id="89544160">
          <w:marLeft w:val="0"/>
          <w:marRight w:val="0"/>
          <w:marTop w:val="0"/>
          <w:marBottom w:val="0"/>
          <w:divBdr>
            <w:top w:val="none" w:sz="0" w:space="0" w:color="auto"/>
            <w:left w:val="none" w:sz="0" w:space="0" w:color="auto"/>
            <w:bottom w:val="none" w:sz="0" w:space="0" w:color="auto"/>
            <w:right w:val="none" w:sz="0" w:space="0" w:color="auto"/>
          </w:divBdr>
        </w:div>
        <w:div w:id="103038158">
          <w:marLeft w:val="0"/>
          <w:marRight w:val="0"/>
          <w:marTop w:val="0"/>
          <w:marBottom w:val="0"/>
          <w:divBdr>
            <w:top w:val="none" w:sz="0" w:space="0" w:color="auto"/>
            <w:left w:val="none" w:sz="0" w:space="0" w:color="auto"/>
            <w:bottom w:val="none" w:sz="0" w:space="0" w:color="auto"/>
            <w:right w:val="none" w:sz="0" w:space="0" w:color="auto"/>
          </w:divBdr>
        </w:div>
        <w:div w:id="125514239">
          <w:marLeft w:val="0"/>
          <w:marRight w:val="0"/>
          <w:marTop w:val="0"/>
          <w:marBottom w:val="0"/>
          <w:divBdr>
            <w:top w:val="none" w:sz="0" w:space="0" w:color="auto"/>
            <w:left w:val="none" w:sz="0" w:space="0" w:color="auto"/>
            <w:bottom w:val="none" w:sz="0" w:space="0" w:color="auto"/>
            <w:right w:val="none" w:sz="0" w:space="0" w:color="auto"/>
          </w:divBdr>
        </w:div>
        <w:div w:id="143090764">
          <w:marLeft w:val="0"/>
          <w:marRight w:val="0"/>
          <w:marTop w:val="0"/>
          <w:marBottom w:val="0"/>
          <w:divBdr>
            <w:top w:val="none" w:sz="0" w:space="0" w:color="auto"/>
            <w:left w:val="none" w:sz="0" w:space="0" w:color="auto"/>
            <w:bottom w:val="none" w:sz="0" w:space="0" w:color="auto"/>
            <w:right w:val="none" w:sz="0" w:space="0" w:color="auto"/>
          </w:divBdr>
        </w:div>
        <w:div w:id="178862271">
          <w:marLeft w:val="0"/>
          <w:marRight w:val="0"/>
          <w:marTop w:val="0"/>
          <w:marBottom w:val="0"/>
          <w:divBdr>
            <w:top w:val="none" w:sz="0" w:space="0" w:color="auto"/>
            <w:left w:val="none" w:sz="0" w:space="0" w:color="auto"/>
            <w:bottom w:val="none" w:sz="0" w:space="0" w:color="auto"/>
            <w:right w:val="none" w:sz="0" w:space="0" w:color="auto"/>
          </w:divBdr>
        </w:div>
        <w:div w:id="180707214">
          <w:marLeft w:val="0"/>
          <w:marRight w:val="0"/>
          <w:marTop w:val="0"/>
          <w:marBottom w:val="0"/>
          <w:divBdr>
            <w:top w:val="none" w:sz="0" w:space="0" w:color="auto"/>
            <w:left w:val="none" w:sz="0" w:space="0" w:color="auto"/>
            <w:bottom w:val="none" w:sz="0" w:space="0" w:color="auto"/>
            <w:right w:val="none" w:sz="0" w:space="0" w:color="auto"/>
          </w:divBdr>
        </w:div>
        <w:div w:id="265037172">
          <w:marLeft w:val="0"/>
          <w:marRight w:val="0"/>
          <w:marTop w:val="0"/>
          <w:marBottom w:val="0"/>
          <w:divBdr>
            <w:top w:val="none" w:sz="0" w:space="0" w:color="auto"/>
            <w:left w:val="none" w:sz="0" w:space="0" w:color="auto"/>
            <w:bottom w:val="none" w:sz="0" w:space="0" w:color="auto"/>
            <w:right w:val="none" w:sz="0" w:space="0" w:color="auto"/>
          </w:divBdr>
        </w:div>
        <w:div w:id="323169009">
          <w:marLeft w:val="0"/>
          <w:marRight w:val="0"/>
          <w:marTop w:val="0"/>
          <w:marBottom w:val="0"/>
          <w:divBdr>
            <w:top w:val="none" w:sz="0" w:space="0" w:color="auto"/>
            <w:left w:val="none" w:sz="0" w:space="0" w:color="auto"/>
            <w:bottom w:val="none" w:sz="0" w:space="0" w:color="auto"/>
            <w:right w:val="none" w:sz="0" w:space="0" w:color="auto"/>
          </w:divBdr>
        </w:div>
        <w:div w:id="337464603">
          <w:marLeft w:val="0"/>
          <w:marRight w:val="0"/>
          <w:marTop w:val="0"/>
          <w:marBottom w:val="0"/>
          <w:divBdr>
            <w:top w:val="none" w:sz="0" w:space="0" w:color="auto"/>
            <w:left w:val="none" w:sz="0" w:space="0" w:color="auto"/>
            <w:bottom w:val="none" w:sz="0" w:space="0" w:color="auto"/>
            <w:right w:val="none" w:sz="0" w:space="0" w:color="auto"/>
          </w:divBdr>
        </w:div>
        <w:div w:id="355346418">
          <w:marLeft w:val="0"/>
          <w:marRight w:val="0"/>
          <w:marTop w:val="0"/>
          <w:marBottom w:val="0"/>
          <w:divBdr>
            <w:top w:val="none" w:sz="0" w:space="0" w:color="auto"/>
            <w:left w:val="none" w:sz="0" w:space="0" w:color="auto"/>
            <w:bottom w:val="none" w:sz="0" w:space="0" w:color="auto"/>
            <w:right w:val="none" w:sz="0" w:space="0" w:color="auto"/>
          </w:divBdr>
        </w:div>
        <w:div w:id="379133098">
          <w:marLeft w:val="0"/>
          <w:marRight w:val="0"/>
          <w:marTop w:val="0"/>
          <w:marBottom w:val="0"/>
          <w:divBdr>
            <w:top w:val="none" w:sz="0" w:space="0" w:color="auto"/>
            <w:left w:val="none" w:sz="0" w:space="0" w:color="auto"/>
            <w:bottom w:val="none" w:sz="0" w:space="0" w:color="auto"/>
            <w:right w:val="none" w:sz="0" w:space="0" w:color="auto"/>
          </w:divBdr>
        </w:div>
        <w:div w:id="393771551">
          <w:marLeft w:val="0"/>
          <w:marRight w:val="0"/>
          <w:marTop w:val="0"/>
          <w:marBottom w:val="0"/>
          <w:divBdr>
            <w:top w:val="none" w:sz="0" w:space="0" w:color="auto"/>
            <w:left w:val="none" w:sz="0" w:space="0" w:color="auto"/>
            <w:bottom w:val="none" w:sz="0" w:space="0" w:color="auto"/>
            <w:right w:val="none" w:sz="0" w:space="0" w:color="auto"/>
          </w:divBdr>
        </w:div>
        <w:div w:id="465247195">
          <w:marLeft w:val="0"/>
          <w:marRight w:val="0"/>
          <w:marTop w:val="0"/>
          <w:marBottom w:val="0"/>
          <w:divBdr>
            <w:top w:val="none" w:sz="0" w:space="0" w:color="auto"/>
            <w:left w:val="none" w:sz="0" w:space="0" w:color="auto"/>
            <w:bottom w:val="none" w:sz="0" w:space="0" w:color="auto"/>
            <w:right w:val="none" w:sz="0" w:space="0" w:color="auto"/>
          </w:divBdr>
        </w:div>
        <w:div w:id="472332533">
          <w:marLeft w:val="0"/>
          <w:marRight w:val="0"/>
          <w:marTop w:val="0"/>
          <w:marBottom w:val="0"/>
          <w:divBdr>
            <w:top w:val="none" w:sz="0" w:space="0" w:color="auto"/>
            <w:left w:val="none" w:sz="0" w:space="0" w:color="auto"/>
            <w:bottom w:val="none" w:sz="0" w:space="0" w:color="auto"/>
            <w:right w:val="none" w:sz="0" w:space="0" w:color="auto"/>
          </w:divBdr>
        </w:div>
        <w:div w:id="532808681">
          <w:marLeft w:val="0"/>
          <w:marRight w:val="0"/>
          <w:marTop w:val="0"/>
          <w:marBottom w:val="0"/>
          <w:divBdr>
            <w:top w:val="none" w:sz="0" w:space="0" w:color="auto"/>
            <w:left w:val="none" w:sz="0" w:space="0" w:color="auto"/>
            <w:bottom w:val="none" w:sz="0" w:space="0" w:color="auto"/>
            <w:right w:val="none" w:sz="0" w:space="0" w:color="auto"/>
          </w:divBdr>
        </w:div>
        <w:div w:id="622811487">
          <w:marLeft w:val="0"/>
          <w:marRight w:val="0"/>
          <w:marTop w:val="0"/>
          <w:marBottom w:val="0"/>
          <w:divBdr>
            <w:top w:val="none" w:sz="0" w:space="0" w:color="auto"/>
            <w:left w:val="none" w:sz="0" w:space="0" w:color="auto"/>
            <w:bottom w:val="none" w:sz="0" w:space="0" w:color="auto"/>
            <w:right w:val="none" w:sz="0" w:space="0" w:color="auto"/>
          </w:divBdr>
        </w:div>
        <w:div w:id="726337720">
          <w:marLeft w:val="0"/>
          <w:marRight w:val="0"/>
          <w:marTop w:val="0"/>
          <w:marBottom w:val="0"/>
          <w:divBdr>
            <w:top w:val="none" w:sz="0" w:space="0" w:color="auto"/>
            <w:left w:val="none" w:sz="0" w:space="0" w:color="auto"/>
            <w:bottom w:val="none" w:sz="0" w:space="0" w:color="auto"/>
            <w:right w:val="none" w:sz="0" w:space="0" w:color="auto"/>
          </w:divBdr>
        </w:div>
        <w:div w:id="767509663">
          <w:marLeft w:val="0"/>
          <w:marRight w:val="0"/>
          <w:marTop w:val="0"/>
          <w:marBottom w:val="0"/>
          <w:divBdr>
            <w:top w:val="none" w:sz="0" w:space="0" w:color="auto"/>
            <w:left w:val="none" w:sz="0" w:space="0" w:color="auto"/>
            <w:bottom w:val="none" w:sz="0" w:space="0" w:color="auto"/>
            <w:right w:val="none" w:sz="0" w:space="0" w:color="auto"/>
          </w:divBdr>
        </w:div>
        <w:div w:id="786508994">
          <w:marLeft w:val="0"/>
          <w:marRight w:val="0"/>
          <w:marTop w:val="0"/>
          <w:marBottom w:val="0"/>
          <w:divBdr>
            <w:top w:val="none" w:sz="0" w:space="0" w:color="auto"/>
            <w:left w:val="none" w:sz="0" w:space="0" w:color="auto"/>
            <w:bottom w:val="none" w:sz="0" w:space="0" w:color="auto"/>
            <w:right w:val="none" w:sz="0" w:space="0" w:color="auto"/>
          </w:divBdr>
        </w:div>
        <w:div w:id="804666235">
          <w:marLeft w:val="0"/>
          <w:marRight w:val="0"/>
          <w:marTop w:val="0"/>
          <w:marBottom w:val="0"/>
          <w:divBdr>
            <w:top w:val="none" w:sz="0" w:space="0" w:color="auto"/>
            <w:left w:val="none" w:sz="0" w:space="0" w:color="auto"/>
            <w:bottom w:val="none" w:sz="0" w:space="0" w:color="auto"/>
            <w:right w:val="none" w:sz="0" w:space="0" w:color="auto"/>
          </w:divBdr>
        </w:div>
        <w:div w:id="839584145">
          <w:marLeft w:val="0"/>
          <w:marRight w:val="0"/>
          <w:marTop w:val="0"/>
          <w:marBottom w:val="0"/>
          <w:divBdr>
            <w:top w:val="none" w:sz="0" w:space="0" w:color="auto"/>
            <w:left w:val="none" w:sz="0" w:space="0" w:color="auto"/>
            <w:bottom w:val="none" w:sz="0" w:space="0" w:color="auto"/>
            <w:right w:val="none" w:sz="0" w:space="0" w:color="auto"/>
          </w:divBdr>
        </w:div>
        <w:div w:id="861474982">
          <w:marLeft w:val="0"/>
          <w:marRight w:val="0"/>
          <w:marTop w:val="0"/>
          <w:marBottom w:val="0"/>
          <w:divBdr>
            <w:top w:val="none" w:sz="0" w:space="0" w:color="auto"/>
            <w:left w:val="none" w:sz="0" w:space="0" w:color="auto"/>
            <w:bottom w:val="none" w:sz="0" w:space="0" w:color="auto"/>
            <w:right w:val="none" w:sz="0" w:space="0" w:color="auto"/>
          </w:divBdr>
        </w:div>
        <w:div w:id="906454437">
          <w:marLeft w:val="0"/>
          <w:marRight w:val="0"/>
          <w:marTop w:val="0"/>
          <w:marBottom w:val="0"/>
          <w:divBdr>
            <w:top w:val="none" w:sz="0" w:space="0" w:color="auto"/>
            <w:left w:val="none" w:sz="0" w:space="0" w:color="auto"/>
            <w:bottom w:val="none" w:sz="0" w:space="0" w:color="auto"/>
            <w:right w:val="none" w:sz="0" w:space="0" w:color="auto"/>
          </w:divBdr>
        </w:div>
        <w:div w:id="920212432">
          <w:marLeft w:val="0"/>
          <w:marRight w:val="0"/>
          <w:marTop w:val="0"/>
          <w:marBottom w:val="0"/>
          <w:divBdr>
            <w:top w:val="none" w:sz="0" w:space="0" w:color="auto"/>
            <w:left w:val="none" w:sz="0" w:space="0" w:color="auto"/>
            <w:bottom w:val="none" w:sz="0" w:space="0" w:color="auto"/>
            <w:right w:val="none" w:sz="0" w:space="0" w:color="auto"/>
          </w:divBdr>
        </w:div>
        <w:div w:id="923075017">
          <w:marLeft w:val="0"/>
          <w:marRight w:val="0"/>
          <w:marTop w:val="0"/>
          <w:marBottom w:val="0"/>
          <w:divBdr>
            <w:top w:val="none" w:sz="0" w:space="0" w:color="auto"/>
            <w:left w:val="none" w:sz="0" w:space="0" w:color="auto"/>
            <w:bottom w:val="none" w:sz="0" w:space="0" w:color="auto"/>
            <w:right w:val="none" w:sz="0" w:space="0" w:color="auto"/>
          </w:divBdr>
        </w:div>
        <w:div w:id="1016930639">
          <w:marLeft w:val="0"/>
          <w:marRight w:val="0"/>
          <w:marTop w:val="0"/>
          <w:marBottom w:val="0"/>
          <w:divBdr>
            <w:top w:val="none" w:sz="0" w:space="0" w:color="auto"/>
            <w:left w:val="none" w:sz="0" w:space="0" w:color="auto"/>
            <w:bottom w:val="none" w:sz="0" w:space="0" w:color="auto"/>
            <w:right w:val="none" w:sz="0" w:space="0" w:color="auto"/>
          </w:divBdr>
        </w:div>
        <w:div w:id="1060639735">
          <w:marLeft w:val="0"/>
          <w:marRight w:val="0"/>
          <w:marTop w:val="0"/>
          <w:marBottom w:val="0"/>
          <w:divBdr>
            <w:top w:val="none" w:sz="0" w:space="0" w:color="auto"/>
            <w:left w:val="none" w:sz="0" w:space="0" w:color="auto"/>
            <w:bottom w:val="none" w:sz="0" w:space="0" w:color="auto"/>
            <w:right w:val="none" w:sz="0" w:space="0" w:color="auto"/>
          </w:divBdr>
        </w:div>
        <w:div w:id="1091001385">
          <w:marLeft w:val="0"/>
          <w:marRight w:val="0"/>
          <w:marTop w:val="0"/>
          <w:marBottom w:val="0"/>
          <w:divBdr>
            <w:top w:val="none" w:sz="0" w:space="0" w:color="auto"/>
            <w:left w:val="none" w:sz="0" w:space="0" w:color="auto"/>
            <w:bottom w:val="none" w:sz="0" w:space="0" w:color="auto"/>
            <w:right w:val="none" w:sz="0" w:space="0" w:color="auto"/>
          </w:divBdr>
        </w:div>
        <w:div w:id="1153523531">
          <w:marLeft w:val="0"/>
          <w:marRight w:val="0"/>
          <w:marTop w:val="0"/>
          <w:marBottom w:val="0"/>
          <w:divBdr>
            <w:top w:val="none" w:sz="0" w:space="0" w:color="auto"/>
            <w:left w:val="none" w:sz="0" w:space="0" w:color="auto"/>
            <w:bottom w:val="none" w:sz="0" w:space="0" w:color="auto"/>
            <w:right w:val="none" w:sz="0" w:space="0" w:color="auto"/>
          </w:divBdr>
        </w:div>
        <w:div w:id="1222257192">
          <w:marLeft w:val="0"/>
          <w:marRight w:val="0"/>
          <w:marTop w:val="0"/>
          <w:marBottom w:val="0"/>
          <w:divBdr>
            <w:top w:val="none" w:sz="0" w:space="0" w:color="auto"/>
            <w:left w:val="none" w:sz="0" w:space="0" w:color="auto"/>
            <w:bottom w:val="none" w:sz="0" w:space="0" w:color="auto"/>
            <w:right w:val="none" w:sz="0" w:space="0" w:color="auto"/>
          </w:divBdr>
        </w:div>
        <w:div w:id="1473866993">
          <w:marLeft w:val="0"/>
          <w:marRight w:val="0"/>
          <w:marTop w:val="0"/>
          <w:marBottom w:val="0"/>
          <w:divBdr>
            <w:top w:val="none" w:sz="0" w:space="0" w:color="auto"/>
            <w:left w:val="none" w:sz="0" w:space="0" w:color="auto"/>
            <w:bottom w:val="none" w:sz="0" w:space="0" w:color="auto"/>
            <w:right w:val="none" w:sz="0" w:space="0" w:color="auto"/>
          </w:divBdr>
        </w:div>
        <w:div w:id="1474298500">
          <w:marLeft w:val="0"/>
          <w:marRight w:val="0"/>
          <w:marTop w:val="0"/>
          <w:marBottom w:val="0"/>
          <w:divBdr>
            <w:top w:val="none" w:sz="0" w:space="0" w:color="auto"/>
            <w:left w:val="none" w:sz="0" w:space="0" w:color="auto"/>
            <w:bottom w:val="none" w:sz="0" w:space="0" w:color="auto"/>
            <w:right w:val="none" w:sz="0" w:space="0" w:color="auto"/>
          </w:divBdr>
        </w:div>
        <w:div w:id="1539583596">
          <w:marLeft w:val="0"/>
          <w:marRight w:val="0"/>
          <w:marTop w:val="0"/>
          <w:marBottom w:val="0"/>
          <w:divBdr>
            <w:top w:val="none" w:sz="0" w:space="0" w:color="auto"/>
            <w:left w:val="none" w:sz="0" w:space="0" w:color="auto"/>
            <w:bottom w:val="none" w:sz="0" w:space="0" w:color="auto"/>
            <w:right w:val="none" w:sz="0" w:space="0" w:color="auto"/>
          </w:divBdr>
        </w:div>
        <w:div w:id="1545408324">
          <w:marLeft w:val="0"/>
          <w:marRight w:val="0"/>
          <w:marTop w:val="0"/>
          <w:marBottom w:val="0"/>
          <w:divBdr>
            <w:top w:val="none" w:sz="0" w:space="0" w:color="auto"/>
            <w:left w:val="none" w:sz="0" w:space="0" w:color="auto"/>
            <w:bottom w:val="none" w:sz="0" w:space="0" w:color="auto"/>
            <w:right w:val="none" w:sz="0" w:space="0" w:color="auto"/>
          </w:divBdr>
        </w:div>
        <w:div w:id="1660771064">
          <w:marLeft w:val="0"/>
          <w:marRight w:val="0"/>
          <w:marTop w:val="0"/>
          <w:marBottom w:val="0"/>
          <w:divBdr>
            <w:top w:val="none" w:sz="0" w:space="0" w:color="auto"/>
            <w:left w:val="none" w:sz="0" w:space="0" w:color="auto"/>
            <w:bottom w:val="none" w:sz="0" w:space="0" w:color="auto"/>
            <w:right w:val="none" w:sz="0" w:space="0" w:color="auto"/>
          </w:divBdr>
        </w:div>
        <w:div w:id="1738360057">
          <w:marLeft w:val="0"/>
          <w:marRight w:val="0"/>
          <w:marTop w:val="0"/>
          <w:marBottom w:val="0"/>
          <w:divBdr>
            <w:top w:val="none" w:sz="0" w:space="0" w:color="auto"/>
            <w:left w:val="none" w:sz="0" w:space="0" w:color="auto"/>
            <w:bottom w:val="none" w:sz="0" w:space="0" w:color="auto"/>
            <w:right w:val="none" w:sz="0" w:space="0" w:color="auto"/>
          </w:divBdr>
        </w:div>
        <w:div w:id="1790973142">
          <w:marLeft w:val="0"/>
          <w:marRight w:val="0"/>
          <w:marTop w:val="0"/>
          <w:marBottom w:val="0"/>
          <w:divBdr>
            <w:top w:val="none" w:sz="0" w:space="0" w:color="auto"/>
            <w:left w:val="none" w:sz="0" w:space="0" w:color="auto"/>
            <w:bottom w:val="none" w:sz="0" w:space="0" w:color="auto"/>
            <w:right w:val="none" w:sz="0" w:space="0" w:color="auto"/>
          </w:divBdr>
        </w:div>
        <w:div w:id="1791363586">
          <w:marLeft w:val="0"/>
          <w:marRight w:val="0"/>
          <w:marTop w:val="0"/>
          <w:marBottom w:val="0"/>
          <w:divBdr>
            <w:top w:val="none" w:sz="0" w:space="0" w:color="auto"/>
            <w:left w:val="none" w:sz="0" w:space="0" w:color="auto"/>
            <w:bottom w:val="none" w:sz="0" w:space="0" w:color="auto"/>
            <w:right w:val="none" w:sz="0" w:space="0" w:color="auto"/>
          </w:divBdr>
        </w:div>
        <w:div w:id="1817184863">
          <w:marLeft w:val="0"/>
          <w:marRight w:val="0"/>
          <w:marTop w:val="0"/>
          <w:marBottom w:val="0"/>
          <w:divBdr>
            <w:top w:val="none" w:sz="0" w:space="0" w:color="auto"/>
            <w:left w:val="none" w:sz="0" w:space="0" w:color="auto"/>
            <w:bottom w:val="none" w:sz="0" w:space="0" w:color="auto"/>
            <w:right w:val="none" w:sz="0" w:space="0" w:color="auto"/>
          </w:divBdr>
        </w:div>
        <w:div w:id="1823621888">
          <w:marLeft w:val="0"/>
          <w:marRight w:val="0"/>
          <w:marTop w:val="0"/>
          <w:marBottom w:val="0"/>
          <w:divBdr>
            <w:top w:val="none" w:sz="0" w:space="0" w:color="auto"/>
            <w:left w:val="none" w:sz="0" w:space="0" w:color="auto"/>
            <w:bottom w:val="none" w:sz="0" w:space="0" w:color="auto"/>
            <w:right w:val="none" w:sz="0" w:space="0" w:color="auto"/>
          </w:divBdr>
        </w:div>
        <w:div w:id="1914200225">
          <w:marLeft w:val="0"/>
          <w:marRight w:val="0"/>
          <w:marTop w:val="0"/>
          <w:marBottom w:val="0"/>
          <w:divBdr>
            <w:top w:val="none" w:sz="0" w:space="0" w:color="auto"/>
            <w:left w:val="none" w:sz="0" w:space="0" w:color="auto"/>
            <w:bottom w:val="none" w:sz="0" w:space="0" w:color="auto"/>
            <w:right w:val="none" w:sz="0" w:space="0" w:color="auto"/>
          </w:divBdr>
        </w:div>
        <w:div w:id="1916740094">
          <w:marLeft w:val="0"/>
          <w:marRight w:val="0"/>
          <w:marTop w:val="0"/>
          <w:marBottom w:val="0"/>
          <w:divBdr>
            <w:top w:val="none" w:sz="0" w:space="0" w:color="auto"/>
            <w:left w:val="none" w:sz="0" w:space="0" w:color="auto"/>
            <w:bottom w:val="none" w:sz="0" w:space="0" w:color="auto"/>
            <w:right w:val="none" w:sz="0" w:space="0" w:color="auto"/>
          </w:divBdr>
        </w:div>
        <w:div w:id="1919057064">
          <w:marLeft w:val="0"/>
          <w:marRight w:val="0"/>
          <w:marTop w:val="0"/>
          <w:marBottom w:val="0"/>
          <w:divBdr>
            <w:top w:val="none" w:sz="0" w:space="0" w:color="auto"/>
            <w:left w:val="none" w:sz="0" w:space="0" w:color="auto"/>
            <w:bottom w:val="none" w:sz="0" w:space="0" w:color="auto"/>
            <w:right w:val="none" w:sz="0" w:space="0" w:color="auto"/>
          </w:divBdr>
        </w:div>
        <w:div w:id="1943107685">
          <w:marLeft w:val="0"/>
          <w:marRight w:val="0"/>
          <w:marTop w:val="0"/>
          <w:marBottom w:val="0"/>
          <w:divBdr>
            <w:top w:val="none" w:sz="0" w:space="0" w:color="auto"/>
            <w:left w:val="none" w:sz="0" w:space="0" w:color="auto"/>
            <w:bottom w:val="none" w:sz="0" w:space="0" w:color="auto"/>
            <w:right w:val="none" w:sz="0" w:space="0" w:color="auto"/>
          </w:divBdr>
        </w:div>
        <w:div w:id="1964458826">
          <w:marLeft w:val="0"/>
          <w:marRight w:val="0"/>
          <w:marTop w:val="0"/>
          <w:marBottom w:val="0"/>
          <w:divBdr>
            <w:top w:val="none" w:sz="0" w:space="0" w:color="auto"/>
            <w:left w:val="none" w:sz="0" w:space="0" w:color="auto"/>
            <w:bottom w:val="none" w:sz="0" w:space="0" w:color="auto"/>
            <w:right w:val="none" w:sz="0" w:space="0" w:color="auto"/>
          </w:divBdr>
        </w:div>
        <w:div w:id="1976375842">
          <w:marLeft w:val="0"/>
          <w:marRight w:val="0"/>
          <w:marTop w:val="0"/>
          <w:marBottom w:val="0"/>
          <w:divBdr>
            <w:top w:val="none" w:sz="0" w:space="0" w:color="auto"/>
            <w:left w:val="none" w:sz="0" w:space="0" w:color="auto"/>
            <w:bottom w:val="none" w:sz="0" w:space="0" w:color="auto"/>
            <w:right w:val="none" w:sz="0" w:space="0" w:color="auto"/>
          </w:divBdr>
        </w:div>
        <w:div w:id="1998609547">
          <w:marLeft w:val="0"/>
          <w:marRight w:val="0"/>
          <w:marTop w:val="0"/>
          <w:marBottom w:val="0"/>
          <w:divBdr>
            <w:top w:val="none" w:sz="0" w:space="0" w:color="auto"/>
            <w:left w:val="none" w:sz="0" w:space="0" w:color="auto"/>
            <w:bottom w:val="none" w:sz="0" w:space="0" w:color="auto"/>
            <w:right w:val="none" w:sz="0" w:space="0" w:color="auto"/>
          </w:divBdr>
        </w:div>
        <w:div w:id="2024015527">
          <w:marLeft w:val="0"/>
          <w:marRight w:val="0"/>
          <w:marTop w:val="0"/>
          <w:marBottom w:val="0"/>
          <w:divBdr>
            <w:top w:val="none" w:sz="0" w:space="0" w:color="auto"/>
            <w:left w:val="none" w:sz="0" w:space="0" w:color="auto"/>
            <w:bottom w:val="none" w:sz="0" w:space="0" w:color="auto"/>
            <w:right w:val="none" w:sz="0" w:space="0" w:color="auto"/>
          </w:divBdr>
        </w:div>
        <w:div w:id="2069642213">
          <w:marLeft w:val="0"/>
          <w:marRight w:val="0"/>
          <w:marTop w:val="0"/>
          <w:marBottom w:val="0"/>
          <w:divBdr>
            <w:top w:val="none" w:sz="0" w:space="0" w:color="auto"/>
            <w:left w:val="none" w:sz="0" w:space="0" w:color="auto"/>
            <w:bottom w:val="none" w:sz="0" w:space="0" w:color="auto"/>
            <w:right w:val="none" w:sz="0" w:space="0" w:color="auto"/>
          </w:divBdr>
        </w:div>
        <w:div w:id="2079864320">
          <w:marLeft w:val="0"/>
          <w:marRight w:val="0"/>
          <w:marTop w:val="0"/>
          <w:marBottom w:val="0"/>
          <w:divBdr>
            <w:top w:val="none" w:sz="0" w:space="0" w:color="auto"/>
            <w:left w:val="none" w:sz="0" w:space="0" w:color="auto"/>
            <w:bottom w:val="none" w:sz="0" w:space="0" w:color="auto"/>
            <w:right w:val="none" w:sz="0" w:space="0" w:color="auto"/>
          </w:divBdr>
        </w:div>
        <w:div w:id="2090494883">
          <w:marLeft w:val="0"/>
          <w:marRight w:val="0"/>
          <w:marTop w:val="0"/>
          <w:marBottom w:val="0"/>
          <w:divBdr>
            <w:top w:val="none" w:sz="0" w:space="0" w:color="auto"/>
            <w:left w:val="none" w:sz="0" w:space="0" w:color="auto"/>
            <w:bottom w:val="none" w:sz="0" w:space="0" w:color="auto"/>
            <w:right w:val="none" w:sz="0" w:space="0" w:color="auto"/>
          </w:divBdr>
        </w:div>
      </w:divsChild>
    </w:div>
    <w:div w:id="141971594">
      <w:bodyDiv w:val="1"/>
      <w:marLeft w:val="0"/>
      <w:marRight w:val="0"/>
      <w:marTop w:val="0"/>
      <w:marBottom w:val="0"/>
      <w:divBdr>
        <w:top w:val="none" w:sz="0" w:space="0" w:color="auto"/>
        <w:left w:val="none" w:sz="0" w:space="0" w:color="auto"/>
        <w:bottom w:val="none" w:sz="0" w:space="0" w:color="auto"/>
        <w:right w:val="none" w:sz="0" w:space="0" w:color="auto"/>
      </w:divBdr>
    </w:div>
    <w:div w:id="157037681">
      <w:bodyDiv w:val="1"/>
      <w:marLeft w:val="0"/>
      <w:marRight w:val="0"/>
      <w:marTop w:val="0"/>
      <w:marBottom w:val="0"/>
      <w:divBdr>
        <w:top w:val="none" w:sz="0" w:space="0" w:color="auto"/>
        <w:left w:val="none" w:sz="0" w:space="0" w:color="auto"/>
        <w:bottom w:val="none" w:sz="0" w:space="0" w:color="auto"/>
        <w:right w:val="none" w:sz="0" w:space="0" w:color="auto"/>
      </w:divBdr>
    </w:div>
    <w:div w:id="237062607">
      <w:bodyDiv w:val="1"/>
      <w:marLeft w:val="0"/>
      <w:marRight w:val="0"/>
      <w:marTop w:val="0"/>
      <w:marBottom w:val="0"/>
      <w:divBdr>
        <w:top w:val="none" w:sz="0" w:space="0" w:color="auto"/>
        <w:left w:val="none" w:sz="0" w:space="0" w:color="auto"/>
        <w:bottom w:val="none" w:sz="0" w:space="0" w:color="auto"/>
        <w:right w:val="none" w:sz="0" w:space="0" w:color="auto"/>
      </w:divBdr>
    </w:div>
    <w:div w:id="346105018">
      <w:bodyDiv w:val="1"/>
      <w:marLeft w:val="0"/>
      <w:marRight w:val="0"/>
      <w:marTop w:val="0"/>
      <w:marBottom w:val="0"/>
      <w:divBdr>
        <w:top w:val="none" w:sz="0" w:space="0" w:color="auto"/>
        <w:left w:val="none" w:sz="0" w:space="0" w:color="auto"/>
        <w:bottom w:val="none" w:sz="0" w:space="0" w:color="auto"/>
        <w:right w:val="none" w:sz="0" w:space="0" w:color="auto"/>
      </w:divBdr>
    </w:div>
    <w:div w:id="360859256">
      <w:bodyDiv w:val="1"/>
      <w:marLeft w:val="0"/>
      <w:marRight w:val="0"/>
      <w:marTop w:val="0"/>
      <w:marBottom w:val="0"/>
      <w:divBdr>
        <w:top w:val="none" w:sz="0" w:space="0" w:color="auto"/>
        <w:left w:val="none" w:sz="0" w:space="0" w:color="auto"/>
        <w:bottom w:val="none" w:sz="0" w:space="0" w:color="auto"/>
        <w:right w:val="none" w:sz="0" w:space="0" w:color="auto"/>
      </w:divBdr>
    </w:div>
    <w:div w:id="371928740">
      <w:bodyDiv w:val="1"/>
      <w:marLeft w:val="0"/>
      <w:marRight w:val="0"/>
      <w:marTop w:val="0"/>
      <w:marBottom w:val="0"/>
      <w:divBdr>
        <w:top w:val="none" w:sz="0" w:space="0" w:color="auto"/>
        <w:left w:val="none" w:sz="0" w:space="0" w:color="auto"/>
        <w:bottom w:val="none" w:sz="0" w:space="0" w:color="auto"/>
        <w:right w:val="none" w:sz="0" w:space="0" w:color="auto"/>
      </w:divBdr>
      <w:divsChild>
        <w:div w:id="115638208">
          <w:marLeft w:val="0"/>
          <w:marRight w:val="0"/>
          <w:marTop w:val="0"/>
          <w:marBottom w:val="0"/>
          <w:divBdr>
            <w:top w:val="none" w:sz="0" w:space="0" w:color="auto"/>
            <w:left w:val="none" w:sz="0" w:space="0" w:color="auto"/>
            <w:bottom w:val="none" w:sz="0" w:space="0" w:color="auto"/>
            <w:right w:val="none" w:sz="0" w:space="0" w:color="auto"/>
          </w:divBdr>
        </w:div>
        <w:div w:id="135344293">
          <w:marLeft w:val="0"/>
          <w:marRight w:val="0"/>
          <w:marTop w:val="0"/>
          <w:marBottom w:val="0"/>
          <w:divBdr>
            <w:top w:val="none" w:sz="0" w:space="0" w:color="auto"/>
            <w:left w:val="none" w:sz="0" w:space="0" w:color="auto"/>
            <w:bottom w:val="none" w:sz="0" w:space="0" w:color="auto"/>
            <w:right w:val="none" w:sz="0" w:space="0" w:color="auto"/>
          </w:divBdr>
        </w:div>
        <w:div w:id="273906756">
          <w:marLeft w:val="0"/>
          <w:marRight w:val="0"/>
          <w:marTop w:val="0"/>
          <w:marBottom w:val="0"/>
          <w:divBdr>
            <w:top w:val="none" w:sz="0" w:space="0" w:color="auto"/>
            <w:left w:val="none" w:sz="0" w:space="0" w:color="auto"/>
            <w:bottom w:val="none" w:sz="0" w:space="0" w:color="auto"/>
            <w:right w:val="none" w:sz="0" w:space="0" w:color="auto"/>
          </w:divBdr>
        </w:div>
        <w:div w:id="457916228">
          <w:marLeft w:val="0"/>
          <w:marRight w:val="0"/>
          <w:marTop w:val="0"/>
          <w:marBottom w:val="0"/>
          <w:divBdr>
            <w:top w:val="none" w:sz="0" w:space="0" w:color="auto"/>
            <w:left w:val="none" w:sz="0" w:space="0" w:color="auto"/>
            <w:bottom w:val="none" w:sz="0" w:space="0" w:color="auto"/>
            <w:right w:val="none" w:sz="0" w:space="0" w:color="auto"/>
          </w:divBdr>
        </w:div>
        <w:div w:id="562252916">
          <w:marLeft w:val="0"/>
          <w:marRight w:val="0"/>
          <w:marTop w:val="0"/>
          <w:marBottom w:val="0"/>
          <w:divBdr>
            <w:top w:val="none" w:sz="0" w:space="0" w:color="auto"/>
            <w:left w:val="none" w:sz="0" w:space="0" w:color="auto"/>
            <w:bottom w:val="none" w:sz="0" w:space="0" w:color="auto"/>
            <w:right w:val="none" w:sz="0" w:space="0" w:color="auto"/>
          </w:divBdr>
        </w:div>
        <w:div w:id="567887472">
          <w:marLeft w:val="0"/>
          <w:marRight w:val="0"/>
          <w:marTop w:val="0"/>
          <w:marBottom w:val="0"/>
          <w:divBdr>
            <w:top w:val="none" w:sz="0" w:space="0" w:color="auto"/>
            <w:left w:val="none" w:sz="0" w:space="0" w:color="auto"/>
            <w:bottom w:val="none" w:sz="0" w:space="0" w:color="auto"/>
            <w:right w:val="none" w:sz="0" w:space="0" w:color="auto"/>
          </w:divBdr>
        </w:div>
        <w:div w:id="671106394">
          <w:marLeft w:val="0"/>
          <w:marRight w:val="0"/>
          <w:marTop w:val="0"/>
          <w:marBottom w:val="0"/>
          <w:divBdr>
            <w:top w:val="none" w:sz="0" w:space="0" w:color="auto"/>
            <w:left w:val="none" w:sz="0" w:space="0" w:color="auto"/>
            <w:bottom w:val="none" w:sz="0" w:space="0" w:color="auto"/>
            <w:right w:val="none" w:sz="0" w:space="0" w:color="auto"/>
          </w:divBdr>
        </w:div>
        <w:div w:id="678965127">
          <w:marLeft w:val="0"/>
          <w:marRight w:val="0"/>
          <w:marTop w:val="0"/>
          <w:marBottom w:val="0"/>
          <w:divBdr>
            <w:top w:val="none" w:sz="0" w:space="0" w:color="auto"/>
            <w:left w:val="none" w:sz="0" w:space="0" w:color="auto"/>
            <w:bottom w:val="none" w:sz="0" w:space="0" w:color="auto"/>
            <w:right w:val="none" w:sz="0" w:space="0" w:color="auto"/>
          </w:divBdr>
        </w:div>
        <w:div w:id="831991895">
          <w:marLeft w:val="0"/>
          <w:marRight w:val="0"/>
          <w:marTop w:val="0"/>
          <w:marBottom w:val="0"/>
          <w:divBdr>
            <w:top w:val="none" w:sz="0" w:space="0" w:color="auto"/>
            <w:left w:val="none" w:sz="0" w:space="0" w:color="auto"/>
            <w:bottom w:val="none" w:sz="0" w:space="0" w:color="auto"/>
            <w:right w:val="none" w:sz="0" w:space="0" w:color="auto"/>
          </w:divBdr>
        </w:div>
        <w:div w:id="852382134">
          <w:marLeft w:val="0"/>
          <w:marRight w:val="0"/>
          <w:marTop w:val="0"/>
          <w:marBottom w:val="0"/>
          <w:divBdr>
            <w:top w:val="none" w:sz="0" w:space="0" w:color="auto"/>
            <w:left w:val="none" w:sz="0" w:space="0" w:color="auto"/>
            <w:bottom w:val="none" w:sz="0" w:space="0" w:color="auto"/>
            <w:right w:val="none" w:sz="0" w:space="0" w:color="auto"/>
          </w:divBdr>
        </w:div>
        <w:div w:id="852493475">
          <w:marLeft w:val="0"/>
          <w:marRight w:val="0"/>
          <w:marTop w:val="0"/>
          <w:marBottom w:val="0"/>
          <w:divBdr>
            <w:top w:val="none" w:sz="0" w:space="0" w:color="auto"/>
            <w:left w:val="none" w:sz="0" w:space="0" w:color="auto"/>
            <w:bottom w:val="none" w:sz="0" w:space="0" w:color="auto"/>
            <w:right w:val="none" w:sz="0" w:space="0" w:color="auto"/>
          </w:divBdr>
        </w:div>
        <w:div w:id="962806424">
          <w:marLeft w:val="0"/>
          <w:marRight w:val="0"/>
          <w:marTop w:val="0"/>
          <w:marBottom w:val="0"/>
          <w:divBdr>
            <w:top w:val="none" w:sz="0" w:space="0" w:color="auto"/>
            <w:left w:val="none" w:sz="0" w:space="0" w:color="auto"/>
            <w:bottom w:val="none" w:sz="0" w:space="0" w:color="auto"/>
            <w:right w:val="none" w:sz="0" w:space="0" w:color="auto"/>
          </w:divBdr>
        </w:div>
        <w:div w:id="1115640173">
          <w:marLeft w:val="0"/>
          <w:marRight w:val="0"/>
          <w:marTop w:val="0"/>
          <w:marBottom w:val="0"/>
          <w:divBdr>
            <w:top w:val="none" w:sz="0" w:space="0" w:color="auto"/>
            <w:left w:val="none" w:sz="0" w:space="0" w:color="auto"/>
            <w:bottom w:val="none" w:sz="0" w:space="0" w:color="auto"/>
            <w:right w:val="none" w:sz="0" w:space="0" w:color="auto"/>
          </w:divBdr>
        </w:div>
        <w:div w:id="1195312676">
          <w:marLeft w:val="0"/>
          <w:marRight w:val="0"/>
          <w:marTop w:val="0"/>
          <w:marBottom w:val="0"/>
          <w:divBdr>
            <w:top w:val="none" w:sz="0" w:space="0" w:color="auto"/>
            <w:left w:val="none" w:sz="0" w:space="0" w:color="auto"/>
            <w:bottom w:val="none" w:sz="0" w:space="0" w:color="auto"/>
            <w:right w:val="none" w:sz="0" w:space="0" w:color="auto"/>
          </w:divBdr>
        </w:div>
        <w:div w:id="1322469148">
          <w:marLeft w:val="0"/>
          <w:marRight w:val="0"/>
          <w:marTop w:val="0"/>
          <w:marBottom w:val="0"/>
          <w:divBdr>
            <w:top w:val="none" w:sz="0" w:space="0" w:color="auto"/>
            <w:left w:val="none" w:sz="0" w:space="0" w:color="auto"/>
            <w:bottom w:val="none" w:sz="0" w:space="0" w:color="auto"/>
            <w:right w:val="none" w:sz="0" w:space="0" w:color="auto"/>
          </w:divBdr>
        </w:div>
        <w:div w:id="1436289489">
          <w:marLeft w:val="0"/>
          <w:marRight w:val="0"/>
          <w:marTop w:val="0"/>
          <w:marBottom w:val="0"/>
          <w:divBdr>
            <w:top w:val="none" w:sz="0" w:space="0" w:color="auto"/>
            <w:left w:val="none" w:sz="0" w:space="0" w:color="auto"/>
            <w:bottom w:val="none" w:sz="0" w:space="0" w:color="auto"/>
            <w:right w:val="none" w:sz="0" w:space="0" w:color="auto"/>
          </w:divBdr>
        </w:div>
        <w:div w:id="1576552604">
          <w:marLeft w:val="0"/>
          <w:marRight w:val="0"/>
          <w:marTop w:val="0"/>
          <w:marBottom w:val="0"/>
          <w:divBdr>
            <w:top w:val="none" w:sz="0" w:space="0" w:color="auto"/>
            <w:left w:val="none" w:sz="0" w:space="0" w:color="auto"/>
            <w:bottom w:val="none" w:sz="0" w:space="0" w:color="auto"/>
            <w:right w:val="none" w:sz="0" w:space="0" w:color="auto"/>
          </w:divBdr>
        </w:div>
        <w:div w:id="1681353347">
          <w:marLeft w:val="0"/>
          <w:marRight w:val="0"/>
          <w:marTop w:val="0"/>
          <w:marBottom w:val="0"/>
          <w:divBdr>
            <w:top w:val="none" w:sz="0" w:space="0" w:color="auto"/>
            <w:left w:val="none" w:sz="0" w:space="0" w:color="auto"/>
            <w:bottom w:val="none" w:sz="0" w:space="0" w:color="auto"/>
            <w:right w:val="none" w:sz="0" w:space="0" w:color="auto"/>
          </w:divBdr>
        </w:div>
        <w:div w:id="1728066633">
          <w:marLeft w:val="0"/>
          <w:marRight w:val="0"/>
          <w:marTop w:val="0"/>
          <w:marBottom w:val="0"/>
          <w:divBdr>
            <w:top w:val="none" w:sz="0" w:space="0" w:color="auto"/>
            <w:left w:val="none" w:sz="0" w:space="0" w:color="auto"/>
            <w:bottom w:val="none" w:sz="0" w:space="0" w:color="auto"/>
            <w:right w:val="none" w:sz="0" w:space="0" w:color="auto"/>
          </w:divBdr>
        </w:div>
        <w:div w:id="1795178445">
          <w:marLeft w:val="0"/>
          <w:marRight w:val="0"/>
          <w:marTop w:val="0"/>
          <w:marBottom w:val="0"/>
          <w:divBdr>
            <w:top w:val="none" w:sz="0" w:space="0" w:color="auto"/>
            <w:left w:val="none" w:sz="0" w:space="0" w:color="auto"/>
            <w:bottom w:val="none" w:sz="0" w:space="0" w:color="auto"/>
            <w:right w:val="none" w:sz="0" w:space="0" w:color="auto"/>
          </w:divBdr>
        </w:div>
        <w:div w:id="1916433049">
          <w:marLeft w:val="0"/>
          <w:marRight w:val="0"/>
          <w:marTop w:val="0"/>
          <w:marBottom w:val="0"/>
          <w:divBdr>
            <w:top w:val="none" w:sz="0" w:space="0" w:color="auto"/>
            <w:left w:val="none" w:sz="0" w:space="0" w:color="auto"/>
            <w:bottom w:val="none" w:sz="0" w:space="0" w:color="auto"/>
            <w:right w:val="none" w:sz="0" w:space="0" w:color="auto"/>
          </w:divBdr>
        </w:div>
        <w:div w:id="1986658385">
          <w:marLeft w:val="0"/>
          <w:marRight w:val="0"/>
          <w:marTop w:val="0"/>
          <w:marBottom w:val="0"/>
          <w:divBdr>
            <w:top w:val="none" w:sz="0" w:space="0" w:color="auto"/>
            <w:left w:val="none" w:sz="0" w:space="0" w:color="auto"/>
            <w:bottom w:val="none" w:sz="0" w:space="0" w:color="auto"/>
            <w:right w:val="none" w:sz="0" w:space="0" w:color="auto"/>
          </w:divBdr>
        </w:div>
        <w:div w:id="2106683382">
          <w:marLeft w:val="0"/>
          <w:marRight w:val="0"/>
          <w:marTop w:val="0"/>
          <w:marBottom w:val="0"/>
          <w:divBdr>
            <w:top w:val="none" w:sz="0" w:space="0" w:color="auto"/>
            <w:left w:val="none" w:sz="0" w:space="0" w:color="auto"/>
            <w:bottom w:val="none" w:sz="0" w:space="0" w:color="auto"/>
            <w:right w:val="none" w:sz="0" w:space="0" w:color="auto"/>
          </w:divBdr>
        </w:div>
      </w:divsChild>
    </w:div>
    <w:div w:id="424885166">
      <w:bodyDiv w:val="1"/>
      <w:marLeft w:val="0"/>
      <w:marRight w:val="0"/>
      <w:marTop w:val="0"/>
      <w:marBottom w:val="0"/>
      <w:divBdr>
        <w:top w:val="none" w:sz="0" w:space="0" w:color="auto"/>
        <w:left w:val="none" w:sz="0" w:space="0" w:color="auto"/>
        <w:bottom w:val="none" w:sz="0" w:space="0" w:color="auto"/>
        <w:right w:val="none" w:sz="0" w:space="0" w:color="auto"/>
      </w:divBdr>
    </w:div>
    <w:div w:id="450437211">
      <w:bodyDiv w:val="1"/>
      <w:marLeft w:val="0"/>
      <w:marRight w:val="0"/>
      <w:marTop w:val="0"/>
      <w:marBottom w:val="0"/>
      <w:divBdr>
        <w:top w:val="none" w:sz="0" w:space="0" w:color="auto"/>
        <w:left w:val="none" w:sz="0" w:space="0" w:color="auto"/>
        <w:bottom w:val="none" w:sz="0" w:space="0" w:color="auto"/>
        <w:right w:val="none" w:sz="0" w:space="0" w:color="auto"/>
      </w:divBdr>
    </w:div>
    <w:div w:id="549535792">
      <w:bodyDiv w:val="1"/>
      <w:marLeft w:val="0"/>
      <w:marRight w:val="0"/>
      <w:marTop w:val="0"/>
      <w:marBottom w:val="0"/>
      <w:divBdr>
        <w:top w:val="none" w:sz="0" w:space="0" w:color="auto"/>
        <w:left w:val="none" w:sz="0" w:space="0" w:color="auto"/>
        <w:bottom w:val="none" w:sz="0" w:space="0" w:color="auto"/>
        <w:right w:val="none" w:sz="0" w:space="0" w:color="auto"/>
      </w:divBdr>
      <w:divsChild>
        <w:div w:id="612131795">
          <w:marLeft w:val="0"/>
          <w:marRight w:val="0"/>
          <w:marTop w:val="0"/>
          <w:marBottom w:val="0"/>
          <w:divBdr>
            <w:top w:val="none" w:sz="0" w:space="0" w:color="auto"/>
            <w:left w:val="none" w:sz="0" w:space="0" w:color="auto"/>
            <w:bottom w:val="none" w:sz="0" w:space="0" w:color="auto"/>
            <w:right w:val="none" w:sz="0" w:space="0" w:color="auto"/>
          </w:divBdr>
        </w:div>
        <w:div w:id="822818520">
          <w:marLeft w:val="0"/>
          <w:marRight w:val="0"/>
          <w:marTop w:val="0"/>
          <w:marBottom w:val="0"/>
          <w:divBdr>
            <w:top w:val="none" w:sz="0" w:space="0" w:color="auto"/>
            <w:left w:val="none" w:sz="0" w:space="0" w:color="auto"/>
            <w:bottom w:val="none" w:sz="0" w:space="0" w:color="auto"/>
            <w:right w:val="none" w:sz="0" w:space="0" w:color="auto"/>
          </w:divBdr>
        </w:div>
      </w:divsChild>
    </w:div>
    <w:div w:id="600770072">
      <w:bodyDiv w:val="1"/>
      <w:marLeft w:val="0"/>
      <w:marRight w:val="0"/>
      <w:marTop w:val="0"/>
      <w:marBottom w:val="0"/>
      <w:divBdr>
        <w:top w:val="none" w:sz="0" w:space="0" w:color="auto"/>
        <w:left w:val="none" w:sz="0" w:space="0" w:color="auto"/>
        <w:bottom w:val="none" w:sz="0" w:space="0" w:color="auto"/>
        <w:right w:val="none" w:sz="0" w:space="0" w:color="auto"/>
      </w:divBdr>
      <w:divsChild>
        <w:div w:id="39285043">
          <w:marLeft w:val="0"/>
          <w:marRight w:val="0"/>
          <w:marTop w:val="0"/>
          <w:marBottom w:val="0"/>
          <w:divBdr>
            <w:top w:val="none" w:sz="0" w:space="0" w:color="auto"/>
            <w:left w:val="none" w:sz="0" w:space="0" w:color="auto"/>
            <w:bottom w:val="none" w:sz="0" w:space="0" w:color="auto"/>
            <w:right w:val="none" w:sz="0" w:space="0" w:color="auto"/>
          </w:divBdr>
        </w:div>
        <w:div w:id="124858328">
          <w:marLeft w:val="0"/>
          <w:marRight w:val="0"/>
          <w:marTop w:val="0"/>
          <w:marBottom w:val="0"/>
          <w:divBdr>
            <w:top w:val="none" w:sz="0" w:space="0" w:color="auto"/>
            <w:left w:val="none" w:sz="0" w:space="0" w:color="auto"/>
            <w:bottom w:val="none" w:sz="0" w:space="0" w:color="auto"/>
            <w:right w:val="none" w:sz="0" w:space="0" w:color="auto"/>
          </w:divBdr>
        </w:div>
        <w:div w:id="307127730">
          <w:marLeft w:val="0"/>
          <w:marRight w:val="0"/>
          <w:marTop w:val="0"/>
          <w:marBottom w:val="0"/>
          <w:divBdr>
            <w:top w:val="none" w:sz="0" w:space="0" w:color="auto"/>
            <w:left w:val="none" w:sz="0" w:space="0" w:color="auto"/>
            <w:bottom w:val="none" w:sz="0" w:space="0" w:color="auto"/>
            <w:right w:val="none" w:sz="0" w:space="0" w:color="auto"/>
          </w:divBdr>
        </w:div>
        <w:div w:id="323359598">
          <w:marLeft w:val="0"/>
          <w:marRight w:val="0"/>
          <w:marTop w:val="0"/>
          <w:marBottom w:val="0"/>
          <w:divBdr>
            <w:top w:val="none" w:sz="0" w:space="0" w:color="auto"/>
            <w:left w:val="none" w:sz="0" w:space="0" w:color="auto"/>
            <w:bottom w:val="none" w:sz="0" w:space="0" w:color="auto"/>
            <w:right w:val="none" w:sz="0" w:space="0" w:color="auto"/>
          </w:divBdr>
        </w:div>
        <w:div w:id="925654273">
          <w:marLeft w:val="0"/>
          <w:marRight w:val="0"/>
          <w:marTop w:val="0"/>
          <w:marBottom w:val="0"/>
          <w:divBdr>
            <w:top w:val="none" w:sz="0" w:space="0" w:color="auto"/>
            <w:left w:val="none" w:sz="0" w:space="0" w:color="auto"/>
            <w:bottom w:val="none" w:sz="0" w:space="0" w:color="auto"/>
            <w:right w:val="none" w:sz="0" w:space="0" w:color="auto"/>
          </w:divBdr>
        </w:div>
        <w:div w:id="1547986901">
          <w:marLeft w:val="0"/>
          <w:marRight w:val="0"/>
          <w:marTop w:val="0"/>
          <w:marBottom w:val="0"/>
          <w:divBdr>
            <w:top w:val="none" w:sz="0" w:space="0" w:color="auto"/>
            <w:left w:val="none" w:sz="0" w:space="0" w:color="auto"/>
            <w:bottom w:val="none" w:sz="0" w:space="0" w:color="auto"/>
            <w:right w:val="none" w:sz="0" w:space="0" w:color="auto"/>
          </w:divBdr>
        </w:div>
        <w:div w:id="1549146481">
          <w:marLeft w:val="0"/>
          <w:marRight w:val="0"/>
          <w:marTop w:val="0"/>
          <w:marBottom w:val="0"/>
          <w:divBdr>
            <w:top w:val="none" w:sz="0" w:space="0" w:color="auto"/>
            <w:left w:val="none" w:sz="0" w:space="0" w:color="auto"/>
            <w:bottom w:val="none" w:sz="0" w:space="0" w:color="auto"/>
            <w:right w:val="none" w:sz="0" w:space="0" w:color="auto"/>
          </w:divBdr>
        </w:div>
        <w:div w:id="1938174668">
          <w:marLeft w:val="0"/>
          <w:marRight w:val="0"/>
          <w:marTop w:val="0"/>
          <w:marBottom w:val="0"/>
          <w:divBdr>
            <w:top w:val="none" w:sz="0" w:space="0" w:color="auto"/>
            <w:left w:val="none" w:sz="0" w:space="0" w:color="auto"/>
            <w:bottom w:val="none" w:sz="0" w:space="0" w:color="auto"/>
            <w:right w:val="none" w:sz="0" w:space="0" w:color="auto"/>
          </w:divBdr>
        </w:div>
        <w:div w:id="2094425149">
          <w:marLeft w:val="0"/>
          <w:marRight w:val="0"/>
          <w:marTop w:val="0"/>
          <w:marBottom w:val="0"/>
          <w:divBdr>
            <w:top w:val="none" w:sz="0" w:space="0" w:color="auto"/>
            <w:left w:val="none" w:sz="0" w:space="0" w:color="auto"/>
            <w:bottom w:val="none" w:sz="0" w:space="0" w:color="auto"/>
            <w:right w:val="none" w:sz="0" w:space="0" w:color="auto"/>
          </w:divBdr>
        </w:div>
      </w:divsChild>
    </w:div>
    <w:div w:id="605306495">
      <w:bodyDiv w:val="1"/>
      <w:marLeft w:val="0"/>
      <w:marRight w:val="0"/>
      <w:marTop w:val="0"/>
      <w:marBottom w:val="0"/>
      <w:divBdr>
        <w:top w:val="none" w:sz="0" w:space="0" w:color="auto"/>
        <w:left w:val="none" w:sz="0" w:space="0" w:color="auto"/>
        <w:bottom w:val="none" w:sz="0" w:space="0" w:color="auto"/>
        <w:right w:val="none" w:sz="0" w:space="0" w:color="auto"/>
      </w:divBdr>
    </w:div>
    <w:div w:id="645890047">
      <w:bodyDiv w:val="1"/>
      <w:marLeft w:val="0"/>
      <w:marRight w:val="0"/>
      <w:marTop w:val="0"/>
      <w:marBottom w:val="0"/>
      <w:divBdr>
        <w:top w:val="none" w:sz="0" w:space="0" w:color="auto"/>
        <w:left w:val="none" w:sz="0" w:space="0" w:color="auto"/>
        <w:bottom w:val="none" w:sz="0" w:space="0" w:color="auto"/>
        <w:right w:val="none" w:sz="0" w:space="0" w:color="auto"/>
      </w:divBdr>
      <w:divsChild>
        <w:div w:id="208260">
          <w:marLeft w:val="0"/>
          <w:marRight w:val="0"/>
          <w:marTop w:val="0"/>
          <w:marBottom w:val="0"/>
          <w:divBdr>
            <w:top w:val="none" w:sz="0" w:space="0" w:color="auto"/>
            <w:left w:val="none" w:sz="0" w:space="0" w:color="auto"/>
            <w:bottom w:val="none" w:sz="0" w:space="0" w:color="auto"/>
            <w:right w:val="none" w:sz="0" w:space="0" w:color="auto"/>
          </w:divBdr>
        </w:div>
        <w:div w:id="997538386">
          <w:marLeft w:val="0"/>
          <w:marRight w:val="0"/>
          <w:marTop w:val="0"/>
          <w:marBottom w:val="0"/>
          <w:divBdr>
            <w:top w:val="none" w:sz="0" w:space="0" w:color="auto"/>
            <w:left w:val="none" w:sz="0" w:space="0" w:color="auto"/>
            <w:bottom w:val="none" w:sz="0" w:space="0" w:color="auto"/>
            <w:right w:val="none" w:sz="0" w:space="0" w:color="auto"/>
          </w:divBdr>
        </w:div>
        <w:div w:id="1039168058">
          <w:marLeft w:val="0"/>
          <w:marRight w:val="0"/>
          <w:marTop w:val="0"/>
          <w:marBottom w:val="0"/>
          <w:divBdr>
            <w:top w:val="none" w:sz="0" w:space="0" w:color="auto"/>
            <w:left w:val="none" w:sz="0" w:space="0" w:color="auto"/>
            <w:bottom w:val="none" w:sz="0" w:space="0" w:color="auto"/>
            <w:right w:val="none" w:sz="0" w:space="0" w:color="auto"/>
          </w:divBdr>
        </w:div>
        <w:div w:id="1083842253">
          <w:marLeft w:val="0"/>
          <w:marRight w:val="0"/>
          <w:marTop w:val="0"/>
          <w:marBottom w:val="0"/>
          <w:divBdr>
            <w:top w:val="none" w:sz="0" w:space="0" w:color="auto"/>
            <w:left w:val="none" w:sz="0" w:space="0" w:color="auto"/>
            <w:bottom w:val="none" w:sz="0" w:space="0" w:color="auto"/>
            <w:right w:val="none" w:sz="0" w:space="0" w:color="auto"/>
          </w:divBdr>
        </w:div>
        <w:div w:id="1162624216">
          <w:marLeft w:val="0"/>
          <w:marRight w:val="0"/>
          <w:marTop w:val="0"/>
          <w:marBottom w:val="0"/>
          <w:divBdr>
            <w:top w:val="none" w:sz="0" w:space="0" w:color="auto"/>
            <w:left w:val="none" w:sz="0" w:space="0" w:color="auto"/>
            <w:bottom w:val="none" w:sz="0" w:space="0" w:color="auto"/>
            <w:right w:val="none" w:sz="0" w:space="0" w:color="auto"/>
          </w:divBdr>
        </w:div>
      </w:divsChild>
    </w:div>
    <w:div w:id="703561173">
      <w:bodyDiv w:val="1"/>
      <w:marLeft w:val="0"/>
      <w:marRight w:val="0"/>
      <w:marTop w:val="0"/>
      <w:marBottom w:val="0"/>
      <w:divBdr>
        <w:top w:val="none" w:sz="0" w:space="0" w:color="auto"/>
        <w:left w:val="none" w:sz="0" w:space="0" w:color="auto"/>
        <w:bottom w:val="none" w:sz="0" w:space="0" w:color="auto"/>
        <w:right w:val="none" w:sz="0" w:space="0" w:color="auto"/>
      </w:divBdr>
      <w:divsChild>
        <w:div w:id="153571567">
          <w:marLeft w:val="0"/>
          <w:marRight w:val="0"/>
          <w:marTop w:val="0"/>
          <w:marBottom w:val="0"/>
          <w:divBdr>
            <w:top w:val="none" w:sz="0" w:space="0" w:color="auto"/>
            <w:left w:val="none" w:sz="0" w:space="0" w:color="auto"/>
            <w:bottom w:val="none" w:sz="0" w:space="0" w:color="auto"/>
            <w:right w:val="none" w:sz="0" w:space="0" w:color="auto"/>
          </w:divBdr>
        </w:div>
        <w:div w:id="165021151">
          <w:marLeft w:val="0"/>
          <w:marRight w:val="0"/>
          <w:marTop w:val="0"/>
          <w:marBottom w:val="0"/>
          <w:divBdr>
            <w:top w:val="none" w:sz="0" w:space="0" w:color="auto"/>
            <w:left w:val="none" w:sz="0" w:space="0" w:color="auto"/>
            <w:bottom w:val="none" w:sz="0" w:space="0" w:color="auto"/>
            <w:right w:val="none" w:sz="0" w:space="0" w:color="auto"/>
          </w:divBdr>
        </w:div>
        <w:div w:id="282612687">
          <w:marLeft w:val="0"/>
          <w:marRight w:val="0"/>
          <w:marTop w:val="0"/>
          <w:marBottom w:val="0"/>
          <w:divBdr>
            <w:top w:val="none" w:sz="0" w:space="0" w:color="auto"/>
            <w:left w:val="none" w:sz="0" w:space="0" w:color="auto"/>
            <w:bottom w:val="none" w:sz="0" w:space="0" w:color="auto"/>
            <w:right w:val="none" w:sz="0" w:space="0" w:color="auto"/>
          </w:divBdr>
        </w:div>
        <w:div w:id="313262173">
          <w:marLeft w:val="0"/>
          <w:marRight w:val="0"/>
          <w:marTop w:val="0"/>
          <w:marBottom w:val="0"/>
          <w:divBdr>
            <w:top w:val="none" w:sz="0" w:space="0" w:color="auto"/>
            <w:left w:val="none" w:sz="0" w:space="0" w:color="auto"/>
            <w:bottom w:val="none" w:sz="0" w:space="0" w:color="auto"/>
            <w:right w:val="none" w:sz="0" w:space="0" w:color="auto"/>
          </w:divBdr>
        </w:div>
        <w:div w:id="423769876">
          <w:marLeft w:val="0"/>
          <w:marRight w:val="0"/>
          <w:marTop w:val="0"/>
          <w:marBottom w:val="0"/>
          <w:divBdr>
            <w:top w:val="none" w:sz="0" w:space="0" w:color="auto"/>
            <w:left w:val="none" w:sz="0" w:space="0" w:color="auto"/>
            <w:bottom w:val="none" w:sz="0" w:space="0" w:color="auto"/>
            <w:right w:val="none" w:sz="0" w:space="0" w:color="auto"/>
          </w:divBdr>
        </w:div>
        <w:div w:id="449907277">
          <w:marLeft w:val="0"/>
          <w:marRight w:val="0"/>
          <w:marTop w:val="0"/>
          <w:marBottom w:val="0"/>
          <w:divBdr>
            <w:top w:val="none" w:sz="0" w:space="0" w:color="auto"/>
            <w:left w:val="none" w:sz="0" w:space="0" w:color="auto"/>
            <w:bottom w:val="none" w:sz="0" w:space="0" w:color="auto"/>
            <w:right w:val="none" w:sz="0" w:space="0" w:color="auto"/>
          </w:divBdr>
        </w:div>
        <w:div w:id="763455355">
          <w:marLeft w:val="0"/>
          <w:marRight w:val="0"/>
          <w:marTop w:val="0"/>
          <w:marBottom w:val="0"/>
          <w:divBdr>
            <w:top w:val="none" w:sz="0" w:space="0" w:color="auto"/>
            <w:left w:val="none" w:sz="0" w:space="0" w:color="auto"/>
            <w:bottom w:val="none" w:sz="0" w:space="0" w:color="auto"/>
            <w:right w:val="none" w:sz="0" w:space="0" w:color="auto"/>
          </w:divBdr>
        </w:div>
        <w:div w:id="912616920">
          <w:marLeft w:val="0"/>
          <w:marRight w:val="0"/>
          <w:marTop w:val="0"/>
          <w:marBottom w:val="0"/>
          <w:divBdr>
            <w:top w:val="none" w:sz="0" w:space="0" w:color="auto"/>
            <w:left w:val="none" w:sz="0" w:space="0" w:color="auto"/>
            <w:bottom w:val="none" w:sz="0" w:space="0" w:color="auto"/>
            <w:right w:val="none" w:sz="0" w:space="0" w:color="auto"/>
          </w:divBdr>
        </w:div>
        <w:div w:id="1180580145">
          <w:marLeft w:val="0"/>
          <w:marRight w:val="0"/>
          <w:marTop w:val="0"/>
          <w:marBottom w:val="0"/>
          <w:divBdr>
            <w:top w:val="none" w:sz="0" w:space="0" w:color="auto"/>
            <w:left w:val="none" w:sz="0" w:space="0" w:color="auto"/>
            <w:bottom w:val="none" w:sz="0" w:space="0" w:color="auto"/>
            <w:right w:val="none" w:sz="0" w:space="0" w:color="auto"/>
          </w:divBdr>
        </w:div>
        <w:div w:id="1200893348">
          <w:marLeft w:val="0"/>
          <w:marRight w:val="0"/>
          <w:marTop w:val="0"/>
          <w:marBottom w:val="0"/>
          <w:divBdr>
            <w:top w:val="none" w:sz="0" w:space="0" w:color="auto"/>
            <w:left w:val="none" w:sz="0" w:space="0" w:color="auto"/>
            <w:bottom w:val="none" w:sz="0" w:space="0" w:color="auto"/>
            <w:right w:val="none" w:sz="0" w:space="0" w:color="auto"/>
          </w:divBdr>
        </w:div>
        <w:div w:id="1280340218">
          <w:marLeft w:val="0"/>
          <w:marRight w:val="0"/>
          <w:marTop w:val="0"/>
          <w:marBottom w:val="0"/>
          <w:divBdr>
            <w:top w:val="none" w:sz="0" w:space="0" w:color="auto"/>
            <w:left w:val="none" w:sz="0" w:space="0" w:color="auto"/>
            <w:bottom w:val="none" w:sz="0" w:space="0" w:color="auto"/>
            <w:right w:val="none" w:sz="0" w:space="0" w:color="auto"/>
          </w:divBdr>
        </w:div>
        <w:div w:id="1322152243">
          <w:marLeft w:val="0"/>
          <w:marRight w:val="0"/>
          <w:marTop w:val="0"/>
          <w:marBottom w:val="0"/>
          <w:divBdr>
            <w:top w:val="none" w:sz="0" w:space="0" w:color="auto"/>
            <w:left w:val="none" w:sz="0" w:space="0" w:color="auto"/>
            <w:bottom w:val="none" w:sz="0" w:space="0" w:color="auto"/>
            <w:right w:val="none" w:sz="0" w:space="0" w:color="auto"/>
          </w:divBdr>
        </w:div>
        <w:div w:id="1329021149">
          <w:marLeft w:val="0"/>
          <w:marRight w:val="0"/>
          <w:marTop w:val="0"/>
          <w:marBottom w:val="0"/>
          <w:divBdr>
            <w:top w:val="none" w:sz="0" w:space="0" w:color="auto"/>
            <w:left w:val="none" w:sz="0" w:space="0" w:color="auto"/>
            <w:bottom w:val="none" w:sz="0" w:space="0" w:color="auto"/>
            <w:right w:val="none" w:sz="0" w:space="0" w:color="auto"/>
          </w:divBdr>
        </w:div>
        <w:div w:id="1346906249">
          <w:marLeft w:val="0"/>
          <w:marRight w:val="0"/>
          <w:marTop w:val="0"/>
          <w:marBottom w:val="0"/>
          <w:divBdr>
            <w:top w:val="none" w:sz="0" w:space="0" w:color="auto"/>
            <w:left w:val="none" w:sz="0" w:space="0" w:color="auto"/>
            <w:bottom w:val="none" w:sz="0" w:space="0" w:color="auto"/>
            <w:right w:val="none" w:sz="0" w:space="0" w:color="auto"/>
          </w:divBdr>
        </w:div>
        <w:div w:id="1373577872">
          <w:marLeft w:val="0"/>
          <w:marRight w:val="0"/>
          <w:marTop w:val="0"/>
          <w:marBottom w:val="0"/>
          <w:divBdr>
            <w:top w:val="none" w:sz="0" w:space="0" w:color="auto"/>
            <w:left w:val="none" w:sz="0" w:space="0" w:color="auto"/>
            <w:bottom w:val="none" w:sz="0" w:space="0" w:color="auto"/>
            <w:right w:val="none" w:sz="0" w:space="0" w:color="auto"/>
          </w:divBdr>
        </w:div>
        <w:div w:id="1378163758">
          <w:marLeft w:val="0"/>
          <w:marRight w:val="0"/>
          <w:marTop w:val="0"/>
          <w:marBottom w:val="0"/>
          <w:divBdr>
            <w:top w:val="none" w:sz="0" w:space="0" w:color="auto"/>
            <w:left w:val="none" w:sz="0" w:space="0" w:color="auto"/>
            <w:bottom w:val="none" w:sz="0" w:space="0" w:color="auto"/>
            <w:right w:val="none" w:sz="0" w:space="0" w:color="auto"/>
          </w:divBdr>
        </w:div>
        <w:div w:id="1941446873">
          <w:marLeft w:val="0"/>
          <w:marRight w:val="0"/>
          <w:marTop w:val="0"/>
          <w:marBottom w:val="0"/>
          <w:divBdr>
            <w:top w:val="none" w:sz="0" w:space="0" w:color="auto"/>
            <w:left w:val="none" w:sz="0" w:space="0" w:color="auto"/>
            <w:bottom w:val="none" w:sz="0" w:space="0" w:color="auto"/>
            <w:right w:val="none" w:sz="0" w:space="0" w:color="auto"/>
          </w:divBdr>
        </w:div>
        <w:div w:id="2049061682">
          <w:marLeft w:val="0"/>
          <w:marRight w:val="0"/>
          <w:marTop w:val="0"/>
          <w:marBottom w:val="0"/>
          <w:divBdr>
            <w:top w:val="none" w:sz="0" w:space="0" w:color="auto"/>
            <w:left w:val="none" w:sz="0" w:space="0" w:color="auto"/>
            <w:bottom w:val="none" w:sz="0" w:space="0" w:color="auto"/>
            <w:right w:val="none" w:sz="0" w:space="0" w:color="auto"/>
          </w:divBdr>
        </w:div>
        <w:div w:id="2055931673">
          <w:marLeft w:val="0"/>
          <w:marRight w:val="0"/>
          <w:marTop w:val="0"/>
          <w:marBottom w:val="0"/>
          <w:divBdr>
            <w:top w:val="none" w:sz="0" w:space="0" w:color="auto"/>
            <w:left w:val="none" w:sz="0" w:space="0" w:color="auto"/>
            <w:bottom w:val="none" w:sz="0" w:space="0" w:color="auto"/>
            <w:right w:val="none" w:sz="0" w:space="0" w:color="auto"/>
          </w:divBdr>
        </w:div>
        <w:div w:id="2064982634">
          <w:marLeft w:val="0"/>
          <w:marRight w:val="0"/>
          <w:marTop w:val="0"/>
          <w:marBottom w:val="0"/>
          <w:divBdr>
            <w:top w:val="none" w:sz="0" w:space="0" w:color="auto"/>
            <w:left w:val="none" w:sz="0" w:space="0" w:color="auto"/>
            <w:bottom w:val="none" w:sz="0" w:space="0" w:color="auto"/>
            <w:right w:val="none" w:sz="0" w:space="0" w:color="auto"/>
          </w:divBdr>
        </w:div>
      </w:divsChild>
    </w:div>
    <w:div w:id="736130511">
      <w:bodyDiv w:val="1"/>
      <w:marLeft w:val="0"/>
      <w:marRight w:val="0"/>
      <w:marTop w:val="0"/>
      <w:marBottom w:val="0"/>
      <w:divBdr>
        <w:top w:val="none" w:sz="0" w:space="0" w:color="auto"/>
        <w:left w:val="none" w:sz="0" w:space="0" w:color="auto"/>
        <w:bottom w:val="none" w:sz="0" w:space="0" w:color="auto"/>
        <w:right w:val="none" w:sz="0" w:space="0" w:color="auto"/>
      </w:divBdr>
    </w:div>
    <w:div w:id="741685547">
      <w:bodyDiv w:val="1"/>
      <w:marLeft w:val="0"/>
      <w:marRight w:val="0"/>
      <w:marTop w:val="0"/>
      <w:marBottom w:val="0"/>
      <w:divBdr>
        <w:top w:val="none" w:sz="0" w:space="0" w:color="auto"/>
        <w:left w:val="none" w:sz="0" w:space="0" w:color="auto"/>
        <w:bottom w:val="none" w:sz="0" w:space="0" w:color="auto"/>
        <w:right w:val="none" w:sz="0" w:space="0" w:color="auto"/>
      </w:divBdr>
    </w:div>
    <w:div w:id="771437896">
      <w:bodyDiv w:val="1"/>
      <w:marLeft w:val="0"/>
      <w:marRight w:val="0"/>
      <w:marTop w:val="0"/>
      <w:marBottom w:val="0"/>
      <w:divBdr>
        <w:top w:val="none" w:sz="0" w:space="0" w:color="auto"/>
        <w:left w:val="none" w:sz="0" w:space="0" w:color="auto"/>
        <w:bottom w:val="none" w:sz="0" w:space="0" w:color="auto"/>
        <w:right w:val="none" w:sz="0" w:space="0" w:color="auto"/>
      </w:divBdr>
      <w:divsChild>
        <w:div w:id="487136416">
          <w:marLeft w:val="0"/>
          <w:marRight w:val="0"/>
          <w:marTop w:val="0"/>
          <w:marBottom w:val="0"/>
          <w:divBdr>
            <w:top w:val="none" w:sz="0" w:space="0" w:color="auto"/>
            <w:left w:val="none" w:sz="0" w:space="0" w:color="auto"/>
            <w:bottom w:val="none" w:sz="0" w:space="0" w:color="auto"/>
            <w:right w:val="none" w:sz="0" w:space="0" w:color="auto"/>
          </w:divBdr>
        </w:div>
        <w:div w:id="584653872">
          <w:marLeft w:val="0"/>
          <w:marRight w:val="0"/>
          <w:marTop w:val="0"/>
          <w:marBottom w:val="0"/>
          <w:divBdr>
            <w:top w:val="none" w:sz="0" w:space="0" w:color="auto"/>
            <w:left w:val="none" w:sz="0" w:space="0" w:color="auto"/>
            <w:bottom w:val="none" w:sz="0" w:space="0" w:color="auto"/>
            <w:right w:val="none" w:sz="0" w:space="0" w:color="auto"/>
          </w:divBdr>
        </w:div>
        <w:div w:id="700671878">
          <w:marLeft w:val="0"/>
          <w:marRight w:val="0"/>
          <w:marTop w:val="0"/>
          <w:marBottom w:val="0"/>
          <w:divBdr>
            <w:top w:val="none" w:sz="0" w:space="0" w:color="auto"/>
            <w:left w:val="none" w:sz="0" w:space="0" w:color="auto"/>
            <w:bottom w:val="none" w:sz="0" w:space="0" w:color="auto"/>
            <w:right w:val="none" w:sz="0" w:space="0" w:color="auto"/>
          </w:divBdr>
        </w:div>
        <w:div w:id="730812635">
          <w:marLeft w:val="0"/>
          <w:marRight w:val="0"/>
          <w:marTop w:val="0"/>
          <w:marBottom w:val="0"/>
          <w:divBdr>
            <w:top w:val="none" w:sz="0" w:space="0" w:color="auto"/>
            <w:left w:val="none" w:sz="0" w:space="0" w:color="auto"/>
            <w:bottom w:val="none" w:sz="0" w:space="0" w:color="auto"/>
            <w:right w:val="none" w:sz="0" w:space="0" w:color="auto"/>
          </w:divBdr>
        </w:div>
        <w:div w:id="732387696">
          <w:marLeft w:val="0"/>
          <w:marRight w:val="0"/>
          <w:marTop w:val="0"/>
          <w:marBottom w:val="0"/>
          <w:divBdr>
            <w:top w:val="none" w:sz="0" w:space="0" w:color="auto"/>
            <w:left w:val="none" w:sz="0" w:space="0" w:color="auto"/>
            <w:bottom w:val="none" w:sz="0" w:space="0" w:color="auto"/>
            <w:right w:val="none" w:sz="0" w:space="0" w:color="auto"/>
          </w:divBdr>
        </w:div>
        <w:div w:id="759133320">
          <w:marLeft w:val="0"/>
          <w:marRight w:val="0"/>
          <w:marTop w:val="0"/>
          <w:marBottom w:val="0"/>
          <w:divBdr>
            <w:top w:val="none" w:sz="0" w:space="0" w:color="auto"/>
            <w:left w:val="none" w:sz="0" w:space="0" w:color="auto"/>
            <w:bottom w:val="none" w:sz="0" w:space="0" w:color="auto"/>
            <w:right w:val="none" w:sz="0" w:space="0" w:color="auto"/>
          </w:divBdr>
        </w:div>
        <w:div w:id="1072777309">
          <w:marLeft w:val="0"/>
          <w:marRight w:val="0"/>
          <w:marTop w:val="0"/>
          <w:marBottom w:val="0"/>
          <w:divBdr>
            <w:top w:val="none" w:sz="0" w:space="0" w:color="auto"/>
            <w:left w:val="none" w:sz="0" w:space="0" w:color="auto"/>
            <w:bottom w:val="none" w:sz="0" w:space="0" w:color="auto"/>
            <w:right w:val="none" w:sz="0" w:space="0" w:color="auto"/>
          </w:divBdr>
        </w:div>
        <w:div w:id="1440755952">
          <w:marLeft w:val="0"/>
          <w:marRight w:val="0"/>
          <w:marTop w:val="0"/>
          <w:marBottom w:val="0"/>
          <w:divBdr>
            <w:top w:val="none" w:sz="0" w:space="0" w:color="auto"/>
            <w:left w:val="none" w:sz="0" w:space="0" w:color="auto"/>
            <w:bottom w:val="none" w:sz="0" w:space="0" w:color="auto"/>
            <w:right w:val="none" w:sz="0" w:space="0" w:color="auto"/>
          </w:divBdr>
        </w:div>
        <w:div w:id="1597711490">
          <w:marLeft w:val="0"/>
          <w:marRight w:val="0"/>
          <w:marTop w:val="0"/>
          <w:marBottom w:val="0"/>
          <w:divBdr>
            <w:top w:val="none" w:sz="0" w:space="0" w:color="auto"/>
            <w:left w:val="none" w:sz="0" w:space="0" w:color="auto"/>
            <w:bottom w:val="none" w:sz="0" w:space="0" w:color="auto"/>
            <w:right w:val="none" w:sz="0" w:space="0" w:color="auto"/>
          </w:divBdr>
        </w:div>
        <w:div w:id="1816527438">
          <w:marLeft w:val="0"/>
          <w:marRight w:val="0"/>
          <w:marTop w:val="0"/>
          <w:marBottom w:val="0"/>
          <w:divBdr>
            <w:top w:val="none" w:sz="0" w:space="0" w:color="auto"/>
            <w:left w:val="none" w:sz="0" w:space="0" w:color="auto"/>
            <w:bottom w:val="none" w:sz="0" w:space="0" w:color="auto"/>
            <w:right w:val="none" w:sz="0" w:space="0" w:color="auto"/>
          </w:divBdr>
        </w:div>
        <w:div w:id="1876037396">
          <w:marLeft w:val="0"/>
          <w:marRight w:val="0"/>
          <w:marTop w:val="0"/>
          <w:marBottom w:val="0"/>
          <w:divBdr>
            <w:top w:val="none" w:sz="0" w:space="0" w:color="auto"/>
            <w:left w:val="none" w:sz="0" w:space="0" w:color="auto"/>
            <w:bottom w:val="none" w:sz="0" w:space="0" w:color="auto"/>
            <w:right w:val="none" w:sz="0" w:space="0" w:color="auto"/>
          </w:divBdr>
        </w:div>
        <w:div w:id="1927304295">
          <w:marLeft w:val="0"/>
          <w:marRight w:val="0"/>
          <w:marTop w:val="0"/>
          <w:marBottom w:val="0"/>
          <w:divBdr>
            <w:top w:val="none" w:sz="0" w:space="0" w:color="auto"/>
            <w:left w:val="none" w:sz="0" w:space="0" w:color="auto"/>
            <w:bottom w:val="none" w:sz="0" w:space="0" w:color="auto"/>
            <w:right w:val="none" w:sz="0" w:space="0" w:color="auto"/>
          </w:divBdr>
        </w:div>
        <w:div w:id="2000116334">
          <w:marLeft w:val="0"/>
          <w:marRight w:val="0"/>
          <w:marTop w:val="0"/>
          <w:marBottom w:val="0"/>
          <w:divBdr>
            <w:top w:val="none" w:sz="0" w:space="0" w:color="auto"/>
            <w:left w:val="none" w:sz="0" w:space="0" w:color="auto"/>
            <w:bottom w:val="none" w:sz="0" w:space="0" w:color="auto"/>
            <w:right w:val="none" w:sz="0" w:space="0" w:color="auto"/>
          </w:divBdr>
        </w:div>
        <w:div w:id="2074110856">
          <w:marLeft w:val="0"/>
          <w:marRight w:val="0"/>
          <w:marTop w:val="0"/>
          <w:marBottom w:val="0"/>
          <w:divBdr>
            <w:top w:val="none" w:sz="0" w:space="0" w:color="auto"/>
            <w:left w:val="none" w:sz="0" w:space="0" w:color="auto"/>
            <w:bottom w:val="none" w:sz="0" w:space="0" w:color="auto"/>
            <w:right w:val="none" w:sz="0" w:space="0" w:color="auto"/>
          </w:divBdr>
        </w:div>
      </w:divsChild>
    </w:div>
    <w:div w:id="837381552">
      <w:bodyDiv w:val="1"/>
      <w:marLeft w:val="0"/>
      <w:marRight w:val="0"/>
      <w:marTop w:val="0"/>
      <w:marBottom w:val="0"/>
      <w:divBdr>
        <w:top w:val="none" w:sz="0" w:space="0" w:color="auto"/>
        <w:left w:val="none" w:sz="0" w:space="0" w:color="auto"/>
        <w:bottom w:val="none" w:sz="0" w:space="0" w:color="auto"/>
        <w:right w:val="none" w:sz="0" w:space="0" w:color="auto"/>
      </w:divBdr>
    </w:div>
    <w:div w:id="845284309">
      <w:bodyDiv w:val="1"/>
      <w:marLeft w:val="0"/>
      <w:marRight w:val="0"/>
      <w:marTop w:val="0"/>
      <w:marBottom w:val="0"/>
      <w:divBdr>
        <w:top w:val="none" w:sz="0" w:space="0" w:color="auto"/>
        <w:left w:val="none" w:sz="0" w:space="0" w:color="auto"/>
        <w:bottom w:val="none" w:sz="0" w:space="0" w:color="auto"/>
        <w:right w:val="none" w:sz="0" w:space="0" w:color="auto"/>
      </w:divBdr>
    </w:div>
    <w:div w:id="870189527">
      <w:bodyDiv w:val="1"/>
      <w:marLeft w:val="0"/>
      <w:marRight w:val="0"/>
      <w:marTop w:val="0"/>
      <w:marBottom w:val="0"/>
      <w:divBdr>
        <w:top w:val="none" w:sz="0" w:space="0" w:color="auto"/>
        <w:left w:val="none" w:sz="0" w:space="0" w:color="auto"/>
        <w:bottom w:val="none" w:sz="0" w:space="0" w:color="auto"/>
        <w:right w:val="none" w:sz="0" w:space="0" w:color="auto"/>
      </w:divBdr>
      <w:divsChild>
        <w:div w:id="161548444">
          <w:marLeft w:val="0"/>
          <w:marRight w:val="0"/>
          <w:marTop w:val="0"/>
          <w:marBottom w:val="0"/>
          <w:divBdr>
            <w:top w:val="none" w:sz="0" w:space="0" w:color="auto"/>
            <w:left w:val="none" w:sz="0" w:space="0" w:color="auto"/>
            <w:bottom w:val="none" w:sz="0" w:space="0" w:color="auto"/>
            <w:right w:val="none" w:sz="0" w:space="0" w:color="auto"/>
          </w:divBdr>
        </w:div>
        <w:div w:id="1268779983">
          <w:marLeft w:val="0"/>
          <w:marRight w:val="0"/>
          <w:marTop w:val="0"/>
          <w:marBottom w:val="0"/>
          <w:divBdr>
            <w:top w:val="none" w:sz="0" w:space="0" w:color="auto"/>
            <w:left w:val="none" w:sz="0" w:space="0" w:color="auto"/>
            <w:bottom w:val="none" w:sz="0" w:space="0" w:color="auto"/>
            <w:right w:val="none" w:sz="0" w:space="0" w:color="auto"/>
          </w:divBdr>
        </w:div>
        <w:div w:id="1356930665">
          <w:marLeft w:val="0"/>
          <w:marRight w:val="0"/>
          <w:marTop w:val="0"/>
          <w:marBottom w:val="0"/>
          <w:divBdr>
            <w:top w:val="none" w:sz="0" w:space="0" w:color="auto"/>
            <w:left w:val="none" w:sz="0" w:space="0" w:color="auto"/>
            <w:bottom w:val="none" w:sz="0" w:space="0" w:color="auto"/>
            <w:right w:val="none" w:sz="0" w:space="0" w:color="auto"/>
          </w:divBdr>
        </w:div>
      </w:divsChild>
    </w:div>
    <w:div w:id="889154017">
      <w:bodyDiv w:val="1"/>
      <w:marLeft w:val="0"/>
      <w:marRight w:val="0"/>
      <w:marTop w:val="0"/>
      <w:marBottom w:val="0"/>
      <w:divBdr>
        <w:top w:val="none" w:sz="0" w:space="0" w:color="auto"/>
        <w:left w:val="none" w:sz="0" w:space="0" w:color="auto"/>
        <w:bottom w:val="none" w:sz="0" w:space="0" w:color="auto"/>
        <w:right w:val="none" w:sz="0" w:space="0" w:color="auto"/>
      </w:divBdr>
    </w:div>
    <w:div w:id="897975947">
      <w:bodyDiv w:val="1"/>
      <w:marLeft w:val="0"/>
      <w:marRight w:val="0"/>
      <w:marTop w:val="0"/>
      <w:marBottom w:val="0"/>
      <w:divBdr>
        <w:top w:val="none" w:sz="0" w:space="0" w:color="auto"/>
        <w:left w:val="none" w:sz="0" w:space="0" w:color="auto"/>
        <w:bottom w:val="none" w:sz="0" w:space="0" w:color="auto"/>
        <w:right w:val="none" w:sz="0" w:space="0" w:color="auto"/>
      </w:divBdr>
    </w:div>
    <w:div w:id="930161464">
      <w:bodyDiv w:val="1"/>
      <w:marLeft w:val="0"/>
      <w:marRight w:val="0"/>
      <w:marTop w:val="0"/>
      <w:marBottom w:val="0"/>
      <w:divBdr>
        <w:top w:val="none" w:sz="0" w:space="0" w:color="auto"/>
        <w:left w:val="none" w:sz="0" w:space="0" w:color="auto"/>
        <w:bottom w:val="none" w:sz="0" w:space="0" w:color="auto"/>
        <w:right w:val="none" w:sz="0" w:space="0" w:color="auto"/>
      </w:divBdr>
      <w:divsChild>
        <w:div w:id="451941360">
          <w:marLeft w:val="0"/>
          <w:marRight w:val="0"/>
          <w:marTop w:val="0"/>
          <w:marBottom w:val="0"/>
          <w:divBdr>
            <w:top w:val="none" w:sz="0" w:space="0" w:color="auto"/>
            <w:left w:val="none" w:sz="0" w:space="0" w:color="auto"/>
            <w:bottom w:val="none" w:sz="0" w:space="0" w:color="auto"/>
            <w:right w:val="none" w:sz="0" w:space="0" w:color="auto"/>
          </w:divBdr>
        </w:div>
        <w:div w:id="1679965586">
          <w:marLeft w:val="0"/>
          <w:marRight w:val="0"/>
          <w:marTop w:val="0"/>
          <w:marBottom w:val="0"/>
          <w:divBdr>
            <w:top w:val="none" w:sz="0" w:space="0" w:color="auto"/>
            <w:left w:val="none" w:sz="0" w:space="0" w:color="auto"/>
            <w:bottom w:val="none" w:sz="0" w:space="0" w:color="auto"/>
            <w:right w:val="none" w:sz="0" w:space="0" w:color="auto"/>
          </w:divBdr>
        </w:div>
      </w:divsChild>
    </w:div>
    <w:div w:id="977758496">
      <w:bodyDiv w:val="1"/>
      <w:marLeft w:val="0"/>
      <w:marRight w:val="0"/>
      <w:marTop w:val="0"/>
      <w:marBottom w:val="0"/>
      <w:divBdr>
        <w:top w:val="none" w:sz="0" w:space="0" w:color="auto"/>
        <w:left w:val="none" w:sz="0" w:space="0" w:color="auto"/>
        <w:bottom w:val="none" w:sz="0" w:space="0" w:color="auto"/>
        <w:right w:val="none" w:sz="0" w:space="0" w:color="auto"/>
      </w:divBdr>
    </w:div>
    <w:div w:id="1015158975">
      <w:bodyDiv w:val="1"/>
      <w:marLeft w:val="0"/>
      <w:marRight w:val="0"/>
      <w:marTop w:val="0"/>
      <w:marBottom w:val="0"/>
      <w:divBdr>
        <w:top w:val="none" w:sz="0" w:space="0" w:color="auto"/>
        <w:left w:val="none" w:sz="0" w:space="0" w:color="auto"/>
        <w:bottom w:val="none" w:sz="0" w:space="0" w:color="auto"/>
        <w:right w:val="none" w:sz="0" w:space="0" w:color="auto"/>
      </w:divBdr>
      <w:divsChild>
        <w:div w:id="412363921">
          <w:marLeft w:val="0"/>
          <w:marRight w:val="0"/>
          <w:marTop w:val="0"/>
          <w:marBottom w:val="0"/>
          <w:divBdr>
            <w:top w:val="none" w:sz="0" w:space="0" w:color="auto"/>
            <w:left w:val="none" w:sz="0" w:space="0" w:color="auto"/>
            <w:bottom w:val="none" w:sz="0" w:space="0" w:color="auto"/>
            <w:right w:val="none" w:sz="0" w:space="0" w:color="auto"/>
          </w:divBdr>
        </w:div>
        <w:div w:id="875655180">
          <w:marLeft w:val="0"/>
          <w:marRight w:val="0"/>
          <w:marTop w:val="0"/>
          <w:marBottom w:val="0"/>
          <w:divBdr>
            <w:top w:val="none" w:sz="0" w:space="0" w:color="auto"/>
            <w:left w:val="none" w:sz="0" w:space="0" w:color="auto"/>
            <w:bottom w:val="none" w:sz="0" w:space="0" w:color="auto"/>
            <w:right w:val="none" w:sz="0" w:space="0" w:color="auto"/>
          </w:divBdr>
        </w:div>
      </w:divsChild>
    </w:div>
    <w:div w:id="1039746953">
      <w:bodyDiv w:val="1"/>
      <w:marLeft w:val="0"/>
      <w:marRight w:val="0"/>
      <w:marTop w:val="0"/>
      <w:marBottom w:val="0"/>
      <w:divBdr>
        <w:top w:val="none" w:sz="0" w:space="0" w:color="auto"/>
        <w:left w:val="none" w:sz="0" w:space="0" w:color="auto"/>
        <w:bottom w:val="none" w:sz="0" w:space="0" w:color="auto"/>
        <w:right w:val="none" w:sz="0" w:space="0" w:color="auto"/>
      </w:divBdr>
    </w:div>
    <w:div w:id="1086728988">
      <w:bodyDiv w:val="1"/>
      <w:marLeft w:val="0"/>
      <w:marRight w:val="0"/>
      <w:marTop w:val="0"/>
      <w:marBottom w:val="0"/>
      <w:divBdr>
        <w:top w:val="none" w:sz="0" w:space="0" w:color="auto"/>
        <w:left w:val="none" w:sz="0" w:space="0" w:color="auto"/>
        <w:bottom w:val="none" w:sz="0" w:space="0" w:color="auto"/>
        <w:right w:val="none" w:sz="0" w:space="0" w:color="auto"/>
      </w:divBdr>
    </w:div>
    <w:div w:id="1114904016">
      <w:bodyDiv w:val="1"/>
      <w:marLeft w:val="0"/>
      <w:marRight w:val="0"/>
      <w:marTop w:val="0"/>
      <w:marBottom w:val="0"/>
      <w:divBdr>
        <w:top w:val="none" w:sz="0" w:space="0" w:color="auto"/>
        <w:left w:val="none" w:sz="0" w:space="0" w:color="auto"/>
        <w:bottom w:val="none" w:sz="0" w:space="0" w:color="auto"/>
        <w:right w:val="none" w:sz="0" w:space="0" w:color="auto"/>
      </w:divBdr>
      <w:divsChild>
        <w:div w:id="28532244">
          <w:marLeft w:val="0"/>
          <w:marRight w:val="0"/>
          <w:marTop w:val="0"/>
          <w:marBottom w:val="0"/>
          <w:divBdr>
            <w:top w:val="none" w:sz="0" w:space="0" w:color="auto"/>
            <w:left w:val="none" w:sz="0" w:space="0" w:color="auto"/>
            <w:bottom w:val="none" w:sz="0" w:space="0" w:color="auto"/>
            <w:right w:val="none" w:sz="0" w:space="0" w:color="auto"/>
          </w:divBdr>
        </w:div>
        <w:div w:id="921647667">
          <w:marLeft w:val="0"/>
          <w:marRight w:val="0"/>
          <w:marTop w:val="0"/>
          <w:marBottom w:val="0"/>
          <w:divBdr>
            <w:top w:val="none" w:sz="0" w:space="0" w:color="auto"/>
            <w:left w:val="none" w:sz="0" w:space="0" w:color="auto"/>
            <w:bottom w:val="none" w:sz="0" w:space="0" w:color="auto"/>
            <w:right w:val="none" w:sz="0" w:space="0" w:color="auto"/>
          </w:divBdr>
        </w:div>
        <w:div w:id="1098601497">
          <w:marLeft w:val="0"/>
          <w:marRight w:val="0"/>
          <w:marTop w:val="0"/>
          <w:marBottom w:val="0"/>
          <w:divBdr>
            <w:top w:val="none" w:sz="0" w:space="0" w:color="auto"/>
            <w:left w:val="none" w:sz="0" w:space="0" w:color="auto"/>
            <w:bottom w:val="none" w:sz="0" w:space="0" w:color="auto"/>
            <w:right w:val="none" w:sz="0" w:space="0" w:color="auto"/>
          </w:divBdr>
        </w:div>
        <w:div w:id="1420717596">
          <w:marLeft w:val="0"/>
          <w:marRight w:val="0"/>
          <w:marTop w:val="0"/>
          <w:marBottom w:val="0"/>
          <w:divBdr>
            <w:top w:val="none" w:sz="0" w:space="0" w:color="auto"/>
            <w:left w:val="none" w:sz="0" w:space="0" w:color="auto"/>
            <w:bottom w:val="none" w:sz="0" w:space="0" w:color="auto"/>
            <w:right w:val="none" w:sz="0" w:space="0" w:color="auto"/>
          </w:divBdr>
        </w:div>
        <w:div w:id="1459225533">
          <w:marLeft w:val="0"/>
          <w:marRight w:val="0"/>
          <w:marTop w:val="0"/>
          <w:marBottom w:val="0"/>
          <w:divBdr>
            <w:top w:val="none" w:sz="0" w:space="0" w:color="auto"/>
            <w:left w:val="none" w:sz="0" w:space="0" w:color="auto"/>
            <w:bottom w:val="none" w:sz="0" w:space="0" w:color="auto"/>
            <w:right w:val="none" w:sz="0" w:space="0" w:color="auto"/>
          </w:divBdr>
        </w:div>
        <w:div w:id="1514420774">
          <w:marLeft w:val="0"/>
          <w:marRight w:val="0"/>
          <w:marTop w:val="0"/>
          <w:marBottom w:val="0"/>
          <w:divBdr>
            <w:top w:val="none" w:sz="0" w:space="0" w:color="auto"/>
            <w:left w:val="none" w:sz="0" w:space="0" w:color="auto"/>
            <w:bottom w:val="none" w:sz="0" w:space="0" w:color="auto"/>
            <w:right w:val="none" w:sz="0" w:space="0" w:color="auto"/>
          </w:divBdr>
        </w:div>
        <w:div w:id="1533424276">
          <w:marLeft w:val="0"/>
          <w:marRight w:val="0"/>
          <w:marTop w:val="0"/>
          <w:marBottom w:val="0"/>
          <w:divBdr>
            <w:top w:val="none" w:sz="0" w:space="0" w:color="auto"/>
            <w:left w:val="none" w:sz="0" w:space="0" w:color="auto"/>
            <w:bottom w:val="none" w:sz="0" w:space="0" w:color="auto"/>
            <w:right w:val="none" w:sz="0" w:space="0" w:color="auto"/>
          </w:divBdr>
        </w:div>
        <w:div w:id="1860973022">
          <w:marLeft w:val="0"/>
          <w:marRight w:val="0"/>
          <w:marTop w:val="0"/>
          <w:marBottom w:val="0"/>
          <w:divBdr>
            <w:top w:val="none" w:sz="0" w:space="0" w:color="auto"/>
            <w:left w:val="none" w:sz="0" w:space="0" w:color="auto"/>
            <w:bottom w:val="none" w:sz="0" w:space="0" w:color="auto"/>
            <w:right w:val="none" w:sz="0" w:space="0" w:color="auto"/>
          </w:divBdr>
        </w:div>
        <w:div w:id="1901743788">
          <w:marLeft w:val="0"/>
          <w:marRight w:val="0"/>
          <w:marTop w:val="0"/>
          <w:marBottom w:val="0"/>
          <w:divBdr>
            <w:top w:val="none" w:sz="0" w:space="0" w:color="auto"/>
            <w:left w:val="none" w:sz="0" w:space="0" w:color="auto"/>
            <w:bottom w:val="none" w:sz="0" w:space="0" w:color="auto"/>
            <w:right w:val="none" w:sz="0" w:space="0" w:color="auto"/>
          </w:divBdr>
        </w:div>
      </w:divsChild>
    </w:div>
    <w:div w:id="1126968672">
      <w:bodyDiv w:val="1"/>
      <w:marLeft w:val="0"/>
      <w:marRight w:val="0"/>
      <w:marTop w:val="0"/>
      <w:marBottom w:val="0"/>
      <w:divBdr>
        <w:top w:val="none" w:sz="0" w:space="0" w:color="auto"/>
        <w:left w:val="none" w:sz="0" w:space="0" w:color="auto"/>
        <w:bottom w:val="none" w:sz="0" w:space="0" w:color="auto"/>
        <w:right w:val="none" w:sz="0" w:space="0" w:color="auto"/>
      </w:divBdr>
    </w:div>
    <w:div w:id="1147744182">
      <w:bodyDiv w:val="1"/>
      <w:marLeft w:val="0"/>
      <w:marRight w:val="0"/>
      <w:marTop w:val="0"/>
      <w:marBottom w:val="0"/>
      <w:divBdr>
        <w:top w:val="none" w:sz="0" w:space="0" w:color="auto"/>
        <w:left w:val="none" w:sz="0" w:space="0" w:color="auto"/>
        <w:bottom w:val="none" w:sz="0" w:space="0" w:color="auto"/>
        <w:right w:val="none" w:sz="0" w:space="0" w:color="auto"/>
      </w:divBdr>
    </w:div>
    <w:div w:id="1153837601">
      <w:bodyDiv w:val="1"/>
      <w:marLeft w:val="0"/>
      <w:marRight w:val="0"/>
      <w:marTop w:val="0"/>
      <w:marBottom w:val="0"/>
      <w:divBdr>
        <w:top w:val="none" w:sz="0" w:space="0" w:color="auto"/>
        <w:left w:val="none" w:sz="0" w:space="0" w:color="auto"/>
        <w:bottom w:val="none" w:sz="0" w:space="0" w:color="auto"/>
        <w:right w:val="none" w:sz="0" w:space="0" w:color="auto"/>
      </w:divBdr>
      <w:divsChild>
        <w:div w:id="45180509">
          <w:marLeft w:val="0"/>
          <w:marRight w:val="0"/>
          <w:marTop w:val="0"/>
          <w:marBottom w:val="0"/>
          <w:divBdr>
            <w:top w:val="none" w:sz="0" w:space="0" w:color="auto"/>
            <w:left w:val="none" w:sz="0" w:space="0" w:color="auto"/>
            <w:bottom w:val="none" w:sz="0" w:space="0" w:color="auto"/>
            <w:right w:val="none" w:sz="0" w:space="0" w:color="auto"/>
          </w:divBdr>
        </w:div>
        <w:div w:id="217523083">
          <w:marLeft w:val="0"/>
          <w:marRight w:val="0"/>
          <w:marTop w:val="0"/>
          <w:marBottom w:val="0"/>
          <w:divBdr>
            <w:top w:val="none" w:sz="0" w:space="0" w:color="auto"/>
            <w:left w:val="none" w:sz="0" w:space="0" w:color="auto"/>
            <w:bottom w:val="none" w:sz="0" w:space="0" w:color="auto"/>
            <w:right w:val="none" w:sz="0" w:space="0" w:color="auto"/>
          </w:divBdr>
        </w:div>
        <w:div w:id="250696885">
          <w:marLeft w:val="0"/>
          <w:marRight w:val="0"/>
          <w:marTop w:val="0"/>
          <w:marBottom w:val="0"/>
          <w:divBdr>
            <w:top w:val="none" w:sz="0" w:space="0" w:color="auto"/>
            <w:left w:val="none" w:sz="0" w:space="0" w:color="auto"/>
            <w:bottom w:val="none" w:sz="0" w:space="0" w:color="auto"/>
            <w:right w:val="none" w:sz="0" w:space="0" w:color="auto"/>
          </w:divBdr>
        </w:div>
        <w:div w:id="296491823">
          <w:marLeft w:val="0"/>
          <w:marRight w:val="0"/>
          <w:marTop w:val="0"/>
          <w:marBottom w:val="0"/>
          <w:divBdr>
            <w:top w:val="none" w:sz="0" w:space="0" w:color="auto"/>
            <w:left w:val="none" w:sz="0" w:space="0" w:color="auto"/>
            <w:bottom w:val="none" w:sz="0" w:space="0" w:color="auto"/>
            <w:right w:val="none" w:sz="0" w:space="0" w:color="auto"/>
          </w:divBdr>
        </w:div>
        <w:div w:id="357007028">
          <w:marLeft w:val="0"/>
          <w:marRight w:val="0"/>
          <w:marTop w:val="0"/>
          <w:marBottom w:val="0"/>
          <w:divBdr>
            <w:top w:val="none" w:sz="0" w:space="0" w:color="auto"/>
            <w:left w:val="none" w:sz="0" w:space="0" w:color="auto"/>
            <w:bottom w:val="none" w:sz="0" w:space="0" w:color="auto"/>
            <w:right w:val="none" w:sz="0" w:space="0" w:color="auto"/>
          </w:divBdr>
        </w:div>
        <w:div w:id="420219768">
          <w:marLeft w:val="0"/>
          <w:marRight w:val="0"/>
          <w:marTop w:val="0"/>
          <w:marBottom w:val="0"/>
          <w:divBdr>
            <w:top w:val="none" w:sz="0" w:space="0" w:color="auto"/>
            <w:left w:val="none" w:sz="0" w:space="0" w:color="auto"/>
            <w:bottom w:val="none" w:sz="0" w:space="0" w:color="auto"/>
            <w:right w:val="none" w:sz="0" w:space="0" w:color="auto"/>
          </w:divBdr>
        </w:div>
        <w:div w:id="490946562">
          <w:marLeft w:val="0"/>
          <w:marRight w:val="0"/>
          <w:marTop w:val="0"/>
          <w:marBottom w:val="0"/>
          <w:divBdr>
            <w:top w:val="none" w:sz="0" w:space="0" w:color="auto"/>
            <w:left w:val="none" w:sz="0" w:space="0" w:color="auto"/>
            <w:bottom w:val="none" w:sz="0" w:space="0" w:color="auto"/>
            <w:right w:val="none" w:sz="0" w:space="0" w:color="auto"/>
          </w:divBdr>
        </w:div>
        <w:div w:id="506940780">
          <w:marLeft w:val="0"/>
          <w:marRight w:val="0"/>
          <w:marTop w:val="0"/>
          <w:marBottom w:val="0"/>
          <w:divBdr>
            <w:top w:val="none" w:sz="0" w:space="0" w:color="auto"/>
            <w:left w:val="none" w:sz="0" w:space="0" w:color="auto"/>
            <w:bottom w:val="none" w:sz="0" w:space="0" w:color="auto"/>
            <w:right w:val="none" w:sz="0" w:space="0" w:color="auto"/>
          </w:divBdr>
        </w:div>
        <w:div w:id="509178630">
          <w:marLeft w:val="0"/>
          <w:marRight w:val="0"/>
          <w:marTop w:val="0"/>
          <w:marBottom w:val="0"/>
          <w:divBdr>
            <w:top w:val="none" w:sz="0" w:space="0" w:color="auto"/>
            <w:left w:val="none" w:sz="0" w:space="0" w:color="auto"/>
            <w:bottom w:val="none" w:sz="0" w:space="0" w:color="auto"/>
            <w:right w:val="none" w:sz="0" w:space="0" w:color="auto"/>
          </w:divBdr>
        </w:div>
        <w:div w:id="731469968">
          <w:marLeft w:val="0"/>
          <w:marRight w:val="0"/>
          <w:marTop w:val="0"/>
          <w:marBottom w:val="0"/>
          <w:divBdr>
            <w:top w:val="none" w:sz="0" w:space="0" w:color="auto"/>
            <w:left w:val="none" w:sz="0" w:space="0" w:color="auto"/>
            <w:bottom w:val="none" w:sz="0" w:space="0" w:color="auto"/>
            <w:right w:val="none" w:sz="0" w:space="0" w:color="auto"/>
          </w:divBdr>
        </w:div>
        <w:div w:id="757170022">
          <w:marLeft w:val="0"/>
          <w:marRight w:val="0"/>
          <w:marTop w:val="0"/>
          <w:marBottom w:val="0"/>
          <w:divBdr>
            <w:top w:val="none" w:sz="0" w:space="0" w:color="auto"/>
            <w:left w:val="none" w:sz="0" w:space="0" w:color="auto"/>
            <w:bottom w:val="none" w:sz="0" w:space="0" w:color="auto"/>
            <w:right w:val="none" w:sz="0" w:space="0" w:color="auto"/>
          </w:divBdr>
        </w:div>
        <w:div w:id="788166962">
          <w:marLeft w:val="0"/>
          <w:marRight w:val="0"/>
          <w:marTop w:val="0"/>
          <w:marBottom w:val="0"/>
          <w:divBdr>
            <w:top w:val="none" w:sz="0" w:space="0" w:color="auto"/>
            <w:left w:val="none" w:sz="0" w:space="0" w:color="auto"/>
            <w:bottom w:val="none" w:sz="0" w:space="0" w:color="auto"/>
            <w:right w:val="none" w:sz="0" w:space="0" w:color="auto"/>
          </w:divBdr>
        </w:div>
        <w:div w:id="808475711">
          <w:marLeft w:val="0"/>
          <w:marRight w:val="0"/>
          <w:marTop w:val="0"/>
          <w:marBottom w:val="0"/>
          <w:divBdr>
            <w:top w:val="none" w:sz="0" w:space="0" w:color="auto"/>
            <w:left w:val="none" w:sz="0" w:space="0" w:color="auto"/>
            <w:bottom w:val="none" w:sz="0" w:space="0" w:color="auto"/>
            <w:right w:val="none" w:sz="0" w:space="0" w:color="auto"/>
          </w:divBdr>
        </w:div>
        <w:div w:id="837843153">
          <w:marLeft w:val="0"/>
          <w:marRight w:val="0"/>
          <w:marTop w:val="0"/>
          <w:marBottom w:val="0"/>
          <w:divBdr>
            <w:top w:val="none" w:sz="0" w:space="0" w:color="auto"/>
            <w:left w:val="none" w:sz="0" w:space="0" w:color="auto"/>
            <w:bottom w:val="none" w:sz="0" w:space="0" w:color="auto"/>
            <w:right w:val="none" w:sz="0" w:space="0" w:color="auto"/>
          </w:divBdr>
        </w:div>
        <w:div w:id="1052928160">
          <w:marLeft w:val="0"/>
          <w:marRight w:val="0"/>
          <w:marTop w:val="0"/>
          <w:marBottom w:val="0"/>
          <w:divBdr>
            <w:top w:val="none" w:sz="0" w:space="0" w:color="auto"/>
            <w:left w:val="none" w:sz="0" w:space="0" w:color="auto"/>
            <w:bottom w:val="none" w:sz="0" w:space="0" w:color="auto"/>
            <w:right w:val="none" w:sz="0" w:space="0" w:color="auto"/>
          </w:divBdr>
        </w:div>
        <w:div w:id="1247420599">
          <w:marLeft w:val="0"/>
          <w:marRight w:val="0"/>
          <w:marTop w:val="0"/>
          <w:marBottom w:val="0"/>
          <w:divBdr>
            <w:top w:val="none" w:sz="0" w:space="0" w:color="auto"/>
            <w:left w:val="none" w:sz="0" w:space="0" w:color="auto"/>
            <w:bottom w:val="none" w:sz="0" w:space="0" w:color="auto"/>
            <w:right w:val="none" w:sz="0" w:space="0" w:color="auto"/>
          </w:divBdr>
        </w:div>
        <w:div w:id="1442454816">
          <w:marLeft w:val="0"/>
          <w:marRight w:val="0"/>
          <w:marTop w:val="0"/>
          <w:marBottom w:val="0"/>
          <w:divBdr>
            <w:top w:val="none" w:sz="0" w:space="0" w:color="auto"/>
            <w:left w:val="none" w:sz="0" w:space="0" w:color="auto"/>
            <w:bottom w:val="none" w:sz="0" w:space="0" w:color="auto"/>
            <w:right w:val="none" w:sz="0" w:space="0" w:color="auto"/>
          </w:divBdr>
        </w:div>
        <w:div w:id="1486239912">
          <w:marLeft w:val="0"/>
          <w:marRight w:val="0"/>
          <w:marTop w:val="0"/>
          <w:marBottom w:val="0"/>
          <w:divBdr>
            <w:top w:val="none" w:sz="0" w:space="0" w:color="auto"/>
            <w:left w:val="none" w:sz="0" w:space="0" w:color="auto"/>
            <w:bottom w:val="none" w:sz="0" w:space="0" w:color="auto"/>
            <w:right w:val="none" w:sz="0" w:space="0" w:color="auto"/>
          </w:divBdr>
        </w:div>
        <w:div w:id="1496795600">
          <w:marLeft w:val="0"/>
          <w:marRight w:val="0"/>
          <w:marTop w:val="0"/>
          <w:marBottom w:val="0"/>
          <w:divBdr>
            <w:top w:val="none" w:sz="0" w:space="0" w:color="auto"/>
            <w:left w:val="none" w:sz="0" w:space="0" w:color="auto"/>
            <w:bottom w:val="none" w:sz="0" w:space="0" w:color="auto"/>
            <w:right w:val="none" w:sz="0" w:space="0" w:color="auto"/>
          </w:divBdr>
        </w:div>
        <w:div w:id="1526941788">
          <w:marLeft w:val="0"/>
          <w:marRight w:val="0"/>
          <w:marTop w:val="0"/>
          <w:marBottom w:val="0"/>
          <w:divBdr>
            <w:top w:val="none" w:sz="0" w:space="0" w:color="auto"/>
            <w:left w:val="none" w:sz="0" w:space="0" w:color="auto"/>
            <w:bottom w:val="none" w:sz="0" w:space="0" w:color="auto"/>
            <w:right w:val="none" w:sz="0" w:space="0" w:color="auto"/>
          </w:divBdr>
        </w:div>
        <w:div w:id="1602374472">
          <w:marLeft w:val="0"/>
          <w:marRight w:val="0"/>
          <w:marTop w:val="0"/>
          <w:marBottom w:val="0"/>
          <w:divBdr>
            <w:top w:val="none" w:sz="0" w:space="0" w:color="auto"/>
            <w:left w:val="none" w:sz="0" w:space="0" w:color="auto"/>
            <w:bottom w:val="none" w:sz="0" w:space="0" w:color="auto"/>
            <w:right w:val="none" w:sz="0" w:space="0" w:color="auto"/>
          </w:divBdr>
        </w:div>
        <w:div w:id="1750879514">
          <w:marLeft w:val="0"/>
          <w:marRight w:val="0"/>
          <w:marTop w:val="0"/>
          <w:marBottom w:val="0"/>
          <w:divBdr>
            <w:top w:val="none" w:sz="0" w:space="0" w:color="auto"/>
            <w:left w:val="none" w:sz="0" w:space="0" w:color="auto"/>
            <w:bottom w:val="none" w:sz="0" w:space="0" w:color="auto"/>
            <w:right w:val="none" w:sz="0" w:space="0" w:color="auto"/>
          </w:divBdr>
        </w:div>
        <w:div w:id="1810780938">
          <w:marLeft w:val="0"/>
          <w:marRight w:val="0"/>
          <w:marTop w:val="0"/>
          <w:marBottom w:val="0"/>
          <w:divBdr>
            <w:top w:val="none" w:sz="0" w:space="0" w:color="auto"/>
            <w:left w:val="none" w:sz="0" w:space="0" w:color="auto"/>
            <w:bottom w:val="none" w:sz="0" w:space="0" w:color="auto"/>
            <w:right w:val="none" w:sz="0" w:space="0" w:color="auto"/>
          </w:divBdr>
        </w:div>
      </w:divsChild>
    </w:div>
    <w:div w:id="1157724462">
      <w:bodyDiv w:val="1"/>
      <w:marLeft w:val="0"/>
      <w:marRight w:val="0"/>
      <w:marTop w:val="0"/>
      <w:marBottom w:val="0"/>
      <w:divBdr>
        <w:top w:val="none" w:sz="0" w:space="0" w:color="auto"/>
        <w:left w:val="none" w:sz="0" w:space="0" w:color="auto"/>
        <w:bottom w:val="none" w:sz="0" w:space="0" w:color="auto"/>
        <w:right w:val="none" w:sz="0" w:space="0" w:color="auto"/>
      </w:divBdr>
    </w:div>
    <w:div w:id="1208488574">
      <w:bodyDiv w:val="1"/>
      <w:marLeft w:val="0"/>
      <w:marRight w:val="0"/>
      <w:marTop w:val="0"/>
      <w:marBottom w:val="0"/>
      <w:divBdr>
        <w:top w:val="none" w:sz="0" w:space="0" w:color="auto"/>
        <w:left w:val="none" w:sz="0" w:space="0" w:color="auto"/>
        <w:bottom w:val="none" w:sz="0" w:space="0" w:color="auto"/>
        <w:right w:val="none" w:sz="0" w:space="0" w:color="auto"/>
      </w:divBdr>
    </w:div>
    <w:div w:id="1237667372">
      <w:bodyDiv w:val="1"/>
      <w:marLeft w:val="0"/>
      <w:marRight w:val="0"/>
      <w:marTop w:val="0"/>
      <w:marBottom w:val="0"/>
      <w:divBdr>
        <w:top w:val="none" w:sz="0" w:space="0" w:color="auto"/>
        <w:left w:val="none" w:sz="0" w:space="0" w:color="auto"/>
        <w:bottom w:val="none" w:sz="0" w:space="0" w:color="auto"/>
        <w:right w:val="none" w:sz="0" w:space="0" w:color="auto"/>
      </w:divBdr>
    </w:div>
    <w:div w:id="1256403359">
      <w:bodyDiv w:val="1"/>
      <w:marLeft w:val="0"/>
      <w:marRight w:val="0"/>
      <w:marTop w:val="0"/>
      <w:marBottom w:val="0"/>
      <w:divBdr>
        <w:top w:val="none" w:sz="0" w:space="0" w:color="auto"/>
        <w:left w:val="none" w:sz="0" w:space="0" w:color="auto"/>
        <w:bottom w:val="none" w:sz="0" w:space="0" w:color="auto"/>
        <w:right w:val="none" w:sz="0" w:space="0" w:color="auto"/>
      </w:divBdr>
    </w:div>
    <w:div w:id="1363826813">
      <w:bodyDiv w:val="1"/>
      <w:marLeft w:val="0"/>
      <w:marRight w:val="0"/>
      <w:marTop w:val="0"/>
      <w:marBottom w:val="0"/>
      <w:divBdr>
        <w:top w:val="none" w:sz="0" w:space="0" w:color="auto"/>
        <w:left w:val="none" w:sz="0" w:space="0" w:color="auto"/>
        <w:bottom w:val="none" w:sz="0" w:space="0" w:color="auto"/>
        <w:right w:val="none" w:sz="0" w:space="0" w:color="auto"/>
      </w:divBdr>
    </w:div>
    <w:div w:id="1374767864">
      <w:bodyDiv w:val="1"/>
      <w:marLeft w:val="0"/>
      <w:marRight w:val="0"/>
      <w:marTop w:val="0"/>
      <w:marBottom w:val="0"/>
      <w:divBdr>
        <w:top w:val="none" w:sz="0" w:space="0" w:color="auto"/>
        <w:left w:val="none" w:sz="0" w:space="0" w:color="auto"/>
        <w:bottom w:val="none" w:sz="0" w:space="0" w:color="auto"/>
        <w:right w:val="none" w:sz="0" w:space="0" w:color="auto"/>
      </w:divBdr>
      <w:divsChild>
        <w:div w:id="1211847414">
          <w:marLeft w:val="0"/>
          <w:marRight w:val="0"/>
          <w:marTop w:val="206"/>
          <w:marBottom w:val="0"/>
          <w:divBdr>
            <w:top w:val="none" w:sz="0" w:space="0" w:color="auto"/>
            <w:left w:val="none" w:sz="0" w:space="0" w:color="auto"/>
            <w:bottom w:val="none" w:sz="0" w:space="0" w:color="auto"/>
            <w:right w:val="none" w:sz="0" w:space="0" w:color="auto"/>
          </w:divBdr>
        </w:div>
      </w:divsChild>
    </w:div>
    <w:div w:id="1389693528">
      <w:bodyDiv w:val="1"/>
      <w:marLeft w:val="0"/>
      <w:marRight w:val="0"/>
      <w:marTop w:val="0"/>
      <w:marBottom w:val="0"/>
      <w:divBdr>
        <w:top w:val="none" w:sz="0" w:space="0" w:color="auto"/>
        <w:left w:val="none" w:sz="0" w:space="0" w:color="auto"/>
        <w:bottom w:val="none" w:sz="0" w:space="0" w:color="auto"/>
        <w:right w:val="none" w:sz="0" w:space="0" w:color="auto"/>
      </w:divBdr>
    </w:div>
    <w:div w:id="1395465591">
      <w:bodyDiv w:val="1"/>
      <w:marLeft w:val="0"/>
      <w:marRight w:val="0"/>
      <w:marTop w:val="0"/>
      <w:marBottom w:val="0"/>
      <w:divBdr>
        <w:top w:val="none" w:sz="0" w:space="0" w:color="auto"/>
        <w:left w:val="none" w:sz="0" w:space="0" w:color="auto"/>
        <w:bottom w:val="none" w:sz="0" w:space="0" w:color="auto"/>
        <w:right w:val="none" w:sz="0" w:space="0" w:color="auto"/>
      </w:divBdr>
      <w:divsChild>
        <w:div w:id="796528443">
          <w:marLeft w:val="0"/>
          <w:marRight w:val="0"/>
          <w:marTop w:val="0"/>
          <w:marBottom w:val="0"/>
          <w:divBdr>
            <w:top w:val="none" w:sz="0" w:space="0" w:color="auto"/>
            <w:left w:val="none" w:sz="0" w:space="0" w:color="auto"/>
            <w:bottom w:val="none" w:sz="0" w:space="0" w:color="auto"/>
            <w:right w:val="none" w:sz="0" w:space="0" w:color="auto"/>
          </w:divBdr>
        </w:div>
        <w:div w:id="1678459604">
          <w:marLeft w:val="0"/>
          <w:marRight w:val="0"/>
          <w:marTop w:val="0"/>
          <w:marBottom w:val="0"/>
          <w:divBdr>
            <w:top w:val="none" w:sz="0" w:space="0" w:color="auto"/>
            <w:left w:val="none" w:sz="0" w:space="0" w:color="auto"/>
            <w:bottom w:val="none" w:sz="0" w:space="0" w:color="auto"/>
            <w:right w:val="none" w:sz="0" w:space="0" w:color="auto"/>
          </w:divBdr>
        </w:div>
      </w:divsChild>
    </w:div>
    <w:div w:id="1499661127">
      <w:bodyDiv w:val="1"/>
      <w:marLeft w:val="0"/>
      <w:marRight w:val="0"/>
      <w:marTop w:val="0"/>
      <w:marBottom w:val="0"/>
      <w:divBdr>
        <w:top w:val="none" w:sz="0" w:space="0" w:color="auto"/>
        <w:left w:val="none" w:sz="0" w:space="0" w:color="auto"/>
        <w:bottom w:val="none" w:sz="0" w:space="0" w:color="auto"/>
        <w:right w:val="none" w:sz="0" w:space="0" w:color="auto"/>
      </w:divBdr>
      <w:divsChild>
        <w:div w:id="658121076">
          <w:marLeft w:val="0"/>
          <w:marRight w:val="0"/>
          <w:marTop w:val="0"/>
          <w:marBottom w:val="0"/>
          <w:divBdr>
            <w:top w:val="none" w:sz="0" w:space="0" w:color="auto"/>
            <w:left w:val="none" w:sz="0" w:space="0" w:color="auto"/>
            <w:bottom w:val="none" w:sz="0" w:space="0" w:color="auto"/>
            <w:right w:val="none" w:sz="0" w:space="0" w:color="auto"/>
          </w:divBdr>
        </w:div>
        <w:div w:id="824660110">
          <w:marLeft w:val="0"/>
          <w:marRight w:val="0"/>
          <w:marTop w:val="0"/>
          <w:marBottom w:val="0"/>
          <w:divBdr>
            <w:top w:val="none" w:sz="0" w:space="0" w:color="auto"/>
            <w:left w:val="none" w:sz="0" w:space="0" w:color="auto"/>
            <w:bottom w:val="none" w:sz="0" w:space="0" w:color="auto"/>
            <w:right w:val="none" w:sz="0" w:space="0" w:color="auto"/>
          </w:divBdr>
        </w:div>
        <w:div w:id="996030674">
          <w:marLeft w:val="0"/>
          <w:marRight w:val="0"/>
          <w:marTop w:val="0"/>
          <w:marBottom w:val="0"/>
          <w:divBdr>
            <w:top w:val="none" w:sz="0" w:space="0" w:color="auto"/>
            <w:left w:val="none" w:sz="0" w:space="0" w:color="auto"/>
            <w:bottom w:val="none" w:sz="0" w:space="0" w:color="auto"/>
            <w:right w:val="none" w:sz="0" w:space="0" w:color="auto"/>
          </w:divBdr>
        </w:div>
        <w:div w:id="1020861925">
          <w:marLeft w:val="0"/>
          <w:marRight w:val="0"/>
          <w:marTop w:val="0"/>
          <w:marBottom w:val="0"/>
          <w:divBdr>
            <w:top w:val="none" w:sz="0" w:space="0" w:color="auto"/>
            <w:left w:val="none" w:sz="0" w:space="0" w:color="auto"/>
            <w:bottom w:val="none" w:sz="0" w:space="0" w:color="auto"/>
            <w:right w:val="none" w:sz="0" w:space="0" w:color="auto"/>
          </w:divBdr>
        </w:div>
        <w:div w:id="1736464810">
          <w:marLeft w:val="0"/>
          <w:marRight w:val="0"/>
          <w:marTop w:val="0"/>
          <w:marBottom w:val="0"/>
          <w:divBdr>
            <w:top w:val="none" w:sz="0" w:space="0" w:color="auto"/>
            <w:left w:val="none" w:sz="0" w:space="0" w:color="auto"/>
            <w:bottom w:val="none" w:sz="0" w:space="0" w:color="auto"/>
            <w:right w:val="none" w:sz="0" w:space="0" w:color="auto"/>
          </w:divBdr>
        </w:div>
        <w:div w:id="1806696534">
          <w:marLeft w:val="0"/>
          <w:marRight w:val="0"/>
          <w:marTop w:val="0"/>
          <w:marBottom w:val="0"/>
          <w:divBdr>
            <w:top w:val="none" w:sz="0" w:space="0" w:color="auto"/>
            <w:left w:val="none" w:sz="0" w:space="0" w:color="auto"/>
            <w:bottom w:val="none" w:sz="0" w:space="0" w:color="auto"/>
            <w:right w:val="none" w:sz="0" w:space="0" w:color="auto"/>
          </w:divBdr>
        </w:div>
        <w:div w:id="1827016336">
          <w:marLeft w:val="0"/>
          <w:marRight w:val="0"/>
          <w:marTop w:val="0"/>
          <w:marBottom w:val="0"/>
          <w:divBdr>
            <w:top w:val="none" w:sz="0" w:space="0" w:color="auto"/>
            <w:left w:val="none" w:sz="0" w:space="0" w:color="auto"/>
            <w:bottom w:val="none" w:sz="0" w:space="0" w:color="auto"/>
            <w:right w:val="none" w:sz="0" w:space="0" w:color="auto"/>
          </w:divBdr>
        </w:div>
        <w:div w:id="1876692057">
          <w:marLeft w:val="0"/>
          <w:marRight w:val="0"/>
          <w:marTop w:val="0"/>
          <w:marBottom w:val="0"/>
          <w:divBdr>
            <w:top w:val="none" w:sz="0" w:space="0" w:color="auto"/>
            <w:left w:val="none" w:sz="0" w:space="0" w:color="auto"/>
            <w:bottom w:val="none" w:sz="0" w:space="0" w:color="auto"/>
            <w:right w:val="none" w:sz="0" w:space="0" w:color="auto"/>
          </w:divBdr>
        </w:div>
        <w:div w:id="1886211922">
          <w:marLeft w:val="0"/>
          <w:marRight w:val="0"/>
          <w:marTop w:val="0"/>
          <w:marBottom w:val="0"/>
          <w:divBdr>
            <w:top w:val="none" w:sz="0" w:space="0" w:color="auto"/>
            <w:left w:val="none" w:sz="0" w:space="0" w:color="auto"/>
            <w:bottom w:val="none" w:sz="0" w:space="0" w:color="auto"/>
            <w:right w:val="none" w:sz="0" w:space="0" w:color="auto"/>
          </w:divBdr>
        </w:div>
        <w:div w:id="1907765166">
          <w:marLeft w:val="0"/>
          <w:marRight w:val="0"/>
          <w:marTop w:val="0"/>
          <w:marBottom w:val="0"/>
          <w:divBdr>
            <w:top w:val="none" w:sz="0" w:space="0" w:color="auto"/>
            <w:left w:val="none" w:sz="0" w:space="0" w:color="auto"/>
            <w:bottom w:val="none" w:sz="0" w:space="0" w:color="auto"/>
            <w:right w:val="none" w:sz="0" w:space="0" w:color="auto"/>
          </w:divBdr>
        </w:div>
      </w:divsChild>
    </w:div>
    <w:div w:id="1558083548">
      <w:bodyDiv w:val="1"/>
      <w:marLeft w:val="0"/>
      <w:marRight w:val="0"/>
      <w:marTop w:val="0"/>
      <w:marBottom w:val="0"/>
      <w:divBdr>
        <w:top w:val="none" w:sz="0" w:space="0" w:color="auto"/>
        <w:left w:val="none" w:sz="0" w:space="0" w:color="auto"/>
        <w:bottom w:val="none" w:sz="0" w:space="0" w:color="auto"/>
        <w:right w:val="none" w:sz="0" w:space="0" w:color="auto"/>
      </w:divBdr>
    </w:div>
    <w:div w:id="1560945967">
      <w:bodyDiv w:val="1"/>
      <w:marLeft w:val="0"/>
      <w:marRight w:val="0"/>
      <w:marTop w:val="0"/>
      <w:marBottom w:val="0"/>
      <w:divBdr>
        <w:top w:val="none" w:sz="0" w:space="0" w:color="auto"/>
        <w:left w:val="none" w:sz="0" w:space="0" w:color="auto"/>
        <w:bottom w:val="none" w:sz="0" w:space="0" w:color="auto"/>
        <w:right w:val="none" w:sz="0" w:space="0" w:color="auto"/>
      </w:divBdr>
    </w:div>
    <w:div w:id="1566066888">
      <w:bodyDiv w:val="1"/>
      <w:marLeft w:val="0"/>
      <w:marRight w:val="0"/>
      <w:marTop w:val="0"/>
      <w:marBottom w:val="0"/>
      <w:divBdr>
        <w:top w:val="none" w:sz="0" w:space="0" w:color="auto"/>
        <w:left w:val="none" w:sz="0" w:space="0" w:color="auto"/>
        <w:bottom w:val="none" w:sz="0" w:space="0" w:color="auto"/>
        <w:right w:val="none" w:sz="0" w:space="0" w:color="auto"/>
      </w:divBdr>
      <w:divsChild>
        <w:div w:id="1089811826">
          <w:marLeft w:val="0"/>
          <w:marRight w:val="0"/>
          <w:marTop w:val="0"/>
          <w:marBottom w:val="0"/>
          <w:divBdr>
            <w:top w:val="none" w:sz="0" w:space="0" w:color="auto"/>
            <w:left w:val="none" w:sz="0" w:space="0" w:color="auto"/>
            <w:bottom w:val="none" w:sz="0" w:space="0" w:color="auto"/>
            <w:right w:val="none" w:sz="0" w:space="0" w:color="auto"/>
          </w:divBdr>
        </w:div>
        <w:div w:id="2116292290">
          <w:marLeft w:val="0"/>
          <w:marRight w:val="0"/>
          <w:marTop w:val="0"/>
          <w:marBottom w:val="0"/>
          <w:divBdr>
            <w:top w:val="none" w:sz="0" w:space="0" w:color="auto"/>
            <w:left w:val="none" w:sz="0" w:space="0" w:color="auto"/>
            <w:bottom w:val="none" w:sz="0" w:space="0" w:color="auto"/>
            <w:right w:val="none" w:sz="0" w:space="0" w:color="auto"/>
          </w:divBdr>
        </w:div>
      </w:divsChild>
    </w:div>
    <w:div w:id="1571498495">
      <w:bodyDiv w:val="1"/>
      <w:marLeft w:val="0"/>
      <w:marRight w:val="0"/>
      <w:marTop w:val="0"/>
      <w:marBottom w:val="0"/>
      <w:divBdr>
        <w:top w:val="none" w:sz="0" w:space="0" w:color="auto"/>
        <w:left w:val="none" w:sz="0" w:space="0" w:color="auto"/>
        <w:bottom w:val="none" w:sz="0" w:space="0" w:color="auto"/>
        <w:right w:val="none" w:sz="0" w:space="0" w:color="auto"/>
      </w:divBdr>
      <w:divsChild>
        <w:div w:id="68235998">
          <w:marLeft w:val="0"/>
          <w:marRight w:val="0"/>
          <w:marTop w:val="0"/>
          <w:marBottom w:val="0"/>
          <w:divBdr>
            <w:top w:val="none" w:sz="0" w:space="0" w:color="auto"/>
            <w:left w:val="none" w:sz="0" w:space="0" w:color="auto"/>
            <w:bottom w:val="none" w:sz="0" w:space="0" w:color="auto"/>
            <w:right w:val="none" w:sz="0" w:space="0" w:color="auto"/>
          </w:divBdr>
        </w:div>
        <w:div w:id="88817110">
          <w:marLeft w:val="0"/>
          <w:marRight w:val="0"/>
          <w:marTop w:val="0"/>
          <w:marBottom w:val="0"/>
          <w:divBdr>
            <w:top w:val="none" w:sz="0" w:space="0" w:color="auto"/>
            <w:left w:val="none" w:sz="0" w:space="0" w:color="auto"/>
            <w:bottom w:val="none" w:sz="0" w:space="0" w:color="auto"/>
            <w:right w:val="none" w:sz="0" w:space="0" w:color="auto"/>
          </w:divBdr>
        </w:div>
        <w:div w:id="147787644">
          <w:marLeft w:val="0"/>
          <w:marRight w:val="0"/>
          <w:marTop w:val="0"/>
          <w:marBottom w:val="0"/>
          <w:divBdr>
            <w:top w:val="none" w:sz="0" w:space="0" w:color="auto"/>
            <w:left w:val="none" w:sz="0" w:space="0" w:color="auto"/>
            <w:bottom w:val="none" w:sz="0" w:space="0" w:color="auto"/>
            <w:right w:val="none" w:sz="0" w:space="0" w:color="auto"/>
          </w:divBdr>
        </w:div>
        <w:div w:id="164437684">
          <w:marLeft w:val="0"/>
          <w:marRight w:val="0"/>
          <w:marTop w:val="0"/>
          <w:marBottom w:val="0"/>
          <w:divBdr>
            <w:top w:val="none" w:sz="0" w:space="0" w:color="auto"/>
            <w:left w:val="none" w:sz="0" w:space="0" w:color="auto"/>
            <w:bottom w:val="none" w:sz="0" w:space="0" w:color="auto"/>
            <w:right w:val="none" w:sz="0" w:space="0" w:color="auto"/>
          </w:divBdr>
        </w:div>
        <w:div w:id="187841519">
          <w:marLeft w:val="0"/>
          <w:marRight w:val="0"/>
          <w:marTop w:val="0"/>
          <w:marBottom w:val="0"/>
          <w:divBdr>
            <w:top w:val="none" w:sz="0" w:space="0" w:color="auto"/>
            <w:left w:val="none" w:sz="0" w:space="0" w:color="auto"/>
            <w:bottom w:val="none" w:sz="0" w:space="0" w:color="auto"/>
            <w:right w:val="none" w:sz="0" w:space="0" w:color="auto"/>
          </w:divBdr>
        </w:div>
        <w:div w:id="292173543">
          <w:marLeft w:val="0"/>
          <w:marRight w:val="0"/>
          <w:marTop w:val="0"/>
          <w:marBottom w:val="0"/>
          <w:divBdr>
            <w:top w:val="none" w:sz="0" w:space="0" w:color="auto"/>
            <w:left w:val="none" w:sz="0" w:space="0" w:color="auto"/>
            <w:bottom w:val="none" w:sz="0" w:space="0" w:color="auto"/>
            <w:right w:val="none" w:sz="0" w:space="0" w:color="auto"/>
          </w:divBdr>
        </w:div>
        <w:div w:id="336079675">
          <w:marLeft w:val="0"/>
          <w:marRight w:val="0"/>
          <w:marTop w:val="0"/>
          <w:marBottom w:val="0"/>
          <w:divBdr>
            <w:top w:val="none" w:sz="0" w:space="0" w:color="auto"/>
            <w:left w:val="none" w:sz="0" w:space="0" w:color="auto"/>
            <w:bottom w:val="none" w:sz="0" w:space="0" w:color="auto"/>
            <w:right w:val="none" w:sz="0" w:space="0" w:color="auto"/>
          </w:divBdr>
        </w:div>
        <w:div w:id="363136037">
          <w:marLeft w:val="0"/>
          <w:marRight w:val="0"/>
          <w:marTop w:val="0"/>
          <w:marBottom w:val="0"/>
          <w:divBdr>
            <w:top w:val="none" w:sz="0" w:space="0" w:color="auto"/>
            <w:left w:val="none" w:sz="0" w:space="0" w:color="auto"/>
            <w:bottom w:val="none" w:sz="0" w:space="0" w:color="auto"/>
            <w:right w:val="none" w:sz="0" w:space="0" w:color="auto"/>
          </w:divBdr>
        </w:div>
        <w:div w:id="374084973">
          <w:marLeft w:val="0"/>
          <w:marRight w:val="0"/>
          <w:marTop w:val="0"/>
          <w:marBottom w:val="0"/>
          <w:divBdr>
            <w:top w:val="none" w:sz="0" w:space="0" w:color="auto"/>
            <w:left w:val="none" w:sz="0" w:space="0" w:color="auto"/>
            <w:bottom w:val="none" w:sz="0" w:space="0" w:color="auto"/>
            <w:right w:val="none" w:sz="0" w:space="0" w:color="auto"/>
          </w:divBdr>
        </w:div>
        <w:div w:id="511837668">
          <w:marLeft w:val="0"/>
          <w:marRight w:val="0"/>
          <w:marTop w:val="0"/>
          <w:marBottom w:val="0"/>
          <w:divBdr>
            <w:top w:val="none" w:sz="0" w:space="0" w:color="auto"/>
            <w:left w:val="none" w:sz="0" w:space="0" w:color="auto"/>
            <w:bottom w:val="none" w:sz="0" w:space="0" w:color="auto"/>
            <w:right w:val="none" w:sz="0" w:space="0" w:color="auto"/>
          </w:divBdr>
        </w:div>
        <w:div w:id="564493010">
          <w:marLeft w:val="0"/>
          <w:marRight w:val="0"/>
          <w:marTop w:val="0"/>
          <w:marBottom w:val="0"/>
          <w:divBdr>
            <w:top w:val="none" w:sz="0" w:space="0" w:color="auto"/>
            <w:left w:val="none" w:sz="0" w:space="0" w:color="auto"/>
            <w:bottom w:val="none" w:sz="0" w:space="0" w:color="auto"/>
            <w:right w:val="none" w:sz="0" w:space="0" w:color="auto"/>
          </w:divBdr>
        </w:div>
        <w:div w:id="600379829">
          <w:marLeft w:val="0"/>
          <w:marRight w:val="0"/>
          <w:marTop w:val="0"/>
          <w:marBottom w:val="0"/>
          <w:divBdr>
            <w:top w:val="none" w:sz="0" w:space="0" w:color="auto"/>
            <w:left w:val="none" w:sz="0" w:space="0" w:color="auto"/>
            <w:bottom w:val="none" w:sz="0" w:space="0" w:color="auto"/>
            <w:right w:val="none" w:sz="0" w:space="0" w:color="auto"/>
          </w:divBdr>
        </w:div>
        <w:div w:id="685400544">
          <w:marLeft w:val="0"/>
          <w:marRight w:val="0"/>
          <w:marTop w:val="0"/>
          <w:marBottom w:val="0"/>
          <w:divBdr>
            <w:top w:val="none" w:sz="0" w:space="0" w:color="auto"/>
            <w:left w:val="none" w:sz="0" w:space="0" w:color="auto"/>
            <w:bottom w:val="none" w:sz="0" w:space="0" w:color="auto"/>
            <w:right w:val="none" w:sz="0" w:space="0" w:color="auto"/>
          </w:divBdr>
        </w:div>
        <w:div w:id="723332322">
          <w:marLeft w:val="0"/>
          <w:marRight w:val="0"/>
          <w:marTop w:val="0"/>
          <w:marBottom w:val="0"/>
          <w:divBdr>
            <w:top w:val="none" w:sz="0" w:space="0" w:color="auto"/>
            <w:left w:val="none" w:sz="0" w:space="0" w:color="auto"/>
            <w:bottom w:val="none" w:sz="0" w:space="0" w:color="auto"/>
            <w:right w:val="none" w:sz="0" w:space="0" w:color="auto"/>
          </w:divBdr>
        </w:div>
        <w:div w:id="765228617">
          <w:marLeft w:val="0"/>
          <w:marRight w:val="0"/>
          <w:marTop w:val="0"/>
          <w:marBottom w:val="0"/>
          <w:divBdr>
            <w:top w:val="none" w:sz="0" w:space="0" w:color="auto"/>
            <w:left w:val="none" w:sz="0" w:space="0" w:color="auto"/>
            <w:bottom w:val="none" w:sz="0" w:space="0" w:color="auto"/>
            <w:right w:val="none" w:sz="0" w:space="0" w:color="auto"/>
          </w:divBdr>
        </w:div>
        <w:div w:id="793525533">
          <w:marLeft w:val="0"/>
          <w:marRight w:val="0"/>
          <w:marTop w:val="0"/>
          <w:marBottom w:val="0"/>
          <w:divBdr>
            <w:top w:val="none" w:sz="0" w:space="0" w:color="auto"/>
            <w:left w:val="none" w:sz="0" w:space="0" w:color="auto"/>
            <w:bottom w:val="none" w:sz="0" w:space="0" w:color="auto"/>
            <w:right w:val="none" w:sz="0" w:space="0" w:color="auto"/>
          </w:divBdr>
        </w:div>
        <w:div w:id="817501894">
          <w:marLeft w:val="0"/>
          <w:marRight w:val="0"/>
          <w:marTop w:val="0"/>
          <w:marBottom w:val="0"/>
          <w:divBdr>
            <w:top w:val="none" w:sz="0" w:space="0" w:color="auto"/>
            <w:left w:val="none" w:sz="0" w:space="0" w:color="auto"/>
            <w:bottom w:val="none" w:sz="0" w:space="0" w:color="auto"/>
            <w:right w:val="none" w:sz="0" w:space="0" w:color="auto"/>
          </w:divBdr>
        </w:div>
        <w:div w:id="857694891">
          <w:marLeft w:val="0"/>
          <w:marRight w:val="0"/>
          <w:marTop w:val="0"/>
          <w:marBottom w:val="0"/>
          <w:divBdr>
            <w:top w:val="none" w:sz="0" w:space="0" w:color="auto"/>
            <w:left w:val="none" w:sz="0" w:space="0" w:color="auto"/>
            <w:bottom w:val="none" w:sz="0" w:space="0" w:color="auto"/>
            <w:right w:val="none" w:sz="0" w:space="0" w:color="auto"/>
          </w:divBdr>
        </w:div>
        <w:div w:id="1155729397">
          <w:marLeft w:val="0"/>
          <w:marRight w:val="0"/>
          <w:marTop w:val="0"/>
          <w:marBottom w:val="0"/>
          <w:divBdr>
            <w:top w:val="none" w:sz="0" w:space="0" w:color="auto"/>
            <w:left w:val="none" w:sz="0" w:space="0" w:color="auto"/>
            <w:bottom w:val="none" w:sz="0" w:space="0" w:color="auto"/>
            <w:right w:val="none" w:sz="0" w:space="0" w:color="auto"/>
          </w:divBdr>
        </w:div>
        <w:div w:id="1172841955">
          <w:marLeft w:val="0"/>
          <w:marRight w:val="0"/>
          <w:marTop w:val="0"/>
          <w:marBottom w:val="0"/>
          <w:divBdr>
            <w:top w:val="none" w:sz="0" w:space="0" w:color="auto"/>
            <w:left w:val="none" w:sz="0" w:space="0" w:color="auto"/>
            <w:bottom w:val="none" w:sz="0" w:space="0" w:color="auto"/>
            <w:right w:val="none" w:sz="0" w:space="0" w:color="auto"/>
          </w:divBdr>
        </w:div>
        <w:div w:id="1196431410">
          <w:marLeft w:val="0"/>
          <w:marRight w:val="0"/>
          <w:marTop w:val="0"/>
          <w:marBottom w:val="0"/>
          <w:divBdr>
            <w:top w:val="none" w:sz="0" w:space="0" w:color="auto"/>
            <w:left w:val="none" w:sz="0" w:space="0" w:color="auto"/>
            <w:bottom w:val="none" w:sz="0" w:space="0" w:color="auto"/>
            <w:right w:val="none" w:sz="0" w:space="0" w:color="auto"/>
          </w:divBdr>
        </w:div>
        <w:div w:id="1218395267">
          <w:marLeft w:val="0"/>
          <w:marRight w:val="0"/>
          <w:marTop w:val="0"/>
          <w:marBottom w:val="0"/>
          <w:divBdr>
            <w:top w:val="none" w:sz="0" w:space="0" w:color="auto"/>
            <w:left w:val="none" w:sz="0" w:space="0" w:color="auto"/>
            <w:bottom w:val="none" w:sz="0" w:space="0" w:color="auto"/>
            <w:right w:val="none" w:sz="0" w:space="0" w:color="auto"/>
          </w:divBdr>
        </w:div>
        <w:div w:id="1240408806">
          <w:marLeft w:val="0"/>
          <w:marRight w:val="0"/>
          <w:marTop w:val="0"/>
          <w:marBottom w:val="0"/>
          <w:divBdr>
            <w:top w:val="none" w:sz="0" w:space="0" w:color="auto"/>
            <w:left w:val="none" w:sz="0" w:space="0" w:color="auto"/>
            <w:bottom w:val="none" w:sz="0" w:space="0" w:color="auto"/>
            <w:right w:val="none" w:sz="0" w:space="0" w:color="auto"/>
          </w:divBdr>
        </w:div>
        <w:div w:id="1292175118">
          <w:marLeft w:val="0"/>
          <w:marRight w:val="0"/>
          <w:marTop w:val="0"/>
          <w:marBottom w:val="0"/>
          <w:divBdr>
            <w:top w:val="none" w:sz="0" w:space="0" w:color="auto"/>
            <w:left w:val="none" w:sz="0" w:space="0" w:color="auto"/>
            <w:bottom w:val="none" w:sz="0" w:space="0" w:color="auto"/>
            <w:right w:val="none" w:sz="0" w:space="0" w:color="auto"/>
          </w:divBdr>
        </w:div>
        <w:div w:id="1307274245">
          <w:marLeft w:val="0"/>
          <w:marRight w:val="0"/>
          <w:marTop w:val="0"/>
          <w:marBottom w:val="0"/>
          <w:divBdr>
            <w:top w:val="none" w:sz="0" w:space="0" w:color="auto"/>
            <w:left w:val="none" w:sz="0" w:space="0" w:color="auto"/>
            <w:bottom w:val="none" w:sz="0" w:space="0" w:color="auto"/>
            <w:right w:val="none" w:sz="0" w:space="0" w:color="auto"/>
          </w:divBdr>
        </w:div>
        <w:div w:id="1353334065">
          <w:marLeft w:val="0"/>
          <w:marRight w:val="0"/>
          <w:marTop w:val="0"/>
          <w:marBottom w:val="0"/>
          <w:divBdr>
            <w:top w:val="none" w:sz="0" w:space="0" w:color="auto"/>
            <w:left w:val="none" w:sz="0" w:space="0" w:color="auto"/>
            <w:bottom w:val="none" w:sz="0" w:space="0" w:color="auto"/>
            <w:right w:val="none" w:sz="0" w:space="0" w:color="auto"/>
          </w:divBdr>
        </w:div>
        <w:div w:id="1467311688">
          <w:marLeft w:val="0"/>
          <w:marRight w:val="0"/>
          <w:marTop w:val="0"/>
          <w:marBottom w:val="0"/>
          <w:divBdr>
            <w:top w:val="none" w:sz="0" w:space="0" w:color="auto"/>
            <w:left w:val="none" w:sz="0" w:space="0" w:color="auto"/>
            <w:bottom w:val="none" w:sz="0" w:space="0" w:color="auto"/>
            <w:right w:val="none" w:sz="0" w:space="0" w:color="auto"/>
          </w:divBdr>
        </w:div>
        <w:div w:id="1477332164">
          <w:marLeft w:val="0"/>
          <w:marRight w:val="0"/>
          <w:marTop w:val="0"/>
          <w:marBottom w:val="0"/>
          <w:divBdr>
            <w:top w:val="none" w:sz="0" w:space="0" w:color="auto"/>
            <w:left w:val="none" w:sz="0" w:space="0" w:color="auto"/>
            <w:bottom w:val="none" w:sz="0" w:space="0" w:color="auto"/>
            <w:right w:val="none" w:sz="0" w:space="0" w:color="auto"/>
          </w:divBdr>
        </w:div>
        <w:div w:id="1580864408">
          <w:marLeft w:val="0"/>
          <w:marRight w:val="0"/>
          <w:marTop w:val="0"/>
          <w:marBottom w:val="0"/>
          <w:divBdr>
            <w:top w:val="none" w:sz="0" w:space="0" w:color="auto"/>
            <w:left w:val="none" w:sz="0" w:space="0" w:color="auto"/>
            <w:bottom w:val="none" w:sz="0" w:space="0" w:color="auto"/>
            <w:right w:val="none" w:sz="0" w:space="0" w:color="auto"/>
          </w:divBdr>
        </w:div>
        <w:div w:id="1621456594">
          <w:marLeft w:val="0"/>
          <w:marRight w:val="0"/>
          <w:marTop w:val="0"/>
          <w:marBottom w:val="0"/>
          <w:divBdr>
            <w:top w:val="none" w:sz="0" w:space="0" w:color="auto"/>
            <w:left w:val="none" w:sz="0" w:space="0" w:color="auto"/>
            <w:bottom w:val="none" w:sz="0" w:space="0" w:color="auto"/>
            <w:right w:val="none" w:sz="0" w:space="0" w:color="auto"/>
          </w:divBdr>
        </w:div>
        <w:div w:id="1637101502">
          <w:marLeft w:val="0"/>
          <w:marRight w:val="0"/>
          <w:marTop w:val="0"/>
          <w:marBottom w:val="0"/>
          <w:divBdr>
            <w:top w:val="none" w:sz="0" w:space="0" w:color="auto"/>
            <w:left w:val="none" w:sz="0" w:space="0" w:color="auto"/>
            <w:bottom w:val="none" w:sz="0" w:space="0" w:color="auto"/>
            <w:right w:val="none" w:sz="0" w:space="0" w:color="auto"/>
          </w:divBdr>
        </w:div>
        <w:div w:id="1746878078">
          <w:marLeft w:val="0"/>
          <w:marRight w:val="0"/>
          <w:marTop w:val="0"/>
          <w:marBottom w:val="0"/>
          <w:divBdr>
            <w:top w:val="none" w:sz="0" w:space="0" w:color="auto"/>
            <w:left w:val="none" w:sz="0" w:space="0" w:color="auto"/>
            <w:bottom w:val="none" w:sz="0" w:space="0" w:color="auto"/>
            <w:right w:val="none" w:sz="0" w:space="0" w:color="auto"/>
          </w:divBdr>
        </w:div>
        <w:div w:id="1747149737">
          <w:marLeft w:val="0"/>
          <w:marRight w:val="0"/>
          <w:marTop w:val="0"/>
          <w:marBottom w:val="0"/>
          <w:divBdr>
            <w:top w:val="none" w:sz="0" w:space="0" w:color="auto"/>
            <w:left w:val="none" w:sz="0" w:space="0" w:color="auto"/>
            <w:bottom w:val="none" w:sz="0" w:space="0" w:color="auto"/>
            <w:right w:val="none" w:sz="0" w:space="0" w:color="auto"/>
          </w:divBdr>
        </w:div>
        <w:div w:id="1799716520">
          <w:marLeft w:val="0"/>
          <w:marRight w:val="0"/>
          <w:marTop w:val="0"/>
          <w:marBottom w:val="0"/>
          <w:divBdr>
            <w:top w:val="none" w:sz="0" w:space="0" w:color="auto"/>
            <w:left w:val="none" w:sz="0" w:space="0" w:color="auto"/>
            <w:bottom w:val="none" w:sz="0" w:space="0" w:color="auto"/>
            <w:right w:val="none" w:sz="0" w:space="0" w:color="auto"/>
          </w:divBdr>
        </w:div>
        <w:div w:id="2076971383">
          <w:marLeft w:val="0"/>
          <w:marRight w:val="0"/>
          <w:marTop w:val="0"/>
          <w:marBottom w:val="0"/>
          <w:divBdr>
            <w:top w:val="none" w:sz="0" w:space="0" w:color="auto"/>
            <w:left w:val="none" w:sz="0" w:space="0" w:color="auto"/>
            <w:bottom w:val="none" w:sz="0" w:space="0" w:color="auto"/>
            <w:right w:val="none" w:sz="0" w:space="0" w:color="auto"/>
          </w:divBdr>
        </w:div>
        <w:div w:id="2100907007">
          <w:marLeft w:val="0"/>
          <w:marRight w:val="0"/>
          <w:marTop w:val="0"/>
          <w:marBottom w:val="0"/>
          <w:divBdr>
            <w:top w:val="none" w:sz="0" w:space="0" w:color="auto"/>
            <w:left w:val="none" w:sz="0" w:space="0" w:color="auto"/>
            <w:bottom w:val="none" w:sz="0" w:space="0" w:color="auto"/>
            <w:right w:val="none" w:sz="0" w:space="0" w:color="auto"/>
          </w:divBdr>
        </w:div>
        <w:div w:id="2102292504">
          <w:marLeft w:val="0"/>
          <w:marRight w:val="0"/>
          <w:marTop w:val="0"/>
          <w:marBottom w:val="0"/>
          <w:divBdr>
            <w:top w:val="none" w:sz="0" w:space="0" w:color="auto"/>
            <w:left w:val="none" w:sz="0" w:space="0" w:color="auto"/>
            <w:bottom w:val="none" w:sz="0" w:space="0" w:color="auto"/>
            <w:right w:val="none" w:sz="0" w:space="0" w:color="auto"/>
          </w:divBdr>
        </w:div>
        <w:div w:id="2111050163">
          <w:marLeft w:val="0"/>
          <w:marRight w:val="0"/>
          <w:marTop w:val="0"/>
          <w:marBottom w:val="0"/>
          <w:divBdr>
            <w:top w:val="none" w:sz="0" w:space="0" w:color="auto"/>
            <w:left w:val="none" w:sz="0" w:space="0" w:color="auto"/>
            <w:bottom w:val="none" w:sz="0" w:space="0" w:color="auto"/>
            <w:right w:val="none" w:sz="0" w:space="0" w:color="auto"/>
          </w:divBdr>
        </w:div>
        <w:div w:id="2114011870">
          <w:marLeft w:val="0"/>
          <w:marRight w:val="0"/>
          <w:marTop w:val="0"/>
          <w:marBottom w:val="0"/>
          <w:divBdr>
            <w:top w:val="none" w:sz="0" w:space="0" w:color="auto"/>
            <w:left w:val="none" w:sz="0" w:space="0" w:color="auto"/>
            <w:bottom w:val="none" w:sz="0" w:space="0" w:color="auto"/>
            <w:right w:val="none" w:sz="0" w:space="0" w:color="auto"/>
          </w:divBdr>
        </w:div>
        <w:div w:id="2119325971">
          <w:marLeft w:val="0"/>
          <w:marRight w:val="0"/>
          <w:marTop w:val="0"/>
          <w:marBottom w:val="0"/>
          <w:divBdr>
            <w:top w:val="none" w:sz="0" w:space="0" w:color="auto"/>
            <w:left w:val="none" w:sz="0" w:space="0" w:color="auto"/>
            <w:bottom w:val="none" w:sz="0" w:space="0" w:color="auto"/>
            <w:right w:val="none" w:sz="0" w:space="0" w:color="auto"/>
          </w:divBdr>
        </w:div>
        <w:div w:id="2127888913">
          <w:marLeft w:val="0"/>
          <w:marRight w:val="0"/>
          <w:marTop w:val="0"/>
          <w:marBottom w:val="0"/>
          <w:divBdr>
            <w:top w:val="none" w:sz="0" w:space="0" w:color="auto"/>
            <w:left w:val="none" w:sz="0" w:space="0" w:color="auto"/>
            <w:bottom w:val="none" w:sz="0" w:space="0" w:color="auto"/>
            <w:right w:val="none" w:sz="0" w:space="0" w:color="auto"/>
          </w:divBdr>
        </w:div>
      </w:divsChild>
    </w:div>
    <w:div w:id="1579442935">
      <w:bodyDiv w:val="1"/>
      <w:marLeft w:val="0"/>
      <w:marRight w:val="0"/>
      <w:marTop w:val="0"/>
      <w:marBottom w:val="0"/>
      <w:divBdr>
        <w:top w:val="none" w:sz="0" w:space="0" w:color="auto"/>
        <w:left w:val="none" w:sz="0" w:space="0" w:color="auto"/>
        <w:bottom w:val="none" w:sz="0" w:space="0" w:color="auto"/>
        <w:right w:val="none" w:sz="0" w:space="0" w:color="auto"/>
      </w:divBdr>
    </w:div>
    <w:div w:id="1588078033">
      <w:bodyDiv w:val="1"/>
      <w:marLeft w:val="0"/>
      <w:marRight w:val="0"/>
      <w:marTop w:val="0"/>
      <w:marBottom w:val="0"/>
      <w:divBdr>
        <w:top w:val="none" w:sz="0" w:space="0" w:color="auto"/>
        <w:left w:val="none" w:sz="0" w:space="0" w:color="auto"/>
        <w:bottom w:val="none" w:sz="0" w:space="0" w:color="auto"/>
        <w:right w:val="none" w:sz="0" w:space="0" w:color="auto"/>
      </w:divBdr>
    </w:div>
    <w:div w:id="1629238074">
      <w:bodyDiv w:val="1"/>
      <w:marLeft w:val="0"/>
      <w:marRight w:val="0"/>
      <w:marTop w:val="0"/>
      <w:marBottom w:val="0"/>
      <w:divBdr>
        <w:top w:val="none" w:sz="0" w:space="0" w:color="auto"/>
        <w:left w:val="none" w:sz="0" w:space="0" w:color="auto"/>
        <w:bottom w:val="none" w:sz="0" w:space="0" w:color="auto"/>
        <w:right w:val="none" w:sz="0" w:space="0" w:color="auto"/>
      </w:divBdr>
    </w:div>
    <w:div w:id="1629386421">
      <w:bodyDiv w:val="1"/>
      <w:marLeft w:val="0"/>
      <w:marRight w:val="0"/>
      <w:marTop w:val="0"/>
      <w:marBottom w:val="0"/>
      <w:divBdr>
        <w:top w:val="none" w:sz="0" w:space="0" w:color="auto"/>
        <w:left w:val="none" w:sz="0" w:space="0" w:color="auto"/>
        <w:bottom w:val="none" w:sz="0" w:space="0" w:color="auto"/>
        <w:right w:val="none" w:sz="0" w:space="0" w:color="auto"/>
      </w:divBdr>
    </w:div>
    <w:div w:id="1642223837">
      <w:bodyDiv w:val="1"/>
      <w:marLeft w:val="0"/>
      <w:marRight w:val="0"/>
      <w:marTop w:val="0"/>
      <w:marBottom w:val="0"/>
      <w:divBdr>
        <w:top w:val="none" w:sz="0" w:space="0" w:color="auto"/>
        <w:left w:val="none" w:sz="0" w:space="0" w:color="auto"/>
        <w:bottom w:val="none" w:sz="0" w:space="0" w:color="auto"/>
        <w:right w:val="none" w:sz="0" w:space="0" w:color="auto"/>
      </w:divBdr>
    </w:div>
    <w:div w:id="1663195611">
      <w:bodyDiv w:val="1"/>
      <w:marLeft w:val="0"/>
      <w:marRight w:val="0"/>
      <w:marTop w:val="0"/>
      <w:marBottom w:val="0"/>
      <w:divBdr>
        <w:top w:val="none" w:sz="0" w:space="0" w:color="auto"/>
        <w:left w:val="none" w:sz="0" w:space="0" w:color="auto"/>
        <w:bottom w:val="none" w:sz="0" w:space="0" w:color="auto"/>
        <w:right w:val="none" w:sz="0" w:space="0" w:color="auto"/>
      </w:divBdr>
    </w:div>
    <w:div w:id="1779524170">
      <w:bodyDiv w:val="1"/>
      <w:marLeft w:val="0"/>
      <w:marRight w:val="0"/>
      <w:marTop w:val="0"/>
      <w:marBottom w:val="0"/>
      <w:divBdr>
        <w:top w:val="none" w:sz="0" w:space="0" w:color="auto"/>
        <w:left w:val="none" w:sz="0" w:space="0" w:color="auto"/>
        <w:bottom w:val="none" w:sz="0" w:space="0" w:color="auto"/>
        <w:right w:val="none" w:sz="0" w:space="0" w:color="auto"/>
      </w:divBdr>
    </w:div>
    <w:div w:id="1819957061">
      <w:bodyDiv w:val="1"/>
      <w:marLeft w:val="0"/>
      <w:marRight w:val="0"/>
      <w:marTop w:val="0"/>
      <w:marBottom w:val="0"/>
      <w:divBdr>
        <w:top w:val="none" w:sz="0" w:space="0" w:color="auto"/>
        <w:left w:val="none" w:sz="0" w:space="0" w:color="auto"/>
        <w:bottom w:val="none" w:sz="0" w:space="0" w:color="auto"/>
        <w:right w:val="none" w:sz="0" w:space="0" w:color="auto"/>
      </w:divBdr>
    </w:div>
    <w:div w:id="1904756189">
      <w:bodyDiv w:val="1"/>
      <w:marLeft w:val="0"/>
      <w:marRight w:val="0"/>
      <w:marTop w:val="0"/>
      <w:marBottom w:val="0"/>
      <w:divBdr>
        <w:top w:val="none" w:sz="0" w:space="0" w:color="auto"/>
        <w:left w:val="none" w:sz="0" w:space="0" w:color="auto"/>
        <w:bottom w:val="none" w:sz="0" w:space="0" w:color="auto"/>
        <w:right w:val="none" w:sz="0" w:space="0" w:color="auto"/>
      </w:divBdr>
    </w:div>
    <w:div w:id="1924677423">
      <w:bodyDiv w:val="1"/>
      <w:marLeft w:val="0"/>
      <w:marRight w:val="0"/>
      <w:marTop w:val="0"/>
      <w:marBottom w:val="0"/>
      <w:divBdr>
        <w:top w:val="none" w:sz="0" w:space="0" w:color="auto"/>
        <w:left w:val="none" w:sz="0" w:space="0" w:color="auto"/>
        <w:bottom w:val="none" w:sz="0" w:space="0" w:color="auto"/>
        <w:right w:val="none" w:sz="0" w:space="0" w:color="auto"/>
      </w:divBdr>
    </w:div>
    <w:div w:id="1944725436">
      <w:bodyDiv w:val="1"/>
      <w:marLeft w:val="0"/>
      <w:marRight w:val="0"/>
      <w:marTop w:val="0"/>
      <w:marBottom w:val="0"/>
      <w:divBdr>
        <w:top w:val="none" w:sz="0" w:space="0" w:color="auto"/>
        <w:left w:val="none" w:sz="0" w:space="0" w:color="auto"/>
        <w:bottom w:val="none" w:sz="0" w:space="0" w:color="auto"/>
        <w:right w:val="none" w:sz="0" w:space="0" w:color="auto"/>
      </w:divBdr>
    </w:div>
    <w:div w:id="1993177765">
      <w:bodyDiv w:val="1"/>
      <w:marLeft w:val="0"/>
      <w:marRight w:val="0"/>
      <w:marTop w:val="0"/>
      <w:marBottom w:val="0"/>
      <w:divBdr>
        <w:top w:val="none" w:sz="0" w:space="0" w:color="auto"/>
        <w:left w:val="none" w:sz="0" w:space="0" w:color="auto"/>
        <w:bottom w:val="none" w:sz="0" w:space="0" w:color="auto"/>
        <w:right w:val="none" w:sz="0" w:space="0" w:color="auto"/>
      </w:divBdr>
    </w:div>
    <w:div w:id="2069648126">
      <w:bodyDiv w:val="1"/>
      <w:marLeft w:val="0"/>
      <w:marRight w:val="0"/>
      <w:marTop w:val="0"/>
      <w:marBottom w:val="0"/>
      <w:divBdr>
        <w:top w:val="none" w:sz="0" w:space="0" w:color="auto"/>
        <w:left w:val="none" w:sz="0" w:space="0" w:color="auto"/>
        <w:bottom w:val="none" w:sz="0" w:space="0" w:color="auto"/>
        <w:right w:val="none" w:sz="0" w:space="0" w:color="auto"/>
      </w:divBdr>
      <w:divsChild>
        <w:div w:id="54594608">
          <w:marLeft w:val="0"/>
          <w:marRight w:val="0"/>
          <w:marTop w:val="0"/>
          <w:marBottom w:val="0"/>
          <w:divBdr>
            <w:top w:val="none" w:sz="0" w:space="0" w:color="auto"/>
            <w:left w:val="none" w:sz="0" w:space="0" w:color="auto"/>
            <w:bottom w:val="none" w:sz="0" w:space="0" w:color="auto"/>
            <w:right w:val="none" w:sz="0" w:space="0" w:color="auto"/>
          </w:divBdr>
        </w:div>
        <w:div w:id="160387559">
          <w:marLeft w:val="0"/>
          <w:marRight w:val="0"/>
          <w:marTop w:val="0"/>
          <w:marBottom w:val="0"/>
          <w:divBdr>
            <w:top w:val="none" w:sz="0" w:space="0" w:color="auto"/>
            <w:left w:val="none" w:sz="0" w:space="0" w:color="auto"/>
            <w:bottom w:val="none" w:sz="0" w:space="0" w:color="auto"/>
            <w:right w:val="none" w:sz="0" w:space="0" w:color="auto"/>
          </w:divBdr>
        </w:div>
        <w:div w:id="534385697">
          <w:marLeft w:val="0"/>
          <w:marRight w:val="0"/>
          <w:marTop w:val="0"/>
          <w:marBottom w:val="0"/>
          <w:divBdr>
            <w:top w:val="none" w:sz="0" w:space="0" w:color="auto"/>
            <w:left w:val="none" w:sz="0" w:space="0" w:color="auto"/>
            <w:bottom w:val="none" w:sz="0" w:space="0" w:color="auto"/>
            <w:right w:val="none" w:sz="0" w:space="0" w:color="auto"/>
          </w:divBdr>
        </w:div>
        <w:div w:id="650913574">
          <w:marLeft w:val="0"/>
          <w:marRight w:val="0"/>
          <w:marTop w:val="0"/>
          <w:marBottom w:val="0"/>
          <w:divBdr>
            <w:top w:val="none" w:sz="0" w:space="0" w:color="auto"/>
            <w:left w:val="none" w:sz="0" w:space="0" w:color="auto"/>
            <w:bottom w:val="none" w:sz="0" w:space="0" w:color="auto"/>
            <w:right w:val="none" w:sz="0" w:space="0" w:color="auto"/>
          </w:divBdr>
        </w:div>
        <w:div w:id="923417287">
          <w:marLeft w:val="0"/>
          <w:marRight w:val="0"/>
          <w:marTop w:val="0"/>
          <w:marBottom w:val="0"/>
          <w:divBdr>
            <w:top w:val="none" w:sz="0" w:space="0" w:color="auto"/>
            <w:left w:val="none" w:sz="0" w:space="0" w:color="auto"/>
            <w:bottom w:val="none" w:sz="0" w:space="0" w:color="auto"/>
            <w:right w:val="none" w:sz="0" w:space="0" w:color="auto"/>
          </w:divBdr>
        </w:div>
        <w:div w:id="946699069">
          <w:marLeft w:val="0"/>
          <w:marRight w:val="0"/>
          <w:marTop w:val="0"/>
          <w:marBottom w:val="0"/>
          <w:divBdr>
            <w:top w:val="none" w:sz="0" w:space="0" w:color="auto"/>
            <w:left w:val="none" w:sz="0" w:space="0" w:color="auto"/>
            <w:bottom w:val="none" w:sz="0" w:space="0" w:color="auto"/>
            <w:right w:val="none" w:sz="0" w:space="0" w:color="auto"/>
          </w:divBdr>
        </w:div>
        <w:div w:id="1013147297">
          <w:marLeft w:val="0"/>
          <w:marRight w:val="0"/>
          <w:marTop w:val="0"/>
          <w:marBottom w:val="0"/>
          <w:divBdr>
            <w:top w:val="none" w:sz="0" w:space="0" w:color="auto"/>
            <w:left w:val="none" w:sz="0" w:space="0" w:color="auto"/>
            <w:bottom w:val="none" w:sz="0" w:space="0" w:color="auto"/>
            <w:right w:val="none" w:sz="0" w:space="0" w:color="auto"/>
          </w:divBdr>
        </w:div>
        <w:div w:id="1046611006">
          <w:marLeft w:val="0"/>
          <w:marRight w:val="0"/>
          <w:marTop w:val="0"/>
          <w:marBottom w:val="0"/>
          <w:divBdr>
            <w:top w:val="none" w:sz="0" w:space="0" w:color="auto"/>
            <w:left w:val="none" w:sz="0" w:space="0" w:color="auto"/>
            <w:bottom w:val="none" w:sz="0" w:space="0" w:color="auto"/>
            <w:right w:val="none" w:sz="0" w:space="0" w:color="auto"/>
          </w:divBdr>
        </w:div>
        <w:div w:id="1234389745">
          <w:marLeft w:val="0"/>
          <w:marRight w:val="0"/>
          <w:marTop w:val="0"/>
          <w:marBottom w:val="0"/>
          <w:divBdr>
            <w:top w:val="none" w:sz="0" w:space="0" w:color="auto"/>
            <w:left w:val="none" w:sz="0" w:space="0" w:color="auto"/>
            <w:bottom w:val="none" w:sz="0" w:space="0" w:color="auto"/>
            <w:right w:val="none" w:sz="0" w:space="0" w:color="auto"/>
          </w:divBdr>
        </w:div>
        <w:div w:id="1638217820">
          <w:marLeft w:val="0"/>
          <w:marRight w:val="0"/>
          <w:marTop w:val="0"/>
          <w:marBottom w:val="0"/>
          <w:divBdr>
            <w:top w:val="none" w:sz="0" w:space="0" w:color="auto"/>
            <w:left w:val="none" w:sz="0" w:space="0" w:color="auto"/>
            <w:bottom w:val="none" w:sz="0" w:space="0" w:color="auto"/>
            <w:right w:val="none" w:sz="0" w:space="0" w:color="auto"/>
          </w:divBdr>
        </w:div>
        <w:div w:id="1657764003">
          <w:marLeft w:val="0"/>
          <w:marRight w:val="0"/>
          <w:marTop w:val="0"/>
          <w:marBottom w:val="0"/>
          <w:divBdr>
            <w:top w:val="none" w:sz="0" w:space="0" w:color="auto"/>
            <w:left w:val="none" w:sz="0" w:space="0" w:color="auto"/>
            <w:bottom w:val="none" w:sz="0" w:space="0" w:color="auto"/>
            <w:right w:val="none" w:sz="0" w:space="0" w:color="auto"/>
          </w:divBdr>
        </w:div>
      </w:divsChild>
    </w:div>
    <w:div w:id="2082635752">
      <w:bodyDiv w:val="1"/>
      <w:marLeft w:val="0"/>
      <w:marRight w:val="0"/>
      <w:marTop w:val="0"/>
      <w:marBottom w:val="0"/>
      <w:divBdr>
        <w:top w:val="none" w:sz="0" w:space="0" w:color="auto"/>
        <w:left w:val="none" w:sz="0" w:space="0" w:color="auto"/>
        <w:bottom w:val="none" w:sz="0" w:space="0" w:color="auto"/>
        <w:right w:val="none" w:sz="0" w:space="0" w:color="auto"/>
      </w:divBdr>
    </w:div>
    <w:div w:id="2106729102">
      <w:bodyDiv w:val="1"/>
      <w:marLeft w:val="0"/>
      <w:marRight w:val="0"/>
      <w:marTop w:val="0"/>
      <w:marBottom w:val="0"/>
      <w:divBdr>
        <w:top w:val="none" w:sz="0" w:space="0" w:color="auto"/>
        <w:left w:val="none" w:sz="0" w:space="0" w:color="auto"/>
        <w:bottom w:val="none" w:sz="0" w:space="0" w:color="auto"/>
        <w:right w:val="none" w:sz="0" w:space="0" w:color="auto"/>
      </w:divBdr>
    </w:div>
    <w:div w:id="2118862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diagramColors" Target="diagrams/colors1.xml"/><Relationship Id="rId18" Type="http://schemas.openxmlformats.org/officeDocument/2006/relationships/diagramColors" Target="diagrams/colors2.xml"/><Relationship Id="rId26" Type="http://schemas.openxmlformats.org/officeDocument/2006/relationships/diagramLayout" Target="diagrams/layout4.xml"/><Relationship Id="rId39" Type="http://schemas.openxmlformats.org/officeDocument/2006/relationships/chart" Target="charts/chart10.xml"/><Relationship Id="rId21" Type="http://schemas.openxmlformats.org/officeDocument/2006/relationships/diagramLayout" Target="diagrams/layout3.xml"/><Relationship Id="rId34" Type="http://schemas.openxmlformats.org/officeDocument/2006/relationships/chart" Target="charts/chart5.xml"/><Relationship Id="rId42" Type="http://schemas.openxmlformats.org/officeDocument/2006/relationships/chart" Target="charts/chart13.xml"/><Relationship Id="rId47" Type="http://schemas.openxmlformats.org/officeDocument/2006/relationships/chart" Target="charts/chart18.xml"/><Relationship Id="rId50" Type="http://schemas.openxmlformats.org/officeDocument/2006/relationships/chart" Target="charts/chart21.xml"/><Relationship Id="rId55" Type="http://schemas.openxmlformats.org/officeDocument/2006/relationships/chart" Target="charts/chart26.xml"/><Relationship Id="rId63" Type="http://schemas.openxmlformats.org/officeDocument/2006/relationships/hyperlink" Target="http://www.lb.lt/lt/leidiniai/pinigu_studijos2003_3/%20bivainis.pdf" TargetMode="External"/><Relationship Id="rId68" Type="http://schemas.openxmlformats.org/officeDocument/2006/relationships/hyperlink" Target="http://www1.worldbank.org/publicsector/%20decentralization/" TargetMode="External"/><Relationship Id="rId76" Type="http://schemas.openxmlformats.org/officeDocument/2006/relationships/theme" Target="theme/theme1.xml"/><Relationship Id="rId7" Type="http://schemas.openxmlformats.org/officeDocument/2006/relationships/footnotes" Target="footnotes.xml"/><Relationship Id="rId71" Type="http://schemas.openxmlformats.org/officeDocument/2006/relationships/hyperlink" Target="http://www.dexia.com/EN/news/in_short/Documents/NDCE_july_2011_EN.pdf" TargetMode="External"/><Relationship Id="rId2" Type="http://schemas.openxmlformats.org/officeDocument/2006/relationships/numbering" Target="numbering.xml"/><Relationship Id="rId16" Type="http://schemas.openxmlformats.org/officeDocument/2006/relationships/diagramLayout" Target="diagrams/layout2.xml"/><Relationship Id="rId29" Type="http://schemas.microsoft.com/office/2007/relationships/diagramDrawing" Target="diagrams/drawing4.xml"/><Relationship Id="rId11" Type="http://schemas.openxmlformats.org/officeDocument/2006/relationships/diagramLayout" Target="diagrams/layout1.xml"/><Relationship Id="rId24" Type="http://schemas.microsoft.com/office/2007/relationships/diagramDrawing" Target="diagrams/drawing3.xml"/><Relationship Id="rId32" Type="http://schemas.openxmlformats.org/officeDocument/2006/relationships/chart" Target="charts/chart3.xml"/><Relationship Id="rId37" Type="http://schemas.openxmlformats.org/officeDocument/2006/relationships/chart" Target="charts/chart8.xml"/><Relationship Id="rId40" Type="http://schemas.openxmlformats.org/officeDocument/2006/relationships/chart" Target="charts/chart11.xml"/><Relationship Id="rId45" Type="http://schemas.openxmlformats.org/officeDocument/2006/relationships/chart" Target="charts/chart16.xml"/><Relationship Id="rId53" Type="http://schemas.openxmlformats.org/officeDocument/2006/relationships/chart" Target="charts/chart24.xml"/><Relationship Id="rId58" Type="http://schemas.openxmlformats.org/officeDocument/2006/relationships/chart" Target="charts/chart29.xml"/><Relationship Id="rId66" Type="http://schemas.openxmlformats.org/officeDocument/2006/relationships/hyperlink" Target="http://europa.eu/about-eu/countries/index_lt.htm" TargetMode="External"/><Relationship Id="rId7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diagramData" Target="diagrams/data2.xml"/><Relationship Id="rId23" Type="http://schemas.openxmlformats.org/officeDocument/2006/relationships/diagramColors" Target="diagrams/colors3.xml"/><Relationship Id="rId28" Type="http://schemas.openxmlformats.org/officeDocument/2006/relationships/diagramColors" Target="diagrams/colors4.xml"/><Relationship Id="rId36" Type="http://schemas.openxmlformats.org/officeDocument/2006/relationships/chart" Target="charts/chart7.xml"/><Relationship Id="rId49" Type="http://schemas.openxmlformats.org/officeDocument/2006/relationships/chart" Target="charts/chart20.xml"/><Relationship Id="rId57" Type="http://schemas.openxmlformats.org/officeDocument/2006/relationships/chart" Target="charts/chart28.xml"/><Relationship Id="rId61" Type="http://schemas.openxmlformats.org/officeDocument/2006/relationships/hyperlink" Target="http://www.lb.lt/lt/leidiniai/" TargetMode="External"/><Relationship Id="rId10" Type="http://schemas.openxmlformats.org/officeDocument/2006/relationships/diagramData" Target="diagrams/data1.xml"/><Relationship Id="rId19" Type="http://schemas.microsoft.com/office/2007/relationships/diagramDrawing" Target="diagrams/drawing2.xml"/><Relationship Id="rId31" Type="http://schemas.openxmlformats.org/officeDocument/2006/relationships/chart" Target="charts/chart2.xml"/><Relationship Id="rId44" Type="http://schemas.openxmlformats.org/officeDocument/2006/relationships/chart" Target="charts/chart15.xml"/><Relationship Id="rId52" Type="http://schemas.openxmlformats.org/officeDocument/2006/relationships/chart" Target="charts/chart23.xml"/><Relationship Id="rId60" Type="http://schemas.openxmlformats.org/officeDocument/2006/relationships/hyperlink" Target="http://www.regione.emilia-romagna.it/affari_ist/Rivista_3_2012/Dimitropoulos.pdf" TargetMode="External"/><Relationship Id="rId65" Type="http://schemas.openxmlformats.org/officeDocument/2006/relationships/hyperlink" Target="http://www.europarl.europa.eu/ftu/pdf/lt/%20FTU_1.2.2.pdf" TargetMode="External"/><Relationship Id="rId73" Type="http://schemas.openxmlformats.org/officeDocument/2006/relationships/hyperlink" Target="http://db1.stat.gov.lt/statbank/default.asp?w=1280" TargetMode="External"/><Relationship Id="rId4" Type="http://schemas.microsoft.com/office/2007/relationships/stylesWithEffects" Target="stylesWithEffects.xml"/><Relationship Id="rId9" Type="http://schemas.openxmlformats.org/officeDocument/2006/relationships/image" Target="media/image1.emf"/><Relationship Id="rId14" Type="http://schemas.microsoft.com/office/2007/relationships/diagramDrawing" Target="diagrams/drawing1.xml"/><Relationship Id="rId22" Type="http://schemas.openxmlformats.org/officeDocument/2006/relationships/diagramQuickStyle" Target="diagrams/quickStyle3.xml"/><Relationship Id="rId27" Type="http://schemas.openxmlformats.org/officeDocument/2006/relationships/diagramQuickStyle" Target="diagrams/quickStyle4.xml"/><Relationship Id="rId30" Type="http://schemas.openxmlformats.org/officeDocument/2006/relationships/chart" Target="charts/chart1.xml"/><Relationship Id="rId35" Type="http://schemas.openxmlformats.org/officeDocument/2006/relationships/chart" Target="charts/chart6.xml"/><Relationship Id="rId43" Type="http://schemas.openxmlformats.org/officeDocument/2006/relationships/chart" Target="charts/chart14.xml"/><Relationship Id="rId48" Type="http://schemas.openxmlformats.org/officeDocument/2006/relationships/chart" Target="charts/chart19.xml"/><Relationship Id="rId56" Type="http://schemas.openxmlformats.org/officeDocument/2006/relationships/chart" Target="charts/chart27.xml"/><Relationship Id="rId64" Type="http://schemas.openxmlformats.org/officeDocument/2006/relationships/hyperlink" Target="http://search.oecd.org/officialdocuments/displaydocumentpdf/?doclanguage=en&amp;cote=eco/wkp%282007%2941" TargetMode="External"/><Relationship Id="rId69" Type="http://schemas.openxmlformats.org/officeDocument/2006/relationships/hyperlink" Target="http://yoksis.bilkent.edu.tr/pdf/files/10.1016-j.ejpoleco.2010.01.001.pdf" TargetMode="External"/><Relationship Id="rId8" Type="http://schemas.openxmlformats.org/officeDocument/2006/relationships/endnotes" Target="endnotes.xml"/><Relationship Id="rId51" Type="http://schemas.openxmlformats.org/officeDocument/2006/relationships/chart" Target="charts/chart22.xml"/><Relationship Id="rId72" Type="http://schemas.openxmlformats.org/officeDocument/2006/relationships/hyperlink" Target="http://www.stanford.edu/~jrodden" TargetMode="External"/><Relationship Id="rId3" Type="http://schemas.openxmlformats.org/officeDocument/2006/relationships/styles" Target="styles.xml"/><Relationship Id="rId12" Type="http://schemas.openxmlformats.org/officeDocument/2006/relationships/diagramQuickStyle" Target="diagrams/quickStyle1.xml"/><Relationship Id="rId17" Type="http://schemas.openxmlformats.org/officeDocument/2006/relationships/diagramQuickStyle" Target="diagrams/quickStyle2.xml"/><Relationship Id="rId25" Type="http://schemas.openxmlformats.org/officeDocument/2006/relationships/diagramData" Target="diagrams/data4.xml"/><Relationship Id="rId33" Type="http://schemas.openxmlformats.org/officeDocument/2006/relationships/chart" Target="charts/chart4.xml"/><Relationship Id="rId38" Type="http://schemas.openxmlformats.org/officeDocument/2006/relationships/chart" Target="charts/chart9.xml"/><Relationship Id="rId46" Type="http://schemas.openxmlformats.org/officeDocument/2006/relationships/chart" Target="charts/chart17.xml"/><Relationship Id="rId59" Type="http://schemas.openxmlformats.org/officeDocument/2006/relationships/hyperlink" Target="http://www.ecb.europa.eu/pub/pdf/scpwps/ecbwp1054.pdf" TargetMode="External"/><Relationship Id="rId67" Type="http://schemas.openxmlformats.org/officeDocument/2006/relationships/hyperlink" Target="http://finmin.lt/web/" TargetMode="External"/><Relationship Id="rId20" Type="http://schemas.openxmlformats.org/officeDocument/2006/relationships/diagramData" Target="diagrams/data3.xml"/><Relationship Id="rId41" Type="http://schemas.openxmlformats.org/officeDocument/2006/relationships/chart" Target="charts/chart12.xml"/><Relationship Id="rId54" Type="http://schemas.openxmlformats.org/officeDocument/2006/relationships/chart" Target="charts/chart25.xml"/><Relationship Id="rId62" Type="http://schemas.openxmlformats.org/officeDocument/2006/relationships/hyperlink" Target="http://mpra.ub.uni-muenchen.de/21599/1/MPRA_paper_21599.pdf" TargetMode="External"/><Relationship Id="rId70" Type="http://schemas.openxmlformats.org/officeDocument/2006/relationships/hyperlink" Target="http://www.jstor.org/discover/10.2307/4224188?uid=3738480&amp;uid=2129&amp;uid=2134&amp;uid=2&amp;uid=70&amp;uid=4&amp;sid=21103854887847" TargetMode="Externa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1" Type="http://schemas.openxmlformats.org/officeDocument/2006/relationships/package" Target="../embeddings/Microsoft_Excel_Worksheet10.xlsx"/></Relationships>
</file>

<file path=word/charts/_rels/chart11.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package" Target="../embeddings/Microsoft_Excel_Worksheet11.xlsx"/></Relationships>
</file>

<file path=word/charts/_rels/chart12.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13.xml.rels><?xml version="1.0" encoding="UTF-8" standalone="yes"?>
<Relationships xmlns="http://schemas.openxmlformats.org/package/2006/relationships"><Relationship Id="rId2" Type="http://schemas.openxmlformats.org/officeDocument/2006/relationships/chartUserShapes" Target="../drawings/drawing5.xml"/><Relationship Id="rId1" Type="http://schemas.openxmlformats.org/officeDocument/2006/relationships/package" Target="../embeddings/Microsoft_Excel_Worksheet12.xlsx"/></Relationships>
</file>

<file path=word/charts/_rels/chart14.xml.rels><?xml version="1.0" encoding="UTF-8" standalone="yes"?>
<Relationships xmlns="http://schemas.openxmlformats.org/package/2006/relationships"><Relationship Id="rId2" Type="http://schemas.openxmlformats.org/officeDocument/2006/relationships/chartUserShapes" Target="../drawings/drawing6.xml"/><Relationship Id="rId1" Type="http://schemas.openxmlformats.org/officeDocument/2006/relationships/package" Target="../embeddings/Microsoft_Excel_Worksheet13.xlsx"/></Relationships>
</file>

<file path=word/charts/_rels/chart15.xml.rels><?xml version="1.0" encoding="UTF-8" standalone="yes"?>
<Relationships xmlns="http://schemas.openxmlformats.org/package/2006/relationships"><Relationship Id="rId2" Type="http://schemas.openxmlformats.org/officeDocument/2006/relationships/chartUserShapes" Target="../drawings/drawing7.xml"/><Relationship Id="rId1" Type="http://schemas.openxmlformats.org/officeDocument/2006/relationships/package" Target="../embeddings/Microsoft_Excel_Worksheet14.xlsx"/></Relationships>
</file>

<file path=word/charts/_rels/chart16.xml.rels><?xml version="1.0" encoding="UTF-8" standalone="yes"?>
<Relationships xmlns="http://schemas.openxmlformats.org/package/2006/relationships"><Relationship Id="rId2" Type="http://schemas.openxmlformats.org/officeDocument/2006/relationships/chartUserShapes" Target="../drawings/drawing8.xml"/><Relationship Id="rId1" Type="http://schemas.openxmlformats.org/officeDocument/2006/relationships/package" Target="../embeddings/Microsoft_Excel_Worksheet15.xlsx"/></Relationships>
</file>

<file path=word/charts/_rels/chart17.xml.rels><?xml version="1.0" encoding="UTF-8" standalone="yes"?>
<Relationships xmlns="http://schemas.openxmlformats.org/package/2006/relationships"><Relationship Id="rId2" Type="http://schemas.openxmlformats.org/officeDocument/2006/relationships/package" Target="../embeddings/Microsoft_Excel_Worksheet16.xlsx"/><Relationship Id="rId1" Type="http://schemas.openxmlformats.org/officeDocument/2006/relationships/themeOverride" Target="../theme/themeOverride9.xml"/></Relationships>
</file>

<file path=word/charts/_rels/chart18.xml.rels><?xml version="1.0" encoding="UTF-8" standalone="yes"?>
<Relationships xmlns="http://schemas.openxmlformats.org/package/2006/relationships"><Relationship Id="rId2" Type="http://schemas.openxmlformats.org/officeDocument/2006/relationships/package" Target="../embeddings/Microsoft_Excel_Worksheet17.xlsx"/><Relationship Id="rId1" Type="http://schemas.openxmlformats.org/officeDocument/2006/relationships/themeOverride" Target="../theme/themeOverride10.xml"/></Relationships>
</file>

<file path=word/charts/_rels/chart19.xml.rels><?xml version="1.0" encoding="UTF-8" standalone="yes"?>
<Relationships xmlns="http://schemas.openxmlformats.org/package/2006/relationships"><Relationship Id="rId2" Type="http://schemas.openxmlformats.org/officeDocument/2006/relationships/chartUserShapes" Target="../drawings/drawing9.xml"/><Relationship Id="rId1" Type="http://schemas.openxmlformats.org/officeDocument/2006/relationships/package" Target="../embeddings/Microsoft_Excel_Worksheet18.xlsx"/></Relationships>
</file>

<file path=word/charts/_rels/chart2.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_rels/chart20.xml.rels><?xml version="1.0" encoding="UTF-8" standalone="yes"?>
<Relationships xmlns="http://schemas.openxmlformats.org/package/2006/relationships"><Relationship Id="rId2" Type="http://schemas.openxmlformats.org/officeDocument/2006/relationships/chartUserShapes" Target="../drawings/drawing10.xml"/><Relationship Id="rId1" Type="http://schemas.openxmlformats.org/officeDocument/2006/relationships/package" Target="../embeddings/Microsoft_Excel_Worksheet19.xlsx"/></Relationships>
</file>

<file path=word/charts/_rels/chart21.xml.rels><?xml version="1.0" encoding="UTF-8" standalone="yes"?>
<Relationships xmlns="http://schemas.openxmlformats.org/package/2006/relationships"><Relationship Id="rId1" Type="http://schemas.openxmlformats.org/officeDocument/2006/relationships/package" Target="../embeddings/Microsoft_Excel_Worksheet20.xlsx"/></Relationships>
</file>

<file path=word/charts/_rels/chart22.xml.rels><?xml version="1.0" encoding="UTF-8" standalone="yes"?>
<Relationships xmlns="http://schemas.openxmlformats.org/package/2006/relationships"><Relationship Id="rId2" Type="http://schemas.openxmlformats.org/officeDocument/2006/relationships/chartUserShapes" Target="../drawings/drawing11.xml"/><Relationship Id="rId1" Type="http://schemas.openxmlformats.org/officeDocument/2006/relationships/package" Target="../embeddings/Microsoft_Excel_Worksheet21.xlsx"/></Relationships>
</file>

<file path=word/charts/_rels/chart23.xml.rels><?xml version="1.0" encoding="UTF-8" standalone="yes"?>
<Relationships xmlns="http://schemas.openxmlformats.org/package/2006/relationships"><Relationship Id="rId1" Type="http://schemas.openxmlformats.org/officeDocument/2006/relationships/package" Target="../embeddings/Microsoft_Excel_Worksheet22.xlsx"/></Relationships>
</file>

<file path=word/charts/_rels/chart24.xml.rels><?xml version="1.0" encoding="UTF-8" standalone="yes"?>
<Relationships xmlns="http://schemas.openxmlformats.org/package/2006/relationships"><Relationship Id="rId2" Type="http://schemas.openxmlformats.org/officeDocument/2006/relationships/chartUserShapes" Target="../drawings/drawing12.xml"/><Relationship Id="rId1" Type="http://schemas.openxmlformats.org/officeDocument/2006/relationships/package" Target="../embeddings/Microsoft_Excel_Worksheet23.xlsx"/></Relationships>
</file>

<file path=word/charts/_rels/chart25.xml.rels><?xml version="1.0" encoding="UTF-8" standalone="yes"?>
<Relationships xmlns="http://schemas.openxmlformats.org/package/2006/relationships"><Relationship Id="rId2" Type="http://schemas.openxmlformats.org/officeDocument/2006/relationships/chartUserShapes" Target="../drawings/drawing13.xml"/><Relationship Id="rId1" Type="http://schemas.openxmlformats.org/officeDocument/2006/relationships/package" Target="../embeddings/Microsoft_Excel_Worksheet24.xlsx"/></Relationships>
</file>

<file path=word/charts/_rels/chart26.xml.rels><?xml version="1.0" encoding="UTF-8" standalone="yes"?>
<Relationships xmlns="http://schemas.openxmlformats.org/package/2006/relationships"><Relationship Id="rId2" Type="http://schemas.openxmlformats.org/officeDocument/2006/relationships/chartUserShapes" Target="../drawings/drawing14.xml"/><Relationship Id="rId1" Type="http://schemas.openxmlformats.org/officeDocument/2006/relationships/package" Target="../embeddings/Microsoft_Excel_Worksheet25.xlsx"/></Relationships>
</file>

<file path=word/charts/_rels/chart27.xml.rels><?xml version="1.0" encoding="UTF-8" standalone="yes"?>
<Relationships xmlns="http://schemas.openxmlformats.org/package/2006/relationships"><Relationship Id="rId1" Type="http://schemas.openxmlformats.org/officeDocument/2006/relationships/package" Target="../embeddings/Microsoft_Excel_Worksheet26.xlsx"/></Relationships>
</file>

<file path=word/charts/_rels/chart28.xml.rels><?xml version="1.0" encoding="UTF-8" standalone="yes"?>
<Relationships xmlns="http://schemas.openxmlformats.org/package/2006/relationships"><Relationship Id="rId2" Type="http://schemas.openxmlformats.org/officeDocument/2006/relationships/chartUserShapes" Target="../drawings/drawing15.xml"/><Relationship Id="rId1" Type="http://schemas.openxmlformats.org/officeDocument/2006/relationships/package" Target="../embeddings/Microsoft_Excel_Worksheet27.xlsx"/></Relationships>
</file>

<file path=word/charts/_rels/chart29.xml.rels><?xml version="1.0" encoding="UTF-8" standalone="yes"?>
<Relationships xmlns="http://schemas.openxmlformats.org/package/2006/relationships"><Relationship Id="rId1" Type="http://schemas.openxmlformats.org/officeDocument/2006/relationships/package" Target="../embeddings/Microsoft_Excel_Worksheet28.xlsx"/></Relationships>
</file>

<file path=word/charts/_rels/chart3.xml.rels><?xml version="1.0" encoding="UTF-8" standalone="yes"?>
<Relationships xmlns="http://schemas.openxmlformats.org/package/2006/relationships"><Relationship Id="rId3" Type="http://schemas.openxmlformats.org/officeDocument/2006/relationships/chartUserShapes" Target="../drawings/drawing2.xml"/><Relationship Id="rId2" Type="http://schemas.openxmlformats.org/officeDocument/2006/relationships/package" Target="../embeddings/Microsoft_Excel_Worksheet3.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3" Type="http://schemas.openxmlformats.org/officeDocument/2006/relationships/chartUserShapes" Target="../drawings/drawing3.xml"/><Relationship Id="rId2" Type="http://schemas.openxmlformats.org/officeDocument/2006/relationships/package" Target="../embeddings/Microsoft_Excel_Worksheet5.xlsx"/><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package" Target="../embeddings/Microsoft_Excel_Worksheet6.xlsx"/><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_rels/chart8.xml.rels><?xml version="1.0" encoding="UTF-8" standalone="yes"?>
<Relationships xmlns="http://schemas.openxmlformats.org/package/2006/relationships"><Relationship Id="rId2" Type="http://schemas.openxmlformats.org/officeDocument/2006/relationships/package" Target="../embeddings/Microsoft_Excel_Worksheet8.xlsx"/><Relationship Id="rId1" Type="http://schemas.openxmlformats.org/officeDocument/2006/relationships/themeOverride" Target="../theme/themeOverride7.xml"/></Relationships>
</file>

<file path=word/charts/_rels/chart9.xml.rels><?xml version="1.0" encoding="UTF-8" standalone="yes"?>
<Relationships xmlns="http://schemas.openxmlformats.org/package/2006/relationships"><Relationship Id="rId2" Type="http://schemas.openxmlformats.org/officeDocument/2006/relationships/package" Target="../embeddings/Microsoft_Excel_Worksheet9.xlsx"/><Relationship Id="rId1" Type="http://schemas.openxmlformats.org/officeDocument/2006/relationships/themeOverride" Target="../theme/themeOverride8.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0"/>
      <c:rotY val="0"/>
      <c:depthPercent val="100"/>
      <c:rAngAx val="0"/>
      <c:perspective val="30"/>
    </c:view3D>
    <c:floor>
      <c:thickness val="0"/>
    </c:floor>
    <c:sideWall>
      <c:thickness val="0"/>
    </c:sideWall>
    <c:backWall>
      <c:thickness val="0"/>
    </c:backWall>
    <c:plotArea>
      <c:layout/>
      <c:bar3DChart>
        <c:barDir val="col"/>
        <c:grouping val="clustered"/>
        <c:varyColors val="0"/>
        <c:ser>
          <c:idx val="0"/>
          <c:order val="0"/>
          <c:tx>
            <c:strRef>
              <c:f>Sheet1!$B$1</c:f>
              <c:strCache>
                <c:ptCount val="1"/>
                <c:pt idx="0">
                  <c:v>BVP to  meto kainomis</c:v>
                </c:pt>
              </c:strCache>
            </c:strRef>
          </c:tx>
          <c:invertIfNegative val="0"/>
          <c:dLbls>
            <c:showLegendKey val="0"/>
            <c:showVal val="1"/>
            <c:showCatName val="0"/>
            <c:showSerName val="0"/>
            <c:showPercent val="0"/>
            <c:showBubbleSize val="0"/>
            <c:showLeaderLines val="0"/>
          </c:dLbls>
          <c:cat>
            <c:numRef>
              <c:f>Sheet1!$A$2:$A$6</c:f>
              <c:numCache>
                <c:formatCode>General</c:formatCode>
                <c:ptCount val="5"/>
                <c:pt idx="0">
                  <c:v>2008</c:v>
                </c:pt>
                <c:pt idx="1">
                  <c:v>2009</c:v>
                </c:pt>
                <c:pt idx="2">
                  <c:v>2010</c:v>
                </c:pt>
                <c:pt idx="3">
                  <c:v>2011</c:v>
                </c:pt>
                <c:pt idx="4">
                  <c:v>2012</c:v>
                </c:pt>
              </c:numCache>
            </c:numRef>
          </c:cat>
          <c:val>
            <c:numRef>
              <c:f>Sheet1!$B$2:$B$6</c:f>
              <c:numCache>
                <c:formatCode>General</c:formatCode>
                <c:ptCount val="5"/>
                <c:pt idx="0">
                  <c:v>111.9</c:v>
                </c:pt>
                <c:pt idx="1">
                  <c:v>92</c:v>
                </c:pt>
                <c:pt idx="2">
                  <c:v>95.7</c:v>
                </c:pt>
                <c:pt idx="3">
                  <c:v>106.9</c:v>
                </c:pt>
                <c:pt idx="4">
                  <c:v>113.7</c:v>
                </c:pt>
              </c:numCache>
            </c:numRef>
          </c:val>
        </c:ser>
        <c:dLbls>
          <c:showLegendKey val="0"/>
          <c:showVal val="0"/>
          <c:showCatName val="0"/>
          <c:showSerName val="0"/>
          <c:showPercent val="0"/>
          <c:showBubbleSize val="0"/>
        </c:dLbls>
        <c:gapWidth val="150"/>
        <c:shape val="cylinder"/>
        <c:axId val="3766912"/>
        <c:axId val="124350848"/>
        <c:axId val="0"/>
      </c:bar3DChart>
      <c:catAx>
        <c:axId val="3766912"/>
        <c:scaling>
          <c:orientation val="minMax"/>
        </c:scaling>
        <c:delete val="0"/>
        <c:axPos val="b"/>
        <c:numFmt formatCode="General" sourceLinked="1"/>
        <c:majorTickMark val="none"/>
        <c:minorTickMark val="none"/>
        <c:tickLblPos val="nextTo"/>
        <c:crossAx val="124350848"/>
        <c:crosses val="autoZero"/>
        <c:auto val="1"/>
        <c:lblAlgn val="ctr"/>
        <c:lblOffset val="100"/>
        <c:noMultiLvlLbl val="0"/>
      </c:catAx>
      <c:valAx>
        <c:axId val="124350848"/>
        <c:scaling>
          <c:orientation val="minMax"/>
        </c:scaling>
        <c:delete val="0"/>
        <c:axPos val="l"/>
        <c:majorGridlines/>
        <c:title>
          <c:tx>
            <c:rich>
              <a:bodyPr/>
              <a:lstStyle/>
              <a:p>
                <a:pPr>
                  <a:defRPr sz="998" b="1" i="0" u="none" strike="noStrike" baseline="0">
                    <a:solidFill>
                      <a:srgbClr val="000000"/>
                    </a:solidFill>
                    <a:latin typeface="Calibri"/>
                    <a:ea typeface="Calibri"/>
                    <a:cs typeface="Calibri"/>
                  </a:defRPr>
                </a:pPr>
                <a:r>
                  <a:rPr lang="en-US"/>
                  <a:t>mlrd. Lt</a:t>
                </a:r>
              </a:p>
            </c:rich>
          </c:tx>
          <c:overlay val="0"/>
        </c:title>
        <c:numFmt formatCode="General" sourceLinked="1"/>
        <c:majorTickMark val="none"/>
        <c:minorTickMark val="none"/>
        <c:tickLblPos val="nextTo"/>
        <c:crossAx val="3766912"/>
        <c:crosses val="autoZero"/>
        <c:crossBetween val="between"/>
      </c:valAx>
      <c:spPr>
        <a:noFill/>
        <a:ln w="25354">
          <a:noFill/>
        </a:ln>
      </c:spPr>
    </c:plotArea>
    <c:plotVisOnly val="1"/>
    <c:dispBlanksAs val="zero"/>
    <c:showDLblsOverMax val="0"/>
  </c:chart>
  <c:externalData r:id="rId2">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floor>
    <c:sideWall>
      <c:thickness val="0"/>
    </c:sideWall>
    <c:backWall>
      <c:thickness val="0"/>
    </c:backWall>
    <c:plotArea>
      <c:layout>
        <c:manualLayout>
          <c:layoutTarget val="inner"/>
          <c:xMode val="edge"/>
          <c:yMode val="edge"/>
          <c:x val="0.15277793554494212"/>
          <c:y val="4.0089363829521309E-2"/>
          <c:w val="0.62890460823544603"/>
          <c:h val="0.86049931258592671"/>
        </c:manualLayout>
      </c:layout>
      <c:bar3DChart>
        <c:barDir val="col"/>
        <c:grouping val="clustered"/>
        <c:varyColors val="0"/>
        <c:ser>
          <c:idx val="0"/>
          <c:order val="0"/>
          <c:tx>
            <c:strRef>
              <c:f>Sheet1!$B$1</c:f>
              <c:strCache>
                <c:ptCount val="1"/>
                <c:pt idx="0">
                  <c:v>Valstybės biudžeto pajamos</c:v>
                </c:pt>
              </c:strCache>
            </c:strRef>
          </c:tx>
          <c:invertIfNegative val="0"/>
          <c:cat>
            <c:numRef>
              <c:f>Sheet1!$A$2:$A$6</c:f>
              <c:numCache>
                <c:formatCode>General</c:formatCode>
                <c:ptCount val="5"/>
                <c:pt idx="0">
                  <c:v>2008</c:v>
                </c:pt>
                <c:pt idx="1">
                  <c:v>2009</c:v>
                </c:pt>
                <c:pt idx="2">
                  <c:v>2010</c:v>
                </c:pt>
                <c:pt idx="3">
                  <c:v>2011</c:v>
                </c:pt>
                <c:pt idx="4">
                  <c:v>2012</c:v>
                </c:pt>
              </c:numCache>
            </c:numRef>
          </c:cat>
          <c:val>
            <c:numRef>
              <c:f>Sheet1!$B$2:$B$6</c:f>
              <c:numCache>
                <c:formatCode>0.0</c:formatCode>
                <c:ptCount val="5"/>
                <c:pt idx="0">
                  <c:v>20302.337899999999</c:v>
                </c:pt>
                <c:pt idx="1">
                  <c:v>17590.916499999999</c:v>
                </c:pt>
                <c:pt idx="2">
                  <c:v>16431.394700000001</c:v>
                </c:pt>
                <c:pt idx="3">
                  <c:v>18680.016299999999</c:v>
                </c:pt>
                <c:pt idx="4">
                  <c:v>20694.328699999998</c:v>
                </c:pt>
              </c:numCache>
            </c:numRef>
          </c:val>
        </c:ser>
        <c:ser>
          <c:idx val="1"/>
          <c:order val="1"/>
          <c:tx>
            <c:strRef>
              <c:f>Sheet1!$C$1</c:f>
              <c:strCache>
                <c:ptCount val="1"/>
                <c:pt idx="0">
                  <c:v>Valstybės biudžeto išlaidos</c:v>
                </c:pt>
              </c:strCache>
            </c:strRef>
          </c:tx>
          <c:spPr>
            <a:gradFill>
              <a:gsLst>
                <a:gs pos="0">
                  <a:schemeClr val="accent1">
                    <a:tint val="66000"/>
                    <a:satMod val="160000"/>
                  </a:schemeClr>
                </a:gs>
                <a:gs pos="50000">
                  <a:schemeClr val="accent1">
                    <a:tint val="44500"/>
                    <a:satMod val="160000"/>
                  </a:schemeClr>
                </a:gs>
                <a:gs pos="100000">
                  <a:schemeClr val="accent1">
                    <a:tint val="23500"/>
                    <a:satMod val="160000"/>
                  </a:schemeClr>
                </a:gs>
              </a:gsLst>
              <a:lin ang="5400000" scaled="0"/>
            </a:gradFill>
          </c:spPr>
          <c:invertIfNegative val="0"/>
          <c:cat>
            <c:numRef>
              <c:f>Sheet1!$A$2:$A$6</c:f>
              <c:numCache>
                <c:formatCode>General</c:formatCode>
                <c:ptCount val="5"/>
                <c:pt idx="0">
                  <c:v>2008</c:v>
                </c:pt>
                <c:pt idx="1">
                  <c:v>2009</c:v>
                </c:pt>
                <c:pt idx="2">
                  <c:v>2010</c:v>
                </c:pt>
                <c:pt idx="3">
                  <c:v>2011</c:v>
                </c:pt>
                <c:pt idx="4">
                  <c:v>2012</c:v>
                </c:pt>
              </c:numCache>
            </c:numRef>
          </c:cat>
          <c:val>
            <c:numRef>
              <c:f>Sheet1!$C$2:$C$6</c:f>
              <c:numCache>
                <c:formatCode>0.0</c:formatCode>
                <c:ptCount val="5"/>
                <c:pt idx="0">
                  <c:v>24572.433000000001</c:v>
                </c:pt>
                <c:pt idx="1">
                  <c:v>24617.01</c:v>
                </c:pt>
                <c:pt idx="2">
                  <c:v>24528.633999999998</c:v>
                </c:pt>
                <c:pt idx="3">
                  <c:v>25086.028999999999</c:v>
                </c:pt>
                <c:pt idx="4">
                  <c:v>24378.605</c:v>
                </c:pt>
              </c:numCache>
            </c:numRef>
          </c:val>
        </c:ser>
        <c:ser>
          <c:idx val="2"/>
          <c:order val="2"/>
          <c:tx>
            <c:strRef>
              <c:f>Sheet1!$D$1</c:f>
              <c:strCache>
                <c:ptCount val="1"/>
                <c:pt idx="0">
                  <c:v>Savivaldybių biudžetų pajamos</c:v>
                </c:pt>
              </c:strCache>
            </c:strRef>
          </c:tx>
          <c:spPr>
            <a:solidFill>
              <a:schemeClr val="accent2"/>
            </a:solidFill>
          </c:spPr>
          <c:invertIfNegative val="0"/>
          <c:cat>
            <c:numRef>
              <c:f>Sheet1!$A$2:$A$6</c:f>
              <c:numCache>
                <c:formatCode>General</c:formatCode>
                <c:ptCount val="5"/>
                <c:pt idx="0">
                  <c:v>2008</c:v>
                </c:pt>
                <c:pt idx="1">
                  <c:v>2009</c:v>
                </c:pt>
                <c:pt idx="2">
                  <c:v>2010</c:v>
                </c:pt>
                <c:pt idx="3">
                  <c:v>2011</c:v>
                </c:pt>
                <c:pt idx="4">
                  <c:v>2012</c:v>
                </c:pt>
              </c:numCache>
            </c:numRef>
          </c:cat>
          <c:val>
            <c:numRef>
              <c:f>Sheet1!$D$2:$D$6</c:f>
              <c:numCache>
                <c:formatCode>General</c:formatCode>
                <c:ptCount val="5"/>
                <c:pt idx="0">
                  <c:v>7088.4170999999997</c:v>
                </c:pt>
                <c:pt idx="1">
                  <c:v>6686.6373999999996</c:v>
                </c:pt>
                <c:pt idx="2">
                  <c:v>6867.21</c:v>
                </c:pt>
                <c:pt idx="3">
                  <c:v>6822.1858000000002</c:v>
                </c:pt>
                <c:pt idx="4">
                  <c:v>6877.9427999999998</c:v>
                </c:pt>
              </c:numCache>
            </c:numRef>
          </c:val>
        </c:ser>
        <c:ser>
          <c:idx val="3"/>
          <c:order val="3"/>
          <c:tx>
            <c:strRef>
              <c:f>Sheet1!$E$1</c:f>
              <c:strCache>
                <c:ptCount val="1"/>
                <c:pt idx="0">
                  <c:v>Savivaldybių biudžetų išlaidos</c:v>
                </c:pt>
              </c:strCache>
            </c:strRef>
          </c:tx>
          <c:spPr>
            <a:solidFill>
              <a:schemeClr val="accent2">
                <a:lumMod val="60000"/>
                <a:lumOff val="40000"/>
              </a:schemeClr>
            </a:solidFill>
          </c:spPr>
          <c:invertIfNegative val="0"/>
          <c:cat>
            <c:numRef>
              <c:f>Sheet1!$A$2:$A$6</c:f>
              <c:numCache>
                <c:formatCode>General</c:formatCode>
                <c:ptCount val="5"/>
                <c:pt idx="0">
                  <c:v>2008</c:v>
                </c:pt>
                <c:pt idx="1">
                  <c:v>2009</c:v>
                </c:pt>
                <c:pt idx="2">
                  <c:v>2010</c:v>
                </c:pt>
                <c:pt idx="3">
                  <c:v>2011</c:v>
                </c:pt>
                <c:pt idx="4">
                  <c:v>2012</c:v>
                </c:pt>
              </c:numCache>
            </c:numRef>
          </c:cat>
          <c:val>
            <c:numRef>
              <c:f>Sheet1!$E$2:$E$6</c:f>
              <c:numCache>
                <c:formatCode>0.0</c:formatCode>
                <c:ptCount val="5"/>
                <c:pt idx="0">
                  <c:v>7106.9084000000003</c:v>
                </c:pt>
                <c:pt idx="1">
                  <c:v>6840.9350000000004</c:v>
                </c:pt>
                <c:pt idx="2">
                  <c:v>6806.8656000000001</c:v>
                </c:pt>
                <c:pt idx="3">
                  <c:v>7371.6629000000003</c:v>
                </c:pt>
                <c:pt idx="4">
                  <c:v>7334.6423000000004</c:v>
                </c:pt>
              </c:numCache>
            </c:numRef>
          </c:val>
        </c:ser>
        <c:dLbls>
          <c:showLegendKey val="0"/>
          <c:showVal val="0"/>
          <c:showCatName val="0"/>
          <c:showSerName val="0"/>
          <c:showPercent val="0"/>
          <c:showBubbleSize val="0"/>
        </c:dLbls>
        <c:gapWidth val="150"/>
        <c:shape val="cylinder"/>
        <c:axId val="125362944"/>
        <c:axId val="125364480"/>
        <c:axId val="0"/>
      </c:bar3DChart>
      <c:catAx>
        <c:axId val="125362944"/>
        <c:scaling>
          <c:orientation val="minMax"/>
        </c:scaling>
        <c:delete val="0"/>
        <c:axPos val="b"/>
        <c:numFmt formatCode="General" sourceLinked="1"/>
        <c:majorTickMark val="none"/>
        <c:minorTickMark val="none"/>
        <c:tickLblPos val="nextTo"/>
        <c:crossAx val="125364480"/>
        <c:crosses val="autoZero"/>
        <c:auto val="1"/>
        <c:lblAlgn val="ctr"/>
        <c:lblOffset val="100"/>
        <c:noMultiLvlLbl val="0"/>
      </c:catAx>
      <c:valAx>
        <c:axId val="125364480"/>
        <c:scaling>
          <c:orientation val="minMax"/>
        </c:scaling>
        <c:delete val="0"/>
        <c:axPos val="l"/>
        <c:majorGridlines/>
        <c:title>
          <c:tx>
            <c:rich>
              <a:bodyPr/>
              <a:lstStyle/>
              <a:p>
                <a:pPr>
                  <a:defRPr/>
                </a:pPr>
                <a:r>
                  <a:rPr lang="en-US"/>
                  <a:t>mln. Lt</a:t>
                </a:r>
              </a:p>
            </c:rich>
          </c:tx>
          <c:overlay val="0"/>
        </c:title>
        <c:numFmt formatCode="0.0" sourceLinked="1"/>
        <c:majorTickMark val="out"/>
        <c:minorTickMark val="none"/>
        <c:tickLblPos val="nextTo"/>
        <c:crossAx val="125362944"/>
        <c:crosses val="autoZero"/>
        <c:crossBetween val="between"/>
      </c:valAx>
    </c:plotArea>
    <c:legend>
      <c:legendPos val="r"/>
      <c:layout>
        <c:manualLayout>
          <c:xMode val="edge"/>
          <c:yMode val="edge"/>
          <c:x val="0.78791256830601097"/>
          <c:y val="0.30489751281089866"/>
          <c:w val="0.19897267759562842"/>
          <c:h val="0.44972878390201226"/>
        </c:manualLayout>
      </c:layout>
      <c:overlay val="0"/>
    </c:legend>
    <c:plotVisOnly val="1"/>
    <c:dispBlanksAs val="gap"/>
    <c:showDLblsOverMax val="0"/>
  </c:chart>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0"/>
      <c:rotY val="0"/>
      <c:rAngAx val="0"/>
      <c:perspective val="30"/>
    </c:view3D>
    <c:floor>
      <c:thickness val="0"/>
    </c:floor>
    <c:sideWall>
      <c:thickness val="0"/>
    </c:sideWall>
    <c:backWall>
      <c:thickness val="0"/>
    </c:backWall>
    <c:plotArea>
      <c:layout>
        <c:manualLayout>
          <c:layoutTarget val="inner"/>
          <c:xMode val="edge"/>
          <c:yMode val="edge"/>
          <c:x val="0.10638429424509856"/>
          <c:y val="2.2724199475065619E-2"/>
          <c:w val="0.68379392680081652"/>
          <c:h val="0.55484131335950693"/>
        </c:manualLayout>
      </c:layout>
      <c:bar3DChart>
        <c:barDir val="col"/>
        <c:grouping val="stacked"/>
        <c:varyColors val="0"/>
        <c:ser>
          <c:idx val="0"/>
          <c:order val="0"/>
          <c:tx>
            <c:strRef>
              <c:f>Sheet1!$B$1</c:f>
              <c:strCache>
                <c:ptCount val="1"/>
                <c:pt idx="0">
                  <c:v>Centrinės valdžios skola</c:v>
                </c:pt>
              </c:strCache>
            </c:strRef>
          </c:tx>
          <c:invertIfNegative val="0"/>
          <c:cat>
            <c:numRef>
              <c:f>Sheet1!$A$2:$A$6</c:f>
              <c:numCache>
                <c:formatCode>General</c:formatCode>
                <c:ptCount val="5"/>
                <c:pt idx="0">
                  <c:v>2008</c:v>
                </c:pt>
                <c:pt idx="1">
                  <c:v>2009</c:v>
                </c:pt>
                <c:pt idx="2">
                  <c:v>2010</c:v>
                </c:pt>
                <c:pt idx="3">
                  <c:v>2011</c:v>
                </c:pt>
                <c:pt idx="4">
                  <c:v>2012</c:v>
                </c:pt>
              </c:numCache>
            </c:numRef>
          </c:cat>
          <c:val>
            <c:numRef>
              <c:f>Sheet1!$B$2:$B$6</c:f>
              <c:numCache>
                <c:formatCode>General</c:formatCode>
                <c:ptCount val="5"/>
                <c:pt idx="0">
                  <c:v>16052.4</c:v>
                </c:pt>
                <c:pt idx="1">
                  <c:v>25662.3</c:v>
                </c:pt>
                <c:pt idx="2">
                  <c:v>34129.699999999997</c:v>
                </c:pt>
                <c:pt idx="3">
                  <c:v>38504.699999999997</c:v>
                </c:pt>
                <c:pt idx="4">
                  <c:v>43131.199999999997</c:v>
                </c:pt>
              </c:numCache>
            </c:numRef>
          </c:val>
        </c:ser>
        <c:ser>
          <c:idx val="1"/>
          <c:order val="1"/>
          <c:tx>
            <c:strRef>
              <c:f>Sheet1!$C$1</c:f>
              <c:strCache>
                <c:ptCount val="1"/>
                <c:pt idx="0">
                  <c:v>Vietinės valdžios skola*</c:v>
                </c:pt>
              </c:strCache>
            </c:strRef>
          </c:tx>
          <c:invertIfNegative val="0"/>
          <c:cat>
            <c:numRef>
              <c:f>Sheet1!$A$2:$A$6</c:f>
              <c:numCache>
                <c:formatCode>General</c:formatCode>
                <c:ptCount val="5"/>
                <c:pt idx="0">
                  <c:v>2008</c:v>
                </c:pt>
                <c:pt idx="1">
                  <c:v>2009</c:v>
                </c:pt>
                <c:pt idx="2">
                  <c:v>2010</c:v>
                </c:pt>
                <c:pt idx="3">
                  <c:v>2011</c:v>
                </c:pt>
                <c:pt idx="4">
                  <c:v>2012</c:v>
                </c:pt>
              </c:numCache>
            </c:numRef>
          </c:cat>
          <c:val>
            <c:numRef>
              <c:f>Sheet1!$C$2:$C$6</c:f>
              <c:numCache>
                <c:formatCode>General</c:formatCode>
                <c:ptCount val="5"/>
                <c:pt idx="0">
                  <c:v>1236.5</c:v>
                </c:pt>
                <c:pt idx="1">
                  <c:v>1353.9</c:v>
                </c:pt>
                <c:pt idx="2">
                  <c:v>1350.3</c:v>
                </c:pt>
                <c:pt idx="3">
                  <c:v>1802.5</c:v>
                </c:pt>
                <c:pt idx="4">
                  <c:v>1990.9</c:v>
                </c:pt>
              </c:numCache>
            </c:numRef>
          </c:val>
        </c:ser>
        <c:ser>
          <c:idx val="2"/>
          <c:order val="2"/>
          <c:tx>
            <c:strRef>
              <c:f>Sheet1!$D$1</c:f>
              <c:strCache>
                <c:ptCount val="1"/>
                <c:pt idx="0">
                  <c:v>Socialinės apsaugos fondų skola*</c:v>
                </c:pt>
              </c:strCache>
            </c:strRef>
          </c:tx>
          <c:invertIfNegative val="0"/>
          <c:cat>
            <c:numRef>
              <c:f>Sheet1!$A$2:$A$6</c:f>
              <c:numCache>
                <c:formatCode>General</c:formatCode>
                <c:ptCount val="5"/>
                <c:pt idx="0">
                  <c:v>2008</c:v>
                </c:pt>
                <c:pt idx="1">
                  <c:v>2009</c:v>
                </c:pt>
                <c:pt idx="2">
                  <c:v>2010</c:v>
                </c:pt>
                <c:pt idx="3">
                  <c:v>2011</c:v>
                </c:pt>
                <c:pt idx="4">
                  <c:v>2012</c:v>
                </c:pt>
              </c:numCache>
            </c:numRef>
          </c:cat>
          <c:val>
            <c:numRef>
              <c:f>Sheet1!$D$2:$D$6</c:f>
              <c:numCache>
                <c:formatCode>General</c:formatCode>
                <c:ptCount val="5"/>
                <c:pt idx="0">
                  <c:v>85.9</c:v>
                </c:pt>
                <c:pt idx="1">
                  <c:v>90</c:v>
                </c:pt>
                <c:pt idx="2">
                  <c:v>1108.0999999999999</c:v>
                </c:pt>
                <c:pt idx="3">
                  <c:v>1590</c:v>
                </c:pt>
                <c:pt idx="4">
                  <c:v>1455</c:v>
                </c:pt>
              </c:numCache>
            </c:numRef>
          </c:val>
        </c:ser>
        <c:dLbls>
          <c:showLegendKey val="0"/>
          <c:showVal val="0"/>
          <c:showCatName val="0"/>
          <c:showSerName val="0"/>
          <c:showPercent val="0"/>
          <c:showBubbleSize val="0"/>
        </c:dLbls>
        <c:gapWidth val="150"/>
        <c:shape val="cylinder"/>
        <c:axId val="127254528"/>
        <c:axId val="127256064"/>
        <c:axId val="0"/>
      </c:bar3DChart>
      <c:catAx>
        <c:axId val="127254528"/>
        <c:scaling>
          <c:orientation val="minMax"/>
        </c:scaling>
        <c:delete val="0"/>
        <c:axPos val="b"/>
        <c:numFmt formatCode="General" sourceLinked="1"/>
        <c:majorTickMark val="out"/>
        <c:minorTickMark val="none"/>
        <c:tickLblPos val="nextTo"/>
        <c:crossAx val="127256064"/>
        <c:crosses val="autoZero"/>
        <c:auto val="1"/>
        <c:lblAlgn val="ctr"/>
        <c:lblOffset val="100"/>
        <c:noMultiLvlLbl val="0"/>
      </c:catAx>
      <c:valAx>
        <c:axId val="127256064"/>
        <c:scaling>
          <c:orientation val="minMax"/>
        </c:scaling>
        <c:delete val="0"/>
        <c:axPos val="l"/>
        <c:majorGridlines/>
        <c:numFmt formatCode="General" sourceLinked="1"/>
        <c:majorTickMark val="out"/>
        <c:minorTickMark val="none"/>
        <c:tickLblPos val="nextTo"/>
        <c:crossAx val="127254528"/>
        <c:crosses val="autoZero"/>
        <c:crossBetween val="between"/>
      </c:valAx>
      <c:dTable>
        <c:showHorzBorder val="1"/>
        <c:showVertBorder val="1"/>
        <c:showOutline val="1"/>
        <c:showKeys val="1"/>
        <c:spPr>
          <a:ln w="9525"/>
        </c:spPr>
      </c:dTable>
    </c:plotArea>
    <c:legend>
      <c:legendPos val="r"/>
      <c:layout>
        <c:manualLayout>
          <c:xMode val="edge"/>
          <c:yMode val="edge"/>
          <c:x val="0.76957793866370727"/>
          <c:y val="0.18204599425071866"/>
          <c:w val="0.2304220613362927"/>
          <c:h val="0.33828865141857267"/>
        </c:manualLayout>
      </c:layout>
      <c:overlay val="0"/>
    </c:legend>
    <c:plotVisOnly val="1"/>
    <c:dispBlanksAs val="gap"/>
    <c:showDLblsOverMax val="0"/>
  </c:chart>
  <c:externalData r:id="rId1">
    <c:autoUpdate val="0"/>
  </c:externalData>
  <c:userShapes r:id="rId2"/>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Sheet1!$B$1</c:f>
              <c:strCache>
                <c:ptCount val="1"/>
                <c:pt idx="0">
                  <c:v>Centrinės valdžios skola*</c:v>
                </c:pt>
              </c:strCache>
            </c:strRef>
          </c:tx>
          <c:cat>
            <c:numRef>
              <c:f>Sheet1!$A$2:$A$6</c:f>
              <c:numCache>
                <c:formatCode>General</c:formatCode>
                <c:ptCount val="5"/>
                <c:pt idx="0">
                  <c:v>2008</c:v>
                </c:pt>
                <c:pt idx="1">
                  <c:v>2009</c:v>
                </c:pt>
                <c:pt idx="2">
                  <c:v>2010</c:v>
                </c:pt>
                <c:pt idx="3">
                  <c:v>2011</c:v>
                </c:pt>
                <c:pt idx="4">
                  <c:v>2012</c:v>
                </c:pt>
              </c:numCache>
            </c:numRef>
          </c:cat>
          <c:val>
            <c:numRef>
              <c:f>Sheet1!$B$2:$B$6</c:f>
              <c:numCache>
                <c:formatCode>0.0</c:formatCode>
                <c:ptCount val="5"/>
                <c:pt idx="0">
                  <c:v>92.388977139305183</c:v>
                </c:pt>
                <c:pt idx="1">
                  <c:v>94.673174402904124</c:v>
                </c:pt>
                <c:pt idx="2">
                  <c:v>93.280875475906086</c:v>
                </c:pt>
                <c:pt idx="3">
                  <c:v>91.902800187124669</c:v>
                </c:pt>
                <c:pt idx="4">
                  <c:v>92.601729175925513</c:v>
                </c:pt>
              </c:numCache>
            </c:numRef>
          </c:val>
          <c:smooth val="0"/>
        </c:ser>
        <c:ser>
          <c:idx val="1"/>
          <c:order val="1"/>
          <c:tx>
            <c:strRef>
              <c:f>Sheet1!$C$1</c:f>
              <c:strCache>
                <c:ptCount val="1"/>
                <c:pt idx="0">
                  <c:v>Vietinės valdžios skola*</c:v>
                </c:pt>
              </c:strCache>
            </c:strRef>
          </c:tx>
          <c:dLbls>
            <c:dLbl>
              <c:idx val="2"/>
              <c:layout>
                <c:manualLayout>
                  <c:x val="-7.1428571428571426E-3"/>
                  <c:y val="-4.793028322440087E-2"/>
                </c:manualLayout>
              </c:layout>
              <c:dLblPos val="r"/>
              <c:showLegendKey val="0"/>
              <c:showVal val="1"/>
              <c:showCatName val="0"/>
              <c:showSerName val="0"/>
              <c:showPercent val="0"/>
              <c:showBubbleSize val="0"/>
            </c:dLbl>
            <c:dLbl>
              <c:idx val="3"/>
              <c:layout>
                <c:manualLayout>
                  <c:x val="-1.1904761904761904E-2"/>
                  <c:y val="-2.6144133944041307E-2"/>
                </c:manualLayout>
              </c:layout>
              <c:dLblPos val="r"/>
              <c:showLegendKey val="0"/>
              <c:showVal val="1"/>
              <c:showCatName val="0"/>
              <c:showSerName val="0"/>
              <c:showPercent val="0"/>
              <c:showBubbleSize val="0"/>
            </c:dLbl>
            <c:dLbl>
              <c:idx val="4"/>
              <c:layout>
                <c:manualLayout>
                  <c:x val="-9.5239970003749529E-3"/>
                  <c:y val="-4.357298474945534E-2"/>
                </c:manualLayout>
              </c:layout>
              <c:dLblPos val="r"/>
              <c:showLegendKey val="0"/>
              <c:showVal val="1"/>
              <c:showCatName val="0"/>
              <c:showSerName val="0"/>
              <c:showPercent val="0"/>
              <c:showBubbleSize val="0"/>
            </c:dLbl>
            <c:dLblPos val="r"/>
            <c:showLegendKey val="0"/>
            <c:showVal val="1"/>
            <c:showCatName val="0"/>
            <c:showSerName val="0"/>
            <c:showPercent val="0"/>
            <c:showBubbleSize val="0"/>
            <c:showLeaderLines val="0"/>
          </c:dLbls>
          <c:cat>
            <c:numRef>
              <c:f>Sheet1!$A$2:$A$6</c:f>
              <c:numCache>
                <c:formatCode>General</c:formatCode>
                <c:ptCount val="5"/>
                <c:pt idx="0">
                  <c:v>2008</c:v>
                </c:pt>
                <c:pt idx="1">
                  <c:v>2009</c:v>
                </c:pt>
                <c:pt idx="2">
                  <c:v>2010</c:v>
                </c:pt>
                <c:pt idx="3">
                  <c:v>2011</c:v>
                </c:pt>
                <c:pt idx="4">
                  <c:v>2012</c:v>
                </c:pt>
              </c:numCache>
            </c:numRef>
          </c:cat>
          <c:val>
            <c:numRef>
              <c:f>Sheet1!$C$2:$C$6</c:f>
              <c:numCache>
                <c:formatCode>0.0</c:formatCode>
                <c:ptCount val="5"/>
                <c:pt idx="0">
                  <c:v>7.1166286806179055</c:v>
                </c:pt>
                <c:pt idx="1">
                  <c:v>4.994798238041481</c:v>
                </c:pt>
                <c:pt idx="2">
                  <c:v>3.6905441933306187</c:v>
                </c:pt>
                <c:pt idx="3">
                  <c:v>4.3021968055144502</c:v>
                </c:pt>
                <c:pt idx="4">
                  <c:v>4.2744181153399419</c:v>
                </c:pt>
              </c:numCache>
            </c:numRef>
          </c:val>
          <c:smooth val="0"/>
        </c:ser>
        <c:ser>
          <c:idx val="2"/>
          <c:order val="2"/>
          <c:tx>
            <c:strRef>
              <c:f>Sheet1!$D$1</c:f>
              <c:strCache>
                <c:ptCount val="1"/>
                <c:pt idx="0">
                  <c:v>Socialiniės apsaugos fondų skola</c:v>
                </c:pt>
              </c:strCache>
            </c:strRef>
          </c:tx>
          <c:dLbls>
            <c:dLbl>
              <c:idx val="2"/>
              <c:layout>
                <c:manualLayout>
                  <c:x val="-1.4285714285714285E-2"/>
                  <c:y val="3.4858387799564274E-2"/>
                </c:manualLayout>
              </c:layout>
              <c:dLblPos val="r"/>
              <c:showLegendKey val="0"/>
              <c:showVal val="1"/>
              <c:showCatName val="0"/>
              <c:showSerName val="0"/>
              <c:showPercent val="0"/>
              <c:showBubbleSize val="0"/>
            </c:dLbl>
            <c:dLbl>
              <c:idx val="3"/>
              <c:layout>
                <c:manualLayout>
                  <c:x val="-7.1428571428571426E-3"/>
                  <c:y val="2.6143790849673203E-2"/>
                </c:manualLayout>
              </c:layout>
              <c:dLblPos val="r"/>
              <c:showLegendKey val="0"/>
              <c:showVal val="1"/>
              <c:showCatName val="0"/>
              <c:showSerName val="0"/>
              <c:showPercent val="0"/>
              <c:showBubbleSize val="0"/>
            </c:dLbl>
            <c:dLbl>
              <c:idx val="4"/>
              <c:layout>
                <c:manualLayout>
                  <c:x val="-4.7619047619047623E-3"/>
                  <c:y val="2.178649237472767E-2"/>
                </c:manualLayout>
              </c:layout>
              <c:dLblPos val="r"/>
              <c:showLegendKey val="0"/>
              <c:showVal val="1"/>
              <c:showCatName val="0"/>
              <c:showSerName val="0"/>
              <c:showPercent val="0"/>
              <c:showBubbleSize val="0"/>
            </c:dLbl>
            <c:dLblPos val="r"/>
            <c:showLegendKey val="0"/>
            <c:showVal val="1"/>
            <c:showCatName val="0"/>
            <c:showSerName val="0"/>
            <c:showPercent val="0"/>
            <c:showBubbleSize val="0"/>
            <c:showLeaderLines val="0"/>
          </c:dLbls>
          <c:cat>
            <c:numRef>
              <c:f>Sheet1!$A$2:$A$6</c:f>
              <c:numCache>
                <c:formatCode>General</c:formatCode>
                <c:ptCount val="5"/>
                <c:pt idx="0">
                  <c:v>2008</c:v>
                </c:pt>
                <c:pt idx="1">
                  <c:v>2009</c:v>
                </c:pt>
                <c:pt idx="2">
                  <c:v>2010</c:v>
                </c:pt>
                <c:pt idx="3">
                  <c:v>2011</c:v>
                </c:pt>
                <c:pt idx="4">
                  <c:v>2012</c:v>
                </c:pt>
              </c:numCache>
            </c:numRef>
          </c:cat>
          <c:val>
            <c:numRef>
              <c:f>Sheet1!$D$2:$D$6</c:f>
              <c:numCache>
                <c:formatCode>0.0</c:formatCode>
                <c:ptCount val="5"/>
                <c:pt idx="0">
                  <c:v>0.4943941800768929</c:v>
                </c:pt>
                <c:pt idx="1">
                  <c:v>0.33202735905438607</c:v>
                </c:pt>
                <c:pt idx="2">
                  <c:v>3.0285803307632806</c:v>
                </c:pt>
                <c:pt idx="3">
                  <c:v>3.795003007360874</c:v>
                </c:pt>
                <c:pt idx="4">
                  <c:v>3.12385270873455</c:v>
                </c:pt>
              </c:numCache>
            </c:numRef>
          </c:val>
          <c:smooth val="0"/>
        </c:ser>
        <c:dLbls>
          <c:dLblPos val="r"/>
          <c:showLegendKey val="0"/>
          <c:showVal val="1"/>
          <c:showCatName val="0"/>
          <c:showSerName val="0"/>
          <c:showPercent val="0"/>
          <c:showBubbleSize val="0"/>
        </c:dLbls>
        <c:marker val="1"/>
        <c:smooth val="0"/>
        <c:axId val="127294080"/>
        <c:axId val="127304064"/>
      </c:lineChart>
      <c:catAx>
        <c:axId val="127294080"/>
        <c:scaling>
          <c:orientation val="minMax"/>
        </c:scaling>
        <c:delete val="0"/>
        <c:axPos val="b"/>
        <c:numFmt formatCode="General" sourceLinked="1"/>
        <c:majorTickMark val="none"/>
        <c:minorTickMark val="none"/>
        <c:tickLblPos val="nextTo"/>
        <c:crossAx val="127304064"/>
        <c:crosses val="autoZero"/>
        <c:auto val="1"/>
        <c:lblAlgn val="ctr"/>
        <c:lblOffset val="100"/>
        <c:noMultiLvlLbl val="0"/>
      </c:catAx>
      <c:valAx>
        <c:axId val="127304064"/>
        <c:scaling>
          <c:orientation val="minMax"/>
        </c:scaling>
        <c:delete val="0"/>
        <c:axPos val="l"/>
        <c:majorGridlines/>
        <c:title>
          <c:tx>
            <c:rich>
              <a:bodyPr/>
              <a:lstStyle/>
              <a:p>
                <a:pPr>
                  <a:defRPr/>
                </a:pPr>
                <a:r>
                  <a:rPr lang="lt-LT"/>
                  <a:t>proc.</a:t>
                </a:r>
                <a:endParaRPr lang="en-US"/>
              </a:p>
            </c:rich>
          </c:tx>
          <c:overlay val="0"/>
        </c:title>
        <c:numFmt formatCode="0.0" sourceLinked="1"/>
        <c:majorTickMark val="none"/>
        <c:minorTickMark val="none"/>
        <c:tickLblPos val="nextTo"/>
        <c:crossAx val="127294080"/>
        <c:crosses val="autoZero"/>
        <c:crossBetween val="between"/>
      </c:valAx>
    </c:plotArea>
    <c:legend>
      <c:legendPos val="r"/>
      <c:overlay val="0"/>
    </c:legend>
    <c:plotVisOnly val="1"/>
    <c:dispBlanksAs val="gap"/>
    <c:showDLblsOverMax val="0"/>
  </c:chart>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floor>
    <c:sideWall>
      <c:thickness val="0"/>
    </c:sideWall>
    <c:backWall>
      <c:thickness val="0"/>
    </c:backWall>
    <c:plotArea>
      <c:layout>
        <c:manualLayout>
          <c:layoutTarget val="inner"/>
          <c:xMode val="edge"/>
          <c:yMode val="edge"/>
          <c:x val="7.7491208053376157E-2"/>
          <c:y val="4.8376992091674814E-2"/>
          <c:w val="0.90064435147753219"/>
          <c:h val="0.81389497881392281"/>
        </c:manualLayout>
      </c:layout>
      <c:bar3DChart>
        <c:barDir val="col"/>
        <c:grouping val="clustered"/>
        <c:varyColors val="0"/>
        <c:ser>
          <c:idx val="0"/>
          <c:order val="0"/>
          <c:tx>
            <c:strRef>
              <c:f>Sheet1!$B$1</c:f>
              <c:strCache>
                <c:ptCount val="1"/>
                <c:pt idx="0">
                  <c:v>Column1</c:v>
                </c:pt>
              </c:strCache>
            </c:strRef>
          </c:tx>
          <c:invertIfNegative val="0"/>
          <c:cat>
            <c:strRef>
              <c:f>Sheet1!$A$2:$A$29</c:f>
              <c:strCache>
                <c:ptCount val="28"/>
                <c:pt idx="0">
                  <c:v>LU</c:v>
                </c:pt>
                <c:pt idx="1">
                  <c:v>AT</c:v>
                </c:pt>
                <c:pt idx="2">
                  <c:v>IE</c:v>
                </c:pt>
                <c:pt idx="3">
                  <c:v>NL</c:v>
                </c:pt>
                <c:pt idx="4">
                  <c:v>DK</c:v>
                </c:pt>
                <c:pt idx="5">
                  <c:v>SE</c:v>
                </c:pt>
                <c:pt idx="6">
                  <c:v>DE</c:v>
                </c:pt>
                <c:pt idx="7">
                  <c:v>BE</c:v>
                </c:pt>
                <c:pt idx="8">
                  <c:v>FI</c:v>
                </c:pt>
                <c:pt idx="9">
                  <c:v>FR</c:v>
                </c:pt>
                <c:pt idx="10">
                  <c:v>UK</c:v>
                </c:pt>
                <c:pt idx="11">
                  <c:v>IT</c:v>
                </c:pt>
                <c:pt idx="12">
                  <c:v>EU27</c:v>
                </c:pt>
                <c:pt idx="13">
                  <c:v>ES</c:v>
                </c:pt>
                <c:pt idx="14">
                  <c:v>CY</c:v>
                </c:pt>
                <c:pt idx="15">
                  <c:v>MT</c:v>
                </c:pt>
                <c:pt idx="16">
                  <c:v>SI</c:v>
                </c:pt>
                <c:pt idx="17">
                  <c:v>CZ</c:v>
                </c:pt>
                <c:pt idx="18">
                  <c:v>PT</c:v>
                </c:pt>
                <c:pt idx="19">
                  <c:v>SK</c:v>
                </c:pt>
                <c:pt idx="20">
                  <c:v>EL</c:v>
                </c:pt>
                <c:pt idx="21">
                  <c:v>LT</c:v>
                </c:pt>
                <c:pt idx="22">
                  <c:v>EE</c:v>
                </c:pt>
                <c:pt idx="23">
                  <c:v>HU</c:v>
                </c:pt>
                <c:pt idx="24">
                  <c:v>PL</c:v>
                </c:pt>
                <c:pt idx="25">
                  <c:v>LV</c:v>
                </c:pt>
                <c:pt idx="26">
                  <c:v>RO</c:v>
                </c:pt>
                <c:pt idx="27">
                  <c:v>BG</c:v>
                </c:pt>
              </c:strCache>
            </c:strRef>
          </c:cat>
          <c:val>
            <c:numRef>
              <c:f>Sheet1!$B$2:$B$29</c:f>
              <c:numCache>
                <c:formatCode>General</c:formatCode>
                <c:ptCount val="28"/>
                <c:pt idx="0">
                  <c:v>263</c:v>
                </c:pt>
                <c:pt idx="1">
                  <c:v>130</c:v>
                </c:pt>
                <c:pt idx="2">
                  <c:v>129</c:v>
                </c:pt>
                <c:pt idx="3">
                  <c:v>128</c:v>
                </c:pt>
                <c:pt idx="4">
                  <c:v>126</c:v>
                </c:pt>
                <c:pt idx="5">
                  <c:v>126</c:v>
                </c:pt>
                <c:pt idx="6">
                  <c:v>123</c:v>
                </c:pt>
                <c:pt idx="7">
                  <c:v>120</c:v>
                </c:pt>
                <c:pt idx="8">
                  <c:v>115</c:v>
                </c:pt>
                <c:pt idx="9">
                  <c:v>109</c:v>
                </c:pt>
                <c:pt idx="10">
                  <c:v>106</c:v>
                </c:pt>
                <c:pt idx="11">
                  <c:v>101</c:v>
                </c:pt>
                <c:pt idx="12">
                  <c:v>100</c:v>
                </c:pt>
                <c:pt idx="13">
                  <c:v>96</c:v>
                </c:pt>
                <c:pt idx="14">
                  <c:v>92</c:v>
                </c:pt>
                <c:pt idx="15">
                  <c:v>86</c:v>
                </c:pt>
                <c:pt idx="16">
                  <c:v>84</c:v>
                </c:pt>
                <c:pt idx="17">
                  <c:v>81</c:v>
                </c:pt>
                <c:pt idx="18">
                  <c:v>76</c:v>
                </c:pt>
                <c:pt idx="19">
                  <c:v>76</c:v>
                </c:pt>
                <c:pt idx="20">
                  <c:v>75</c:v>
                </c:pt>
                <c:pt idx="21">
                  <c:v>72</c:v>
                </c:pt>
                <c:pt idx="22">
                  <c:v>71</c:v>
                </c:pt>
                <c:pt idx="23">
                  <c:v>67</c:v>
                </c:pt>
                <c:pt idx="24">
                  <c:v>67</c:v>
                </c:pt>
                <c:pt idx="25">
                  <c:v>64</c:v>
                </c:pt>
                <c:pt idx="26">
                  <c:v>50</c:v>
                </c:pt>
                <c:pt idx="27">
                  <c:v>47</c:v>
                </c:pt>
              </c:numCache>
            </c:numRef>
          </c:val>
        </c:ser>
        <c:dLbls>
          <c:showLegendKey val="0"/>
          <c:showVal val="0"/>
          <c:showCatName val="0"/>
          <c:showSerName val="0"/>
          <c:showPercent val="0"/>
          <c:showBubbleSize val="0"/>
        </c:dLbls>
        <c:gapWidth val="150"/>
        <c:shape val="cylinder"/>
        <c:axId val="125621376"/>
        <c:axId val="125622912"/>
        <c:axId val="0"/>
      </c:bar3DChart>
      <c:catAx>
        <c:axId val="125621376"/>
        <c:scaling>
          <c:orientation val="minMax"/>
        </c:scaling>
        <c:delete val="0"/>
        <c:axPos val="b"/>
        <c:majorTickMark val="out"/>
        <c:minorTickMark val="none"/>
        <c:tickLblPos val="nextTo"/>
        <c:txPr>
          <a:bodyPr/>
          <a:lstStyle/>
          <a:p>
            <a:pPr>
              <a:defRPr sz="800"/>
            </a:pPr>
            <a:endParaRPr lang="en-US"/>
          </a:p>
        </c:txPr>
        <c:crossAx val="125622912"/>
        <c:crosses val="autoZero"/>
        <c:auto val="1"/>
        <c:lblAlgn val="ctr"/>
        <c:lblOffset val="100"/>
        <c:noMultiLvlLbl val="0"/>
      </c:catAx>
      <c:valAx>
        <c:axId val="125622912"/>
        <c:scaling>
          <c:orientation val="minMax"/>
        </c:scaling>
        <c:delete val="0"/>
        <c:axPos val="l"/>
        <c:majorGridlines/>
        <c:numFmt formatCode="General" sourceLinked="1"/>
        <c:majorTickMark val="out"/>
        <c:minorTickMark val="none"/>
        <c:tickLblPos val="nextTo"/>
        <c:crossAx val="125621376"/>
        <c:crosses val="autoZero"/>
        <c:crossBetween val="between"/>
      </c:valAx>
    </c:plotArea>
    <c:plotVisOnly val="1"/>
    <c:dispBlanksAs val="gap"/>
    <c:showDLblsOverMax val="0"/>
  </c:chart>
  <c:externalData r:id="rId1">
    <c:autoUpdate val="0"/>
  </c:externalData>
  <c:userShapes r:id="rId2"/>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floor>
    <c:sideWall>
      <c:thickness val="0"/>
    </c:sideWall>
    <c:backWall>
      <c:thickness val="0"/>
    </c:backWall>
    <c:plotArea>
      <c:layout>
        <c:manualLayout>
          <c:layoutTarget val="inner"/>
          <c:xMode val="edge"/>
          <c:yMode val="edge"/>
          <c:x val="0.10791508414389378"/>
          <c:y val="1.8890528074509874E-2"/>
          <c:w val="0.82833039987648605"/>
          <c:h val="0.91808618544195919"/>
        </c:manualLayout>
      </c:layout>
      <c:bar3DChart>
        <c:barDir val="bar"/>
        <c:grouping val="clustered"/>
        <c:varyColors val="0"/>
        <c:ser>
          <c:idx val="0"/>
          <c:order val="0"/>
          <c:tx>
            <c:strRef>
              <c:f>Sheet1!$B$1</c:f>
              <c:strCache>
                <c:ptCount val="1"/>
                <c:pt idx="0">
                  <c:v>Series 1</c:v>
                </c:pt>
              </c:strCache>
            </c:strRef>
          </c:tx>
          <c:invertIfNegative val="0"/>
          <c:cat>
            <c:strRef>
              <c:f>Sheet1!$A$2:$A$29</c:f>
              <c:strCache>
                <c:ptCount val="28"/>
                <c:pt idx="0">
                  <c:v>CZ</c:v>
                </c:pt>
                <c:pt idx="1">
                  <c:v>FR</c:v>
                </c:pt>
                <c:pt idx="2">
                  <c:v>SK</c:v>
                </c:pt>
                <c:pt idx="3">
                  <c:v>CY</c:v>
                </c:pt>
                <c:pt idx="4">
                  <c:v>HU</c:v>
                </c:pt>
                <c:pt idx="5">
                  <c:v>AT</c:v>
                </c:pt>
                <c:pt idx="6">
                  <c:v>LU</c:v>
                </c:pt>
                <c:pt idx="7">
                  <c:v>EU27</c:v>
                </c:pt>
                <c:pt idx="8">
                  <c:v>ES</c:v>
                </c:pt>
                <c:pt idx="9">
                  <c:v>EE</c:v>
                </c:pt>
                <c:pt idx="10">
                  <c:v>MT</c:v>
                </c:pt>
                <c:pt idx="11">
                  <c:v>RO</c:v>
                </c:pt>
                <c:pt idx="12">
                  <c:v>DE</c:v>
                </c:pt>
                <c:pt idx="13">
                  <c:v>IT</c:v>
                </c:pt>
                <c:pt idx="14">
                  <c:v>SI</c:v>
                </c:pt>
                <c:pt idx="15">
                  <c:v>PL</c:v>
                </c:pt>
                <c:pt idx="16">
                  <c:v>FI</c:v>
                </c:pt>
                <c:pt idx="17">
                  <c:v>LV</c:v>
                </c:pt>
                <c:pt idx="18">
                  <c:v>BE</c:v>
                </c:pt>
                <c:pt idx="19">
                  <c:v>BG</c:v>
                </c:pt>
                <c:pt idx="20">
                  <c:v>SE</c:v>
                </c:pt>
                <c:pt idx="21">
                  <c:v>PT</c:v>
                </c:pt>
                <c:pt idx="22">
                  <c:v>EL</c:v>
                </c:pt>
                <c:pt idx="23">
                  <c:v>IE</c:v>
                </c:pt>
                <c:pt idx="24">
                  <c:v>NL</c:v>
                </c:pt>
                <c:pt idx="25">
                  <c:v>LT</c:v>
                </c:pt>
                <c:pt idx="26">
                  <c:v>DK</c:v>
                </c:pt>
                <c:pt idx="27">
                  <c:v>UK</c:v>
                </c:pt>
              </c:strCache>
            </c:strRef>
          </c:cat>
          <c:val>
            <c:numRef>
              <c:f>Sheet1!$B$2:$B$29</c:f>
              <c:numCache>
                <c:formatCode>General</c:formatCode>
                <c:ptCount val="28"/>
                <c:pt idx="0">
                  <c:v>13</c:v>
                </c:pt>
                <c:pt idx="1">
                  <c:v>18</c:v>
                </c:pt>
                <c:pt idx="2">
                  <c:v>17</c:v>
                </c:pt>
                <c:pt idx="3">
                  <c:v>15</c:v>
                </c:pt>
                <c:pt idx="4">
                  <c:v>29</c:v>
                </c:pt>
                <c:pt idx="5">
                  <c:v>36</c:v>
                </c:pt>
                <c:pt idx="6">
                  <c:v>24</c:v>
                </c:pt>
                <c:pt idx="7">
                  <c:v>50</c:v>
                </c:pt>
                <c:pt idx="8">
                  <c:v>62</c:v>
                </c:pt>
                <c:pt idx="9">
                  <c:v>200</c:v>
                </c:pt>
                <c:pt idx="10">
                  <c:v>5</c:v>
                </c:pt>
                <c:pt idx="11">
                  <c:v>75</c:v>
                </c:pt>
                <c:pt idx="12">
                  <c:v>31</c:v>
                </c:pt>
                <c:pt idx="13">
                  <c:v>37</c:v>
                </c:pt>
                <c:pt idx="14">
                  <c:v>97</c:v>
                </c:pt>
                <c:pt idx="15">
                  <c:v>126</c:v>
                </c:pt>
                <c:pt idx="16">
                  <c:v>1006</c:v>
                </c:pt>
                <c:pt idx="17">
                  <c:v>543</c:v>
                </c:pt>
                <c:pt idx="18">
                  <c:v>52</c:v>
                </c:pt>
                <c:pt idx="19">
                  <c:v>420</c:v>
                </c:pt>
                <c:pt idx="20">
                  <c:v>1552</c:v>
                </c:pt>
                <c:pt idx="21">
                  <c:v>299</c:v>
                </c:pt>
                <c:pt idx="22">
                  <c:v>406</c:v>
                </c:pt>
                <c:pt idx="23">
                  <c:v>612</c:v>
                </c:pt>
                <c:pt idx="24">
                  <c:v>99</c:v>
                </c:pt>
                <c:pt idx="25">
                  <c:v>1088</c:v>
                </c:pt>
                <c:pt idx="26">
                  <c:v>440</c:v>
                </c:pt>
                <c:pt idx="27">
                  <c:v>601</c:v>
                </c:pt>
              </c:numCache>
            </c:numRef>
          </c:val>
        </c:ser>
        <c:dLbls>
          <c:showLegendKey val="0"/>
          <c:showVal val="0"/>
          <c:showCatName val="0"/>
          <c:showSerName val="0"/>
          <c:showPercent val="0"/>
          <c:showBubbleSize val="0"/>
        </c:dLbls>
        <c:gapWidth val="150"/>
        <c:shape val="cylinder"/>
        <c:axId val="127482496"/>
        <c:axId val="127484288"/>
        <c:axId val="0"/>
      </c:bar3DChart>
      <c:catAx>
        <c:axId val="127482496"/>
        <c:scaling>
          <c:orientation val="minMax"/>
        </c:scaling>
        <c:delete val="0"/>
        <c:axPos val="l"/>
        <c:majorTickMark val="out"/>
        <c:minorTickMark val="none"/>
        <c:tickLblPos val="nextTo"/>
        <c:txPr>
          <a:bodyPr/>
          <a:lstStyle/>
          <a:p>
            <a:pPr>
              <a:defRPr sz="600"/>
            </a:pPr>
            <a:endParaRPr lang="en-US"/>
          </a:p>
        </c:txPr>
        <c:crossAx val="127484288"/>
        <c:crosses val="autoZero"/>
        <c:auto val="1"/>
        <c:lblAlgn val="ctr"/>
        <c:lblOffset val="100"/>
        <c:noMultiLvlLbl val="0"/>
      </c:catAx>
      <c:valAx>
        <c:axId val="127484288"/>
        <c:scaling>
          <c:orientation val="minMax"/>
          <c:max val="1600"/>
          <c:min val="0"/>
        </c:scaling>
        <c:delete val="0"/>
        <c:axPos val="b"/>
        <c:majorGridlines/>
        <c:numFmt formatCode="General" sourceLinked="1"/>
        <c:majorTickMark val="out"/>
        <c:minorTickMark val="none"/>
        <c:tickLblPos val="nextTo"/>
        <c:crossAx val="127482496"/>
        <c:crosses val="autoZero"/>
        <c:crossBetween val="between"/>
      </c:valAx>
      <c:spPr>
        <a:ln>
          <a:noFill/>
        </a:ln>
      </c:spPr>
    </c:plotArea>
    <c:plotVisOnly val="1"/>
    <c:dispBlanksAs val="gap"/>
    <c:showDLblsOverMax val="0"/>
  </c:chart>
  <c:spPr>
    <a:ln w="0">
      <a:noFill/>
    </a:ln>
  </c:spPr>
  <c:externalData r:id="rId1">
    <c:autoUpdate val="0"/>
  </c:externalData>
  <c:userShapes r:id="rId2"/>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floor>
    <c:sideWall>
      <c:thickness val="0"/>
    </c:sideWall>
    <c:backWall>
      <c:thickness val="0"/>
      <c:spPr>
        <a:noFill/>
        <a:ln w="25400">
          <a:noFill/>
        </a:ln>
      </c:spPr>
    </c:backWall>
    <c:plotArea>
      <c:layout>
        <c:manualLayout>
          <c:layoutTarget val="inner"/>
          <c:xMode val="edge"/>
          <c:yMode val="edge"/>
          <c:x val="9.1321855954446376E-2"/>
          <c:y val="3.2234432234432238E-2"/>
          <c:w val="0.80619244628319764"/>
          <c:h val="0.89435412881082177"/>
        </c:manualLayout>
      </c:layout>
      <c:bar3DChart>
        <c:barDir val="bar"/>
        <c:grouping val="clustered"/>
        <c:varyColors val="0"/>
        <c:ser>
          <c:idx val="0"/>
          <c:order val="0"/>
          <c:tx>
            <c:strRef>
              <c:f>Sheet1!$B$1</c:f>
              <c:strCache>
                <c:ptCount val="1"/>
                <c:pt idx="0">
                  <c:v>Series 1</c:v>
                </c:pt>
              </c:strCache>
            </c:strRef>
          </c:tx>
          <c:invertIfNegative val="0"/>
          <c:cat>
            <c:strRef>
              <c:f>Sheet1!$A$2:$A$29</c:f>
              <c:strCache>
                <c:ptCount val="28"/>
                <c:pt idx="0">
                  <c:v>CZ</c:v>
                </c:pt>
                <c:pt idx="1">
                  <c:v>FR</c:v>
                </c:pt>
                <c:pt idx="2">
                  <c:v>SK</c:v>
                </c:pt>
                <c:pt idx="3">
                  <c:v>CY</c:v>
                </c:pt>
                <c:pt idx="4">
                  <c:v>HU</c:v>
                </c:pt>
                <c:pt idx="5">
                  <c:v>AT</c:v>
                </c:pt>
                <c:pt idx="6">
                  <c:v>LU</c:v>
                </c:pt>
                <c:pt idx="7">
                  <c:v>EU27</c:v>
                </c:pt>
                <c:pt idx="8">
                  <c:v>ES</c:v>
                </c:pt>
                <c:pt idx="9">
                  <c:v>EE</c:v>
                </c:pt>
                <c:pt idx="10">
                  <c:v>MT</c:v>
                </c:pt>
                <c:pt idx="11">
                  <c:v>RO</c:v>
                </c:pt>
                <c:pt idx="12">
                  <c:v>DE</c:v>
                </c:pt>
                <c:pt idx="13">
                  <c:v>IT</c:v>
                </c:pt>
                <c:pt idx="14">
                  <c:v>SI</c:v>
                </c:pt>
                <c:pt idx="15">
                  <c:v>PL</c:v>
                </c:pt>
                <c:pt idx="16">
                  <c:v>FI</c:v>
                </c:pt>
                <c:pt idx="17">
                  <c:v>LV</c:v>
                </c:pt>
                <c:pt idx="18">
                  <c:v>BE</c:v>
                </c:pt>
                <c:pt idx="19">
                  <c:v>BG</c:v>
                </c:pt>
                <c:pt idx="20">
                  <c:v>SE</c:v>
                </c:pt>
                <c:pt idx="21">
                  <c:v>PT</c:v>
                </c:pt>
                <c:pt idx="22">
                  <c:v>EL</c:v>
                </c:pt>
                <c:pt idx="23">
                  <c:v>IE</c:v>
                </c:pt>
                <c:pt idx="24">
                  <c:v>NL</c:v>
                </c:pt>
                <c:pt idx="25">
                  <c:v>LT</c:v>
                </c:pt>
                <c:pt idx="26">
                  <c:v>DK</c:v>
                </c:pt>
                <c:pt idx="27">
                  <c:v>UK</c:v>
                </c:pt>
              </c:strCache>
            </c:strRef>
          </c:cat>
          <c:val>
            <c:numRef>
              <c:f>Sheet1!$B$2:$B$29</c:f>
              <c:numCache>
                <c:formatCode>General</c:formatCode>
                <c:ptCount val="28"/>
                <c:pt idx="0">
                  <c:v>1678</c:v>
                </c:pt>
                <c:pt idx="1">
                  <c:v>1768</c:v>
                </c:pt>
                <c:pt idx="2">
                  <c:v>1780</c:v>
                </c:pt>
                <c:pt idx="3">
                  <c:v>2211</c:v>
                </c:pt>
                <c:pt idx="4">
                  <c:v>3146</c:v>
                </c:pt>
                <c:pt idx="5">
                  <c:v>3568</c:v>
                </c:pt>
                <c:pt idx="6">
                  <c:v>4811</c:v>
                </c:pt>
                <c:pt idx="7">
                  <c:v>5641</c:v>
                </c:pt>
                <c:pt idx="8">
                  <c:v>5686</c:v>
                </c:pt>
                <c:pt idx="9">
                  <c:v>5929</c:v>
                </c:pt>
                <c:pt idx="10">
                  <c:v>6176</c:v>
                </c:pt>
                <c:pt idx="11">
                  <c:v>6731</c:v>
                </c:pt>
                <c:pt idx="12">
                  <c:v>7076</c:v>
                </c:pt>
                <c:pt idx="13">
                  <c:v>7491</c:v>
                </c:pt>
                <c:pt idx="14">
                  <c:v>9716</c:v>
                </c:pt>
                <c:pt idx="15">
                  <c:v>15543</c:v>
                </c:pt>
                <c:pt idx="16">
                  <c:v>16781</c:v>
                </c:pt>
                <c:pt idx="17">
                  <c:v>17395</c:v>
                </c:pt>
                <c:pt idx="18">
                  <c:v>18676</c:v>
                </c:pt>
                <c:pt idx="19">
                  <c:v>27917</c:v>
                </c:pt>
                <c:pt idx="20">
                  <c:v>32483</c:v>
                </c:pt>
                <c:pt idx="21">
                  <c:v>34313</c:v>
                </c:pt>
                <c:pt idx="22">
                  <c:v>34800</c:v>
                </c:pt>
                <c:pt idx="23">
                  <c:v>40088</c:v>
                </c:pt>
                <c:pt idx="24">
                  <c:v>40833</c:v>
                </c:pt>
                <c:pt idx="25">
                  <c:v>50833</c:v>
                </c:pt>
                <c:pt idx="26">
                  <c:v>56735</c:v>
                </c:pt>
                <c:pt idx="27">
                  <c:v>155172</c:v>
                </c:pt>
              </c:numCache>
            </c:numRef>
          </c:val>
        </c:ser>
        <c:dLbls>
          <c:showLegendKey val="0"/>
          <c:showVal val="0"/>
          <c:showCatName val="0"/>
          <c:showSerName val="0"/>
          <c:showPercent val="0"/>
          <c:showBubbleSize val="0"/>
        </c:dLbls>
        <c:gapWidth val="150"/>
        <c:shape val="cylinder"/>
        <c:axId val="125612416"/>
        <c:axId val="125613952"/>
        <c:axId val="0"/>
      </c:bar3DChart>
      <c:catAx>
        <c:axId val="125612416"/>
        <c:scaling>
          <c:orientation val="minMax"/>
        </c:scaling>
        <c:delete val="0"/>
        <c:axPos val="l"/>
        <c:majorTickMark val="out"/>
        <c:minorTickMark val="none"/>
        <c:tickLblPos val="nextTo"/>
        <c:txPr>
          <a:bodyPr/>
          <a:lstStyle/>
          <a:p>
            <a:pPr>
              <a:defRPr sz="600"/>
            </a:pPr>
            <a:endParaRPr lang="en-US"/>
          </a:p>
        </c:txPr>
        <c:crossAx val="125613952"/>
        <c:crosses val="autoZero"/>
        <c:auto val="1"/>
        <c:lblAlgn val="ctr"/>
        <c:lblOffset val="100"/>
        <c:noMultiLvlLbl val="0"/>
      </c:catAx>
      <c:valAx>
        <c:axId val="125613952"/>
        <c:scaling>
          <c:orientation val="minMax"/>
          <c:max val="70000"/>
          <c:min val="0"/>
        </c:scaling>
        <c:delete val="0"/>
        <c:axPos val="b"/>
        <c:majorGridlines/>
        <c:numFmt formatCode="General" sourceLinked="1"/>
        <c:majorTickMark val="out"/>
        <c:minorTickMark val="none"/>
        <c:tickLblPos val="nextTo"/>
        <c:crossAx val="125612416"/>
        <c:crosses val="autoZero"/>
        <c:crossBetween val="between"/>
      </c:valAx>
    </c:plotArea>
    <c:plotVisOnly val="1"/>
    <c:dispBlanksAs val="gap"/>
    <c:showDLblsOverMax val="0"/>
  </c:chart>
  <c:spPr>
    <a:noFill/>
    <a:ln>
      <a:noFill/>
    </a:ln>
  </c:spPr>
  <c:externalData r:id="rId1">
    <c:autoUpdate val="0"/>
  </c:externalData>
  <c:userShapes r:id="rId2"/>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Sheet1!$B$1</c:f>
              <c:strCache>
                <c:ptCount val="1"/>
                <c:pt idx="0">
                  <c:v>Series 1</c:v>
                </c:pt>
              </c:strCache>
            </c:strRef>
          </c:tx>
          <c:invertIfNegative val="0"/>
          <c:cat>
            <c:strRef>
              <c:f>Sheet1!$A$2:$A$29</c:f>
              <c:strCache>
                <c:ptCount val="28"/>
                <c:pt idx="0">
                  <c:v>DK</c:v>
                </c:pt>
                <c:pt idx="1">
                  <c:v>SE</c:v>
                </c:pt>
                <c:pt idx="2">
                  <c:v>ES</c:v>
                </c:pt>
                <c:pt idx="3">
                  <c:v>FI</c:v>
                </c:pt>
                <c:pt idx="4">
                  <c:v>DE</c:v>
                </c:pt>
                <c:pt idx="5">
                  <c:v>BE</c:v>
                </c:pt>
                <c:pt idx="6">
                  <c:v>AT</c:v>
                </c:pt>
                <c:pt idx="7">
                  <c:v>NL</c:v>
                </c:pt>
                <c:pt idx="8">
                  <c:v>PL</c:v>
                </c:pt>
                <c:pt idx="9">
                  <c:v>IT</c:v>
                </c:pt>
                <c:pt idx="10">
                  <c:v>EU27</c:v>
                </c:pt>
                <c:pt idx="11">
                  <c:v>UK</c:v>
                </c:pt>
                <c:pt idx="12">
                  <c:v>LV</c:v>
                </c:pt>
                <c:pt idx="13">
                  <c:v>RO</c:v>
                </c:pt>
                <c:pt idx="14">
                  <c:v>LT</c:v>
                </c:pt>
                <c:pt idx="15">
                  <c:v>EE</c:v>
                </c:pt>
                <c:pt idx="16">
                  <c:v>CZ</c:v>
                </c:pt>
                <c:pt idx="17">
                  <c:v>FR</c:v>
                </c:pt>
                <c:pt idx="18">
                  <c:v>SI</c:v>
                </c:pt>
                <c:pt idx="19">
                  <c:v>HU</c:v>
                </c:pt>
                <c:pt idx="20">
                  <c:v>BG</c:v>
                </c:pt>
                <c:pt idx="21">
                  <c:v>SK</c:v>
                </c:pt>
                <c:pt idx="22">
                  <c:v>PT</c:v>
                </c:pt>
                <c:pt idx="23">
                  <c:v>LU</c:v>
                </c:pt>
                <c:pt idx="24">
                  <c:v>IE</c:v>
                </c:pt>
                <c:pt idx="25">
                  <c:v>EL</c:v>
                </c:pt>
                <c:pt idx="26">
                  <c:v>CY</c:v>
                </c:pt>
                <c:pt idx="27">
                  <c:v>MT</c:v>
                </c:pt>
              </c:strCache>
            </c:strRef>
          </c:cat>
          <c:val>
            <c:numRef>
              <c:f>Sheet1!$B$2:$B$29</c:f>
              <c:numCache>
                <c:formatCode>General</c:formatCode>
                <c:ptCount val="28"/>
                <c:pt idx="0">
                  <c:v>63.7</c:v>
                </c:pt>
                <c:pt idx="1">
                  <c:v>49.2</c:v>
                </c:pt>
                <c:pt idx="2">
                  <c:v>47.9</c:v>
                </c:pt>
                <c:pt idx="3">
                  <c:v>41.1</c:v>
                </c:pt>
                <c:pt idx="4">
                  <c:v>37.6</c:v>
                </c:pt>
                <c:pt idx="5">
                  <c:v>37</c:v>
                </c:pt>
                <c:pt idx="6">
                  <c:v>34.799999999999997</c:v>
                </c:pt>
                <c:pt idx="7">
                  <c:v>32.4</c:v>
                </c:pt>
                <c:pt idx="8">
                  <c:v>31.4</c:v>
                </c:pt>
                <c:pt idx="9">
                  <c:v>29.8</c:v>
                </c:pt>
                <c:pt idx="10">
                  <c:v>28.9</c:v>
                </c:pt>
                <c:pt idx="11">
                  <c:v>28</c:v>
                </c:pt>
                <c:pt idx="12">
                  <c:v>27.2</c:v>
                </c:pt>
                <c:pt idx="13">
                  <c:v>26.4</c:v>
                </c:pt>
                <c:pt idx="14">
                  <c:v>26.2</c:v>
                </c:pt>
                <c:pt idx="15">
                  <c:v>25.2</c:v>
                </c:pt>
                <c:pt idx="16">
                  <c:v>23.1</c:v>
                </c:pt>
                <c:pt idx="17">
                  <c:v>21.1</c:v>
                </c:pt>
                <c:pt idx="18">
                  <c:v>20</c:v>
                </c:pt>
                <c:pt idx="19">
                  <c:v>19.100000000000001</c:v>
                </c:pt>
                <c:pt idx="20">
                  <c:v>18.899999999999999</c:v>
                </c:pt>
                <c:pt idx="21">
                  <c:v>16.8</c:v>
                </c:pt>
                <c:pt idx="22">
                  <c:v>12.6</c:v>
                </c:pt>
                <c:pt idx="23">
                  <c:v>12.4</c:v>
                </c:pt>
                <c:pt idx="24">
                  <c:v>12.2</c:v>
                </c:pt>
                <c:pt idx="25">
                  <c:v>6</c:v>
                </c:pt>
                <c:pt idx="26">
                  <c:v>4.4000000000000004</c:v>
                </c:pt>
                <c:pt idx="27">
                  <c:v>1.8</c:v>
                </c:pt>
              </c:numCache>
            </c:numRef>
          </c:val>
        </c:ser>
        <c:dLbls>
          <c:showLegendKey val="0"/>
          <c:showVal val="0"/>
          <c:showCatName val="0"/>
          <c:showSerName val="0"/>
          <c:showPercent val="0"/>
          <c:showBubbleSize val="0"/>
        </c:dLbls>
        <c:gapWidth val="150"/>
        <c:shape val="cylinder"/>
        <c:axId val="127355520"/>
        <c:axId val="127652224"/>
        <c:axId val="0"/>
      </c:bar3DChart>
      <c:catAx>
        <c:axId val="127355520"/>
        <c:scaling>
          <c:orientation val="minMax"/>
        </c:scaling>
        <c:delete val="0"/>
        <c:axPos val="b"/>
        <c:majorTickMark val="out"/>
        <c:minorTickMark val="none"/>
        <c:tickLblPos val="nextTo"/>
        <c:txPr>
          <a:bodyPr/>
          <a:lstStyle/>
          <a:p>
            <a:pPr>
              <a:defRPr sz="800"/>
            </a:pPr>
            <a:endParaRPr lang="en-US"/>
          </a:p>
        </c:txPr>
        <c:crossAx val="127652224"/>
        <c:crosses val="autoZero"/>
        <c:auto val="1"/>
        <c:lblAlgn val="ctr"/>
        <c:lblOffset val="100"/>
        <c:noMultiLvlLbl val="0"/>
      </c:catAx>
      <c:valAx>
        <c:axId val="127652224"/>
        <c:scaling>
          <c:orientation val="minMax"/>
        </c:scaling>
        <c:delete val="0"/>
        <c:axPos val="l"/>
        <c:majorGridlines/>
        <c:title>
          <c:tx>
            <c:rich>
              <a:bodyPr rot="-5400000" vert="horz"/>
              <a:lstStyle/>
              <a:p>
                <a:pPr>
                  <a:defRPr/>
                </a:pPr>
                <a:r>
                  <a:rPr lang="lt-LT">
                    <a:latin typeface="Times New Roman" pitchFamily="18" charset="0"/>
                    <a:cs typeface="Times New Roman" pitchFamily="18" charset="0"/>
                  </a:rPr>
                  <a:t>proc</a:t>
                </a:r>
                <a:r>
                  <a:rPr lang="lt-LT"/>
                  <a:t>.</a:t>
                </a:r>
                <a:endParaRPr lang="en-US"/>
              </a:p>
            </c:rich>
          </c:tx>
          <c:overlay val="0"/>
        </c:title>
        <c:numFmt formatCode="General" sourceLinked="1"/>
        <c:majorTickMark val="out"/>
        <c:minorTickMark val="none"/>
        <c:tickLblPos val="nextTo"/>
        <c:crossAx val="127355520"/>
        <c:crosses val="autoZero"/>
        <c:crossBetween val="between"/>
      </c:valAx>
    </c:plotArea>
    <c:plotVisOnly val="1"/>
    <c:dispBlanksAs val="gap"/>
    <c:showDLblsOverMax val="0"/>
  </c:chart>
  <c:externalData r:id="rId1">
    <c:autoUpdate val="0"/>
  </c:externalData>
  <c:userShapes r:id="rId2"/>
</c:chartSpace>
</file>

<file path=word/charts/chart1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0"/>
      <c:rotY val="0"/>
      <c:depthPercent val="100"/>
      <c:rAngAx val="0"/>
      <c:perspective val="30"/>
    </c:view3D>
    <c:floor>
      <c:thickness val="0"/>
    </c:floor>
    <c:sideWall>
      <c:thickness val="0"/>
      <c:spPr>
        <a:solidFill>
          <a:srgbClr val="FFFFFF"/>
        </a:solidFill>
        <a:ln w="12700">
          <a:solidFill>
            <a:srgbClr val="808080"/>
          </a:solidFill>
          <a:prstDash val="solid"/>
        </a:ln>
      </c:spPr>
    </c:sideWall>
    <c:backWall>
      <c:thickness val="0"/>
      <c:spPr>
        <a:solidFill>
          <a:srgbClr val="FFFFFF"/>
        </a:solidFill>
        <a:ln w="12700">
          <a:solidFill>
            <a:srgbClr val="808080"/>
          </a:solidFill>
          <a:prstDash val="solid"/>
        </a:ln>
      </c:spPr>
    </c:backWall>
    <c:plotArea>
      <c:layout>
        <c:manualLayout>
          <c:layoutTarget val="inner"/>
          <c:xMode val="edge"/>
          <c:yMode val="edge"/>
          <c:x val="8.8150289017341038E-2"/>
          <c:y val="9.6525096525096526E-2"/>
          <c:w val="0.79913294797687862"/>
          <c:h val="0.70656370656370659"/>
        </c:manualLayout>
      </c:layout>
      <c:bar3DChart>
        <c:barDir val="col"/>
        <c:grouping val="percentStacked"/>
        <c:varyColors val="0"/>
        <c:ser>
          <c:idx val="0"/>
          <c:order val="0"/>
          <c:tx>
            <c:strRef>
              <c:f>Sheet1!$A$2</c:f>
              <c:strCache>
                <c:ptCount val="1"/>
                <c:pt idx="0">
                  <c:v>Centrinė valdžia</c:v>
                </c:pt>
              </c:strCache>
            </c:strRef>
          </c:tx>
          <c:spPr>
            <a:solidFill>
              <a:srgbClr val="9999FF"/>
            </a:solidFill>
            <a:ln w="12697">
              <a:solidFill>
                <a:srgbClr val="000000"/>
              </a:solidFill>
              <a:prstDash val="solid"/>
            </a:ln>
          </c:spPr>
          <c:invertIfNegative val="0"/>
          <c:cat>
            <c:strRef>
              <c:f>Sheet1!$B$1:$AC$1</c:f>
              <c:strCache>
                <c:ptCount val="28"/>
                <c:pt idx="0">
                  <c:v>EU 27</c:v>
                </c:pt>
                <c:pt idx="1">
                  <c:v>LT</c:v>
                </c:pt>
                <c:pt idx="2">
                  <c:v>BE</c:v>
                </c:pt>
                <c:pt idx="3">
                  <c:v>BG</c:v>
                </c:pt>
                <c:pt idx="4">
                  <c:v>CZ</c:v>
                </c:pt>
                <c:pt idx="5">
                  <c:v>DK</c:v>
                </c:pt>
                <c:pt idx="6">
                  <c:v>DE</c:v>
                </c:pt>
                <c:pt idx="7">
                  <c:v>EE</c:v>
                </c:pt>
                <c:pt idx="8">
                  <c:v>IE</c:v>
                </c:pt>
                <c:pt idx="9">
                  <c:v>EL</c:v>
                </c:pt>
                <c:pt idx="10">
                  <c:v>ES</c:v>
                </c:pt>
                <c:pt idx="11">
                  <c:v>FR</c:v>
                </c:pt>
                <c:pt idx="12">
                  <c:v>IT</c:v>
                </c:pt>
                <c:pt idx="13">
                  <c:v>CY</c:v>
                </c:pt>
                <c:pt idx="14">
                  <c:v>LV</c:v>
                </c:pt>
                <c:pt idx="15">
                  <c:v>LU</c:v>
                </c:pt>
                <c:pt idx="16">
                  <c:v>HU</c:v>
                </c:pt>
                <c:pt idx="17">
                  <c:v>MT</c:v>
                </c:pt>
                <c:pt idx="18">
                  <c:v>NL</c:v>
                </c:pt>
                <c:pt idx="19">
                  <c:v>AT</c:v>
                </c:pt>
                <c:pt idx="20">
                  <c:v>PL</c:v>
                </c:pt>
                <c:pt idx="21">
                  <c:v>PT</c:v>
                </c:pt>
                <c:pt idx="22">
                  <c:v>RO</c:v>
                </c:pt>
                <c:pt idx="23">
                  <c:v>SI</c:v>
                </c:pt>
                <c:pt idx="24">
                  <c:v>SK</c:v>
                </c:pt>
                <c:pt idx="25">
                  <c:v>FI</c:v>
                </c:pt>
                <c:pt idx="26">
                  <c:v>SE</c:v>
                </c:pt>
                <c:pt idx="27">
                  <c:v>UK</c:v>
                </c:pt>
              </c:strCache>
            </c:strRef>
          </c:cat>
          <c:val>
            <c:numRef>
              <c:f>Sheet1!$B$2:$AC$2</c:f>
              <c:numCache>
                <c:formatCode>General</c:formatCode>
                <c:ptCount val="28"/>
                <c:pt idx="0">
                  <c:v>3483232.6</c:v>
                </c:pt>
                <c:pt idx="1">
                  <c:v>7024.1</c:v>
                </c:pt>
                <c:pt idx="2">
                  <c:v>118298.2</c:v>
                </c:pt>
                <c:pt idx="3">
                  <c:v>10958.7</c:v>
                </c:pt>
                <c:pt idx="4">
                  <c:v>47507.3</c:v>
                </c:pt>
                <c:pt idx="5">
                  <c:v>107793.8</c:v>
                </c:pt>
                <c:pt idx="6">
                  <c:v>369600</c:v>
                </c:pt>
                <c:pt idx="7">
                  <c:v>5163.7</c:v>
                </c:pt>
                <c:pt idx="8">
                  <c:v>59054.1</c:v>
                </c:pt>
                <c:pt idx="9">
                  <c:v>77588</c:v>
                </c:pt>
                <c:pt idx="10">
                  <c:v>214373</c:v>
                </c:pt>
                <c:pt idx="11">
                  <c:v>453084.5</c:v>
                </c:pt>
                <c:pt idx="12">
                  <c:v>448093</c:v>
                </c:pt>
                <c:pt idx="13">
                  <c:v>6593.4</c:v>
                </c:pt>
                <c:pt idx="14">
                  <c:v>4671.3999999999996</c:v>
                </c:pt>
                <c:pt idx="15">
                  <c:v>13713.1</c:v>
                </c:pt>
                <c:pt idx="16">
                  <c:v>32507.1</c:v>
                </c:pt>
                <c:pt idx="17">
                  <c:v>2941.9</c:v>
                </c:pt>
                <c:pt idx="18">
                  <c:v>173373</c:v>
                </c:pt>
                <c:pt idx="19">
                  <c:v>82311.3</c:v>
                </c:pt>
                <c:pt idx="20">
                  <c:v>90433.2</c:v>
                </c:pt>
                <c:pt idx="21">
                  <c:v>58175.199999999997</c:v>
                </c:pt>
                <c:pt idx="22">
                  <c:v>32960.9</c:v>
                </c:pt>
                <c:pt idx="23">
                  <c:v>10412.299999999999</c:v>
                </c:pt>
                <c:pt idx="24">
                  <c:v>15315.8</c:v>
                </c:pt>
                <c:pt idx="25">
                  <c:v>53897</c:v>
                </c:pt>
                <c:pt idx="26">
                  <c:v>119235.9</c:v>
                </c:pt>
                <c:pt idx="27">
                  <c:v>868152.7</c:v>
                </c:pt>
              </c:numCache>
            </c:numRef>
          </c:val>
        </c:ser>
        <c:ser>
          <c:idx val="1"/>
          <c:order val="1"/>
          <c:tx>
            <c:strRef>
              <c:f>Sheet1!$A$3</c:f>
              <c:strCache>
                <c:ptCount val="1"/>
                <c:pt idx="0">
                  <c:v>Regioninė valdžia</c:v>
                </c:pt>
              </c:strCache>
            </c:strRef>
          </c:tx>
          <c:spPr>
            <a:solidFill>
              <a:srgbClr val="993366"/>
            </a:solidFill>
            <a:ln w="12697">
              <a:solidFill>
                <a:srgbClr val="000000"/>
              </a:solidFill>
              <a:prstDash val="solid"/>
            </a:ln>
          </c:spPr>
          <c:invertIfNegative val="0"/>
          <c:cat>
            <c:strRef>
              <c:f>Sheet1!$B$1:$AC$1</c:f>
              <c:strCache>
                <c:ptCount val="28"/>
                <c:pt idx="0">
                  <c:v>EU 27</c:v>
                </c:pt>
                <c:pt idx="1">
                  <c:v>LT</c:v>
                </c:pt>
                <c:pt idx="2">
                  <c:v>BE</c:v>
                </c:pt>
                <c:pt idx="3">
                  <c:v>BG</c:v>
                </c:pt>
                <c:pt idx="4">
                  <c:v>CZ</c:v>
                </c:pt>
                <c:pt idx="5">
                  <c:v>DK</c:v>
                </c:pt>
                <c:pt idx="6">
                  <c:v>DE</c:v>
                </c:pt>
                <c:pt idx="7">
                  <c:v>EE</c:v>
                </c:pt>
                <c:pt idx="8">
                  <c:v>IE</c:v>
                </c:pt>
                <c:pt idx="9">
                  <c:v>EL</c:v>
                </c:pt>
                <c:pt idx="10">
                  <c:v>ES</c:v>
                </c:pt>
                <c:pt idx="11">
                  <c:v>FR</c:v>
                </c:pt>
                <c:pt idx="12">
                  <c:v>IT</c:v>
                </c:pt>
                <c:pt idx="13">
                  <c:v>CY</c:v>
                </c:pt>
                <c:pt idx="14">
                  <c:v>LV</c:v>
                </c:pt>
                <c:pt idx="15">
                  <c:v>LU</c:v>
                </c:pt>
                <c:pt idx="16">
                  <c:v>HU</c:v>
                </c:pt>
                <c:pt idx="17">
                  <c:v>MT</c:v>
                </c:pt>
                <c:pt idx="18">
                  <c:v>NL</c:v>
                </c:pt>
                <c:pt idx="19">
                  <c:v>AT</c:v>
                </c:pt>
                <c:pt idx="20">
                  <c:v>PL</c:v>
                </c:pt>
                <c:pt idx="21">
                  <c:v>PT</c:v>
                </c:pt>
                <c:pt idx="22">
                  <c:v>RO</c:v>
                </c:pt>
                <c:pt idx="23">
                  <c:v>SI</c:v>
                </c:pt>
                <c:pt idx="24">
                  <c:v>SK</c:v>
                </c:pt>
                <c:pt idx="25">
                  <c:v>FI</c:v>
                </c:pt>
                <c:pt idx="26">
                  <c:v>SE</c:v>
                </c:pt>
                <c:pt idx="27">
                  <c:v>UK</c:v>
                </c:pt>
              </c:strCache>
            </c:strRef>
          </c:cat>
          <c:val>
            <c:numRef>
              <c:f>Sheet1!$B$3:$AC$3</c:f>
              <c:numCache>
                <c:formatCode>General</c:formatCode>
                <c:ptCount val="28"/>
                <c:pt idx="0">
                  <c:v>613799.5</c:v>
                </c:pt>
                <c:pt idx="2">
                  <c:v>57610.2</c:v>
                </c:pt>
                <c:pt idx="6">
                  <c:v>341770</c:v>
                </c:pt>
                <c:pt idx="10">
                  <c:v>186042</c:v>
                </c:pt>
                <c:pt idx="19">
                  <c:v>28377.3</c:v>
                </c:pt>
              </c:numCache>
            </c:numRef>
          </c:val>
        </c:ser>
        <c:ser>
          <c:idx val="2"/>
          <c:order val="2"/>
          <c:tx>
            <c:strRef>
              <c:f>Sheet1!$A$4</c:f>
              <c:strCache>
                <c:ptCount val="1"/>
                <c:pt idx="0">
                  <c:v>Vietinė valdžia</c:v>
                </c:pt>
              </c:strCache>
            </c:strRef>
          </c:tx>
          <c:spPr>
            <a:solidFill>
              <a:srgbClr val="FFFFCC"/>
            </a:solidFill>
            <a:ln w="12697">
              <a:solidFill>
                <a:srgbClr val="000000"/>
              </a:solidFill>
              <a:prstDash val="solid"/>
            </a:ln>
          </c:spPr>
          <c:invertIfNegative val="0"/>
          <c:cat>
            <c:strRef>
              <c:f>Sheet1!$B$1:$AC$1</c:f>
              <c:strCache>
                <c:ptCount val="28"/>
                <c:pt idx="0">
                  <c:v>EU 27</c:v>
                </c:pt>
                <c:pt idx="1">
                  <c:v>LT</c:v>
                </c:pt>
                <c:pt idx="2">
                  <c:v>BE</c:v>
                </c:pt>
                <c:pt idx="3">
                  <c:v>BG</c:v>
                </c:pt>
                <c:pt idx="4">
                  <c:v>CZ</c:v>
                </c:pt>
                <c:pt idx="5">
                  <c:v>DK</c:v>
                </c:pt>
                <c:pt idx="6">
                  <c:v>DE</c:v>
                </c:pt>
                <c:pt idx="7">
                  <c:v>EE</c:v>
                </c:pt>
                <c:pt idx="8">
                  <c:v>IE</c:v>
                </c:pt>
                <c:pt idx="9">
                  <c:v>EL</c:v>
                </c:pt>
                <c:pt idx="10">
                  <c:v>ES</c:v>
                </c:pt>
                <c:pt idx="11">
                  <c:v>FR</c:v>
                </c:pt>
                <c:pt idx="12">
                  <c:v>IT</c:v>
                </c:pt>
                <c:pt idx="13">
                  <c:v>CY</c:v>
                </c:pt>
                <c:pt idx="14">
                  <c:v>LV</c:v>
                </c:pt>
                <c:pt idx="15">
                  <c:v>LU</c:v>
                </c:pt>
                <c:pt idx="16">
                  <c:v>HU</c:v>
                </c:pt>
                <c:pt idx="17">
                  <c:v>MT</c:v>
                </c:pt>
                <c:pt idx="18">
                  <c:v>NL</c:v>
                </c:pt>
                <c:pt idx="19">
                  <c:v>AT</c:v>
                </c:pt>
                <c:pt idx="20">
                  <c:v>PL</c:v>
                </c:pt>
                <c:pt idx="21">
                  <c:v>PT</c:v>
                </c:pt>
                <c:pt idx="22">
                  <c:v>RO</c:v>
                </c:pt>
                <c:pt idx="23">
                  <c:v>SI</c:v>
                </c:pt>
                <c:pt idx="24">
                  <c:v>SK</c:v>
                </c:pt>
                <c:pt idx="25">
                  <c:v>FI</c:v>
                </c:pt>
                <c:pt idx="26">
                  <c:v>SE</c:v>
                </c:pt>
                <c:pt idx="27">
                  <c:v>UK</c:v>
                </c:pt>
              </c:strCache>
            </c:strRef>
          </c:cat>
          <c:val>
            <c:numRef>
              <c:f>Sheet1!$B$4:$AC$4</c:f>
              <c:numCache>
                <c:formatCode>General</c:formatCode>
                <c:ptCount val="28"/>
                <c:pt idx="0">
                  <c:v>1526276.3</c:v>
                </c:pt>
                <c:pt idx="1">
                  <c:v>3109</c:v>
                </c:pt>
                <c:pt idx="2">
                  <c:v>27569.4</c:v>
                </c:pt>
                <c:pt idx="3">
                  <c:v>2700.7</c:v>
                </c:pt>
                <c:pt idx="4">
                  <c:v>15707.6</c:v>
                </c:pt>
                <c:pt idx="5">
                  <c:v>92856.5</c:v>
                </c:pt>
                <c:pt idx="6">
                  <c:v>202630</c:v>
                </c:pt>
                <c:pt idx="7">
                  <c:v>1731.2</c:v>
                </c:pt>
                <c:pt idx="8">
                  <c:v>8494</c:v>
                </c:pt>
                <c:pt idx="9">
                  <c:v>6242</c:v>
                </c:pt>
                <c:pt idx="10">
                  <c:v>61497</c:v>
                </c:pt>
                <c:pt idx="11">
                  <c:v>242484.5</c:v>
                </c:pt>
                <c:pt idx="12">
                  <c:v>236137</c:v>
                </c:pt>
                <c:pt idx="13">
                  <c:v>354.1</c:v>
                </c:pt>
                <c:pt idx="14">
                  <c:v>2208.3000000000002</c:v>
                </c:pt>
                <c:pt idx="15">
                  <c:v>2348</c:v>
                </c:pt>
                <c:pt idx="16">
                  <c:v>9005.4</c:v>
                </c:pt>
                <c:pt idx="17">
                  <c:v>54.4</c:v>
                </c:pt>
                <c:pt idx="18">
                  <c:v>97819</c:v>
                </c:pt>
                <c:pt idx="19">
                  <c:v>24163.5</c:v>
                </c:pt>
                <c:pt idx="20">
                  <c:v>50580.4</c:v>
                </c:pt>
                <c:pt idx="21">
                  <c:v>9862.7999999999993</c:v>
                </c:pt>
                <c:pt idx="22">
                  <c:v>12721.3</c:v>
                </c:pt>
                <c:pt idx="23">
                  <c:v>3394.2</c:v>
                </c:pt>
                <c:pt idx="24">
                  <c:v>4505</c:v>
                </c:pt>
                <c:pt idx="25">
                  <c:v>44802</c:v>
                </c:pt>
                <c:pt idx="26">
                  <c:v>104177.2</c:v>
                </c:pt>
                <c:pt idx="27">
                  <c:v>259121.7</c:v>
                </c:pt>
              </c:numCache>
            </c:numRef>
          </c:val>
        </c:ser>
        <c:ser>
          <c:idx val="3"/>
          <c:order val="3"/>
          <c:tx>
            <c:strRef>
              <c:f>Sheet1!$A$5</c:f>
              <c:strCache>
                <c:ptCount val="1"/>
                <c:pt idx="0">
                  <c:v>Socialinės apsaugos fondai</c:v>
                </c:pt>
              </c:strCache>
            </c:strRef>
          </c:tx>
          <c:spPr>
            <a:solidFill>
              <a:srgbClr val="CCFFFF"/>
            </a:solidFill>
            <a:ln w="12697">
              <a:solidFill>
                <a:srgbClr val="000000"/>
              </a:solidFill>
              <a:prstDash val="solid"/>
            </a:ln>
          </c:spPr>
          <c:invertIfNegative val="0"/>
          <c:cat>
            <c:strRef>
              <c:f>Sheet1!$B$1:$AC$1</c:f>
              <c:strCache>
                <c:ptCount val="28"/>
                <c:pt idx="0">
                  <c:v>EU 27</c:v>
                </c:pt>
                <c:pt idx="1">
                  <c:v>LT</c:v>
                </c:pt>
                <c:pt idx="2">
                  <c:v>BE</c:v>
                </c:pt>
                <c:pt idx="3">
                  <c:v>BG</c:v>
                </c:pt>
                <c:pt idx="4">
                  <c:v>CZ</c:v>
                </c:pt>
                <c:pt idx="5">
                  <c:v>DK</c:v>
                </c:pt>
                <c:pt idx="6">
                  <c:v>DE</c:v>
                </c:pt>
                <c:pt idx="7">
                  <c:v>EE</c:v>
                </c:pt>
                <c:pt idx="8">
                  <c:v>IE</c:v>
                </c:pt>
                <c:pt idx="9">
                  <c:v>EL</c:v>
                </c:pt>
                <c:pt idx="10">
                  <c:v>ES</c:v>
                </c:pt>
                <c:pt idx="11">
                  <c:v>FR</c:v>
                </c:pt>
                <c:pt idx="12">
                  <c:v>IT</c:v>
                </c:pt>
                <c:pt idx="13">
                  <c:v>CY</c:v>
                </c:pt>
                <c:pt idx="14">
                  <c:v>LV</c:v>
                </c:pt>
                <c:pt idx="15">
                  <c:v>LU</c:v>
                </c:pt>
                <c:pt idx="16">
                  <c:v>HU</c:v>
                </c:pt>
                <c:pt idx="17">
                  <c:v>MT</c:v>
                </c:pt>
                <c:pt idx="18">
                  <c:v>NL</c:v>
                </c:pt>
                <c:pt idx="19">
                  <c:v>AT</c:v>
                </c:pt>
                <c:pt idx="20">
                  <c:v>PL</c:v>
                </c:pt>
                <c:pt idx="21">
                  <c:v>PT</c:v>
                </c:pt>
                <c:pt idx="22">
                  <c:v>RO</c:v>
                </c:pt>
                <c:pt idx="23">
                  <c:v>SI</c:v>
                </c:pt>
                <c:pt idx="24">
                  <c:v>SK</c:v>
                </c:pt>
                <c:pt idx="25">
                  <c:v>FI</c:v>
                </c:pt>
                <c:pt idx="26">
                  <c:v>SE</c:v>
                </c:pt>
                <c:pt idx="27">
                  <c:v>UK</c:v>
                </c:pt>
              </c:strCache>
            </c:strRef>
          </c:cat>
          <c:val>
            <c:numRef>
              <c:f>Sheet1!$B$5:$AC$5</c:f>
              <c:numCache>
                <c:formatCode>General</c:formatCode>
                <c:ptCount val="28"/>
                <c:pt idx="0">
                  <c:v>2099412.6</c:v>
                </c:pt>
                <c:pt idx="1">
                  <c:v>4295.5</c:v>
                </c:pt>
                <c:pt idx="2">
                  <c:v>83294.2</c:v>
                </c:pt>
                <c:pt idx="3">
                  <c:v>5656.3</c:v>
                </c:pt>
                <c:pt idx="4">
                  <c:v>9205.5</c:v>
                </c:pt>
                <c:pt idx="5">
                  <c:v>11891.7</c:v>
                </c:pt>
                <c:pt idx="6">
                  <c:v>521330</c:v>
                </c:pt>
                <c:pt idx="7">
                  <c:v>905.6</c:v>
                </c:pt>
                <c:pt idx="8">
                  <c:v>8873.7999999999993</c:v>
                </c:pt>
                <c:pt idx="9">
                  <c:v>43669</c:v>
                </c:pt>
                <c:pt idx="10">
                  <c:v>160405</c:v>
                </c:pt>
                <c:pt idx="11">
                  <c:v>549025.5</c:v>
                </c:pt>
                <c:pt idx="12">
                  <c:v>317970</c:v>
                </c:pt>
                <c:pt idx="13">
                  <c:v>1579.6</c:v>
                </c:pt>
                <c:pt idx="14">
                  <c:v>2014.5</c:v>
                </c:pt>
                <c:pt idx="15">
                  <c:v>7957.8</c:v>
                </c:pt>
                <c:pt idx="16">
                  <c:v>15349.5</c:v>
                </c:pt>
                <c:pt idx="18">
                  <c:v>118279</c:v>
                </c:pt>
                <c:pt idx="19">
                  <c:v>54632.800000000003</c:v>
                </c:pt>
                <c:pt idx="20">
                  <c:v>63186.400000000001</c:v>
                </c:pt>
                <c:pt idx="21">
                  <c:v>22694</c:v>
                </c:pt>
                <c:pt idx="22">
                  <c:v>15856.9</c:v>
                </c:pt>
                <c:pt idx="23">
                  <c:v>6902.6</c:v>
                </c:pt>
                <c:pt idx="24">
                  <c:v>10134.1</c:v>
                </c:pt>
                <c:pt idx="25">
                  <c:v>36719</c:v>
                </c:pt>
                <c:pt idx="26">
                  <c:v>27584</c:v>
                </c:pt>
              </c:numCache>
            </c:numRef>
          </c:val>
        </c:ser>
        <c:dLbls>
          <c:showLegendKey val="0"/>
          <c:showVal val="0"/>
          <c:showCatName val="0"/>
          <c:showSerName val="0"/>
          <c:showPercent val="0"/>
          <c:showBubbleSize val="0"/>
        </c:dLbls>
        <c:gapWidth val="150"/>
        <c:shape val="cylinder"/>
        <c:axId val="127629568"/>
        <c:axId val="127807488"/>
        <c:axId val="0"/>
      </c:bar3DChart>
      <c:catAx>
        <c:axId val="127629568"/>
        <c:scaling>
          <c:orientation val="minMax"/>
        </c:scaling>
        <c:delete val="0"/>
        <c:axPos val="b"/>
        <c:numFmt formatCode="General" sourceLinked="1"/>
        <c:majorTickMark val="out"/>
        <c:minorTickMark val="none"/>
        <c:tickLblPos val="nextTo"/>
        <c:spPr>
          <a:ln w="3174">
            <a:solidFill>
              <a:srgbClr val="000000"/>
            </a:solidFill>
            <a:prstDash val="solid"/>
          </a:ln>
        </c:spPr>
        <c:txPr>
          <a:bodyPr rot="-4140000" vert="horz"/>
          <a:lstStyle/>
          <a:p>
            <a:pPr>
              <a:defRPr sz="800" b="1" i="0" u="none" strike="noStrike" baseline="0">
                <a:solidFill>
                  <a:srgbClr val="000000"/>
                </a:solidFill>
                <a:latin typeface="Calibri"/>
                <a:ea typeface="Calibri"/>
                <a:cs typeface="Calibri"/>
              </a:defRPr>
            </a:pPr>
            <a:endParaRPr lang="en-US"/>
          </a:p>
        </c:txPr>
        <c:crossAx val="127807488"/>
        <c:crosses val="autoZero"/>
        <c:auto val="1"/>
        <c:lblAlgn val="ctr"/>
        <c:lblOffset val="100"/>
        <c:tickLblSkip val="1"/>
        <c:tickMarkSkip val="1"/>
        <c:noMultiLvlLbl val="0"/>
      </c:catAx>
      <c:valAx>
        <c:axId val="127807488"/>
        <c:scaling>
          <c:orientation val="minMax"/>
        </c:scaling>
        <c:delete val="0"/>
        <c:axPos val="l"/>
        <c:majorGridlines>
          <c:spPr>
            <a:ln w="3174">
              <a:solidFill>
                <a:srgbClr val="000000"/>
              </a:solidFill>
              <a:prstDash val="solid"/>
            </a:ln>
          </c:spPr>
        </c:majorGridlines>
        <c:numFmt formatCode="0%" sourceLinked="1"/>
        <c:majorTickMark val="out"/>
        <c:minorTickMark val="none"/>
        <c:tickLblPos val="nextTo"/>
        <c:spPr>
          <a:ln w="3174">
            <a:solidFill>
              <a:srgbClr val="000000"/>
            </a:solidFill>
            <a:prstDash val="solid"/>
          </a:ln>
        </c:spPr>
        <c:txPr>
          <a:bodyPr rot="0" vert="horz"/>
          <a:lstStyle/>
          <a:p>
            <a:pPr>
              <a:defRPr sz="1100" b="0" i="0" u="none" strike="noStrike" baseline="0">
                <a:solidFill>
                  <a:srgbClr val="000000"/>
                </a:solidFill>
                <a:latin typeface="Calibri"/>
                <a:ea typeface="Calibri"/>
                <a:cs typeface="Calibri"/>
              </a:defRPr>
            </a:pPr>
            <a:endParaRPr lang="en-US"/>
          </a:p>
        </c:txPr>
        <c:crossAx val="127629568"/>
        <c:crosses val="autoZero"/>
        <c:crossBetween val="between"/>
      </c:valAx>
      <c:spPr>
        <a:noFill/>
        <a:ln w="25395">
          <a:noFill/>
        </a:ln>
      </c:spPr>
    </c:plotArea>
    <c:legend>
      <c:legendPos val="b"/>
      <c:overlay val="0"/>
      <c:spPr>
        <a:noFill/>
        <a:ln w="3174">
          <a:solidFill>
            <a:srgbClr val="000000"/>
          </a:solidFill>
          <a:prstDash val="solid"/>
        </a:ln>
      </c:spPr>
      <c:txPr>
        <a:bodyPr/>
        <a:lstStyle/>
        <a:p>
          <a:pPr>
            <a:defRPr sz="1000" b="0" i="0" u="none" strike="noStrike" baseline="0">
              <a:solidFill>
                <a:srgbClr val="000000"/>
              </a:solidFill>
              <a:latin typeface="Calibri"/>
              <a:ea typeface="Calibri"/>
              <a:cs typeface="Calibri"/>
            </a:defRPr>
          </a:pPr>
          <a:endParaRPr lang="en-US"/>
        </a:p>
      </c:txPr>
    </c:legend>
    <c:plotVisOnly val="1"/>
    <c:dispBlanksAs val="gap"/>
    <c:showDLblsOverMax val="0"/>
  </c:chart>
  <c:spPr>
    <a:noFill/>
    <a:ln>
      <a:noFill/>
    </a:ln>
  </c:spPr>
  <c:txPr>
    <a:bodyPr/>
    <a:lstStyle/>
    <a:p>
      <a:pPr>
        <a:defRPr sz="1150" b="1" i="0" u="none" strike="noStrike" baseline="0">
          <a:solidFill>
            <a:srgbClr val="000000"/>
          </a:solidFill>
          <a:latin typeface="Calibri"/>
          <a:ea typeface="Calibri"/>
          <a:cs typeface="Calibri"/>
        </a:defRPr>
      </a:pPr>
      <a:endParaRPr lang="en-US"/>
    </a:p>
  </c:txPr>
  <c:externalData r:id="rId2">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0"/>
      <c:hPercent val="58"/>
      <c:rotY val="0"/>
      <c:depthPercent val="100"/>
      <c:rAngAx val="1"/>
    </c:view3D>
    <c:floor>
      <c:thickness val="0"/>
      <c:spPr>
        <a:solidFill>
          <a:srgbClr val="C0C0C0"/>
        </a:solidFill>
        <a:ln w="3175">
          <a:solidFill>
            <a:srgbClr val="000000"/>
          </a:solidFill>
          <a:prstDash val="solid"/>
        </a:ln>
      </c:spPr>
    </c:floor>
    <c:sideWall>
      <c:thickness val="0"/>
      <c:spPr>
        <a:solidFill>
          <a:srgbClr val="FFFFFF"/>
        </a:solidFill>
        <a:ln w="12700">
          <a:solidFill>
            <a:srgbClr val="808080"/>
          </a:solidFill>
          <a:prstDash val="solid"/>
        </a:ln>
      </c:spPr>
    </c:sideWall>
    <c:backWall>
      <c:thickness val="0"/>
      <c:spPr>
        <a:solidFill>
          <a:srgbClr val="FFFFFF"/>
        </a:solidFill>
        <a:ln w="12700">
          <a:solidFill>
            <a:srgbClr val="808080"/>
          </a:solidFill>
          <a:prstDash val="solid"/>
        </a:ln>
      </c:spPr>
    </c:backWall>
    <c:plotArea>
      <c:layout>
        <c:manualLayout>
          <c:layoutTarget val="inner"/>
          <c:xMode val="edge"/>
          <c:yMode val="edge"/>
          <c:x val="8.1959644109462548E-2"/>
          <c:y val="1.5160016604266975E-2"/>
          <c:w val="0.8821864432159926"/>
          <c:h val="0.85981705171101674"/>
        </c:manualLayout>
      </c:layout>
      <c:bar3DChart>
        <c:barDir val="col"/>
        <c:grouping val="clustered"/>
        <c:varyColors val="0"/>
        <c:ser>
          <c:idx val="0"/>
          <c:order val="0"/>
          <c:tx>
            <c:strRef>
              <c:f>Sheet1!$A$2</c:f>
              <c:strCache>
                <c:ptCount val="1"/>
                <c:pt idx="0">
                  <c:v>EU27</c:v>
                </c:pt>
              </c:strCache>
            </c:strRef>
          </c:tx>
          <c:spPr>
            <a:solidFill>
              <a:srgbClr val="000080"/>
            </a:solidFill>
            <a:ln w="12724">
              <a:solidFill>
                <a:srgbClr val="000000"/>
              </a:solidFill>
              <a:prstDash val="solid"/>
            </a:ln>
          </c:spPr>
          <c:invertIfNegative val="0"/>
          <c:dLbls>
            <c:dLbl>
              <c:idx val="2"/>
              <c:layout>
                <c:manualLayout>
                  <c:x val="-1.3399215068253853E-2"/>
                  <c:y val="0"/>
                </c:manualLayout>
              </c:layout>
              <c:showLegendKey val="0"/>
              <c:showVal val="1"/>
              <c:showCatName val="0"/>
              <c:showSerName val="0"/>
              <c:showPercent val="0"/>
              <c:showBubbleSize val="0"/>
            </c:dLbl>
            <c:dLbl>
              <c:idx val="7"/>
              <c:layout>
                <c:manualLayout>
                  <c:x val="-9.5708679058956088E-3"/>
                  <c:y val="0"/>
                </c:manualLayout>
              </c:layout>
              <c:showLegendKey val="0"/>
              <c:showVal val="1"/>
              <c:showCatName val="0"/>
              <c:showSerName val="0"/>
              <c:showPercent val="0"/>
              <c:showBubbleSize val="0"/>
            </c:dLbl>
            <c:txPr>
              <a:bodyPr/>
              <a:lstStyle/>
              <a:p>
                <a:pPr>
                  <a:defRPr sz="900"/>
                </a:pPr>
                <a:endParaRPr lang="en-US"/>
              </a:p>
            </c:txPr>
            <c:showLegendKey val="0"/>
            <c:showVal val="1"/>
            <c:showCatName val="0"/>
            <c:showSerName val="0"/>
            <c:showPercent val="0"/>
            <c:showBubbleSize val="0"/>
            <c:showLeaderLines val="0"/>
          </c:dLbls>
          <c:cat>
            <c:strRef>
              <c:f>Sheet1!$B$1:$K$1</c:f>
              <c:strCache>
                <c:ptCount val="10"/>
                <c:pt idx="0">
                  <c:v>Bendros valstybės paslaugos</c:v>
                </c:pt>
                <c:pt idx="1">
                  <c:v>Gynyba</c:v>
                </c:pt>
                <c:pt idx="2">
                  <c:v>Viešoji tvarka ir visuomenės apsauga</c:v>
                </c:pt>
                <c:pt idx="3">
                  <c:v>Ekonomika</c:v>
                </c:pt>
                <c:pt idx="4">
                  <c:v>Aplinkos apsauga</c:v>
                </c:pt>
                <c:pt idx="5">
                  <c:v>Būstas ir komunalinis ūkis</c:v>
                </c:pt>
                <c:pt idx="6">
                  <c:v>Sveikatos apsauga</c:v>
                </c:pt>
                <c:pt idx="7">
                  <c:v>Poilsis kultūra ir religija</c:v>
                </c:pt>
                <c:pt idx="8">
                  <c:v>Švietimas</c:v>
                </c:pt>
                <c:pt idx="9">
                  <c:v>Socialinė apsauga</c:v>
                </c:pt>
              </c:strCache>
            </c:strRef>
          </c:cat>
          <c:val>
            <c:numRef>
              <c:f>Sheet1!$B$2:$K$2</c:f>
              <c:numCache>
                <c:formatCode>General</c:formatCode>
                <c:ptCount val="10"/>
                <c:pt idx="0">
                  <c:v>4.5</c:v>
                </c:pt>
                <c:pt idx="1">
                  <c:v>1.5</c:v>
                </c:pt>
                <c:pt idx="2">
                  <c:v>1.9</c:v>
                </c:pt>
                <c:pt idx="3">
                  <c:v>4</c:v>
                </c:pt>
                <c:pt idx="4">
                  <c:v>0.9</c:v>
                </c:pt>
                <c:pt idx="5">
                  <c:v>0.9</c:v>
                </c:pt>
                <c:pt idx="6">
                  <c:v>7.3</c:v>
                </c:pt>
                <c:pt idx="7">
                  <c:v>1.1000000000000001</c:v>
                </c:pt>
                <c:pt idx="8">
                  <c:v>5.3</c:v>
                </c:pt>
                <c:pt idx="9">
                  <c:v>19.600000000000001</c:v>
                </c:pt>
              </c:numCache>
            </c:numRef>
          </c:val>
        </c:ser>
        <c:ser>
          <c:idx val="1"/>
          <c:order val="1"/>
          <c:tx>
            <c:strRef>
              <c:f>Sheet1!$A$3</c:f>
              <c:strCache>
                <c:ptCount val="1"/>
                <c:pt idx="0">
                  <c:v>Lietuva</c:v>
                </c:pt>
              </c:strCache>
            </c:strRef>
          </c:tx>
          <c:spPr>
            <a:solidFill>
              <a:srgbClr val="9999FF"/>
            </a:solidFill>
            <a:ln w="12724">
              <a:solidFill>
                <a:srgbClr val="000000"/>
              </a:solidFill>
              <a:prstDash val="solid"/>
            </a:ln>
          </c:spPr>
          <c:invertIfNegative val="0"/>
          <c:dLbls>
            <c:dLbl>
              <c:idx val="4"/>
              <c:layout>
                <c:manualLayout>
                  <c:x val="5.7425207435373654E-3"/>
                  <c:y val="-2.9553262872201037E-2"/>
                </c:manualLayout>
              </c:layout>
              <c:showLegendKey val="0"/>
              <c:showVal val="1"/>
              <c:showCatName val="0"/>
              <c:showSerName val="0"/>
              <c:showPercent val="0"/>
              <c:showBubbleSize val="0"/>
            </c:dLbl>
            <c:dLbl>
              <c:idx val="9"/>
              <c:layout>
                <c:manualLayout>
                  <c:x val="2.6798430136507706E-2"/>
                  <c:y val="9.8510876240669835E-3"/>
                </c:manualLayout>
              </c:layout>
              <c:showLegendKey val="0"/>
              <c:showVal val="1"/>
              <c:showCatName val="0"/>
              <c:showSerName val="0"/>
              <c:showPercent val="0"/>
              <c:showBubbleSize val="0"/>
            </c:dLbl>
            <c:txPr>
              <a:bodyPr/>
              <a:lstStyle/>
              <a:p>
                <a:pPr>
                  <a:defRPr sz="900"/>
                </a:pPr>
                <a:endParaRPr lang="en-US"/>
              </a:p>
            </c:txPr>
            <c:showLegendKey val="0"/>
            <c:showVal val="1"/>
            <c:showCatName val="0"/>
            <c:showSerName val="0"/>
            <c:showPercent val="0"/>
            <c:showBubbleSize val="0"/>
            <c:showLeaderLines val="0"/>
          </c:dLbls>
          <c:cat>
            <c:strRef>
              <c:f>Sheet1!$B$1:$K$1</c:f>
              <c:strCache>
                <c:ptCount val="10"/>
                <c:pt idx="0">
                  <c:v>Bendros valstybės paslaugos</c:v>
                </c:pt>
                <c:pt idx="1">
                  <c:v>Gynyba</c:v>
                </c:pt>
                <c:pt idx="2">
                  <c:v>Viešoji tvarka ir visuomenės apsauga</c:v>
                </c:pt>
                <c:pt idx="3">
                  <c:v>Ekonomika</c:v>
                </c:pt>
                <c:pt idx="4">
                  <c:v>Aplinkos apsauga</c:v>
                </c:pt>
                <c:pt idx="5">
                  <c:v>Būstas ir komunalinis ūkis</c:v>
                </c:pt>
                <c:pt idx="6">
                  <c:v>Sveikatos apsauga</c:v>
                </c:pt>
                <c:pt idx="7">
                  <c:v>Poilsis kultūra ir religija</c:v>
                </c:pt>
                <c:pt idx="8">
                  <c:v>Švietimas</c:v>
                </c:pt>
                <c:pt idx="9">
                  <c:v>Socialinė apsauga</c:v>
                </c:pt>
              </c:strCache>
            </c:strRef>
          </c:cat>
          <c:val>
            <c:numRef>
              <c:f>Sheet1!$B$3:$K$3</c:f>
              <c:numCache>
                <c:formatCode>General</c:formatCode>
                <c:ptCount val="10"/>
                <c:pt idx="0">
                  <c:v>6.6</c:v>
                </c:pt>
                <c:pt idx="1">
                  <c:v>1.1000000000000001</c:v>
                </c:pt>
                <c:pt idx="2">
                  <c:v>1.9</c:v>
                </c:pt>
                <c:pt idx="3">
                  <c:v>4</c:v>
                </c:pt>
                <c:pt idx="4">
                  <c:v>0.9</c:v>
                </c:pt>
                <c:pt idx="5">
                  <c:v>0.3</c:v>
                </c:pt>
                <c:pt idx="6">
                  <c:v>6.7</c:v>
                </c:pt>
                <c:pt idx="7">
                  <c:v>1</c:v>
                </c:pt>
                <c:pt idx="8">
                  <c:v>5.8</c:v>
                </c:pt>
                <c:pt idx="9">
                  <c:v>12.6</c:v>
                </c:pt>
              </c:numCache>
            </c:numRef>
          </c:val>
        </c:ser>
        <c:ser>
          <c:idx val="2"/>
          <c:order val="2"/>
          <c:tx>
            <c:strRef>
              <c:f>Sheet1!$A$4</c:f>
              <c:strCache>
                <c:ptCount val="1"/>
                <c:pt idx="0">
                  <c:v>EU27 subnacionalinės valdžios institucijos</c:v>
                </c:pt>
              </c:strCache>
            </c:strRef>
          </c:tx>
          <c:spPr>
            <a:solidFill>
              <a:srgbClr val="993366"/>
            </a:solidFill>
            <a:ln w="12724">
              <a:solidFill>
                <a:srgbClr val="000000"/>
              </a:solidFill>
              <a:prstDash val="solid"/>
            </a:ln>
          </c:spPr>
          <c:invertIfNegative val="0"/>
          <c:dLbls>
            <c:txPr>
              <a:bodyPr/>
              <a:lstStyle/>
              <a:p>
                <a:pPr>
                  <a:defRPr sz="900"/>
                </a:pPr>
                <a:endParaRPr lang="en-US"/>
              </a:p>
            </c:txPr>
            <c:showLegendKey val="0"/>
            <c:showVal val="1"/>
            <c:showCatName val="0"/>
            <c:showSerName val="0"/>
            <c:showPercent val="0"/>
            <c:showBubbleSize val="0"/>
            <c:showLeaderLines val="0"/>
          </c:dLbls>
          <c:cat>
            <c:strRef>
              <c:f>Sheet1!$B$1:$K$1</c:f>
              <c:strCache>
                <c:ptCount val="10"/>
                <c:pt idx="0">
                  <c:v>Bendros valstybės paslaugos</c:v>
                </c:pt>
                <c:pt idx="1">
                  <c:v>Gynyba</c:v>
                </c:pt>
                <c:pt idx="2">
                  <c:v>Viešoji tvarka ir visuomenės apsauga</c:v>
                </c:pt>
                <c:pt idx="3">
                  <c:v>Ekonomika</c:v>
                </c:pt>
                <c:pt idx="4">
                  <c:v>Aplinkos apsauga</c:v>
                </c:pt>
                <c:pt idx="5">
                  <c:v>Būstas ir komunalinis ūkis</c:v>
                </c:pt>
                <c:pt idx="6">
                  <c:v>Sveikatos apsauga</c:v>
                </c:pt>
                <c:pt idx="7">
                  <c:v>Poilsis kultūra ir religija</c:v>
                </c:pt>
                <c:pt idx="8">
                  <c:v>Švietimas</c:v>
                </c:pt>
                <c:pt idx="9">
                  <c:v>Socialinė apsauga</c:v>
                </c:pt>
              </c:strCache>
            </c:strRef>
          </c:cat>
          <c:val>
            <c:numRef>
              <c:f>Sheet1!$B$4:$K$4</c:f>
              <c:numCache>
                <c:formatCode>General</c:formatCode>
                <c:ptCount val="10"/>
                <c:pt idx="0">
                  <c:v>2.7</c:v>
                </c:pt>
                <c:pt idx="1">
                  <c:v>0</c:v>
                </c:pt>
                <c:pt idx="2">
                  <c:v>0.8</c:v>
                </c:pt>
                <c:pt idx="3">
                  <c:v>2</c:v>
                </c:pt>
                <c:pt idx="4">
                  <c:v>0.6</c:v>
                </c:pt>
                <c:pt idx="5">
                  <c:v>0.8</c:v>
                </c:pt>
                <c:pt idx="6">
                  <c:v>2.2000000000000002</c:v>
                </c:pt>
                <c:pt idx="7">
                  <c:v>0.8</c:v>
                </c:pt>
                <c:pt idx="8">
                  <c:v>3.5</c:v>
                </c:pt>
                <c:pt idx="9">
                  <c:v>3.3</c:v>
                </c:pt>
              </c:numCache>
            </c:numRef>
          </c:val>
        </c:ser>
        <c:ser>
          <c:idx val="3"/>
          <c:order val="3"/>
          <c:tx>
            <c:strRef>
              <c:f>Sheet1!$A$5</c:f>
              <c:strCache>
                <c:ptCount val="1"/>
                <c:pt idx="0">
                  <c:v>Lietuvos vietinė valdžia</c:v>
                </c:pt>
              </c:strCache>
            </c:strRef>
          </c:tx>
          <c:spPr>
            <a:solidFill>
              <a:srgbClr val="FF00FF"/>
            </a:solidFill>
            <a:ln w="12724">
              <a:solidFill>
                <a:srgbClr val="000000"/>
              </a:solidFill>
              <a:prstDash val="solid"/>
            </a:ln>
          </c:spPr>
          <c:invertIfNegative val="0"/>
          <c:dLbls>
            <c:dLbl>
              <c:idx val="4"/>
              <c:layout>
                <c:manualLayout>
                  <c:x val="1.1485041487074731E-2"/>
                  <c:y val="4.1867122402284677E-2"/>
                </c:manualLayout>
              </c:layout>
              <c:showLegendKey val="0"/>
              <c:showVal val="1"/>
              <c:showCatName val="0"/>
              <c:showSerName val="0"/>
              <c:showPercent val="0"/>
              <c:showBubbleSize val="0"/>
            </c:dLbl>
            <c:dLbl>
              <c:idx val="8"/>
              <c:layout>
                <c:manualLayout>
                  <c:x val="1.5313388649432975E-2"/>
                  <c:y val="4.1867122402284677E-2"/>
                </c:manualLayout>
              </c:layout>
              <c:showLegendKey val="0"/>
              <c:showVal val="1"/>
              <c:showCatName val="0"/>
              <c:showSerName val="0"/>
              <c:showPercent val="0"/>
              <c:showBubbleSize val="0"/>
            </c:dLbl>
            <c:txPr>
              <a:bodyPr/>
              <a:lstStyle/>
              <a:p>
                <a:pPr>
                  <a:defRPr sz="900"/>
                </a:pPr>
                <a:endParaRPr lang="en-US"/>
              </a:p>
            </c:txPr>
            <c:showLegendKey val="0"/>
            <c:showVal val="1"/>
            <c:showCatName val="0"/>
            <c:showSerName val="0"/>
            <c:showPercent val="0"/>
            <c:showBubbleSize val="0"/>
            <c:showLeaderLines val="0"/>
          </c:dLbls>
          <c:cat>
            <c:strRef>
              <c:f>Sheet1!$B$1:$K$1</c:f>
              <c:strCache>
                <c:ptCount val="10"/>
                <c:pt idx="0">
                  <c:v>Bendros valstybės paslaugos</c:v>
                </c:pt>
                <c:pt idx="1">
                  <c:v>Gynyba</c:v>
                </c:pt>
                <c:pt idx="2">
                  <c:v>Viešoji tvarka ir visuomenės apsauga</c:v>
                </c:pt>
                <c:pt idx="3">
                  <c:v>Ekonomika</c:v>
                </c:pt>
                <c:pt idx="4">
                  <c:v>Aplinkos apsauga</c:v>
                </c:pt>
                <c:pt idx="5">
                  <c:v>Būstas ir komunalinis ūkis</c:v>
                </c:pt>
                <c:pt idx="6">
                  <c:v>Sveikatos apsauga</c:v>
                </c:pt>
                <c:pt idx="7">
                  <c:v>Poilsis kultūra ir religija</c:v>
                </c:pt>
                <c:pt idx="8">
                  <c:v>Švietimas</c:v>
                </c:pt>
                <c:pt idx="9">
                  <c:v>Socialinė apsauga</c:v>
                </c:pt>
              </c:strCache>
            </c:strRef>
          </c:cat>
          <c:val>
            <c:numRef>
              <c:f>Sheet1!$B$5:$K$5</c:f>
              <c:numCache>
                <c:formatCode>General</c:formatCode>
                <c:ptCount val="10"/>
                <c:pt idx="0">
                  <c:v>0.6</c:v>
                </c:pt>
                <c:pt idx="1">
                  <c:v>0</c:v>
                </c:pt>
                <c:pt idx="2">
                  <c:v>0.3</c:v>
                </c:pt>
                <c:pt idx="3">
                  <c:v>0.8</c:v>
                </c:pt>
                <c:pt idx="4">
                  <c:v>0.8</c:v>
                </c:pt>
                <c:pt idx="5">
                  <c:v>0.3</c:v>
                </c:pt>
                <c:pt idx="6">
                  <c:v>1.9</c:v>
                </c:pt>
                <c:pt idx="7">
                  <c:v>0.5</c:v>
                </c:pt>
                <c:pt idx="8">
                  <c:v>3.6</c:v>
                </c:pt>
                <c:pt idx="9">
                  <c:v>1.4</c:v>
                </c:pt>
              </c:numCache>
            </c:numRef>
          </c:val>
        </c:ser>
        <c:dLbls>
          <c:showLegendKey val="0"/>
          <c:showVal val="1"/>
          <c:showCatName val="0"/>
          <c:showSerName val="0"/>
          <c:showPercent val="0"/>
          <c:showBubbleSize val="0"/>
        </c:dLbls>
        <c:gapWidth val="150"/>
        <c:shape val="cylinder"/>
        <c:axId val="147933440"/>
        <c:axId val="147968000"/>
        <c:axId val="0"/>
      </c:bar3DChart>
      <c:catAx>
        <c:axId val="147933440"/>
        <c:scaling>
          <c:orientation val="minMax"/>
        </c:scaling>
        <c:delete val="0"/>
        <c:axPos val="b"/>
        <c:numFmt formatCode="General" sourceLinked="1"/>
        <c:majorTickMark val="none"/>
        <c:minorTickMark val="none"/>
        <c:tickLblPos val="low"/>
        <c:spPr>
          <a:ln w="3180">
            <a:solidFill>
              <a:srgbClr val="000000"/>
            </a:solidFill>
            <a:prstDash val="solid"/>
          </a:ln>
        </c:spPr>
        <c:txPr>
          <a:bodyPr rot="0" vert="horz"/>
          <a:lstStyle/>
          <a:p>
            <a:pPr>
              <a:defRPr sz="800" b="0" i="0" u="none" strike="noStrike" baseline="0">
                <a:solidFill>
                  <a:srgbClr val="000000"/>
                </a:solidFill>
                <a:latin typeface="+mn-lt"/>
                <a:ea typeface="Times New Roman"/>
                <a:cs typeface="Times New Roman"/>
              </a:defRPr>
            </a:pPr>
            <a:endParaRPr lang="en-US"/>
          </a:p>
        </c:txPr>
        <c:crossAx val="147968000"/>
        <c:crosses val="autoZero"/>
        <c:auto val="1"/>
        <c:lblAlgn val="ctr"/>
        <c:lblOffset val="100"/>
        <c:tickLblSkip val="1"/>
        <c:tickMarkSkip val="1"/>
        <c:noMultiLvlLbl val="0"/>
      </c:catAx>
      <c:valAx>
        <c:axId val="147968000"/>
        <c:scaling>
          <c:orientation val="minMax"/>
          <c:max val="14"/>
        </c:scaling>
        <c:delete val="0"/>
        <c:axPos val="l"/>
        <c:majorGridlines>
          <c:spPr>
            <a:ln w="3180">
              <a:solidFill>
                <a:srgbClr val="000000"/>
              </a:solidFill>
              <a:prstDash val="solid"/>
            </a:ln>
          </c:spPr>
        </c:majorGridlines>
        <c:title>
          <c:tx>
            <c:rich>
              <a:bodyPr/>
              <a:lstStyle/>
              <a:p>
                <a:pPr>
                  <a:defRPr/>
                </a:pPr>
                <a:r>
                  <a:rPr lang="lt-LT" sz="1050" b="0"/>
                  <a:t>proc.</a:t>
                </a:r>
                <a:endParaRPr lang="en-US" sz="1050" b="0"/>
              </a:p>
            </c:rich>
          </c:tx>
          <c:overlay val="0"/>
        </c:title>
        <c:numFmt formatCode="General" sourceLinked="1"/>
        <c:majorTickMark val="out"/>
        <c:minorTickMark val="none"/>
        <c:tickLblPos val="nextTo"/>
        <c:spPr>
          <a:ln w="3180">
            <a:solidFill>
              <a:srgbClr val="000000"/>
            </a:solidFill>
            <a:prstDash val="solid"/>
          </a:ln>
        </c:spPr>
        <c:txPr>
          <a:bodyPr rot="0" vert="horz"/>
          <a:lstStyle/>
          <a:p>
            <a:pPr>
              <a:defRPr sz="975" b="0" i="0" u="none" strike="noStrike" baseline="0">
                <a:solidFill>
                  <a:srgbClr val="000000"/>
                </a:solidFill>
                <a:latin typeface="Calibri"/>
                <a:ea typeface="Calibri"/>
                <a:cs typeface="Calibri"/>
              </a:defRPr>
            </a:pPr>
            <a:endParaRPr lang="en-US"/>
          </a:p>
        </c:txPr>
        <c:crossAx val="147933440"/>
        <c:crosses val="autoZero"/>
        <c:crossBetween val="between"/>
      </c:valAx>
      <c:spPr>
        <a:noFill/>
        <a:ln w="25396">
          <a:noFill/>
        </a:ln>
      </c:spPr>
    </c:plotArea>
    <c:legend>
      <c:legendPos val="r"/>
      <c:layout>
        <c:manualLayout>
          <c:xMode val="edge"/>
          <c:yMode val="edge"/>
          <c:x val="7.8469516569944331E-2"/>
          <c:y val="0.90961015008259105"/>
          <c:w val="0.87616075844510888"/>
          <c:h val="6.7556727822815257E-2"/>
        </c:manualLayout>
      </c:layout>
      <c:overlay val="0"/>
      <c:spPr>
        <a:noFill/>
        <a:ln w="3180">
          <a:solidFill>
            <a:srgbClr val="000000"/>
          </a:solidFill>
          <a:prstDash val="solid"/>
        </a:ln>
      </c:spPr>
      <c:txPr>
        <a:bodyPr/>
        <a:lstStyle/>
        <a:p>
          <a:pPr>
            <a:defRPr sz="897" b="0" i="0" u="none" strike="noStrike" baseline="0">
              <a:solidFill>
                <a:srgbClr val="000000"/>
              </a:solidFill>
              <a:latin typeface="Calibri"/>
              <a:ea typeface="Calibri"/>
              <a:cs typeface="Calibri"/>
            </a:defRPr>
          </a:pPr>
          <a:endParaRPr lang="en-US"/>
        </a:p>
      </c:txPr>
    </c:legend>
    <c:plotVisOnly val="1"/>
    <c:dispBlanksAs val="gap"/>
    <c:showDLblsOverMax val="0"/>
  </c:chart>
  <c:spPr>
    <a:noFill/>
    <a:ln>
      <a:noFill/>
    </a:ln>
  </c:spPr>
  <c:txPr>
    <a:bodyPr/>
    <a:lstStyle/>
    <a:p>
      <a:pPr>
        <a:defRPr sz="1880" b="1" i="0" u="none" strike="noStrike" baseline="0">
          <a:solidFill>
            <a:srgbClr val="000000"/>
          </a:solidFill>
          <a:latin typeface="Calibri"/>
          <a:ea typeface="Calibri"/>
          <a:cs typeface="Calibri"/>
        </a:defRPr>
      </a:pPr>
      <a:endParaRPr lang="en-US"/>
    </a:p>
  </c:txPr>
  <c:externalData r:id="rId2">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474881185095482"/>
          <c:y val="3.9295003330914895E-2"/>
          <c:w val="0.79246265910496683"/>
          <c:h val="0.8082049666868566"/>
        </c:manualLayout>
      </c:layout>
      <c:scatterChart>
        <c:scatterStyle val="lineMarker"/>
        <c:varyColors val="0"/>
        <c:ser>
          <c:idx val="0"/>
          <c:order val="0"/>
          <c:tx>
            <c:strRef>
              <c:f>Sheet1!$B$1</c:f>
              <c:strCache>
                <c:ptCount val="1"/>
                <c:pt idx="0">
                  <c:v>Y-Values</c:v>
                </c:pt>
              </c:strCache>
            </c:strRef>
          </c:tx>
          <c:spPr>
            <a:ln w="28575">
              <a:noFill/>
            </a:ln>
          </c:spPr>
          <c:trendline>
            <c:trendlineType val="linear"/>
            <c:dispRSqr val="0"/>
            <c:dispEq val="0"/>
          </c:trendline>
          <c:xVal>
            <c:numRef>
              <c:f>Sheet1!$A$2:$A$29</c:f>
              <c:numCache>
                <c:formatCode>General</c:formatCode>
                <c:ptCount val="28"/>
                <c:pt idx="0">
                  <c:v>49.3</c:v>
                </c:pt>
                <c:pt idx="1">
                  <c:v>36.1</c:v>
                </c:pt>
                <c:pt idx="2">
                  <c:v>55</c:v>
                </c:pt>
                <c:pt idx="3">
                  <c:v>35.9</c:v>
                </c:pt>
                <c:pt idx="4">
                  <c:v>44.5</c:v>
                </c:pt>
                <c:pt idx="5">
                  <c:v>59.4</c:v>
                </c:pt>
                <c:pt idx="6">
                  <c:v>44.7</c:v>
                </c:pt>
                <c:pt idx="7">
                  <c:v>39.5</c:v>
                </c:pt>
                <c:pt idx="8">
                  <c:v>42.6</c:v>
                </c:pt>
                <c:pt idx="9">
                  <c:v>53.6</c:v>
                </c:pt>
                <c:pt idx="10">
                  <c:v>47.8</c:v>
                </c:pt>
                <c:pt idx="11">
                  <c:v>56.6</c:v>
                </c:pt>
                <c:pt idx="12">
                  <c:v>50.6</c:v>
                </c:pt>
                <c:pt idx="13">
                  <c:v>45.3</c:v>
                </c:pt>
                <c:pt idx="14">
                  <c:v>36.5</c:v>
                </c:pt>
                <c:pt idx="15">
                  <c:v>44.3</c:v>
                </c:pt>
                <c:pt idx="16">
                  <c:v>48.7</c:v>
                </c:pt>
                <c:pt idx="17">
                  <c:v>43.3</c:v>
                </c:pt>
                <c:pt idx="18">
                  <c:v>50.4</c:v>
                </c:pt>
                <c:pt idx="19">
                  <c:v>51.7</c:v>
                </c:pt>
                <c:pt idx="20">
                  <c:v>42.2</c:v>
                </c:pt>
                <c:pt idx="21">
                  <c:v>47.4</c:v>
                </c:pt>
                <c:pt idx="22">
                  <c:v>36.6</c:v>
                </c:pt>
                <c:pt idx="23">
                  <c:v>48.1</c:v>
                </c:pt>
                <c:pt idx="24">
                  <c:v>37.799999999999997</c:v>
                </c:pt>
                <c:pt idx="25">
                  <c:v>56.6</c:v>
                </c:pt>
                <c:pt idx="26">
                  <c:v>52</c:v>
                </c:pt>
                <c:pt idx="27">
                  <c:v>47.9</c:v>
                </c:pt>
              </c:numCache>
            </c:numRef>
          </c:xVal>
          <c:yVal>
            <c:numRef>
              <c:f>Sheet1!$B$2:$B$29</c:f>
              <c:numCache>
                <c:formatCode>General</c:formatCode>
                <c:ptCount val="28"/>
                <c:pt idx="0">
                  <c:v>28.9</c:v>
                </c:pt>
                <c:pt idx="1">
                  <c:v>26.2</c:v>
                </c:pt>
                <c:pt idx="2">
                  <c:v>37</c:v>
                </c:pt>
                <c:pt idx="3">
                  <c:v>18.899999999999999</c:v>
                </c:pt>
                <c:pt idx="4">
                  <c:v>23.1</c:v>
                </c:pt>
                <c:pt idx="5">
                  <c:v>63.7</c:v>
                </c:pt>
                <c:pt idx="6">
                  <c:v>37.6</c:v>
                </c:pt>
                <c:pt idx="7">
                  <c:v>25.2</c:v>
                </c:pt>
                <c:pt idx="8">
                  <c:v>12.2</c:v>
                </c:pt>
                <c:pt idx="9">
                  <c:v>6</c:v>
                </c:pt>
                <c:pt idx="10">
                  <c:v>47.9</c:v>
                </c:pt>
                <c:pt idx="11">
                  <c:v>21.1</c:v>
                </c:pt>
                <c:pt idx="12">
                  <c:v>29.8</c:v>
                </c:pt>
                <c:pt idx="13">
                  <c:v>4.4000000000000004</c:v>
                </c:pt>
                <c:pt idx="14">
                  <c:v>27.2</c:v>
                </c:pt>
                <c:pt idx="15">
                  <c:v>12.4</c:v>
                </c:pt>
                <c:pt idx="16">
                  <c:v>19.100000000000001</c:v>
                </c:pt>
                <c:pt idx="17">
                  <c:v>1.8</c:v>
                </c:pt>
                <c:pt idx="18">
                  <c:v>32.4</c:v>
                </c:pt>
                <c:pt idx="19">
                  <c:v>34.799999999999997</c:v>
                </c:pt>
                <c:pt idx="20">
                  <c:v>31.4</c:v>
                </c:pt>
                <c:pt idx="21">
                  <c:v>12.6</c:v>
                </c:pt>
                <c:pt idx="22">
                  <c:v>26.4</c:v>
                </c:pt>
                <c:pt idx="23">
                  <c:v>20</c:v>
                </c:pt>
                <c:pt idx="24">
                  <c:v>16.8</c:v>
                </c:pt>
                <c:pt idx="25">
                  <c:v>41.1</c:v>
                </c:pt>
                <c:pt idx="26">
                  <c:v>49.2</c:v>
                </c:pt>
                <c:pt idx="27">
                  <c:v>28</c:v>
                </c:pt>
              </c:numCache>
            </c:numRef>
          </c:yVal>
          <c:smooth val="0"/>
        </c:ser>
        <c:dLbls>
          <c:showLegendKey val="0"/>
          <c:showVal val="0"/>
          <c:showCatName val="0"/>
          <c:showSerName val="0"/>
          <c:showPercent val="0"/>
          <c:showBubbleSize val="0"/>
        </c:dLbls>
        <c:axId val="148189952"/>
        <c:axId val="148191488"/>
      </c:scatterChart>
      <c:valAx>
        <c:axId val="148189952"/>
        <c:scaling>
          <c:orientation val="minMax"/>
          <c:min val="35"/>
        </c:scaling>
        <c:delete val="0"/>
        <c:axPos val="b"/>
        <c:numFmt formatCode="General" sourceLinked="1"/>
        <c:majorTickMark val="out"/>
        <c:minorTickMark val="none"/>
        <c:tickLblPos val="nextTo"/>
        <c:crossAx val="148191488"/>
        <c:crosses val="autoZero"/>
        <c:crossBetween val="midCat"/>
      </c:valAx>
      <c:valAx>
        <c:axId val="148191488"/>
        <c:scaling>
          <c:orientation val="minMax"/>
        </c:scaling>
        <c:delete val="0"/>
        <c:axPos val="l"/>
        <c:majorGridlines/>
        <c:numFmt formatCode="General" sourceLinked="1"/>
        <c:majorTickMark val="out"/>
        <c:minorTickMark val="none"/>
        <c:tickLblPos val="nextTo"/>
        <c:crossAx val="148189952"/>
        <c:crosses val="autoZero"/>
        <c:crossBetween val="midCat"/>
      </c:valAx>
    </c:plotArea>
    <c:plotVisOnly val="1"/>
    <c:dispBlanksAs val="gap"/>
    <c:showDLblsOverMax val="0"/>
  </c:chart>
  <c:txPr>
    <a:bodyPr/>
    <a:lstStyle/>
    <a:p>
      <a:pPr>
        <a:defRPr b="0">
          <a:latin typeface="Times New Roman" pitchFamily="18" charset="0"/>
          <a:cs typeface="Times New Roman" pitchFamily="18" charset="0"/>
        </a:defRPr>
      </a:pPr>
      <a:endParaRPr lang="en-US"/>
    </a:p>
  </c:tx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0"/>
      <c:rotY val="0"/>
      <c:depthPercent val="100"/>
      <c:rAngAx val="0"/>
      <c:perspective val="30"/>
    </c:view3D>
    <c:floor>
      <c:thickness val="0"/>
    </c:floor>
    <c:sideWall>
      <c:thickness val="0"/>
      <c:spPr>
        <a:scene3d>
          <a:camera prst="orthographicFront"/>
          <a:lightRig rig="threePt" dir="t"/>
        </a:scene3d>
        <a:sp3d>
          <a:bevelB/>
        </a:sp3d>
      </c:spPr>
    </c:sideWall>
    <c:backWall>
      <c:thickness val="0"/>
      <c:spPr>
        <a:scene3d>
          <a:camera prst="orthographicFront"/>
          <a:lightRig rig="threePt" dir="t"/>
        </a:scene3d>
        <a:sp3d>
          <a:bevelB/>
        </a:sp3d>
      </c:spPr>
    </c:backWall>
    <c:plotArea>
      <c:layout>
        <c:manualLayout>
          <c:layoutTarget val="inner"/>
          <c:xMode val="edge"/>
          <c:yMode val="edge"/>
          <c:x val="8.4627300869609887E-2"/>
          <c:y val="4.8188019466316713E-2"/>
          <c:w val="0.89175459103501131"/>
          <c:h val="0.7650940863662401"/>
        </c:manualLayout>
      </c:layout>
      <c:bar3DChart>
        <c:barDir val="col"/>
        <c:grouping val="clustered"/>
        <c:varyColors val="0"/>
        <c:ser>
          <c:idx val="0"/>
          <c:order val="0"/>
          <c:tx>
            <c:strRef>
              <c:f>Sheet1!$B$1</c:f>
              <c:strCache>
                <c:ptCount val="1"/>
                <c:pt idx="0">
                  <c:v>Valstybės biudžeto išlaidų dalis BVP</c:v>
                </c:pt>
              </c:strCache>
            </c:strRef>
          </c:tx>
          <c:invertIfNegative val="0"/>
          <c:dLbls>
            <c:showLegendKey val="0"/>
            <c:showVal val="1"/>
            <c:showCatName val="0"/>
            <c:showSerName val="0"/>
            <c:showPercent val="0"/>
            <c:showBubbleSize val="0"/>
            <c:showLeaderLines val="0"/>
          </c:dLbls>
          <c:cat>
            <c:numRef>
              <c:f>Sheet1!$A$2:$A$6</c:f>
              <c:numCache>
                <c:formatCode>General</c:formatCode>
                <c:ptCount val="5"/>
                <c:pt idx="0">
                  <c:v>2008</c:v>
                </c:pt>
                <c:pt idx="1">
                  <c:v>2009</c:v>
                </c:pt>
                <c:pt idx="2">
                  <c:v>2010</c:v>
                </c:pt>
                <c:pt idx="3">
                  <c:v>2011</c:v>
                </c:pt>
                <c:pt idx="4">
                  <c:v>2012</c:v>
                </c:pt>
              </c:numCache>
            </c:numRef>
          </c:cat>
          <c:val>
            <c:numRef>
              <c:f>Sheet1!$B$2:$B$6</c:f>
              <c:numCache>
                <c:formatCode>General</c:formatCode>
                <c:ptCount val="5"/>
                <c:pt idx="0">
                  <c:v>22</c:v>
                </c:pt>
                <c:pt idx="1">
                  <c:v>26.7</c:v>
                </c:pt>
                <c:pt idx="2">
                  <c:v>25.6</c:v>
                </c:pt>
                <c:pt idx="3">
                  <c:v>23.5</c:v>
                </c:pt>
                <c:pt idx="4">
                  <c:v>21.4</c:v>
                </c:pt>
              </c:numCache>
            </c:numRef>
          </c:val>
        </c:ser>
        <c:ser>
          <c:idx val="1"/>
          <c:order val="1"/>
          <c:tx>
            <c:strRef>
              <c:f>Sheet1!$C$1</c:f>
              <c:strCache>
                <c:ptCount val="1"/>
                <c:pt idx="0">
                  <c:v>Savivaldybių biudžeto išlaidų dalis BVP</c:v>
                </c:pt>
              </c:strCache>
            </c:strRef>
          </c:tx>
          <c:invertIfNegative val="0"/>
          <c:dLbls>
            <c:showLegendKey val="0"/>
            <c:showVal val="1"/>
            <c:showCatName val="0"/>
            <c:showSerName val="0"/>
            <c:showPercent val="0"/>
            <c:showBubbleSize val="0"/>
            <c:showLeaderLines val="0"/>
          </c:dLbls>
          <c:cat>
            <c:numRef>
              <c:f>Sheet1!$A$2:$A$6</c:f>
              <c:numCache>
                <c:formatCode>General</c:formatCode>
                <c:ptCount val="5"/>
                <c:pt idx="0">
                  <c:v>2008</c:v>
                </c:pt>
                <c:pt idx="1">
                  <c:v>2009</c:v>
                </c:pt>
                <c:pt idx="2">
                  <c:v>2010</c:v>
                </c:pt>
                <c:pt idx="3">
                  <c:v>2011</c:v>
                </c:pt>
                <c:pt idx="4">
                  <c:v>2012</c:v>
                </c:pt>
              </c:numCache>
            </c:numRef>
          </c:cat>
          <c:val>
            <c:numRef>
              <c:f>Sheet1!$C$2:$C$6</c:f>
              <c:numCache>
                <c:formatCode>General</c:formatCode>
                <c:ptCount val="5"/>
                <c:pt idx="0">
                  <c:v>6.3</c:v>
                </c:pt>
                <c:pt idx="1">
                  <c:v>7.4</c:v>
                </c:pt>
                <c:pt idx="2">
                  <c:v>7.1</c:v>
                </c:pt>
                <c:pt idx="3">
                  <c:v>6.9</c:v>
                </c:pt>
                <c:pt idx="4">
                  <c:v>6.4</c:v>
                </c:pt>
              </c:numCache>
            </c:numRef>
          </c:val>
        </c:ser>
        <c:dLbls>
          <c:showLegendKey val="0"/>
          <c:showVal val="0"/>
          <c:showCatName val="0"/>
          <c:showSerName val="0"/>
          <c:showPercent val="0"/>
          <c:showBubbleSize val="0"/>
        </c:dLbls>
        <c:gapWidth val="150"/>
        <c:shape val="cylinder"/>
        <c:axId val="124426112"/>
        <c:axId val="124427648"/>
        <c:axId val="0"/>
      </c:bar3DChart>
      <c:catAx>
        <c:axId val="124426112"/>
        <c:scaling>
          <c:orientation val="minMax"/>
        </c:scaling>
        <c:delete val="0"/>
        <c:axPos val="b"/>
        <c:numFmt formatCode="General" sourceLinked="1"/>
        <c:majorTickMark val="out"/>
        <c:minorTickMark val="none"/>
        <c:tickLblPos val="nextTo"/>
        <c:crossAx val="124427648"/>
        <c:crosses val="autoZero"/>
        <c:auto val="1"/>
        <c:lblAlgn val="ctr"/>
        <c:lblOffset val="100"/>
        <c:noMultiLvlLbl val="0"/>
      </c:catAx>
      <c:valAx>
        <c:axId val="124427648"/>
        <c:scaling>
          <c:orientation val="minMax"/>
        </c:scaling>
        <c:delete val="0"/>
        <c:axPos val="l"/>
        <c:majorGridlines/>
        <c:numFmt formatCode="General" sourceLinked="1"/>
        <c:majorTickMark val="out"/>
        <c:minorTickMark val="none"/>
        <c:tickLblPos val="nextTo"/>
        <c:crossAx val="124426112"/>
        <c:crosses val="autoZero"/>
        <c:crossBetween val="between"/>
      </c:valAx>
      <c:spPr>
        <a:noFill/>
        <a:ln w="25393">
          <a:noFill/>
        </a:ln>
      </c:spPr>
    </c:plotArea>
    <c:legend>
      <c:legendPos val="b"/>
      <c:overlay val="0"/>
    </c:legend>
    <c:plotVisOnly val="1"/>
    <c:dispBlanksAs val="gap"/>
    <c:showDLblsOverMax val="0"/>
  </c:chart>
  <c:externalData r:id="rId2">
    <c:autoUpdate val="0"/>
  </c:externalData>
  <c:userShapes r:id="rId3"/>
</c:chartSpace>
</file>

<file path=word/charts/chart2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floor>
    <c:sideWall>
      <c:thickness val="0"/>
    </c:sideWall>
    <c:backWall>
      <c:thickness val="0"/>
    </c:backWall>
    <c:plotArea>
      <c:layout>
        <c:manualLayout>
          <c:layoutTarget val="inner"/>
          <c:xMode val="edge"/>
          <c:yMode val="edge"/>
          <c:x val="9.689348775640963E-2"/>
          <c:y val="5.5568166591788641E-2"/>
          <c:w val="0.88038862707217358"/>
          <c:h val="0.7578117487566306"/>
        </c:manualLayout>
      </c:layout>
      <c:bar3DChart>
        <c:barDir val="col"/>
        <c:grouping val="clustered"/>
        <c:varyColors val="0"/>
        <c:ser>
          <c:idx val="0"/>
          <c:order val="0"/>
          <c:tx>
            <c:strRef>
              <c:f>Sheet1!$B$1</c:f>
              <c:strCache>
                <c:ptCount val="1"/>
                <c:pt idx="0">
                  <c:v>Column1</c:v>
                </c:pt>
              </c:strCache>
            </c:strRef>
          </c:tx>
          <c:invertIfNegative val="0"/>
          <c:cat>
            <c:strRef>
              <c:f>Sheet1!$A$2:$A$29</c:f>
              <c:strCache>
                <c:ptCount val="28"/>
                <c:pt idx="0">
                  <c:v>DK</c:v>
                </c:pt>
                <c:pt idx="1">
                  <c:v>ES</c:v>
                </c:pt>
                <c:pt idx="2">
                  <c:v>SE</c:v>
                </c:pt>
                <c:pt idx="3">
                  <c:v>DE</c:v>
                </c:pt>
                <c:pt idx="4">
                  <c:v>BE</c:v>
                </c:pt>
                <c:pt idx="5">
                  <c:v>FI</c:v>
                </c:pt>
                <c:pt idx="6">
                  <c:v>EU27</c:v>
                </c:pt>
                <c:pt idx="7">
                  <c:v>AT</c:v>
                </c:pt>
                <c:pt idx="8">
                  <c:v>NL</c:v>
                </c:pt>
                <c:pt idx="9">
                  <c:v>PL</c:v>
                </c:pt>
                <c:pt idx="10">
                  <c:v>IT</c:v>
                </c:pt>
                <c:pt idx="11">
                  <c:v>UK</c:v>
                </c:pt>
                <c:pt idx="12">
                  <c:v>LT</c:v>
                </c:pt>
                <c:pt idx="13">
                  <c:v>RO</c:v>
                </c:pt>
                <c:pt idx="14">
                  <c:v>LV</c:v>
                </c:pt>
                <c:pt idx="15">
                  <c:v>CZ</c:v>
                </c:pt>
                <c:pt idx="16">
                  <c:v>EE</c:v>
                </c:pt>
                <c:pt idx="17">
                  <c:v>FR</c:v>
                </c:pt>
                <c:pt idx="18">
                  <c:v>SI</c:v>
                </c:pt>
                <c:pt idx="19">
                  <c:v>HU</c:v>
                </c:pt>
                <c:pt idx="20">
                  <c:v>BG</c:v>
                </c:pt>
                <c:pt idx="21">
                  <c:v>SK</c:v>
                </c:pt>
                <c:pt idx="22">
                  <c:v>PT</c:v>
                </c:pt>
                <c:pt idx="23">
                  <c:v>IE</c:v>
                </c:pt>
                <c:pt idx="24">
                  <c:v>LU</c:v>
                </c:pt>
                <c:pt idx="25">
                  <c:v>EL</c:v>
                </c:pt>
                <c:pt idx="26">
                  <c:v>CY</c:v>
                </c:pt>
                <c:pt idx="27">
                  <c:v>MT</c:v>
                </c:pt>
              </c:strCache>
            </c:strRef>
          </c:cat>
          <c:val>
            <c:numRef>
              <c:f>Sheet1!$B$2:$B$29</c:f>
              <c:numCache>
                <c:formatCode>General</c:formatCode>
                <c:ptCount val="28"/>
                <c:pt idx="0">
                  <c:v>68</c:v>
                </c:pt>
                <c:pt idx="1">
                  <c:v>60.5</c:v>
                </c:pt>
                <c:pt idx="2">
                  <c:v>49.5</c:v>
                </c:pt>
                <c:pt idx="3">
                  <c:v>45.5</c:v>
                </c:pt>
                <c:pt idx="4">
                  <c:v>43.5</c:v>
                </c:pt>
                <c:pt idx="5">
                  <c:v>40.1</c:v>
                </c:pt>
                <c:pt idx="6">
                  <c:v>36</c:v>
                </c:pt>
                <c:pt idx="7">
                  <c:v>34.6</c:v>
                </c:pt>
                <c:pt idx="8">
                  <c:v>34.299999999999997</c:v>
                </c:pt>
                <c:pt idx="9">
                  <c:v>34</c:v>
                </c:pt>
                <c:pt idx="10">
                  <c:v>32</c:v>
                </c:pt>
                <c:pt idx="11">
                  <c:v>31.4</c:v>
                </c:pt>
                <c:pt idx="12">
                  <c:v>28.1</c:v>
                </c:pt>
                <c:pt idx="13">
                  <c:v>27.4</c:v>
                </c:pt>
                <c:pt idx="14">
                  <c:v>27.3</c:v>
                </c:pt>
                <c:pt idx="15">
                  <c:v>25.4</c:v>
                </c:pt>
                <c:pt idx="16">
                  <c:v>24.9</c:v>
                </c:pt>
                <c:pt idx="17">
                  <c:v>22.7</c:v>
                </c:pt>
                <c:pt idx="18">
                  <c:v>22.1</c:v>
                </c:pt>
                <c:pt idx="19">
                  <c:v>21.3</c:v>
                </c:pt>
                <c:pt idx="20">
                  <c:v>20.100000000000001</c:v>
                </c:pt>
                <c:pt idx="21">
                  <c:v>19.5</c:v>
                </c:pt>
                <c:pt idx="22">
                  <c:v>15.9</c:v>
                </c:pt>
                <c:pt idx="23">
                  <c:v>14.9</c:v>
                </c:pt>
                <c:pt idx="24">
                  <c:v>12</c:v>
                </c:pt>
                <c:pt idx="25">
                  <c:v>8</c:v>
                </c:pt>
                <c:pt idx="26">
                  <c:v>5</c:v>
                </c:pt>
                <c:pt idx="27">
                  <c:v>1.9</c:v>
                </c:pt>
              </c:numCache>
            </c:numRef>
          </c:val>
        </c:ser>
        <c:dLbls>
          <c:showLegendKey val="0"/>
          <c:showVal val="0"/>
          <c:showCatName val="0"/>
          <c:showSerName val="0"/>
          <c:showPercent val="0"/>
          <c:showBubbleSize val="0"/>
        </c:dLbls>
        <c:gapWidth val="150"/>
        <c:shape val="cylinder"/>
        <c:axId val="148213120"/>
        <c:axId val="148919424"/>
        <c:axId val="0"/>
      </c:bar3DChart>
      <c:catAx>
        <c:axId val="148213120"/>
        <c:scaling>
          <c:orientation val="minMax"/>
        </c:scaling>
        <c:delete val="0"/>
        <c:axPos val="b"/>
        <c:majorTickMark val="out"/>
        <c:minorTickMark val="none"/>
        <c:tickLblPos val="nextTo"/>
        <c:crossAx val="148919424"/>
        <c:crosses val="autoZero"/>
        <c:auto val="1"/>
        <c:lblAlgn val="ctr"/>
        <c:lblOffset val="100"/>
        <c:noMultiLvlLbl val="0"/>
      </c:catAx>
      <c:valAx>
        <c:axId val="148919424"/>
        <c:scaling>
          <c:orientation val="minMax"/>
        </c:scaling>
        <c:delete val="0"/>
        <c:axPos val="l"/>
        <c:majorGridlines/>
        <c:numFmt formatCode="General" sourceLinked="1"/>
        <c:majorTickMark val="out"/>
        <c:minorTickMark val="none"/>
        <c:tickLblPos val="nextTo"/>
        <c:crossAx val="148213120"/>
        <c:crosses val="autoZero"/>
        <c:crossBetween val="between"/>
      </c:valAx>
    </c:plotArea>
    <c:plotVisOnly val="1"/>
    <c:dispBlanksAs val="gap"/>
    <c:showDLblsOverMax val="0"/>
  </c:chart>
  <c:externalData r:id="rId1">
    <c:autoUpdate val="0"/>
  </c:externalData>
  <c:userShapes r:id="rId2"/>
</c:chartSpace>
</file>

<file path=word/charts/chart2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percentStacked"/>
        <c:varyColors val="0"/>
        <c:ser>
          <c:idx val="0"/>
          <c:order val="0"/>
          <c:tx>
            <c:strRef>
              <c:f>Sheet1!$B$1</c:f>
              <c:strCache>
                <c:ptCount val="1"/>
                <c:pt idx="0">
                  <c:v>Mokestinės pajamos</c:v>
                </c:pt>
              </c:strCache>
            </c:strRef>
          </c:tx>
          <c:invertIfNegative val="0"/>
          <c:cat>
            <c:strRef>
              <c:f>Sheet1!$A$2:$A$29</c:f>
              <c:strCache>
                <c:ptCount val="28"/>
                <c:pt idx="0">
                  <c:v>ES</c:v>
                </c:pt>
                <c:pt idx="1">
                  <c:v>SE</c:v>
                </c:pt>
                <c:pt idx="2">
                  <c:v>LV</c:v>
                </c:pt>
                <c:pt idx="3">
                  <c:v>DE</c:v>
                </c:pt>
                <c:pt idx="4">
                  <c:v>AT</c:v>
                </c:pt>
                <c:pt idx="5">
                  <c:v>FR</c:v>
                </c:pt>
                <c:pt idx="6">
                  <c:v>CZ</c:v>
                </c:pt>
                <c:pt idx="7">
                  <c:v>SK</c:v>
                </c:pt>
                <c:pt idx="8">
                  <c:v>IT</c:v>
                </c:pt>
                <c:pt idx="9">
                  <c:v>FI</c:v>
                </c:pt>
                <c:pt idx="10">
                  <c:v>EE</c:v>
                </c:pt>
                <c:pt idx="11">
                  <c:v>EU27</c:v>
                </c:pt>
                <c:pt idx="12">
                  <c:v>SI</c:v>
                </c:pt>
                <c:pt idx="13">
                  <c:v>DK</c:v>
                </c:pt>
                <c:pt idx="14">
                  <c:v>PT</c:v>
                </c:pt>
                <c:pt idx="15">
                  <c:v>PL</c:v>
                </c:pt>
                <c:pt idx="16">
                  <c:v>LT</c:v>
                </c:pt>
                <c:pt idx="17">
                  <c:v>LU</c:v>
                </c:pt>
                <c:pt idx="18">
                  <c:v>HU</c:v>
                </c:pt>
                <c:pt idx="19">
                  <c:v>CY</c:v>
                </c:pt>
                <c:pt idx="20">
                  <c:v>BE</c:v>
                </c:pt>
                <c:pt idx="21">
                  <c:v>IE</c:v>
                </c:pt>
                <c:pt idx="22">
                  <c:v>UK</c:v>
                </c:pt>
                <c:pt idx="23">
                  <c:v>BG</c:v>
                </c:pt>
                <c:pt idx="24">
                  <c:v>RO</c:v>
                </c:pt>
                <c:pt idx="25">
                  <c:v>NL</c:v>
                </c:pt>
                <c:pt idx="26">
                  <c:v>EL</c:v>
                </c:pt>
                <c:pt idx="27">
                  <c:v>MT</c:v>
                </c:pt>
              </c:strCache>
            </c:strRef>
          </c:cat>
          <c:val>
            <c:numRef>
              <c:f>Sheet1!$B$2:$B$29</c:f>
              <c:numCache>
                <c:formatCode>0.0</c:formatCode>
                <c:ptCount val="28"/>
                <c:pt idx="0">
                  <c:v>61.470831296160888</c:v>
                </c:pt>
                <c:pt idx="1">
                  <c:v>60.716443685487157</c:v>
                </c:pt>
                <c:pt idx="2">
                  <c:v>56.351959497468599</c:v>
                </c:pt>
                <c:pt idx="3">
                  <c:v>56.235493497402643</c:v>
                </c:pt>
                <c:pt idx="4">
                  <c:v>53.851295319918258</c:v>
                </c:pt>
                <c:pt idx="5">
                  <c:v>48.032366069097463</c:v>
                </c:pt>
                <c:pt idx="6">
                  <c:v>47.344516791224301</c:v>
                </c:pt>
                <c:pt idx="7">
                  <c:v>45.790447176585793</c:v>
                </c:pt>
                <c:pt idx="8">
                  <c:v>45.367287874732334</c:v>
                </c:pt>
                <c:pt idx="9">
                  <c:v>45.240434091121713</c:v>
                </c:pt>
                <c:pt idx="10">
                  <c:v>43.575254576490664</c:v>
                </c:pt>
                <c:pt idx="11">
                  <c:v>43.087400733632343</c:v>
                </c:pt>
                <c:pt idx="12">
                  <c:v>42.478669558929866</c:v>
                </c:pt>
                <c:pt idx="13">
                  <c:v>34.214791785676873</c:v>
                </c:pt>
                <c:pt idx="14">
                  <c:v>33.182195602078608</c:v>
                </c:pt>
                <c:pt idx="15">
                  <c:v>31.688786188707553</c:v>
                </c:pt>
                <c:pt idx="16">
                  <c:v>28.324138614515544</c:v>
                </c:pt>
                <c:pt idx="17">
                  <c:v>28.162802419354836</c:v>
                </c:pt>
                <c:pt idx="18">
                  <c:v>24.767335576883127</c:v>
                </c:pt>
                <c:pt idx="19">
                  <c:v>22.624434389140269</c:v>
                </c:pt>
                <c:pt idx="20">
                  <c:v>17.100835951303946</c:v>
                </c:pt>
                <c:pt idx="21">
                  <c:v>17.073577003616982</c:v>
                </c:pt>
                <c:pt idx="22">
                  <c:v>12.884526752502115</c:v>
                </c:pt>
                <c:pt idx="23">
                  <c:v>11.709334664479783</c:v>
                </c:pt>
                <c:pt idx="24">
                  <c:v>11.045989234282134</c:v>
                </c:pt>
                <c:pt idx="25">
                  <c:v>9.4178118116018048</c:v>
                </c:pt>
                <c:pt idx="26">
                  <c:v>6.8830604260252146</c:v>
                </c:pt>
                <c:pt idx="27">
                  <c:v>0</c:v>
                </c:pt>
              </c:numCache>
            </c:numRef>
          </c:val>
        </c:ser>
        <c:ser>
          <c:idx val="1"/>
          <c:order val="1"/>
          <c:tx>
            <c:strRef>
              <c:f>Sheet1!$C$1</c:f>
              <c:strCache>
                <c:ptCount val="1"/>
                <c:pt idx="0">
                  <c:v>Nemokestinės pajamos</c:v>
                </c:pt>
              </c:strCache>
            </c:strRef>
          </c:tx>
          <c:invertIfNegative val="0"/>
          <c:cat>
            <c:strRef>
              <c:f>Sheet1!$A$2:$A$29</c:f>
              <c:strCache>
                <c:ptCount val="28"/>
                <c:pt idx="0">
                  <c:v>ES</c:v>
                </c:pt>
                <c:pt idx="1">
                  <c:v>SE</c:v>
                </c:pt>
                <c:pt idx="2">
                  <c:v>LV</c:v>
                </c:pt>
                <c:pt idx="3">
                  <c:v>DE</c:v>
                </c:pt>
                <c:pt idx="4">
                  <c:v>AT</c:v>
                </c:pt>
                <c:pt idx="5">
                  <c:v>FR</c:v>
                </c:pt>
                <c:pt idx="6">
                  <c:v>CZ</c:v>
                </c:pt>
                <c:pt idx="7">
                  <c:v>SK</c:v>
                </c:pt>
                <c:pt idx="8">
                  <c:v>IT</c:v>
                </c:pt>
                <c:pt idx="9">
                  <c:v>FI</c:v>
                </c:pt>
                <c:pt idx="10">
                  <c:v>EE</c:v>
                </c:pt>
                <c:pt idx="11">
                  <c:v>EU27</c:v>
                </c:pt>
                <c:pt idx="12">
                  <c:v>SI</c:v>
                </c:pt>
                <c:pt idx="13">
                  <c:v>DK</c:v>
                </c:pt>
                <c:pt idx="14">
                  <c:v>PT</c:v>
                </c:pt>
                <c:pt idx="15">
                  <c:v>PL</c:v>
                </c:pt>
                <c:pt idx="16">
                  <c:v>LT</c:v>
                </c:pt>
                <c:pt idx="17">
                  <c:v>LU</c:v>
                </c:pt>
                <c:pt idx="18">
                  <c:v>HU</c:v>
                </c:pt>
                <c:pt idx="19">
                  <c:v>CY</c:v>
                </c:pt>
                <c:pt idx="20">
                  <c:v>BE</c:v>
                </c:pt>
                <c:pt idx="21">
                  <c:v>IE</c:v>
                </c:pt>
                <c:pt idx="22">
                  <c:v>UK</c:v>
                </c:pt>
                <c:pt idx="23">
                  <c:v>BG</c:v>
                </c:pt>
                <c:pt idx="24">
                  <c:v>RO</c:v>
                </c:pt>
                <c:pt idx="25">
                  <c:v>NL</c:v>
                </c:pt>
                <c:pt idx="26">
                  <c:v>EL</c:v>
                </c:pt>
                <c:pt idx="27">
                  <c:v>MT</c:v>
                </c:pt>
              </c:strCache>
            </c:strRef>
          </c:cat>
          <c:val>
            <c:numRef>
              <c:f>Sheet1!$C$2:$C$29</c:f>
              <c:numCache>
                <c:formatCode>0.0</c:formatCode>
                <c:ptCount val="28"/>
                <c:pt idx="0">
                  <c:v>6.4684732239822438</c:v>
                </c:pt>
                <c:pt idx="1">
                  <c:v>13.948891807790654</c:v>
                </c:pt>
                <c:pt idx="2">
                  <c:v>9.2865179073691966</c:v>
                </c:pt>
                <c:pt idx="3">
                  <c:v>16.880963784401136</c:v>
                </c:pt>
                <c:pt idx="4">
                  <c:v>15.639788642705426</c:v>
                </c:pt>
                <c:pt idx="5">
                  <c:v>18.256877476382336</c:v>
                </c:pt>
                <c:pt idx="6">
                  <c:v>16.788658305802368</c:v>
                </c:pt>
                <c:pt idx="7">
                  <c:v>15.341094549015342</c:v>
                </c:pt>
                <c:pt idx="8">
                  <c:v>9.7572604389721622</c:v>
                </c:pt>
                <c:pt idx="9">
                  <c:v>24.667882870240433</c:v>
                </c:pt>
                <c:pt idx="10">
                  <c:v>10.530343163223268</c:v>
                </c:pt>
                <c:pt idx="11">
                  <c:v>14.656005890919003</c:v>
                </c:pt>
                <c:pt idx="12">
                  <c:v>15.450469992769337</c:v>
                </c:pt>
                <c:pt idx="13">
                  <c:v>7.892955063544715</c:v>
                </c:pt>
                <c:pt idx="14">
                  <c:v>22.208849953819023</c:v>
                </c:pt>
                <c:pt idx="15">
                  <c:v>10.863165450798682</c:v>
                </c:pt>
                <c:pt idx="16">
                  <c:v>6.1114598130223499</c:v>
                </c:pt>
                <c:pt idx="17">
                  <c:v>19.501848118279579</c:v>
                </c:pt>
                <c:pt idx="18">
                  <c:v>10.511446258673001</c:v>
                </c:pt>
                <c:pt idx="19">
                  <c:v>21.295248868778284</c:v>
                </c:pt>
                <c:pt idx="20">
                  <c:v>19.128398713625806</c:v>
                </c:pt>
                <c:pt idx="21">
                  <c:v>28.633637921187887</c:v>
                </c:pt>
                <c:pt idx="22">
                  <c:v>15.544013920282691</c:v>
                </c:pt>
                <c:pt idx="23">
                  <c:v>9.9479426656207668</c:v>
                </c:pt>
                <c:pt idx="24">
                  <c:v>5.9318610843204684</c:v>
                </c:pt>
                <c:pt idx="25">
                  <c:v>19.872023497325081</c:v>
                </c:pt>
                <c:pt idx="26">
                  <c:v>28.126358498768294</c:v>
                </c:pt>
                <c:pt idx="27">
                  <c:v>6.2618595825427015</c:v>
                </c:pt>
              </c:numCache>
            </c:numRef>
          </c:val>
        </c:ser>
        <c:ser>
          <c:idx val="2"/>
          <c:order val="2"/>
          <c:tx>
            <c:strRef>
              <c:f>Sheet1!$D$1</c:f>
              <c:strCache>
                <c:ptCount val="1"/>
                <c:pt idx="0">
                  <c:v>Valstybės biudžeto dotacijos</c:v>
                </c:pt>
              </c:strCache>
            </c:strRef>
          </c:tx>
          <c:invertIfNegative val="0"/>
          <c:cat>
            <c:strRef>
              <c:f>Sheet1!$A$2:$A$29</c:f>
              <c:strCache>
                <c:ptCount val="28"/>
                <c:pt idx="0">
                  <c:v>ES</c:v>
                </c:pt>
                <c:pt idx="1">
                  <c:v>SE</c:v>
                </c:pt>
                <c:pt idx="2">
                  <c:v>LV</c:v>
                </c:pt>
                <c:pt idx="3">
                  <c:v>DE</c:v>
                </c:pt>
                <c:pt idx="4">
                  <c:v>AT</c:v>
                </c:pt>
                <c:pt idx="5">
                  <c:v>FR</c:v>
                </c:pt>
                <c:pt idx="6">
                  <c:v>CZ</c:v>
                </c:pt>
                <c:pt idx="7">
                  <c:v>SK</c:v>
                </c:pt>
                <c:pt idx="8">
                  <c:v>IT</c:v>
                </c:pt>
                <c:pt idx="9">
                  <c:v>FI</c:v>
                </c:pt>
                <c:pt idx="10">
                  <c:v>EE</c:v>
                </c:pt>
                <c:pt idx="11">
                  <c:v>EU27</c:v>
                </c:pt>
                <c:pt idx="12">
                  <c:v>SI</c:v>
                </c:pt>
                <c:pt idx="13">
                  <c:v>DK</c:v>
                </c:pt>
                <c:pt idx="14">
                  <c:v>PT</c:v>
                </c:pt>
                <c:pt idx="15">
                  <c:v>PL</c:v>
                </c:pt>
                <c:pt idx="16">
                  <c:v>LT</c:v>
                </c:pt>
                <c:pt idx="17">
                  <c:v>LU</c:v>
                </c:pt>
                <c:pt idx="18">
                  <c:v>HU</c:v>
                </c:pt>
                <c:pt idx="19">
                  <c:v>CY</c:v>
                </c:pt>
                <c:pt idx="20">
                  <c:v>BE</c:v>
                </c:pt>
                <c:pt idx="21">
                  <c:v>IE</c:v>
                </c:pt>
                <c:pt idx="22">
                  <c:v>UK</c:v>
                </c:pt>
                <c:pt idx="23">
                  <c:v>BG</c:v>
                </c:pt>
                <c:pt idx="24">
                  <c:v>RO</c:v>
                </c:pt>
                <c:pt idx="25">
                  <c:v>NL</c:v>
                </c:pt>
                <c:pt idx="26">
                  <c:v>EL</c:v>
                </c:pt>
                <c:pt idx="27">
                  <c:v>MT</c:v>
                </c:pt>
              </c:strCache>
            </c:strRef>
          </c:cat>
          <c:val>
            <c:numRef>
              <c:f>Sheet1!$D$2:$D$29</c:f>
              <c:numCache>
                <c:formatCode>0.0</c:formatCode>
                <c:ptCount val="28"/>
                <c:pt idx="0">
                  <c:v>32.060695479856868</c:v>
                </c:pt>
                <c:pt idx="1">
                  <c:v>25.334664506722198</c:v>
                </c:pt>
                <c:pt idx="2">
                  <c:v>34.361522595162199</c:v>
                </c:pt>
                <c:pt idx="3">
                  <c:v>26.883542718196217</c:v>
                </c:pt>
                <c:pt idx="4">
                  <c:v>30.508916037376306</c:v>
                </c:pt>
                <c:pt idx="5">
                  <c:v>33.710756454520201</c:v>
                </c:pt>
                <c:pt idx="6">
                  <c:v>35.866824902973342</c:v>
                </c:pt>
                <c:pt idx="7">
                  <c:v>38.868458274398868</c:v>
                </c:pt>
                <c:pt idx="8">
                  <c:v>44.875451686295506</c:v>
                </c:pt>
                <c:pt idx="9">
                  <c:v>30.09168303863785</c:v>
                </c:pt>
                <c:pt idx="10">
                  <c:v>45.894402260286064</c:v>
                </c:pt>
                <c:pt idx="11">
                  <c:v>42.256593375448645</c:v>
                </c:pt>
                <c:pt idx="12">
                  <c:v>42.070860448300792</c:v>
                </c:pt>
                <c:pt idx="13">
                  <c:v>57.892253150778416</c:v>
                </c:pt>
                <c:pt idx="14">
                  <c:v>44.608954444102359</c:v>
                </c:pt>
                <c:pt idx="15">
                  <c:v>57.448048360493765</c:v>
                </c:pt>
                <c:pt idx="16">
                  <c:v>65.564401572462089</c:v>
                </c:pt>
                <c:pt idx="17">
                  <c:v>52.335349462365585</c:v>
                </c:pt>
                <c:pt idx="18">
                  <c:v>64.721218164443883</c:v>
                </c:pt>
                <c:pt idx="19">
                  <c:v>56.08031674208145</c:v>
                </c:pt>
                <c:pt idx="20">
                  <c:v>63.770765335070259</c:v>
                </c:pt>
                <c:pt idx="21">
                  <c:v>54.292785075195127</c:v>
                </c:pt>
                <c:pt idx="22">
                  <c:v>71.571459327215209</c:v>
                </c:pt>
                <c:pt idx="23">
                  <c:v>78.342722669899445</c:v>
                </c:pt>
                <c:pt idx="24">
                  <c:v>83.022149681397394</c:v>
                </c:pt>
                <c:pt idx="25">
                  <c:v>70.710164691073118</c:v>
                </c:pt>
                <c:pt idx="26">
                  <c:v>64.990581075206492</c:v>
                </c:pt>
                <c:pt idx="27">
                  <c:v>93.738140417457288</c:v>
                </c:pt>
              </c:numCache>
            </c:numRef>
          </c:val>
        </c:ser>
        <c:dLbls>
          <c:showLegendKey val="0"/>
          <c:showVal val="0"/>
          <c:showCatName val="0"/>
          <c:showSerName val="0"/>
          <c:showPercent val="0"/>
          <c:showBubbleSize val="0"/>
        </c:dLbls>
        <c:gapWidth val="150"/>
        <c:shape val="cylinder"/>
        <c:axId val="148962688"/>
        <c:axId val="149087360"/>
        <c:axId val="0"/>
      </c:bar3DChart>
      <c:catAx>
        <c:axId val="148962688"/>
        <c:scaling>
          <c:orientation val="minMax"/>
        </c:scaling>
        <c:delete val="0"/>
        <c:axPos val="b"/>
        <c:majorTickMark val="out"/>
        <c:minorTickMark val="none"/>
        <c:tickLblPos val="nextTo"/>
        <c:crossAx val="149087360"/>
        <c:crosses val="autoZero"/>
        <c:auto val="1"/>
        <c:lblAlgn val="ctr"/>
        <c:lblOffset val="100"/>
        <c:noMultiLvlLbl val="0"/>
      </c:catAx>
      <c:valAx>
        <c:axId val="149087360"/>
        <c:scaling>
          <c:orientation val="minMax"/>
        </c:scaling>
        <c:delete val="0"/>
        <c:axPos val="l"/>
        <c:majorGridlines/>
        <c:numFmt formatCode="0%" sourceLinked="1"/>
        <c:majorTickMark val="out"/>
        <c:minorTickMark val="none"/>
        <c:tickLblPos val="nextTo"/>
        <c:crossAx val="148962688"/>
        <c:crosses val="autoZero"/>
        <c:crossBetween val="between"/>
      </c:valAx>
    </c:plotArea>
    <c:legend>
      <c:legendPos val="b"/>
      <c:overlay val="0"/>
    </c:legend>
    <c:plotVisOnly val="1"/>
    <c:dispBlanksAs val="gap"/>
    <c:showDLblsOverMax val="0"/>
  </c:chart>
  <c:externalData r:id="rId1">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1373604445864219"/>
          <c:y val="5.9642866962338816E-2"/>
          <c:w val="0.71068598323841858"/>
          <c:h val="0.71445515321866004"/>
        </c:manualLayout>
      </c:layout>
      <c:lineChart>
        <c:grouping val="standard"/>
        <c:varyColors val="0"/>
        <c:ser>
          <c:idx val="0"/>
          <c:order val="0"/>
          <c:tx>
            <c:strRef>
              <c:f>Sheet1!$B$1</c:f>
              <c:strCache>
                <c:ptCount val="1"/>
                <c:pt idx="0">
                  <c:v>EU27</c:v>
                </c:pt>
              </c:strCache>
            </c:strRef>
          </c:tx>
          <c:cat>
            <c:numRef>
              <c:f>Sheet1!$A$2:$A$6</c:f>
              <c:numCache>
                <c:formatCode>General</c:formatCode>
                <c:ptCount val="5"/>
                <c:pt idx="0">
                  <c:v>2008</c:v>
                </c:pt>
                <c:pt idx="1">
                  <c:v>2009</c:v>
                </c:pt>
                <c:pt idx="2">
                  <c:v>2010</c:v>
                </c:pt>
                <c:pt idx="3">
                  <c:v>2011</c:v>
                </c:pt>
                <c:pt idx="4">
                  <c:v>2012</c:v>
                </c:pt>
              </c:numCache>
            </c:numRef>
          </c:cat>
          <c:val>
            <c:numRef>
              <c:f>Sheet1!$B$2:$B$6</c:f>
              <c:numCache>
                <c:formatCode>0.0</c:formatCode>
                <c:ptCount val="5"/>
                <c:pt idx="0">
                  <c:v>43.628238375970014</c:v>
                </c:pt>
                <c:pt idx="1">
                  <c:v>46.045267369521781</c:v>
                </c:pt>
                <c:pt idx="2">
                  <c:v>47.066687509116264</c:v>
                </c:pt>
                <c:pt idx="3">
                  <c:v>43.755384279001284</c:v>
                </c:pt>
                <c:pt idx="4">
                  <c:v>42.360732105826969</c:v>
                </c:pt>
              </c:numCache>
            </c:numRef>
          </c:val>
          <c:smooth val="0"/>
        </c:ser>
        <c:ser>
          <c:idx val="1"/>
          <c:order val="1"/>
          <c:tx>
            <c:strRef>
              <c:f>Sheet1!$C$1</c:f>
              <c:strCache>
                <c:ptCount val="1"/>
                <c:pt idx="0">
                  <c:v>Lietuva</c:v>
                </c:pt>
              </c:strCache>
            </c:strRef>
          </c:tx>
          <c:cat>
            <c:numRef>
              <c:f>Sheet1!$A$2:$A$6</c:f>
              <c:numCache>
                <c:formatCode>General</c:formatCode>
                <c:ptCount val="5"/>
                <c:pt idx="0">
                  <c:v>2008</c:v>
                </c:pt>
                <c:pt idx="1">
                  <c:v>2009</c:v>
                </c:pt>
                <c:pt idx="2">
                  <c:v>2010</c:v>
                </c:pt>
                <c:pt idx="3">
                  <c:v>2011</c:v>
                </c:pt>
                <c:pt idx="4">
                  <c:v>2012</c:v>
                </c:pt>
              </c:numCache>
            </c:numRef>
          </c:cat>
          <c:val>
            <c:numRef>
              <c:f>Sheet1!$C$2:$C$6</c:f>
              <c:numCache>
                <c:formatCode>0.0</c:formatCode>
                <c:ptCount val="5"/>
                <c:pt idx="0">
                  <c:v>58.096112641567188</c:v>
                </c:pt>
                <c:pt idx="1">
                  <c:v>62.205807806503003</c:v>
                </c:pt>
                <c:pt idx="2">
                  <c:v>66.568858837787843</c:v>
                </c:pt>
                <c:pt idx="3">
                  <c:v>68.509391234847484</c:v>
                </c:pt>
                <c:pt idx="4" formatCode="General">
                  <c:v>65.599999999999994</c:v>
                </c:pt>
              </c:numCache>
            </c:numRef>
          </c:val>
          <c:smooth val="0"/>
        </c:ser>
        <c:dLbls>
          <c:showLegendKey val="0"/>
          <c:showVal val="0"/>
          <c:showCatName val="0"/>
          <c:showSerName val="0"/>
          <c:showPercent val="0"/>
          <c:showBubbleSize val="0"/>
        </c:dLbls>
        <c:marker val="1"/>
        <c:smooth val="0"/>
        <c:axId val="149475712"/>
        <c:axId val="149477248"/>
      </c:lineChart>
      <c:catAx>
        <c:axId val="149475712"/>
        <c:scaling>
          <c:orientation val="minMax"/>
        </c:scaling>
        <c:delete val="0"/>
        <c:axPos val="b"/>
        <c:numFmt formatCode="General" sourceLinked="1"/>
        <c:majorTickMark val="out"/>
        <c:minorTickMark val="none"/>
        <c:tickLblPos val="nextTo"/>
        <c:crossAx val="149477248"/>
        <c:crosses val="autoZero"/>
        <c:auto val="1"/>
        <c:lblAlgn val="ctr"/>
        <c:lblOffset val="100"/>
        <c:noMultiLvlLbl val="0"/>
      </c:catAx>
      <c:valAx>
        <c:axId val="149477248"/>
        <c:scaling>
          <c:orientation val="minMax"/>
        </c:scaling>
        <c:delete val="0"/>
        <c:axPos val="l"/>
        <c:majorGridlines/>
        <c:numFmt formatCode="0.0" sourceLinked="1"/>
        <c:majorTickMark val="out"/>
        <c:minorTickMark val="none"/>
        <c:tickLblPos val="nextTo"/>
        <c:crossAx val="149475712"/>
        <c:crosses val="autoZero"/>
        <c:crossBetween val="between"/>
      </c:valAx>
    </c:plotArea>
    <c:legend>
      <c:legendPos val="r"/>
      <c:overlay val="0"/>
    </c:legend>
    <c:plotVisOnly val="1"/>
    <c:dispBlanksAs val="gap"/>
    <c:showDLblsOverMax val="0"/>
  </c:chart>
  <c:externalData r:id="rId1">
    <c:autoUpdate val="0"/>
  </c:externalData>
  <c:userShapes r:id="rId2"/>
</c:chartSpace>
</file>

<file path=word/charts/chart2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percentStacked"/>
        <c:varyColors val="0"/>
        <c:ser>
          <c:idx val="0"/>
          <c:order val="0"/>
          <c:tx>
            <c:strRef>
              <c:f>Sheet1!$B$1</c:f>
              <c:strCache>
                <c:ptCount val="1"/>
                <c:pt idx="0">
                  <c:v>Pajamų, turto ir kt. mokesčiai</c:v>
                </c:pt>
              </c:strCache>
            </c:strRef>
          </c:tx>
          <c:invertIfNegative val="0"/>
          <c:cat>
            <c:strRef>
              <c:f>Sheet1!$A$2:$A$29</c:f>
              <c:strCache>
                <c:ptCount val="28"/>
                <c:pt idx="0">
                  <c:v>FI</c:v>
                </c:pt>
                <c:pt idx="1">
                  <c:v>UK</c:v>
                </c:pt>
                <c:pt idx="2">
                  <c:v>SE</c:v>
                </c:pt>
                <c:pt idx="3">
                  <c:v>LU</c:v>
                </c:pt>
                <c:pt idx="4">
                  <c:v>EE</c:v>
                </c:pt>
                <c:pt idx="5">
                  <c:v>DK</c:v>
                </c:pt>
                <c:pt idx="6">
                  <c:v>LV</c:v>
                </c:pt>
                <c:pt idx="7">
                  <c:v>LT</c:v>
                </c:pt>
                <c:pt idx="8">
                  <c:v>SK</c:v>
                </c:pt>
                <c:pt idx="9">
                  <c:v>SI</c:v>
                </c:pt>
                <c:pt idx="10">
                  <c:v>PL</c:v>
                </c:pt>
                <c:pt idx="11">
                  <c:v>DE</c:v>
                </c:pt>
                <c:pt idx="12">
                  <c:v>EL</c:v>
                </c:pt>
                <c:pt idx="13">
                  <c:v>EU27</c:v>
                </c:pt>
                <c:pt idx="14">
                  <c:v>CZ</c:v>
                </c:pt>
                <c:pt idx="15">
                  <c:v>AT</c:v>
                </c:pt>
                <c:pt idx="16">
                  <c:v>NL</c:v>
                </c:pt>
                <c:pt idx="17">
                  <c:v>ES</c:v>
                </c:pt>
                <c:pt idx="18">
                  <c:v>CY</c:v>
                </c:pt>
                <c:pt idx="19">
                  <c:v>RO</c:v>
                </c:pt>
                <c:pt idx="20">
                  <c:v>PT</c:v>
                </c:pt>
                <c:pt idx="21">
                  <c:v>IT</c:v>
                </c:pt>
                <c:pt idx="22">
                  <c:v>BE</c:v>
                </c:pt>
                <c:pt idx="23">
                  <c:v>BG</c:v>
                </c:pt>
                <c:pt idx="24">
                  <c:v>FR</c:v>
                </c:pt>
                <c:pt idx="25">
                  <c:v>HU</c:v>
                </c:pt>
                <c:pt idx="26">
                  <c:v>IE</c:v>
                </c:pt>
                <c:pt idx="27">
                  <c:v>MT</c:v>
                </c:pt>
              </c:strCache>
            </c:strRef>
          </c:cat>
          <c:val>
            <c:numRef>
              <c:f>Sheet1!$B$2:$B$29</c:f>
              <c:numCache>
                <c:formatCode>0.0</c:formatCode>
                <c:ptCount val="28"/>
                <c:pt idx="0">
                  <c:v>99.994830171121336</c:v>
                </c:pt>
                <c:pt idx="1">
                  <c:v>98.704194719028365</c:v>
                </c:pt>
                <c:pt idx="2">
                  <c:v>97.172891374080805</c:v>
                </c:pt>
                <c:pt idx="3">
                  <c:v>93.079791200596574</c:v>
                </c:pt>
                <c:pt idx="4">
                  <c:v>89.841955963798469</c:v>
                </c:pt>
                <c:pt idx="5">
                  <c:v>89.372338981767001</c:v>
                </c:pt>
                <c:pt idx="6">
                  <c:v>86.423758422760187</c:v>
                </c:pt>
                <c:pt idx="7">
                  <c:v>84.522976440401223</c:v>
                </c:pt>
                <c:pt idx="8">
                  <c:v>81.195647008506384</c:v>
                </c:pt>
                <c:pt idx="9">
                  <c:v>80.785728875876629</c:v>
                </c:pt>
                <c:pt idx="10">
                  <c:v>71.792718156250402</c:v>
                </c:pt>
                <c:pt idx="11">
                  <c:v>60.878537735849058</c:v>
                </c:pt>
                <c:pt idx="12">
                  <c:v>53.684210526315788</c:v>
                </c:pt>
                <c:pt idx="13">
                  <c:v>52.80679238633558</c:v>
                </c:pt>
                <c:pt idx="14">
                  <c:v>49.633483733723558</c:v>
                </c:pt>
                <c:pt idx="15">
                  <c:v>45.662982246500512</c:v>
                </c:pt>
                <c:pt idx="16">
                  <c:v>41.267542882601916</c:v>
                </c:pt>
                <c:pt idx="17">
                  <c:v>38.550875612365559</c:v>
                </c:pt>
                <c:pt idx="18">
                  <c:v>37.375</c:v>
                </c:pt>
                <c:pt idx="19">
                  <c:v>34.895522388059703</c:v>
                </c:pt>
                <c:pt idx="20">
                  <c:v>34.079343211403831</c:v>
                </c:pt>
                <c:pt idx="21">
                  <c:v>33.757086886379348</c:v>
                </c:pt>
                <c:pt idx="22">
                  <c:v>30.409713600303029</c:v>
                </c:pt>
                <c:pt idx="23">
                  <c:v>16.930572472594399</c:v>
                </c:pt>
                <c:pt idx="24">
                  <c:v>16.398076237356825</c:v>
                </c:pt>
                <c:pt idx="25">
                  <c:v>8.5804151813797436</c:v>
                </c:pt>
                <c:pt idx="26">
                  <c:v>0</c:v>
                </c:pt>
                <c:pt idx="27">
                  <c:v>0</c:v>
                </c:pt>
              </c:numCache>
            </c:numRef>
          </c:val>
        </c:ser>
        <c:ser>
          <c:idx val="1"/>
          <c:order val="1"/>
          <c:tx>
            <c:strRef>
              <c:f>Sheet1!$C$1</c:f>
              <c:strCache>
                <c:ptCount val="1"/>
                <c:pt idx="0">
                  <c:v>Gamybos ir importo mokesčiai</c:v>
                </c:pt>
              </c:strCache>
            </c:strRef>
          </c:tx>
          <c:invertIfNegative val="0"/>
          <c:cat>
            <c:strRef>
              <c:f>Sheet1!$A$2:$A$29</c:f>
              <c:strCache>
                <c:ptCount val="28"/>
                <c:pt idx="0">
                  <c:v>FI</c:v>
                </c:pt>
                <c:pt idx="1">
                  <c:v>UK</c:v>
                </c:pt>
                <c:pt idx="2">
                  <c:v>SE</c:v>
                </c:pt>
                <c:pt idx="3">
                  <c:v>LU</c:v>
                </c:pt>
                <c:pt idx="4">
                  <c:v>EE</c:v>
                </c:pt>
                <c:pt idx="5">
                  <c:v>DK</c:v>
                </c:pt>
                <c:pt idx="6">
                  <c:v>LV</c:v>
                </c:pt>
                <c:pt idx="7">
                  <c:v>LT</c:v>
                </c:pt>
                <c:pt idx="8">
                  <c:v>SK</c:v>
                </c:pt>
                <c:pt idx="9">
                  <c:v>SI</c:v>
                </c:pt>
                <c:pt idx="10">
                  <c:v>PL</c:v>
                </c:pt>
                <c:pt idx="11">
                  <c:v>DE</c:v>
                </c:pt>
                <c:pt idx="12">
                  <c:v>EL</c:v>
                </c:pt>
                <c:pt idx="13">
                  <c:v>EU27</c:v>
                </c:pt>
                <c:pt idx="14">
                  <c:v>CZ</c:v>
                </c:pt>
                <c:pt idx="15">
                  <c:v>AT</c:v>
                </c:pt>
                <c:pt idx="16">
                  <c:v>NL</c:v>
                </c:pt>
                <c:pt idx="17">
                  <c:v>ES</c:v>
                </c:pt>
                <c:pt idx="18">
                  <c:v>CY</c:v>
                </c:pt>
                <c:pt idx="19">
                  <c:v>RO</c:v>
                </c:pt>
                <c:pt idx="20">
                  <c:v>PT</c:v>
                </c:pt>
                <c:pt idx="21">
                  <c:v>IT</c:v>
                </c:pt>
                <c:pt idx="22">
                  <c:v>BE</c:v>
                </c:pt>
                <c:pt idx="23">
                  <c:v>BG</c:v>
                </c:pt>
                <c:pt idx="24">
                  <c:v>FR</c:v>
                </c:pt>
                <c:pt idx="25">
                  <c:v>HU</c:v>
                </c:pt>
                <c:pt idx="26">
                  <c:v>IE</c:v>
                </c:pt>
                <c:pt idx="27">
                  <c:v>MT</c:v>
                </c:pt>
              </c:strCache>
            </c:strRef>
          </c:cat>
          <c:val>
            <c:numRef>
              <c:f>Sheet1!$C$2:$C$29</c:f>
              <c:numCache>
                <c:formatCode>0.0</c:formatCode>
                <c:ptCount val="28"/>
                <c:pt idx="0">
                  <c:v>5.1698288786641167E-3</c:v>
                </c:pt>
                <c:pt idx="1">
                  <c:v>1.29580528097164</c:v>
                </c:pt>
                <c:pt idx="2">
                  <c:v>2.8271086259191831</c:v>
                </c:pt>
                <c:pt idx="3">
                  <c:v>6.9202087994034294</c:v>
                </c:pt>
                <c:pt idx="4">
                  <c:v>10.158044036201542</c:v>
                </c:pt>
                <c:pt idx="5">
                  <c:v>10.627661018233006</c:v>
                </c:pt>
                <c:pt idx="6">
                  <c:v>13.576241577239831</c:v>
                </c:pt>
                <c:pt idx="7">
                  <c:v>15.337065547002565</c:v>
                </c:pt>
                <c:pt idx="8">
                  <c:v>18.804352991493605</c:v>
                </c:pt>
                <c:pt idx="9">
                  <c:v>18.581058078572884</c:v>
                </c:pt>
                <c:pt idx="10">
                  <c:v>27.761870219778821</c:v>
                </c:pt>
                <c:pt idx="11">
                  <c:v>37.709643605870021</c:v>
                </c:pt>
                <c:pt idx="12">
                  <c:v>37.473684210526315</c:v>
                </c:pt>
                <c:pt idx="13">
                  <c:v>45.981413168428169</c:v>
                </c:pt>
                <c:pt idx="14">
                  <c:v>50.361096432394348</c:v>
                </c:pt>
                <c:pt idx="15">
                  <c:v>54.301453852281782</c:v>
                </c:pt>
                <c:pt idx="16">
                  <c:v>58.721318779238139</c:v>
                </c:pt>
                <c:pt idx="17">
                  <c:v>58.832845317866997</c:v>
                </c:pt>
                <c:pt idx="18">
                  <c:v>62.625</c:v>
                </c:pt>
                <c:pt idx="19">
                  <c:v>65.104477611940297</c:v>
                </c:pt>
                <c:pt idx="20">
                  <c:v>65.920656788596176</c:v>
                </c:pt>
                <c:pt idx="21">
                  <c:v>66.201428900668361</c:v>
                </c:pt>
                <c:pt idx="22">
                  <c:v>69.590286399696978</c:v>
                </c:pt>
                <c:pt idx="23">
                  <c:v>53.593179049939096</c:v>
                </c:pt>
                <c:pt idx="24">
                  <c:v>83.601923762643167</c:v>
                </c:pt>
                <c:pt idx="25">
                  <c:v>91.310547284546033</c:v>
                </c:pt>
                <c:pt idx="26">
                  <c:v>100</c:v>
                </c:pt>
                <c:pt idx="27">
                  <c:v>0</c:v>
                </c:pt>
              </c:numCache>
            </c:numRef>
          </c:val>
        </c:ser>
        <c:ser>
          <c:idx val="2"/>
          <c:order val="2"/>
          <c:tx>
            <c:strRef>
              <c:f>Sheet1!$D$1</c:f>
              <c:strCache>
                <c:ptCount val="1"/>
                <c:pt idx="0">
                  <c:v>Kapitalo mokestis</c:v>
                </c:pt>
              </c:strCache>
            </c:strRef>
          </c:tx>
          <c:invertIfNegative val="0"/>
          <c:cat>
            <c:strRef>
              <c:f>Sheet1!$A$2:$A$29</c:f>
              <c:strCache>
                <c:ptCount val="28"/>
                <c:pt idx="0">
                  <c:v>FI</c:v>
                </c:pt>
                <c:pt idx="1">
                  <c:v>UK</c:v>
                </c:pt>
                <c:pt idx="2">
                  <c:v>SE</c:v>
                </c:pt>
                <c:pt idx="3">
                  <c:v>LU</c:v>
                </c:pt>
                <c:pt idx="4">
                  <c:v>EE</c:v>
                </c:pt>
                <c:pt idx="5">
                  <c:v>DK</c:v>
                </c:pt>
                <c:pt idx="6">
                  <c:v>LV</c:v>
                </c:pt>
                <c:pt idx="7">
                  <c:v>LT</c:v>
                </c:pt>
                <c:pt idx="8">
                  <c:v>SK</c:v>
                </c:pt>
                <c:pt idx="9">
                  <c:v>SI</c:v>
                </c:pt>
                <c:pt idx="10">
                  <c:v>PL</c:v>
                </c:pt>
                <c:pt idx="11">
                  <c:v>DE</c:v>
                </c:pt>
                <c:pt idx="12">
                  <c:v>EL</c:v>
                </c:pt>
                <c:pt idx="13">
                  <c:v>EU27</c:v>
                </c:pt>
                <c:pt idx="14">
                  <c:v>CZ</c:v>
                </c:pt>
                <c:pt idx="15">
                  <c:v>AT</c:v>
                </c:pt>
                <c:pt idx="16">
                  <c:v>NL</c:v>
                </c:pt>
                <c:pt idx="17">
                  <c:v>ES</c:v>
                </c:pt>
                <c:pt idx="18">
                  <c:v>CY</c:v>
                </c:pt>
                <c:pt idx="19">
                  <c:v>RO</c:v>
                </c:pt>
                <c:pt idx="20">
                  <c:v>PT</c:v>
                </c:pt>
                <c:pt idx="21">
                  <c:v>IT</c:v>
                </c:pt>
                <c:pt idx="22">
                  <c:v>BE</c:v>
                </c:pt>
                <c:pt idx="23">
                  <c:v>BG</c:v>
                </c:pt>
                <c:pt idx="24">
                  <c:v>FR</c:v>
                </c:pt>
                <c:pt idx="25">
                  <c:v>HU</c:v>
                </c:pt>
                <c:pt idx="26">
                  <c:v>IE</c:v>
                </c:pt>
                <c:pt idx="27">
                  <c:v>MT</c:v>
                </c:pt>
              </c:strCache>
            </c:strRef>
          </c:cat>
          <c:val>
            <c:numRef>
              <c:f>Sheet1!$D$2:$D$29</c:f>
              <c:numCache>
                <c:formatCode>0.0</c:formatCode>
                <c:ptCount val="28"/>
                <c:pt idx="0">
                  <c:v>0</c:v>
                </c:pt>
                <c:pt idx="1">
                  <c:v>0</c:v>
                </c:pt>
                <c:pt idx="2">
                  <c:v>0</c:v>
                </c:pt>
                <c:pt idx="3">
                  <c:v>0</c:v>
                </c:pt>
                <c:pt idx="4">
                  <c:v>0</c:v>
                </c:pt>
                <c:pt idx="5">
                  <c:v>0</c:v>
                </c:pt>
                <c:pt idx="6">
                  <c:v>0</c:v>
                </c:pt>
                <c:pt idx="7">
                  <c:v>0.13995801259622112</c:v>
                </c:pt>
                <c:pt idx="8">
                  <c:v>0</c:v>
                </c:pt>
                <c:pt idx="9">
                  <c:v>0.63321304555048685</c:v>
                </c:pt>
                <c:pt idx="10">
                  <c:v>0.44541162397078105</c:v>
                </c:pt>
                <c:pt idx="11">
                  <c:v>1.4118186582809225</c:v>
                </c:pt>
                <c:pt idx="12">
                  <c:v>8.8421052631578938</c:v>
                </c:pt>
                <c:pt idx="13">
                  <c:v>1.211794445236259</c:v>
                </c:pt>
                <c:pt idx="14">
                  <c:v>5.4198338820915142E-3</c:v>
                </c:pt>
                <c:pt idx="15">
                  <c:v>3.5563901217707979E-2</c:v>
                </c:pt>
                <c:pt idx="16">
                  <c:v>1.1138338159946536E-2</c:v>
                </c:pt>
                <c:pt idx="17">
                  <c:v>2.6162790697674421</c:v>
                </c:pt>
                <c:pt idx="18">
                  <c:v>0</c:v>
                </c:pt>
                <c:pt idx="19">
                  <c:v>0</c:v>
                </c:pt>
                <c:pt idx="20">
                  <c:v>0</c:v>
                </c:pt>
                <c:pt idx="21">
                  <c:v>4.1484212952293154E-2</c:v>
                </c:pt>
                <c:pt idx="22">
                  <c:v>0</c:v>
                </c:pt>
                <c:pt idx="23">
                  <c:v>29.476248477466505</c:v>
                </c:pt>
                <c:pt idx="24">
                  <c:v>0</c:v>
                </c:pt>
                <c:pt idx="25">
                  <c:v>0.10903753407422939</c:v>
                </c:pt>
                <c:pt idx="26">
                  <c:v>0</c:v>
                </c:pt>
                <c:pt idx="27">
                  <c:v>0</c:v>
                </c:pt>
              </c:numCache>
            </c:numRef>
          </c:val>
        </c:ser>
        <c:dLbls>
          <c:showLegendKey val="0"/>
          <c:showVal val="0"/>
          <c:showCatName val="0"/>
          <c:showSerName val="0"/>
          <c:showPercent val="0"/>
          <c:showBubbleSize val="0"/>
        </c:dLbls>
        <c:gapWidth val="150"/>
        <c:shape val="cylinder"/>
        <c:axId val="149845120"/>
        <c:axId val="149846656"/>
        <c:axId val="0"/>
      </c:bar3DChart>
      <c:catAx>
        <c:axId val="149845120"/>
        <c:scaling>
          <c:orientation val="minMax"/>
        </c:scaling>
        <c:delete val="0"/>
        <c:axPos val="b"/>
        <c:majorTickMark val="out"/>
        <c:minorTickMark val="none"/>
        <c:tickLblPos val="nextTo"/>
        <c:crossAx val="149846656"/>
        <c:crosses val="autoZero"/>
        <c:auto val="1"/>
        <c:lblAlgn val="ctr"/>
        <c:lblOffset val="100"/>
        <c:noMultiLvlLbl val="0"/>
      </c:catAx>
      <c:valAx>
        <c:axId val="149846656"/>
        <c:scaling>
          <c:orientation val="minMax"/>
        </c:scaling>
        <c:delete val="0"/>
        <c:axPos val="l"/>
        <c:majorGridlines/>
        <c:numFmt formatCode="0%" sourceLinked="1"/>
        <c:majorTickMark val="out"/>
        <c:minorTickMark val="none"/>
        <c:tickLblPos val="nextTo"/>
        <c:crossAx val="149845120"/>
        <c:crosses val="autoZero"/>
        <c:crossBetween val="between"/>
      </c:valAx>
    </c:plotArea>
    <c:legend>
      <c:legendPos val="b"/>
      <c:overlay val="0"/>
    </c:legend>
    <c:plotVisOnly val="1"/>
    <c:dispBlanksAs val="gap"/>
    <c:showDLblsOverMax val="0"/>
  </c:chart>
  <c:externalData r:id="rId1">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manualLayout>
          <c:layoutTarget val="inner"/>
          <c:xMode val="edge"/>
          <c:yMode val="edge"/>
          <c:x val="8.9118997111662407E-2"/>
          <c:y val="4.4057617797775277E-2"/>
          <c:w val="0.88696275979201233"/>
          <c:h val="0.74415823022122229"/>
        </c:manualLayout>
      </c:layout>
      <c:bar3DChart>
        <c:barDir val="col"/>
        <c:grouping val="stacked"/>
        <c:varyColors val="0"/>
        <c:ser>
          <c:idx val="0"/>
          <c:order val="0"/>
          <c:tx>
            <c:strRef>
              <c:f>Sheet1!$B$1</c:f>
              <c:strCache>
                <c:ptCount val="1"/>
                <c:pt idx="0">
                  <c:v>Vietinės valdžios skola</c:v>
                </c:pt>
              </c:strCache>
            </c:strRef>
          </c:tx>
          <c:invertIfNegative val="0"/>
          <c:cat>
            <c:strRef>
              <c:f>Sheet1!$A$2:$A$29</c:f>
              <c:strCache>
                <c:ptCount val="28"/>
                <c:pt idx="0">
                  <c:v>EL</c:v>
                </c:pt>
                <c:pt idx="1">
                  <c:v>IT</c:v>
                </c:pt>
                <c:pt idx="2">
                  <c:v>PT</c:v>
                </c:pt>
                <c:pt idx="3">
                  <c:v>IE</c:v>
                </c:pt>
                <c:pt idx="4">
                  <c:v>BE</c:v>
                </c:pt>
                <c:pt idx="5">
                  <c:v>FR</c:v>
                </c:pt>
                <c:pt idx="6">
                  <c:v>UK</c:v>
                </c:pt>
                <c:pt idx="7">
                  <c:v>CY</c:v>
                </c:pt>
                <c:pt idx="8">
                  <c:v>ES</c:v>
                </c:pt>
                <c:pt idx="9">
                  <c:v>EU27</c:v>
                </c:pt>
                <c:pt idx="10">
                  <c:v>DE</c:v>
                </c:pt>
                <c:pt idx="11">
                  <c:v>HU</c:v>
                </c:pt>
                <c:pt idx="12">
                  <c:v>AT</c:v>
                </c:pt>
                <c:pt idx="13">
                  <c:v>MT</c:v>
                </c:pt>
                <c:pt idx="14">
                  <c:v>NL</c:v>
                </c:pt>
                <c:pt idx="15">
                  <c:v>PL</c:v>
                </c:pt>
                <c:pt idx="16">
                  <c:v>SI</c:v>
                </c:pt>
                <c:pt idx="17">
                  <c:v>FI</c:v>
                </c:pt>
                <c:pt idx="18">
                  <c:v>SK</c:v>
                </c:pt>
                <c:pt idx="19">
                  <c:v>CZ</c:v>
                </c:pt>
                <c:pt idx="20">
                  <c:v>DK</c:v>
                </c:pt>
                <c:pt idx="21">
                  <c:v>LV</c:v>
                </c:pt>
                <c:pt idx="22">
                  <c:v>LT</c:v>
                </c:pt>
                <c:pt idx="23">
                  <c:v>SE</c:v>
                </c:pt>
                <c:pt idx="24">
                  <c:v>RO</c:v>
                </c:pt>
                <c:pt idx="25">
                  <c:v>LU</c:v>
                </c:pt>
                <c:pt idx="26">
                  <c:v>BG</c:v>
                </c:pt>
                <c:pt idx="27">
                  <c:v>EE</c:v>
                </c:pt>
              </c:strCache>
            </c:strRef>
          </c:cat>
          <c:val>
            <c:numRef>
              <c:f>Sheet1!$B$2:$B$29</c:f>
              <c:numCache>
                <c:formatCode>General</c:formatCode>
                <c:ptCount val="28"/>
                <c:pt idx="0">
                  <c:v>0.9</c:v>
                </c:pt>
                <c:pt idx="1">
                  <c:v>8.4</c:v>
                </c:pt>
                <c:pt idx="2">
                  <c:v>5.8</c:v>
                </c:pt>
                <c:pt idx="3">
                  <c:v>3.3</c:v>
                </c:pt>
                <c:pt idx="4">
                  <c:v>5.2</c:v>
                </c:pt>
                <c:pt idx="5">
                  <c:v>8.6</c:v>
                </c:pt>
                <c:pt idx="6">
                  <c:v>5.4</c:v>
                </c:pt>
                <c:pt idx="7">
                  <c:v>1.8</c:v>
                </c:pt>
                <c:pt idx="8">
                  <c:v>4.0999999999999996</c:v>
                </c:pt>
                <c:pt idx="9">
                  <c:v>6.1</c:v>
                </c:pt>
                <c:pt idx="10">
                  <c:v>5.4</c:v>
                </c:pt>
                <c:pt idx="11">
                  <c:v>3.8</c:v>
                </c:pt>
                <c:pt idx="12">
                  <c:v>3</c:v>
                </c:pt>
                <c:pt idx="13">
                  <c:v>0.1</c:v>
                </c:pt>
                <c:pt idx="14">
                  <c:v>9</c:v>
                </c:pt>
                <c:pt idx="15">
                  <c:v>4.3</c:v>
                </c:pt>
                <c:pt idx="16">
                  <c:v>2</c:v>
                </c:pt>
                <c:pt idx="17">
                  <c:v>7.2</c:v>
                </c:pt>
                <c:pt idx="18">
                  <c:v>2.4</c:v>
                </c:pt>
                <c:pt idx="19">
                  <c:v>2.9</c:v>
                </c:pt>
                <c:pt idx="20">
                  <c:v>7.3</c:v>
                </c:pt>
                <c:pt idx="21">
                  <c:v>5.6</c:v>
                </c:pt>
                <c:pt idx="22">
                  <c:v>1.9</c:v>
                </c:pt>
                <c:pt idx="23">
                  <c:v>7.6</c:v>
                </c:pt>
                <c:pt idx="24">
                  <c:v>2.6</c:v>
                </c:pt>
                <c:pt idx="25">
                  <c:v>2.2999999999999998</c:v>
                </c:pt>
                <c:pt idx="26">
                  <c:v>1.3</c:v>
                </c:pt>
                <c:pt idx="27">
                  <c:v>3.3</c:v>
                </c:pt>
              </c:numCache>
            </c:numRef>
          </c:val>
        </c:ser>
        <c:ser>
          <c:idx val="1"/>
          <c:order val="1"/>
          <c:tx>
            <c:strRef>
              <c:f>Sheet1!$C$1</c:f>
              <c:strCache>
                <c:ptCount val="1"/>
                <c:pt idx="0">
                  <c:v>Regioninės valdžios skola</c:v>
                </c:pt>
              </c:strCache>
            </c:strRef>
          </c:tx>
          <c:invertIfNegative val="0"/>
          <c:cat>
            <c:strRef>
              <c:f>Sheet1!$A$2:$A$29</c:f>
              <c:strCache>
                <c:ptCount val="28"/>
                <c:pt idx="0">
                  <c:v>EL</c:v>
                </c:pt>
                <c:pt idx="1">
                  <c:v>IT</c:v>
                </c:pt>
                <c:pt idx="2">
                  <c:v>PT</c:v>
                </c:pt>
                <c:pt idx="3">
                  <c:v>IE</c:v>
                </c:pt>
                <c:pt idx="4">
                  <c:v>BE</c:v>
                </c:pt>
                <c:pt idx="5">
                  <c:v>FR</c:v>
                </c:pt>
                <c:pt idx="6">
                  <c:v>UK</c:v>
                </c:pt>
                <c:pt idx="7">
                  <c:v>CY</c:v>
                </c:pt>
                <c:pt idx="8">
                  <c:v>ES</c:v>
                </c:pt>
                <c:pt idx="9">
                  <c:v>EU27</c:v>
                </c:pt>
                <c:pt idx="10">
                  <c:v>DE</c:v>
                </c:pt>
                <c:pt idx="11">
                  <c:v>HU</c:v>
                </c:pt>
                <c:pt idx="12">
                  <c:v>AT</c:v>
                </c:pt>
                <c:pt idx="13">
                  <c:v>MT</c:v>
                </c:pt>
                <c:pt idx="14">
                  <c:v>NL</c:v>
                </c:pt>
                <c:pt idx="15">
                  <c:v>PL</c:v>
                </c:pt>
                <c:pt idx="16">
                  <c:v>SI</c:v>
                </c:pt>
                <c:pt idx="17">
                  <c:v>FI</c:v>
                </c:pt>
                <c:pt idx="18">
                  <c:v>SK</c:v>
                </c:pt>
                <c:pt idx="19">
                  <c:v>CZ</c:v>
                </c:pt>
                <c:pt idx="20">
                  <c:v>DK</c:v>
                </c:pt>
                <c:pt idx="21">
                  <c:v>LV</c:v>
                </c:pt>
                <c:pt idx="22">
                  <c:v>LT</c:v>
                </c:pt>
                <c:pt idx="23">
                  <c:v>SE</c:v>
                </c:pt>
                <c:pt idx="24">
                  <c:v>RO</c:v>
                </c:pt>
                <c:pt idx="25">
                  <c:v>LU</c:v>
                </c:pt>
                <c:pt idx="26">
                  <c:v>BG</c:v>
                </c:pt>
                <c:pt idx="27">
                  <c:v>EE</c:v>
                </c:pt>
              </c:strCache>
            </c:strRef>
          </c:cat>
          <c:val>
            <c:numRef>
              <c:f>Sheet1!$C$2:$C$29</c:f>
              <c:numCache>
                <c:formatCode>General</c:formatCode>
                <c:ptCount val="28"/>
                <c:pt idx="4">
                  <c:v>6.7</c:v>
                </c:pt>
                <c:pt idx="8">
                  <c:v>18</c:v>
                </c:pt>
                <c:pt idx="9">
                  <c:v>6.9</c:v>
                </c:pt>
                <c:pt idx="10">
                  <c:v>24.9</c:v>
                </c:pt>
                <c:pt idx="12">
                  <c:v>5.7</c:v>
                </c:pt>
              </c:numCache>
            </c:numRef>
          </c:val>
        </c:ser>
        <c:ser>
          <c:idx val="2"/>
          <c:order val="2"/>
          <c:tx>
            <c:strRef>
              <c:f>Sheet1!$D$1</c:f>
              <c:strCache>
                <c:ptCount val="1"/>
                <c:pt idx="0">
                  <c:v>Likusi valstybės skola</c:v>
                </c:pt>
              </c:strCache>
            </c:strRef>
          </c:tx>
          <c:invertIfNegative val="0"/>
          <c:cat>
            <c:strRef>
              <c:f>Sheet1!$A$2:$A$29</c:f>
              <c:strCache>
                <c:ptCount val="28"/>
                <c:pt idx="0">
                  <c:v>EL</c:v>
                </c:pt>
                <c:pt idx="1">
                  <c:v>IT</c:v>
                </c:pt>
                <c:pt idx="2">
                  <c:v>PT</c:v>
                </c:pt>
                <c:pt idx="3">
                  <c:v>IE</c:v>
                </c:pt>
                <c:pt idx="4">
                  <c:v>BE</c:v>
                </c:pt>
                <c:pt idx="5">
                  <c:v>FR</c:v>
                </c:pt>
                <c:pt idx="6">
                  <c:v>UK</c:v>
                </c:pt>
                <c:pt idx="7">
                  <c:v>CY</c:v>
                </c:pt>
                <c:pt idx="8">
                  <c:v>ES</c:v>
                </c:pt>
                <c:pt idx="9">
                  <c:v>EU27</c:v>
                </c:pt>
                <c:pt idx="10">
                  <c:v>DE</c:v>
                </c:pt>
                <c:pt idx="11">
                  <c:v>HU</c:v>
                </c:pt>
                <c:pt idx="12">
                  <c:v>AT</c:v>
                </c:pt>
                <c:pt idx="13">
                  <c:v>MT</c:v>
                </c:pt>
                <c:pt idx="14">
                  <c:v>NL</c:v>
                </c:pt>
                <c:pt idx="15">
                  <c:v>PL</c:v>
                </c:pt>
                <c:pt idx="16">
                  <c:v>SI</c:v>
                </c:pt>
                <c:pt idx="17">
                  <c:v>FI</c:v>
                </c:pt>
                <c:pt idx="18">
                  <c:v>SK</c:v>
                </c:pt>
                <c:pt idx="19">
                  <c:v>CZ</c:v>
                </c:pt>
                <c:pt idx="20">
                  <c:v>DK</c:v>
                </c:pt>
                <c:pt idx="21">
                  <c:v>LV</c:v>
                </c:pt>
                <c:pt idx="22">
                  <c:v>LT</c:v>
                </c:pt>
                <c:pt idx="23">
                  <c:v>SE</c:v>
                </c:pt>
                <c:pt idx="24">
                  <c:v>RO</c:v>
                </c:pt>
                <c:pt idx="25">
                  <c:v>LU</c:v>
                </c:pt>
                <c:pt idx="26">
                  <c:v>BG</c:v>
                </c:pt>
                <c:pt idx="27">
                  <c:v>EE</c:v>
                </c:pt>
              </c:strCache>
            </c:strRef>
          </c:cat>
          <c:val>
            <c:numRef>
              <c:f>Sheet1!$D$2:$D$29</c:f>
              <c:numCache>
                <c:formatCode>General</c:formatCode>
                <c:ptCount val="28"/>
                <c:pt idx="0">
                  <c:v>156</c:v>
                </c:pt>
                <c:pt idx="1">
                  <c:v>118.6</c:v>
                </c:pt>
                <c:pt idx="2">
                  <c:v>118.3</c:v>
                </c:pt>
                <c:pt idx="3">
                  <c:v>114.10000000000001</c:v>
                </c:pt>
                <c:pt idx="4">
                  <c:v>87.9</c:v>
                </c:pt>
                <c:pt idx="5">
                  <c:v>81.600000000000009</c:v>
                </c:pt>
                <c:pt idx="6">
                  <c:v>83.3</c:v>
                </c:pt>
                <c:pt idx="7">
                  <c:v>84.8</c:v>
                </c:pt>
                <c:pt idx="8">
                  <c:v>63.9</c:v>
                </c:pt>
                <c:pt idx="9">
                  <c:v>72.2</c:v>
                </c:pt>
                <c:pt idx="10">
                  <c:v>50.7</c:v>
                </c:pt>
                <c:pt idx="11">
                  <c:v>76</c:v>
                </c:pt>
                <c:pt idx="12">
                  <c:v>65.400000000000006</c:v>
                </c:pt>
                <c:pt idx="13">
                  <c:v>71.2</c:v>
                </c:pt>
                <c:pt idx="14">
                  <c:v>62.3</c:v>
                </c:pt>
                <c:pt idx="15">
                  <c:v>51.300000000000004</c:v>
                </c:pt>
                <c:pt idx="16">
                  <c:v>52.4</c:v>
                </c:pt>
                <c:pt idx="17">
                  <c:v>46.4</c:v>
                </c:pt>
                <c:pt idx="18">
                  <c:v>50</c:v>
                </c:pt>
                <c:pt idx="19">
                  <c:v>43.300000000000004</c:v>
                </c:pt>
                <c:pt idx="20">
                  <c:v>38.1</c:v>
                </c:pt>
                <c:pt idx="21">
                  <c:v>35</c:v>
                </c:pt>
                <c:pt idx="22">
                  <c:v>38.6</c:v>
                </c:pt>
                <c:pt idx="23">
                  <c:v>30.6</c:v>
                </c:pt>
                <c:pt idx="24">
                  <c:v>35.299999999999997</c:v>
                </c:pt>
                <c:pt idx="25">
                  <c:v>19.399999999999999</c:v>
                </c:pt>
                <c:pt idx="26">
                  <c:v>17.2</c:v>
                </c:pt>
                <c:pt idx="27">
                  <c:v>6.5000000000000009</c:v>
                </c:pt>
              </c:numCache>
            </c:numRef>
          </c:val>
        </c:ser>
        <c:dLbls>
          <c:showLegendKey val="0"/>
          <c:showVal val="0"/>
          <c:showCatName val="0"/>
          <c:showSerName val="0"/>
          <c:showPercent val="0"/>
          <c:showBubbleSize val="0"/>
        </c:dLbls>
        <c:gapWidth val="150"/>
        <c:shape val="cylinder"/>
        <c:axId val="149881216"/>
        <c:axId val="149882752"/>
        <c:axId val="0"/>
      </c:bar3DChart>
      <c:catAx>
        <c:axId val="149881216"/>
        <c:scaling>
          <c:orientation val="minMax"/>
        </c:scaling>
        <c:delete val="0"/>
        <c:axPos val="b"/>
        <c:majorTickMark val="out"/>
        <c:minorTickMark val="none"/>
        <c:tickLblPos val="nextTo"/>
        <c:crossAx val="149882752"/>
        <c:crosses val="autoZero"/>
        <c:auto val="1"/>
        <c:lblAlgn val="ctr"/>
        <c:lblOffset val="100"/>
        <c:noMultiLvlLbl val="0"/>
      </c:catAx>
      <c:valAx>
        <c:axId val="149882752"/>
        <c:scaling>
          <c:orientation val="minMax"/>
        </c:scaling>
        <c:delete val="0"/>
        <c:axPos val="l"/>
        <c:majorGridlines/>
        <c:numFmt formatCode="General" sourceLinked="1"/>
        <c:majorTickMark val="out"/>
        <c:minorTickMark val="none"/>
        <c:tickLblPos val="nextTo"/>
        <c:crossAx val="149881216"/>
        <c:crosses val="autoZero"/>
        <c:crossBetween val="between"/>
      </c:valAx>
    </c:plotArea>
    <c:legend>
      <c:legendPos val="b"/>
      <c:overlay val="0"/>
    </c:legend>
    <c:plotVisOnly val="1"/>
    <c:dispBlanksAs val="gap"/>
    <c:showDLblsOverMax val="0"/>
  </c:chart>
  <c:externalData r:id="rId1">
    <c:autoUpdate val="0"/>
  </c:externalData>
  <c:userShapes r:id="rId2"/>
</c:chartSpace>
</file>

<file path=word/charts/chart2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26005566696448"/>
          <c:y val="4.4057617797775277E-2"/>
          <c:w val="0.85114859740208992"/>
          <c:h val="0.77716597925259345"/>
        </c:manualLayout>
      </c:layout>
      <c:scatterChart>
        <c:scatterStyle val="lineMarker"/>
        <c:varyColors val="0"/>
        <c:ser>
          <c:idx val="0"/>
          <c:order val="0"/>
          <c:tx>
            <c:strRef>
              <c:f>Sheet1!$B$1</c:f>
              <c:strCache>
                <c:ptCount val="1"/>
                <c:pt idx="0">
                  <c:v>Subnacionalinės valdžios skola proc. nuo bendros valdžios sektoriaus skolos</c:v>
                </c:pt>
              </c:strCache>
            </c:strRef>
          </c:tx>
          <c:spPr>
            <a:ln w="28575">
              <a:noFill/>
            </a:ln>
          </c:spPr>
          <c:trendline>
            <c:trendlineType val="linear"/>
            <c:dispRSqr val="0"/>
            <c:dispEq val="0"/>
          </c:trendline>
          <c:xVal>
            <c:numRef>
              <c:f>Sheet1!$A$2:$A$29</c:f>
              <c:numCache>
                <c:formatCode>General</c:formatCode>
                <c:ptCount val="28"/>
                <c:pt idx="0">
                  <c:v>6</c:v>
                </c:pt>
                <c:pt idx="1">
                  <c:v>29.8</c:v>
                </c:pt>
                <c:pt idx="2">
                  <c:v>12.6</c:v>
                </c:pt>
                <c:pt idx="3">
                  <c:v>12.2</c:v>
                </c:pt>
                <c:pt idx="4">
                  <c:v>37</c:v>
                </c:pt>
                <c:pt idx="5">
                  <c:v>21.1</c:v>
                </c:pt>
                <c:pt idx="6">
                  <c:v>28</c:v>
                </c:pt>
                <c:pt idx="7">
                  <c:v>4.4000000000000004</c:v>
                </c:pt>
                <c:pt idx="8">
                  <c:v>47.9</c:v>
                </c:pt>
                <c:pt idx="9">
                  <c:v>28.9</c:v>
                </c:pt>
                <c:pt idx="10">
                  <c:v>37.6</c:v>
                </c:pt>
                <c:pt idx="11">
                  <c:v>19.100000000000001</c:v>
                </c:pt>
                <c:pt idx="12">
                  <c:v>34.799999999999997</c:v>
                </c:pt>
                <c:pt idx="13">
                  <c:v>1.8</c:v>
                </c:pt>
                <c:pt idx="14">
                  <c:v>32.4</c:v>
                </c:pt>
                <c:pt idx="15">
                  <c:v>31.4</c:v>
                </c:pt>
                <c:pt idx="16">
                  <c:v>20</c:v>
                </c:pt>
                <c:pt idx="17">
                  <c:v>41.1</c:v>
                </c:pt>
                <c:pt idx="18">
                  <c:v>16.8</c:v>
                </c:pt>
                <c:pt idx="19">
                  <c:v>23.1</c:v>
                </c:pt>
                <c:pt idx="20">
                  <c:v>63.7</c:v>
                </c:pt>
                <c:pt idx="21">
                  <c:v>27.2</c:v>
                </c:pt>
                <c:pt idx="22">
                  <c:v>26.2</c:v>
                </c:pt>
                <c:pt idx="23">
                  <c:v>49.2</c:v>
                </c:pt>
                <c:pt idx="24">
                  <c:v>26.4</c:v>
                </c:pt>
                <c:pt idx="25">
                  <c:v>12.4</c:v>
                </c:pt>
                <c:pt idx="26">
                  <c:v>18.899999999999999</c:v>
                </c:pt>
                <c:pt idx="27">
                  <c:v>25.2</c:v>
                </c:pt>
              </c:numCache>
            </c:numRef>
          </c:xVal>
          <c:yVal>
            <c:numRef>
              <c:f>Sheet1!$B$2:$B$29</c:f>
              <c:numCache>
                <c:formatCode>General</c:formatCode>
                <c:ptCount val="28"/>
                <c:pt idx="0">
                  <c:v>0.9</c:v>
                </c:pt>
                <c:pt idx="1">
                  <c:v>8.4</c:v>
                </c:pt>
                <c:pt idx="2">
                  <c:v>5.8</c:v>
                </c:pt>
                <c:pt idx="3">
                  <c:v>3.3</c:v>
                </c:pt>
                <c:pt idx="4">
                  <c:v>11.9</c:v>
                </c:pt>
                <c:pt idx="5">
                  <c:v>8.6</c:v>
                </c:pt>
                <c:pt idx="6">
                  <c:v>5.4</c:v>
                </c:pt>
                <c:pt idx="7">
                  <c:v>1.8</c:v>
                </c:pt>
                <c:pt idx="8">
                  <c:v>22.1</c:v>
                </c:pt>
                <c:pt idx="9">
                  <c:v>13</c:v>
                </c:pt>
                <c:pt idx="10">
                  <c:v>30.3</c:v>
                </c:pt>
                <c:pt idx="11">
                  <c:v>3.8</c:v>
                </c:pt>
                <c:pt idx="12">
                  <c:v>8.6999999999999993</c:v>
                </c:pt>
                <c:pt idx="13">
                  <c:v>0.1</c:v>
                </c:pt>
                <c:pt idx="14">
                  <c:v>9</c:v>
                </c:pt>
                <c:pt idx="15">
                  <c:v>4.3</c:v>
                </c:pt>
                <c:pt idx="16">
                  <c:v>2</c:v>
                </c:pt>
                <c:pt idx="17">
                  <c:v>7.2</c:v>
                </c:pt>
                <c:pt idx="18">
                  <c:v>2.4</c:v>
                </c:pt>
                <c:pt idx="19">
                  <c:v>2.9</c:v>
                </c:pt>
                <c:pt idx="20">
                  <c:v>7.3</c:v>
                </c:pt>
                <c:pt idx="21">
                  <c:v>5.6</c:v>
                </c:pt>
                <c:pt idx="22">
                  <c:v>1.9</c:v>
                </c:pt>
                <c:pt idx="23">
                  <c:v>7.6</c:v>
                </c:pt>
                <c:pt idx="24">
                  <c:v>2.6</c:v>
                </c:pt>
                <c:pt idx="25">
                  <c:v>2.2999999999999998</c:v>
                </c:pt>
                <c:pt idx="26">
                  <c:v>1.3</c:v>
                </c:pt>
                <c:pt idx="27">
                  <c:v>3.3</c:v>
                </c:pt>
              </c:numCache>
            </c:numRef>
          </c:yVal>
          <c:smooth val="0"/>
        </c:ser>
        <c:dLbls>
          <c:showLegendKey val="0"/>
          <c:showVal val="0"/>
          <c:showCatName val="0"/>
          <c:showSerName val="0"/>
          <c:showPercent val="0"/>
          <c:showBubbleSize val="0"/>
        </c:dLbls>
        <c:axId val="150046208"/>
        <c:axId val="150048128"/>
      </c:scatterChart>
      <c:valAx>
        <c:axId val="150046208"/>
        <c:scaling>
          <c:orientation val="minMax"/>
        </c:scaling>
        <c:delete val="0"/>
        <c:axPos val="b"/>
        <c:title>
          <c:tx>
            <c:rich>
              <a:bodyPr/>
              <a:lstStyle/>
              <a:p>
                <a:pPr>
                  <a:defRPr/>
                </a:pPr>
                <a:r>
                  <a:rPr lang="lt-LT"/>
                  <a:t>Subnacionalinio valdžios sektoriaus</a:t>
                </a:r>
                <a:r>
                  <a:rPr lang="lt-LT" baseline="0"/>
                  <a:t> biudžeto išlaidų dalis valdžios sektoriaus išlaidose, proc.</a:t>
                </a:r>
                <a:endParaRPr lang="en-US"/>
              </a:p>
            </c:rich>
          </c:tx>
          <c:overlay val="0"/>
        </c:title>
        <c:numFmt formatCode="General" sourceLinked="1"/>
        <c:majorTickMark val="out"/>
        <c:minorTickMark val="none"/>
        <c:tickLblPos val="nextTo"/>
        <c:crossAx val="150048128"/>
        <c:crosses val="autoZero"/>
        <c:crossBetween val="midCat"/>
      </c:valAx>
      <c:valAx>
        <c:axId val="150048128"/>
        <c:scaling>
          <c:orientation val="minMax"/>
        </c:scaling>
        <c:delete val="0"/>
        <c:axPos val="l"/>
        <c:majorGridlines/>
        <c:title>
          <c:tx>
            <c:rich>
              <a:bodyPr rot="-5400000" vert="horz"/>
              <a:lstStyle/>
              <a:p>
                <a:pPr>
                  <a:defRPr/>
                </a:pPr>
                <a:r>
                  <a:rPr lang="lt-LT"/>
                  <a:t>Subnacionalinio</a:t>
                </a:r>
                <a:r>
                  <a:rPr lang="lt-LT" baseline="0"/>
                  <a:t> valdžios sektoriaus biudžeto skola proc. nuo bendros vald-ios sektoriaus skolos</a:t>
                </a:r>
                <a:endParaRPr lang="en-US"/>
              </a:p>
            </c:rich>
          </c:tx>
          <c:overlay val="0"/>
        </c:title>
        <c:numFmt formatCode="General" sourceLinked="1"/>
        <c:majorTickMark val="out"/>
        <c:minorTickMark val="none"/>
        <c:tickLblPos val="nextTo"/>
        <c:crossAx val="150046208"/>
        <c:crosses val="autoZero"/>
        <c:crossBetween val="midCat"/>
      </c:valAx>
    </c:plotArea>
    <c:plotVisOnly val="1"/>
    <c:dispBlanksAs val="gap"/>
    <c:showDLblsOverMax val="0"/>
  </c:chart>
  <c:externalData r:id="rId1">
    <c:autoUpdate val="0"/>
  </c:externalData>
  <c:userShapes r:id="rId2"/>
</c:chartSpace>
</file>

<file path=word/charts/chart2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floor>
    <c:sideWall>
      <c:thickness val="0"/>
    </c:sideWall>
    <c:backWall>
      <c:thickness val="0"/>
    </c:backWall>
    <c:plotArea>
      <c:layout>
        <c:manualLayout>
          <c:layoutTarget val="inner"/>
          <c:xMode val="edge"/>
          <c:yMode val="edge"/>
          <c:x val="0.10568112184357523"/>
          <c:y val="5.5072022247219098E-2"/>
          <c:w val="0.86957753762561052"/>
          <c:h val="0.80578287089113865"/>
        </c:manualLayout>
      </c:layout>
      <c:bar3DChart>
        <c:barDir val="col"/>
        <c:grouping val="clustered"/>
        <c:varyColors val="0"/>
        <c:ser>
          <c:idx val="0"/>
          <c:order val="0"/>
          <c:tx>
            <c:strRef>
              <c:f>Sheet1!$B$1</c:f>
              <c:strCache>
                <c:ptCount val="1"/>
                <c:pt idx="0">
                  <c:v>Series 1</c:v>
                </c:pt>
              </c:strCache>
            </c:strRef>
          </c:tx>
          <c:invertIfNegative val="0"/>
          <c:cat>
            <c:numRef>
              <c:f>Sheet1!$A$2:$A$6</c:f>
              <c:numCache>
                <c:formatCode>General</c:formatCode>
                <c:ptCount val="5"/>
                <c:pt idx="0">
                  <c:v>2008</c:v>
                </c:pt>
                <c:pt idx="1">
                  <c:v>2009</c:v>
                </c:pt>
                <c:pt idx="2">
                  <c:v>2010</c:v>
                </c:pt>
                <c:pt idx="3">
                  <c:v>2011</c:v>
                </c:pt>
                <c:pt idx="4">
                  <c:v>2012</c:v>
                </c:pt>
              </c:numCache>
            </c:numRef>
          </c:cat>
          <c:val>
            <c:numRef>
              <c:f>Sheet1!$B$2:$B$6</c:f>
              <c:numCache>
                <c:formatCode>General</c:formatCode>
                <c:ptCount val="5"/>
                <c:pt idx="0">
                  <c:v>37</c:v>
                </c:pt>
                <c:pt idx="1">
                  <c:v>74</c:v>
                </c:pt>
                <c:pt idx="2">
                  <c:v>181</c:v>
                </c:pt>
                <c:pt idx="3">
                  <c:v>221</c:v>
                </c:pt>
                <c:pt idx="4">
                  <c:v>222</c:v>
                </c:pt>
              </c:numCache>
            </c:numRef>
          </c:val>
        </c:ser>
        <c:dLbls>
          <c:showLegendKey val="0"/>
          <c:showVal val="1"/>
          <c:showCatName val="0"/>
          <c:showSerName val="0"/>
          <c:showPercent val="0"/>
          <c:showBubbleSize val="0"/>
        </c:dLbls>
        <c:gapWidth val="150"/>
        <c:shape val="cylinder"/>
        <c:axId val="150504192"/>
        <c:axId val="150505728"/>
        <c:axId val="0"/>
      </c:bar3DChart>
      <c:catAx>
        <c:axId val="150504192"/>
        <c:scaling>
          <c:orientation val="minMax"/>
        </c:scaling>
        <c:delete val="0"/>
        <c:axPos val="b"/>
        <c:numFmt formatCode="General" sourceLinked="1"/>
        <c:majorTickMark val="out"/>
        <c:minorTickMark val="none"/>
        <c:tickLblPos val="nextTo"/>
        <c:crossAx val="150505728"/>
        <c:crosses val="autoZero"/>
        <c:auto val="1"/>
        <c:lblAlgn val="ctr"/>
        <c:lblOffset val="100"/>
        <c:noMultiLvlLbl val="0"/>
      </c:catAx>
      <c:valAx>
        <c:axId val="150505728"/>
        <c:scaling>
          <c:orientation val="minMax"/>
        </c:scaling>
        <c:delete val="0"/>
        <c:axPos val="l"/>
        <c:majorGridlines/>
        <c:numFmt formatCode="General" sourceLinked="1"/>
        <c:majorTickMark val="out"/>
        <c:minorTickMark val="none"/>
        <c:tickLblPos val="nextTo"/>
        <c:crossAx val="150504192"/>
        <c:crosses val="autoZero"/>
        <c:crossBetween val="between"/>
      </c:valAx>
    </c:plotArea>
    <c:plotVisOnly val="1"/>
    <c:dispBlanksAs val="gap"/>
    <c:showDLblsOverMax val="0"/>
  </c:chart>
  <c:externalData r:id="rId1">
    <c:autoUpdate val="0"/>
  </c:externalData>
  <c:userShapes r:id="rId2"/>
</c:chartSpace>
</file>

<file path=word/charts/chart2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Sheet1!$B$1</c:f>
              <c:strCache>
                <c:ptCount val="1"/>
                <c:pt idx="0">
                  <c:v>Gavėjai 1000 gyv. (S5)</c:v>
                </c:pt>
              </c:strCache>
            </c:strRef>
          </c:tx>
          <c:cat>
            <c:numRef>
              <c:f>Sheet1!$A$2:$A$6</c:f>
              <c:numCache>
                <c:formatCode>General</c:formatCode>
                <c:ptCount val="5"/>
                <c:pt idx="0">
                  <c:v>2008</c:v>
                </c:pt>
                <c:pt idx="1">
                  <c:v>2009</c:v>
                </c:pt>
                <c:pt idx="2">
                  <c:v>2010</c:v>
                </c:pt>
                <c:pt idx="3">
                  <c:v>2011</c:v>
                </c:pt>
                <c:pt idx="4">
                  <c:v>2012</c:v>
                </c:pt>
              </c:numCache>
            </c:numRef>
          </c:cat>
          <c:val>
            <c:numRef>
              <c:f>Sheet1!$B$2:$B$6</c:f>
              <c:numCache>
                <c:formatCode>General</c:formatCode>
                <c:ptCount val="5"/>
                <c:pt idx="0">
                  <c:v>53</c:v>
                </c:pt>
                <c:pt idx="1">
                  <c:v>98</c:v>
                </c:pt>
                <c:pt idx="2">
                  <c:v>170</c:v>
                </c:pt>
                <c:pt idx="3">
                  <c:v>184</c:v>
                </c:pt>
                <c:pt idx="4">
                  <c:v>179</c:v>
                </c:pt>
              </c:numCache>
            </c:numRef>
          </c:val>
          <c:smooth val="0"/>
        </c:ser>
        <c:ser>
          <c:idx val="1"/>
          <c:order val="1"/>
          <c:tx>
            <c:strRef>
              <c:f>Sheet1!$C$1</c:f>
              <c:strCache>
                <c:ptCount val="1"/>
                <c:pt idx="0">
                  <c:v>Išmokos 1000 gyv. (S5)</c:v>
                </c:pt>
              </c:strCache>
            </c:strRef>
          </c:tx>
          <c:cat>
            <c:numRef>
              <c:f>Sheet1!$A$2:$A$6</c:f>
              <c:numCache>
                <c:formatCode>General</c:formatCode>
                <c:ptCount val="5"/>
                <c:pt idx="0">
                  <c:v>2008</c:v>
                </c:pt>
                <c:pt idx="1">
                  <c:v>2009</c:v>
                </c:pt>
                <c:pt idx="2">
                  <c:v>2010</c:v>
                </c:pt>
                <c:pt idx="3">
                  <c:v>2011</c:v>
                </c:pt>
                <c:pt idx="4">
                  <c:v>2012</c:v>
                </c:pt>
              </c:numCache>
            </c:numRef>
          </c:cat>
          <c:val>
            <c:numRef>
              <c:f>Sheet1!$C$2:$C$6</c:f>
              <c:numCache>
                <c:formatCode>General</c:formatCode>
                <c:ptCount val="5"/>
                <c:pt idx="0">
                  <c:v>276</c:v>
                </c:pt>
                <c:pt idx="1">
                  <c:v>505</c:v>
                </c:pt>
                <c:pt idx="2">
                  <c:v>1014</c:v>
                </c:pt>
                <c:pt idx="3">
                  <c:v>1138</c:v>
                </c:pt>
                <c:pt idx="4">
                  <c:v>1063</c:v>
                </c:pt>
              </c:numCache>
            </c:numRef>
          </c:val>
          <c:smooth val="0"/>
        </c:ser>
        <c:ser>
          <c:idx val="2"/>
          <c:order val="2"/>
          <c:tx>
            <c:strRef>
              <c:f>Sheet1!$D$1</c:f>
              <c:strCache>
                <c:ptCount val="1"/>
                <c:pt idx="0">
                  <c:v>Gavėjai 1000 gyv. (S55)</c:v>
                </c:pt>
              </c:strCache>
            </c:strRef>
          </c:tx>
          <c:cat>
            <c:numRef>
              <c:f>Sheet1!$A$2:$A$6</c:f>
              <c:numCache>
                <c:formatCode>General</c:formatCode>
                <c:ptCount val="5"/>
                <c:pt idx="0">
                  <c:v>2008</c:v>
                </c:pt>
                <c:pt idx="1">
                  <c:v>2009</c:v>
                </c:pt>
                <c:pt idx="2">
                  <c:v>2010</c:v>
                </c:pt>
                <c:pt idx="3">
                  <c:v>2011</c:v>
                </c:pt>
                <c:pt idx="4">
                  <c:v>2012</c:v>
                </c:pt>
              </c:numCache>
            </c:numRef>
          </c:cat>
          <c:val>
            <c:numRef>
              <c:f>Sheet1!$D$2:$D$6</c:f>
              <c:numCache>
                <c:formatCode>General</c:formatCode>
                <c:ptCount val="5"/>
                <c:pt idx="0">
                  <c:v>22</c:v>
                </c:pt>
                <c:pt idx="1">
                  <c:v>50</c:v>
                </c:pt>
                <c:pt idx="2">
                  <c:v>111</c:v>
                </c:pt>
                <c:pt idx="3">
                  <c:v>125</c:v>
                </c:pt>
                <c:pt idx="4">
                  <c:v>133</c:v>
                </c:pt>
              </c:numCache>
            </c:numRef>
          </c:val>
          <c:smooth val="0"/>
        </c:ser>
        <c:ser>
          <c:idx val="3"/>
          <c:order val="3"/>
          <c:tx>
            <c:strRef>
              <c:f>Sheet1!$E$1</c:f>
              <c:strCache>
                <c:ptCount val="1"/>
                <c:pt idx="0">
                  <c:v>Išmokos 1000 gyv. (S55)</c:v>
                </c:pt>
              </c:strCache>
            </c:strRef>
          </c:tx>
          <c:cat>
            <c:numRef>
              <c:f>Sheet1!$A$2:$A$6</c:f>
              <c:numCache>
                <c:formatCode>General</c:formatCode>
                <c:ptCount val="5"/>
                <c:pt idx="0">
                  <c:v>2008</c:v>
                </c:pt>
                <c:pt idx="1">
                  <c:v>2009</c:v>
                </c:pt>
                <c:pt idx="2">
                  <c:v>2010</c:v>
                </c:pt>
                <c:pt idx="3">
                  <c:v>2011</c:v>
                </c:pt>
                <c:pt idx="4">
                  <c:v>2012</c:v>
                </c:pt>
              </c:numCache>
            </c:numRef>
          </c:cat>
          <c:val>
            <c:numRef>
              <c:f>Sheet1!$E$2:$E$6</c:f>
              <c:numCache>
                <c:formatCode>General</c:formatCode>
                <c:ptCount val="5"/>
                <c:pt idx="0">
                  <c:v>148</c:v>
                </c:pt>
                <c:pt idx="1">
                  <c:v>301</c:v>
                </c:pt>
                <c:pt idx="2">
                  <c:v>787</c:v>
                </c:pt>
                <c:pt idx="3">
                  <c:v>949</c:v>
                </c:pt>
                <c:pt idx="4">
                  <c:v>980</c:v>
                </c:pt>
              </c:numCache>
            </c:numRef>
          </c:val>
          <c:smooth val="0"/>
        </c:ser>
        <c:dLbls>
          <c:showLegendKey val="0"/>
          <c:showVal val="0"/>
          <c:showCatName val="0"/>
          <c:showSerName val="0"/>
          <c:showPercent val="0"/>
          <c:showBubbleSize val="0"/>
        </c:dLbls>
        <c:marker val="1"/>
        <c:smooth val="0"/>
        <c:axId val="150532480"/>
        <c:axId val="150534016"/>
      </c:lineChart>
      <c:catAx>
        <c:axId val="150532480"/>
        <c:scaling>
          <c:orientation val="minMax"/>
        </c:scaling>
        <c:delete val="0"/>
        <c:axPos val="b"/>
        <c:numFmt formatCode="General" sourceLinked="1"/>
        <c:majorTickMark val="out"/>
        <c:minorTickMark val="none"/>
        <c:tickLblPos val="nextTo"/>
        <c:crossAx val="150534016"/>
        <c:crosses val="autoZero"/>
        <c:auto val="1"/>
        <c:lblAlgn val="ctr"/>
        <c:lblOffset val="100"/>
        <c:noMultiLvlLbl val="0"/>
      </c:catAx>
      <c:valAx>
        <c:axId val="150534016"/>
        <c:scaling>
          <c:orientation val="minMax"/>
        </c:scaling>
        <c:delete val="0"/>
        <c:axPos val="l"/>
        <c:majorGridlines/>
        <c:numFmt formatCode="General" sourceLinked="1"/>
        <c:majorTickMark val="out"/>
        <c:minorTickMark val="none"/>
        <c:tickLblPos val="nextTo"/>
        <c:crossAx val="150532480"/>
        <c:crosses val="autoZero"/>
        <c:crossBetween val="between"/>
      </c:valAx>
      <c:dTable>
        <c:showHorzBorder val="1"/>
        <c:showVertBorder val="1"/>
        <c:showOutline val="1"/>
        <c:showKeys val="1"/>
      </c:dTable>
    </c:plotArea>
    <c:plotVisOnly val="1"/>
    <c:dispBlanksAs val="gap"/>
    <c:showDLblsOverMax val="0"/>
  </c:chart>
  <c:externalData r:id="rId1">
    <c:autoUpdate val="0"/>
  </c:externalData>
</c:chartSpace>
</file>

<file path=word/charts/chart2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Sheet1!$B$1</c:f>
              <c:strCache>
                <c:ptCount val="1"/>
                <c:pt idx="0">
                  <c:v>S5</c:v>
                </c:pt>
              </c:strCache>
            </c:strRef>
          </c:tx>
          <c:cat>
            <c:numRef>
              <c:f>Sheet1!$A$2:$A$6</c:f>
              <c:numCache>
                <c:formatCode>General</c:formatCode>
                <c:ptCount val="5"/>
                <c:pt idx="0">
                  <c:v>2008</c:v>
                </c:pt>
                <c:pt idx="1">
                  <c:v>2009</c:v>
                </c:pt>
                <c:pt idx="2">
                  <c:v>2010</c:v>
                </c:pt>
                <c:pt idx="3">
                  <c:v>2011</c:v>
                </c:pt>
                <c:pt idx="4">
                  <c:v>2012</c:v>
                </c:pt>
              </c:numCache>
            </c:numRef>
          </c:cat>
          <c:val>
            <c:numRef>
              <c:f>Sheet1!$B$2:$B$6</c:f>
              <c:numCache>
                <c:formatCode>General</c:formatCode>
                <c:ptCount val="5"/>
                <c:pt idx="0">
                  <c:v>4.3600000000000003</c:v>
                </c:pt>
                <c:pt idx="1">
                  <c:v>9.83</c:v>
                </c:pt>
                <c:pt idx="2">
                  <c:v>21.24</c:v>
                </c:pt>
                <c:pt idx="3">
                  <c:v>24.14</c:v>
                </c:pt>
                <c:pt idx="4">
                  <c:v>19.2</c:v>
                </c:pt>
              </c:numCache>
            </c:numRef>
          </c:val>
          <c:smooth val="0"/>
        </c:ser>
        <c:ser>
          <c:idx val="1"/>
          <c:order val="1"/>
          <c:tx>
            <c:strRef>
              <c:f>Sheet1!$C$1</c:f>
              <c:strCache>
                <c:ptCount val="1"/>
                <c:pt idx="0">
                  <c:v>S55</c:v>
                </c:pt>
              </c:strCache>
            </c:strRef>
          </c:tx>
          <c:cat>
            <c:numRef>
              <c:f>Sheet1!$A$2:$A$6</c:f>
              <c:numCache>
                <c:formatCode>General</c:formatCode>
                <c:ptCount val="5"/>
                <c:pt idx="0">
                  <c:v>2008</c:v>
                </c:pt>
                <c:pt idx="1">
                  <c:v>2009</c:v>
                </c:pt>
                <c:pt idx="2">
                  <c:v>2010</c:v>
                </c:pt>
                <c:pt idx="3">
                  <c:v>2011</c:v>
                </c:pt>
                <c:pt idx="4">
                  <c:v>2012</c:v>
                </c:pt>
              </c:numCache>
            </c:numRef>
          </c:cat>
          <c:val>
            <c:numRef>
              <c:f>Sheet1!$C$2:$C$6</c:f>
              <c:numCache>
                <c:formatCode>General</c:formatCode>
                <c:ptCount val="5"/>
                <c:pt idx="0">
                  <c:v>2.0099999999999998</c:v>
                </c:pt>
                <c:pt idx="1">
                  <c:v>4.8600000000000003</c:v>
                </c:pt>
                <c:pt idx="2">
                  <c:v>13.62</c:v>
                </c:pt>
                <c:pt idx="3">
                  <c:v>16.760000000000002</c:v>
                </c:pt>
                <c:pt idx="4">
                  <c:v>16.649999999999999</c:v>
                </c:pt>
              </c:numCache>
            </c:numRef>
          </c:val>
          <c:smooth val="0"/>
        </c:ser>
        <c:dLbls>
          <c:showLegendKey val="0"/>
          <c:showVal val="0"/>
          <c:showCatName val="0"/>
          <c:showSerName val="0"/>
          <c:showPercent val="0"/>
          <c:showBubbleSize val="0"/>
        </c:dLbls>
        <c:marker val="1"/>
        <c:smooth val="0"/>
        <c:axId val="150568320"/>
        <c:axId val="150631552"/>
      </c:lineChart>
      <c:catAx>
        <c:axId val="150568320"/>
        <c:scaling>
          <c:orientation val="minMax"/>
        </c:scaling>
        <c:delete val="0"/>
        <c:axPos val="b"/>
        <c:numFmt formatCode="General" sourceLinked="1"/>
        <c:majorTickMark val="out"/>
        <c:minorTickMark val="none"/>
        <c:tickLblPos val="nextTo"/>
        <c:crossAx val="150631552"/>
        <c:crosses val="autoZero"/>
        <c:auto val="1"/>
        <c:lblAlgn val="ctr"/>
        <c:lblOffset val="100"/>
        <c:noMultiLvlLbl val="0"/>
      </c:catAx>
      <c:valAx>
        <c:axId val="150631552"/>
        <c:scaling>
          <c:orientation val="minMax"/>
        </c:scaling>
        <c:delete val="0"/>
        <c:axPos val="l"/>
        <c:majorGridlines/>
        <c:numFmt formatCode="General" sourceLinked="1"/>
        <c:majorTickMark val="out"/>
        <c:minorTickMark val="none"/>
        <c:tickLblPos val="nextTo"/>
        <c:crossAx val="150568320"/>
        <c:crosses val="autoZero"/>
        <c:crossBetween val="between"/>
      </c:valAx>
      <c:dTable>
        <c:showHorzBorder val="1"/>
        <c:showVertBorder val="1"/>
        <c:showOutline val="1"/>
        <c:showKeys val="1"/>
      </c:dTable>
    </c:plotArea>
    <c:plotVisOnly val="1"/>
    <c:dispBlanksAs val="gap"/>
    <c:showDLblsOverMax val="0"/>
  </c:chart>
  <c:externalData r:id="rId1">
    <c:autoUpdate val="0"/>
  </c:externalData>
  <c:userShapes r:id="rId2"/>
</c:chartSpace>
</file>

<file path=word/charts/chart2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Sheet1!$B$1</c:f>
              <c:strCache>
                <c:ptCount val="1"/>
                <c:pt idx="0">
                  <c:v>2008</c:v>
                </c:pt>
              </c:strCache>
            </c:strRef>
          </c:tx>
          <c:invertIfNegative val="0"/>
          <c:cat>
            <c:strRef>
              <c:f>Sheet1!$A$2:$A$6</c:f>
              <c:strCache>
                <c:ptCount val="5"/>
                <c:pt idx="0">
                  <c:v>Šilalės r. sav.</c:v>
                </c:pt>
                <c:pt idx="1">
                  <c:v>Akmenės r. sav.</c:v>
                </c:pt>
                <c:pt idx="2">
                  <c:v>Raseinių r. sav.</c:v>
                </c:pt>
                <c:pt idx="3">
                  <c:v>Panevėžio r. sav.</c:v>
                </c:pt>
                <c:pt idx="4">
                  <c:v>Radviliškio r. sav.</c:v>
                </c:pt>
              </c:strCache>
            </c:strRef>
          </c:cat>
          <c:val>
            <c:numRef>
              <c:f>Sheet1!$B$2:$B$6</c:f>
              <c:numCache>
                <c:formatCode>General</c:formatCode>
                <c:ptCount val="5"/>
                <c:pt idx="0">
                  <c:v>989</c:v>
                </c:pt>
                <c:pt idx="1">
                  <c:v>1181</c:v>
                </c:pt>
                <c:pt idx="2">
                  <c:v>1047</c:v>
                </c:pt>
                <c:pt idx="3">
                  <c:v>610</c:v>
                </c:pt>
                <c:pt idx="4">
                  <c:v>793</c:v>
                </c:pt>
              </c:numCache>
            </c:numRef>
          </c:val>
        </c:ser>
        <c:ser>
          <c:idx val="1"/>
          <c:order val="1"/>
          <c:tx>
            <c:strRef>
              <c:f>Sheet1!$C$1</c:f>
              <c:strCache>
                <c:ptCount val="1"/>
                <c:pt idx="0">
                  <c:v>2009</c:v>
                </c:pt>
              </c:strCache>
            </c:strRef>
          </c:tx>
          <c:invertIfNegative val="0"/>
          <c:cat>
            <c:strRef>
              <c:f>Sheet1!$A$2:$A$6</c:f>
              <c:strCache>
                <c:ptCount val="5"/>
                <c:pt idx="0">
                  <c:v>Šilalės r. sav.</c:v>
                </c:pt>
                <c:pt idx="1">
                  <c:v>Akmenės r. sav.</c:v>
                </c:pt>
                <c:pt idx="2">
                  <c:v>Raseinių r. sav.</c:v>
                </c:pt>
                <c:pt idx="3">
                  <c:v>Panevėžio r. sav.</c:v>
                </c:pt>
                <c:pt idx="4">
                  <c:v>Radviliškio r. sav.</c:v>
                </c:pt>
              </c:strCache>
            </c:strRef>
          </c:cat>
          <c:val>
            <c:numRef>
              <c:f>Sheet1!$C$2:$C$6</c:f>
              <c:numCache>
                <c:formatCode>General</c:formatCode>
                <c:ptCount val="5"/>
                <c:pt idx="0">
                  <c:v>1668</c:v>
                </c:pt>
                <c:pt idx="1">
                  <c:v>1951</c:v>
                </c:pt>
                <c:pt idx="2">
                  <c:v>1753</c:v>
                </c:pt>
                <c:pt idx="3">
                  <c:v>1298</c:v>
                </c:pt>
                <c:pt idx="4">
                  <c:v>1674</c:v>
                </c:pt>
              </c:numCache>
            </c:numRef>
          </c:val>
        </c:ser>
        <c:ser>
          <c:idx val="2"/>
          <c:order val="2"/>
          <c:tx>
            <c:strRef>
              <c:f>Sheet1!$D$1</c:f>
              <c:strCache>
                <c:ptCount val="1"/>
                <c:pt idx="0">
                  <c:v>2010</c:v>
                </c:pt>
              </c:strCache>
            </c:strRef>
          </c:tx>
          <c:invertIfNegative val="0"/>
          <c:cat>
            <c:strRef>
              <c:f>Sheet1!$A$2:$A$6</c:f>
              <c:strCache>
                <c:ptCount val="5"/>
                <c:pt idx="0">
                  <c:v>Šilalės r. sav.</c:v>
                </c:pt>
                <c:pt idx="1">
                  <c:v>Akmenės r. sav.</c:v>
                </c:pt>
                <c:pt idx="2">
                  <c:v>Raseinių r. sav.</c:v>
                </c:pt>
                <c:pt idx="3">
                  <c:v>Panevėžio r. sav.</c:v>
                </c:pt>
                <c:pt idx="4">
                  <c:v>Radviliškio r. sav.</c:v>
                </c:pt>
              </c:strCache>
            </c:strRef>
          </c:cat>
          <c:val>
            <c:numRef>
              <c:f>Sheet1!$D$2:$D$6</c:f>
              <c:numCache>
                <c:formatCode>General</c:formatCode>
                <c:ptCount val="5"/>
                <c:pt idx="0">
                  <c:v>2927</c:v>
                </c:pt>
                <c:pt idx="1">
                  <c:v>3174</c:v>
                </c:pt>
                <c:pt idx="2">
                  <c:v>3193</c:v>
                </c:pt>
                <c:pt idx="3">
                  <c:v>3515</c:v>
                </c:pt>
                <c:pt idx="4">
                  <c:v>3578</c:v>
                </c:pt>
              </c:numCache>
            </c:numRef>
          </c:val>
        </c:ser>
        <c:ser>
          <c:idx val="3"/>
          <c:order val="3"/>
          <c:tx>
            <c:strRef>
              <c:f>Sheet1!$E$1</c:f>
              <c:strCache>
                <c:ptCount val="1"/>
                <c:pt idx="0">
                  <c:v>2011</c:v>
                </c:pt>
              </c:strCache>
            </c:strRef>
          </c:tx>
          <c:invertIfNegative val="0"/>
          <c:cat>
            <c:strRef>
              <c:f>Sheet1!$A$2:$A$6</c:f>
              <c:strCache>
                <c:ptCount val="5"/>
                <c:pt idx="0">
                  <c:v>Šilalės r. sav.</c:v>
                </c:pt>
                <c:pt idx="1">
                  <c:v>Akmenės r. sav.</c:v>
                </c:pt>
                <c:pt idx="2">
                  <c:v>Raseinių r. sav.</c:v>
                </c:pt>
                <c:pt idx="3">
                  <c:v>Panevėžio r. sav.</c:v>
                </c:pt>
                <c:pt idx="4">
                  <c:v>Radviliškio r. sav.</c:v>
                </c:pt>
              </c:strCache>
            </c:strRef>
          </c:cat>
          <c:val>
            <c:numRef>
              <c:f>Sheet1!$E$2:$E$6</c:f>
              <c:numCache>
                <c:formatCode>General</c:formatCode>
                <c:ptCount val="5"/>
                <c:pt idx="0">
                  <c:v>3005</c:v>
                </c:pt>
                <c:pt idx="1">
                  <c:v>3191</c:v>
                </c:pt>
                <c:pt idx="2">
                  <c:v>3401</c:v>
                </c:pt>
                <c:pt idx="3">
                  <c:v>4039</c:v>
                </c:pt>
                <c:pt idx="4">
                  <c:v>4361</c:v>
                </c:pt>
              </c:numCache>
            </c:numRef>
          </c:val>
        </c:ser>
        <c:ser>
          <c:idx val="4"/>
          <c:order val="4"/>
          <c:tx>
            <c:strRef>
              <c:f>Sheet1!$F$1</c:f>
              <c:strCache>
                <c:ptCount val="1"/>
                <c:pt idx="0">
                  <c:v>2012</c:v>
                </c:pt>
              </c:strCache>
            </c:strRef>
          </c:tx>
          <c:invertIfNegative val="0"/>
          <c:cat>
            <c:strRef>
              <c:f>Sheet1!$A$2:$A$6</c:f>
              <c:strCache>
                <c:ptCount val="5"/>
                <c:pt idx="0">
                  <c:v>Šilalės r. sav.</c:v>
                </c:pt>
                <c:pt idx="1">
                  <c:v>Akmenės r. sav.</c:v>
                </c:pt>
                <c:pt idx="2">
                  <c:v>Raseinių r. sav.</c:v>
                </c:pt>
                <c:pt idx="3">
                  <c:v>Panevėžio r. sav.</c:v>
                </c:pt>
                <c:pt idx="4">
                  <c:v>Radviliškio r. sav.</c:v>
                </c:pt>
              </c:strCache>
            </c:strRef>
          </c:cat>
          <c:val>
            <c:numRef>
              <c:f>Sheet1!$F$2:$F$6</c:f>
              <c:numCache>
                <c:formatCode>General</c:formatCode>
                <c:ptCount val="5"/>
                <c:pt idx="0">
                  <c:v>2009</c:v>
                </c:pt>
                <c:pt idx="1">
                  <c:v>2423</c:v>
                </c:pt>
                <c:pt idx="2">
                  <c:v>2960</c:v>
                </c:pt>
                <c:pt idx="3">
                  <c:v>3760</c:v>
                </c:pt>
                <c:pt idx="4">
                  <c:v>4390</c:v>
                </c:pt>
              </c:numCache>
            </c:numRef>
          </c:val>
        </c:ser>
        <c:dLbls>
          <c:showLegendKey val="0"/>
          <c:showVal val="0"/>
          <c:showCatName val="0"/>
          <c:showSerName val="0"/>
          <c:showPercent val="0"/>
          <c:showBubbleSize val="0"/>
        </c:dLbls>
        <c:gapWidth val="150"/>
        <c:shape val="cylinder"/>
        <c:axId val="150660992"/>
        <c:axId val="150662528"/>
        <c:axId val="0"/>
      </c:bar3DChart>
      <c:catAx>
        <c:axId val="150660992"/>
        <c:scaling>
          <c:orientation val="minMax"/>
        </c:scaling>
        <c:delete val="0"/>
        <c:axPos val="b"/>
        <c:majorTickMark val="out"/>
        <c:minorTickMark val="none"/>
        <c:tickLblPos val="nextTo"/>
        <c:crossAx val="150662528"/>
        <c:crosses val="autoZero"/>
        <c:auto val="1"/>
        <c:lblAlgn val="ctr"/>
        <c:lblOffset val="100"/>
        <c:noMultiLvlLbl val="0"/>
      </c:catAx>
      <c:valAx>
        <c:axId val="150662528"/>
        <c:scaling>
          <c:orientation val="minMax"/>
        </c:scaling>
        <c:delete val="0"/>
        <c:axPos val="l"/>
        <c:majorGridlines/>
        <c:numFmt formatCode="General" sourceLinked="1"/>
        <c:majorTickMark val="out"/>
        <c:minorTickMark val="none"/>
        <c:tickLblPos val="nextTo"/>
        <c:crossAx val="150660992"/>
        <c:crosses val="autoZero"/>
        <c:crossBetween val="between"/>
      </c:valAx>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1041255351930566"/>
          <c:y val="7.2141128557760684E-2"/>
          <c:w val="0.83762087814244457"/>
          <c:h val="0.78457327337006855"/>
        </c:manualLayout>
      </c:layout>
      <c:scatterChart>
        <c:scatterStyle val="lineMarker"/>
        <c:varyColors val="0"/>
        <c:ser>
          <c:idx val="0"/>
          <c:order val="0"/>
          <c:tx>
            <c:strRef>
              <c:f>Sheet1!$B$1</c:f>
              <c:strCache>
                <c:ptCount val="1"/>
                <c:pt idx="0">
                  <c:v>Series 1</c:v>
                </c:pt>
              </c:strCache>
            </c:strRef>
          </c:tx>
          <c:spPr>
            <a:ln w="28575">
              <a:noFill/>
            </a:ln>
          </c:spPr>
          <c:dLbls>
            <c:showLegendKey val="0"/>
            <c:showVal val="1"/>
            <c:showCatName val="0"/>
            <c:showSerName val="0"/>
            <c:showPercent val="0"/>
            <c:showBubbleSize val="0"/>
            <c:showLeaderLines val="0"/>
          </c:dLbls>
          <c:xVal>
            <c:numRef>
              <c:f>Sheet1!$A$2:$A$6</c:f>
              <c:numCache>
                <c:formatCode>General</c:formatCode>
                <c:ptCount val="5"/>
                <c:pt idx="0">
                  <c:v>2008</c:v>
                </c:pt>
                <c:pt idx="1">
                  <c:v>2009</c:v>
                </c:pt>
                <c:pt idx="2">
                  <c:v>2010</c:v>
                </c:pt>
                <c:pt idx="3">
                  <c:v>2011</c:v>
                </c:pt>
                <c:pt idx="4">
                  <c:v>2012</c:v>
                </c:pt>
              </c:numCache>
            </c:numRef>
          </c:xVal>
          <c:yVal>
            <c:numRef>
              <c:f>Sheet1!$B$2:$B$6</c:f>
              <c:numCache>
                <c:formatCode>General</c:formatCode>
                <c:ptCount val="5"/>
                <c:pt idx="0">
                  <c:v>22.4</c:v>
                </c:pt>
                <c:pt idx="1">
                  <c:v>21.7</c:v>
                </c:pt>
                <c:pt idx="2">
                  <c:v>21.7</c:v>
                </c:pt>
                <c:pt idx="3">
                  <c:v>22.7</c:v>
                </c:pt>
                <c:pt idx="4">
                  <c:v>23.1</c:v>
                </c:pt>
              </c:numCache>
            </c:numRef>
          </c:yVal>
          <c:smooth val="0"/>
        </c:ser>
        <c:dLbls>
          <c:showLegendKey val="0"/>
          <c:showVal val="0"/>
          <c:showCatName val="0"/>
          <c:showSerName val="0"/>
          <c:showPercent val="0"/>
          <c:showBubbleSize val="0"/>
        </c:dLbls>
        <c:axId val="124338176"/>
        <c:axId val="124339712"/>
      </c:scatterChart>
      <c:valAx>
        <c:axId val="124338176"/>
        <c:scaling>
          <c:orientation val="minMax"/>
          <c:max val="2012"/>
          <c:min val="2008"/>
        </c:scaling>
        <c:delete val="0"/>
        <c:axPos val="b"/>
        <c:numFmt formatCode="General" sourceLinked="1"/>
        <c:majorTickMark val="out"/>
        <c:minorTickMark val="none"/>
        <c:tickLblPos val="nextTo"/>
        <c:crossAx val="124339712"/>
        <c:crosses val="autoZero"/>
        <c:crossBetween val="midCat"/>
        <c:majorUnit val="1"/>
      </c:valAx>
      <c:valAx>
        <c:axId val="124339712"/>
        <c:scaling>
          <c:orientation val="minMax"/>
          <c:min val="0"/>
        </c:scaling>
        <c:delete val="0"/>
        <c:axPos val="l"/>
        <c:majorGridlines/>
        <c:numFmt formatCode="General" sourceLinked="1"/>
        <c:majorTickMark val="out"/>
        <c:minorTickMark val="none"/>
        <c:tickLblPos val="nextTo"/>
        <c:crossAx val="124338176"/>
        <c:crosses val="autoZero"/>
        <c:crossBetween val="midCat"/>
      </c:valAx>
    </c:plotArea>
    <c:plotVisOnly val="1"/>
    <c:dispBlanksAs val="zero"/>
    <c:showDLblsOverMax val="0"/>
  </c:chart>
  <c:externalData r:id="rId2">
    <c:autoUpdate val="0"/>
  </c:externalData>
  <c:userShapes r:id="rId3"/>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depthPercent val="100"/>
      <c:rAngAx val="1"/>
    </c:view3D>
    <c:floor>
      <c:thickness val="0"/>
    </c:floor>
    <c:sideWall>
      <c:thickness val="0"/>
    </c:sideWall>
    <c:backWall>
      <c:thickness val="0"/>
    </c:backWall>
    <c:plotArea>
      <c:layout/>
      <c:bar3DChart>
        <c:barDir val="bar"/>
        <c:grouping val="percentStacked"/>
        <c:varyColors val="0"/>
        <c:ser>
          <c:idx val="0"/>
          <c:order val="0"/>
          <c:tx>
            <c:strRef>
              <c:f>Sheet1!$B$1</c:f>
              <c:strCache>
                <c:ptCount val="1"/>
                <c:pt idx="0">
                  <c:v>Valstybė</c:v>
                </c:pt>
              </c:strCache>
            </c:strRef>
          </c:tx>
          <c:invertIfNegative val="0"/>
          <c:cat>
            <c:strRef>
              <c:f>Sheet1!$A$2:$A$11</c:f>
              <c:strCache>
                <c:ptCount val="10"/>
                <c:pt idx="0">
                  <c:v>Bendros valstybės paslaugos</c:v>
                </c:pt>
                <c:pt idx="1">
                  <c:v>Gynyba</c:v>
                </c:pt>
                <c:pt idx="2">
                  <c:v>Viešoji tvarka ir visuomenės apsauga</c:v>
                </c:pt>
                <c:pt idx="3">
                  <c:v>Ekonomika</c:v>
                </c:pt>
                <c:pt idx="4">
                  <c:v>Aplinkos apsauga</c:v>
                </c:pt>
                <c:pt idx="5">
                  <c:v>Būstas ir komunalinis ūkis</c:v>
                </c:pt>
                <c:pt idx="6">
                  <c:v>Sveikatos apsauga</c:v>
                </c:pt>
                <c:pt idx="7">
                  <c:v>Poilsis, kultūra ir religija</c:v>
                </c:pt>
                <c:pt idx="8">
                  <c:v>Švietimas</c:v>
                </c:pt>
                <c:pt idx="9">
                  <c:v>Socialinė apsauga</c:v>
                </c:pt>
              </c:strCache>
            </c:strRef>
          </c:cat>
          <c:val>
            <c:numRef>
              <c:f>Sheet1!$B$15:$B$24</c:f>
              <c:numCache>
                <c:formatCode>General</c:formatCode>
                <c:ptCount val="10"/>
                <c:pt idx="0">
                  <c:v>4431597</c:v>
                </c:pt>
                <c:pt idx="1">
                  <c:v>1084850</c:v>
                </c:pt>
                <c:pt idx="2">
                  <c:v>2058664</c:v>
                </c:pt>
                <c:pt idx="3">
                  <c:v>5993592</c:v>
                </c:pt>
                <c:pt idx="4">
                  <c:v>770460</c:v>
                </c:pt>
                <c:pt idx="5">
                  <c:v>13546</c:v>
                </c:pt>
                <c:pt idx="6">
                  <c:v>1878344</c:v>
                </c:pt>
                <c:pt idx="7">
                  <c:v>552014</c:v>
                </c:pt>
                <c:pt idx="8">
                  <c:v>4360622</c:v>
                </c:pt>
                <c:pt idx="9">
                  <c:v>3234916</c:v>
                </c:pt>
              </c:numCache>
            </c:numRef>
          </c:val>
        </c:ser>
        <c:ser>
          <c:idx val="1"/>
          <c:order val="1"/>
          <c:tx>
            <c:strRef>
              <c:f>Sheet1!$C$1</c:f>
              <c:strCache>
                <c:ptCount val="1"/>
                <c:pt idx="0">
                  <c:v>Savivaldybės</c:v>
                </c:pt>
              </c:strCache>
            </c:strRef>
          </c:tx>
          <c:invertIfNegative val="0"/>
          <c:cat>
            <c:strRef>
              <c:f>Sheet1!$A$2:$A$11</c:f>
              <c:strCache>
                <c:ptCount val="10"/>
                <c:pt idx="0">
                  <c:v>Bendros valstybės paslaugos</c:v>
                </c:pt>
                <c:pt idx="1">
                  <c:v>Gynyba</c:v>
                </c:pt>
                <c:pt idx="2">
                  <c:v>Viešoji tvarka ir visuomenės apsauga</c:v>
                </c:pt>
                <c:pt idx="3">
                  <c:v>Ekonomika</c:v>
                </c:pt>
                <c:pt idx="4">
                  <c:v>Aplinkos apsauga</c:v>
                </c:pt>
                <c:pt idx="5">
                  <c:v>Būstas ir komunalinis ūkis</c:v>
                </c:pt>
                <c:pt idx="6">
                  <c:v>Sveikatos apsauga</c:v>
                </c:pt>
                <c:pt idx="7">
                  <c:v>Poilsis, kultūra ir religija</c:v>
                </c:pt>
                <c:pt idx="8">
                  <c:v>Švietimas</c:v>
                </c:pt>
                <c:pt idx="9">
                  <c:v>Socialinė apsauga</c:v>
                </c:pt>
              </c:strCache>
            </c:strRef>
          </c:cat>
          <c:val>
            <c:numRef>
              <c:f>Sheet1!$C$15:$C$24</c:f>
              <c:numCache>
                <c:formatCode>General</c:formatCode>
                <c:ptCount val="10"/>
                <c:pt idx="0">
                  <c:v>824108.6</c:v>
                </c:pt>
                <c:pt idx="1">
                  <c:v>5315.5</c:v>
                </c:pt>
                <c:pt idx="2">
                  <c:v>66003.399999999994</c:v>
                </c:pt>
                <c:pt idx="3">
                  <c:v>405590.4</c:v>
                </c:pt>
                <c:pt idx="4">
                  <c:v>253126.7</c:v>
                </c:pt>
                <c:pt idx="5">
                  <c:v>262180.59999999998</c:v>
                </c:pt>
                <c:pt idx="6">
                  <c:v>59354</c:v>
                </c:pt>
                <c:pt idx="7">
                  <c:v>406670.9</c:v>
                </c:pt>
                <c:pt idx="8">
                  <c:v>3586415.4</c:v>
                </c:pt>
                <c:pt idx="9">
                  <c:v>1465876.8</c:v>
                </c:pt>
              </c:numCache>
            </c:numRef>
          </c:val>
        </c:ser>
        <c:dLbls>
          <c:showLegendKey val="0"/>
          <c:showVal val="0"/>
          <c:showCatName val="0"/>
          <c:showSerName val="0"/>
          <c:showPercent val="0"/>
          <c:showBubbleSize val="0"/>
        </c:dLbls>
        <c:gapWidth val="150"/>
        <c:shape val="cylinder"/>
        <c:axId val="124934400"/>
        <c:axId val="124944384"/>
        <c:axId val="0"/>
      </c:bar3DChart>
      <c:catAx>
        <c:axId val="124934400"/>
        <c:scaling>
          <c:orientation val="minMax"/>
        </c:scaling>
        <c:delete val="0"/>
        <c:axPos val="l"/>
        <c:numFmt formatCode="General" sourceLinked="1"/>
        <c:majorTickMark val="out"/>
        <c:minorTickMark val="none"/>
        <c:tickLblPos val="nextTo"/>
        <c:crossAx val="124944384"/>
        <c:crosses val="autoZero"/>
        <c:auto val="1"/>
        <c:lblAlgn val="ctr"/>
        <c:lblOffset val="100"/>
        <c:noMultiLvlLbl val="0"/>
      </c:catAx>
      <c:valAx>
        <c:axId val="124944384"/>
        <c:scaling>
          <c:orientation val="minMax"/>
        </c:scaling>
        <c:delete val="0"/>
        <c:axPos val="b"/>
        <c:majorGridlines/>
        <c:numFmt formatCode="0%" sourceLinked="1"/>
        <c:majorTickMark val="out"/>
        <c:minorTickMark val="none"/>
        <c:tickLblPos val="nextTo"/>
        <c:crossAx val="124934400"/>
        <c:crosses val="autoZero"/>
        <c:crossBetween val="between"/>
      </c:valAx>
      <c:spPr>
        <a:noFill/>
        <a:ln w="25377">
          <a:noFill/>
        </a:ln>
      </c:spPr>
    </c:plotArea>
    <c:legend>
      <c:legendPos val="r"/>
      <c:overlay val="0"/>
    </c:legend>
    <c:plotVisOnly val="1"/>
    <c:dispBlanksAs val="gap"/>
    <c:showDLblsOverMax val="0"/>
  </c:chart>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1621817650527283"/>
          <c:y val="8.066218285214348E-2"/>
          <c:w val="0.76171428392239504"/>
          <c:h val="0.68681318681318682"/>
        </c:manualLayout>
      </c:layout>
      <c:lineChart>
        <c:grouping val="standard"/>
        <c:varyColors val="0"/>
        <c:ser>
          <c:idx val="0"/>
          <c:order val="0"/>
          <c:tx>
            <c:strRef>
              <c:f>Sheet1!$A$2</c:f>
              <c:strCache>
                <c:ptCount val="1"/>
                <c:pt idx="0">
                  <c:v>Savivaldybių biudžetų pajamų dalis nacionaliniame biudžete</c:v>
                </c:pt>
              </c:strCache>
            </c:strRef>
          </c:tx>
          <c:spPr>
            <a:ln w="12695">
              <a:solidFill>
                <a:srgbClr val="000080"/>
              </a:solidFill>
              <a:prstDash val="solid"/>
            </a:ln>
          </c:spPr>
          <c:marker>
            <c:symbol val="diamond"/>
            <c:size val="2"/>
            <c:spPr>
              <a:solidFill>
                <a:srgbClr val="000080"/>
              </a:solidFill>
              <a:ln>
                <a:solidFill>
                  <a:srgbClr val="000080"/>
                </a:solidFill>
                <a:prstDash val="solid"/>
              </a:ln>
            </c:spPr>
          </c:marker>
          <c:cat>
            <c:numRef>
              <c:f>Sheet1!$B$1:$F$1</c:f>
              <c:numCache>
                <c:formatCode>General</c:formatCode>
                <c:ptCount val="5"/>
                <c:pt idx="0">
                  <c:v>2008</c:v>
                </c:pt>
                <c:pt idx="1">
                  <c:v>2009</c:v>
                </c:pt>
                <c:pt idx="2">
                  <c:v>2010</c:v>
                </c:pt>
                <c:pt idx="3">
                  <c:v>2011</c:v>
                </c:pt>
                <c:pt idx="4">
                  <c:v>2012</c:v>
                </c:pt>
              </c:numCache>
            </c:numRef>
          </c:cat>
          <c:val>
            <c:numRef>
              <c:f>Sheet1!$B$2:$F$2</c:f>
              <c:numCache>
                <c:formatCode>General</c:formatCode>
                <c:ptCount val="5"/>
                <c:pt idx="0">
                  <c:v>23.4</c:v>
                </c:pt>
                <c:pt idx="1">
                  <c:v>24.4</c:v>
                </c:pt>
                <c:pt idx="2">
                  <c:v>25.7</c:v>
                </c:pt>
                <c:pt idx="3">
                  <c:v>23.4</c:v>
                </c:pt>
                <c:pt idx="4">
                  <c:v>22.1</c:v>
                </c:pt>
              </c:numCache>
            </c:numRef>
          </c:val>
          <c:smooth val="0"/>
        </c:ser>
        <c:ser>
          <c:idx val="1"/>
          <c:order val="1"/>
          <c:tx>
            <c:strRef>
              <c:f>Sheet1!$A$3</c:f>
              <c:strCache>
                <c:ptCount val="1"/>
                <c:pt idx="0">
                  <c:v>Savivaldybių biudžetų pajamų dalis BVP</c:v>
                </c:pt>
              </c:strCache>
            </c:strRef>
          </c:tx>
          <c:spPr>
            <a:ln w="12695">
              <a:solidFill>
                <a:srgbClr val="FF00FF"/>
              </a:solidFill>
              <a:prstDash val="solid"/>
            </a:ln>
          </c:spPr>
          <c:marker>
            <c:symbol val="square"/>
            <c:size val="2"/>
            <c:spPr>
              <a:solidFill>
                <a:srgbClr val="FF00FF"/>
              </a:solidFill>
              <a:ln>
                <a:solidFill>
                  <a:srgbClr val="FF00FF"/>
                </a:solidFill>
                <a:prstDash val="solid"/>
              </a:ln>
            </c:spPr>
          </c:marker>
          <c:cat>
            <c:numRef>
              <c:f>Sheet1!$B$1:$F$1</c:f>
              <c:numCache>
                <c:formatCode>General</c:formatCode>
                <c:ptCount val="5"/>
                <c:pt idx="0">
                  <c:v>2008</c:v>
                </c:pt>
                <c:pt idx="1">
                  <c:v>2009</c:v>
                </c:pt>
                <c:pt idx="2">
                  <c:v>2010</c:v>
                </c:pt>
                <c:pt idx="3">
                  <c:v>2011</c:v>
                </c:pt>
                <c:pt idx="4">
                  <c:v>2012</c:v>
                </c:pt>
              </c:numCache>
            </c:numRef>
          </c:cat>
          <c:val>
            <c:numRef>
              <c:f>Sheet1!$B$3:$F$3</c:f>
              <c:numCache>
                <c:formatCode>General</c:formatCode>
                <c:ptCount val="5"/>
                <c:pt idx="0">
                  <c:v>6.3</c:v>
                </c:pt>
                <c:pt idx="1">
                  <c:v>7.3</c:v>
                </c:pt>
                <c:pt idx="2">
                  <c:v>7.2</c:v>
                </c:pt>
                <c:pt idx="3">
                  <c:v>6.4</c:v>
                </c:pt>
                <c:pt idx="4">
                  <c:v>6</c:v>
                </c:pt>
              </c:numCache>
            </c:numRef>
          </c:val>
          <c:smooth val="0"/>
        </c:ser>
        <c:dLbls>
          <c:showLegendKey val="0"/>
          <c:showVal val="0"/>
          <c:showCatName val="0"/>
          <c:showSerName val="0"/>
          <c:showPercent val="0"/>
          <c:showBubbleSize val="0"/>
        </c:dLbls>
        <c:marker val="1"/>
        <c:smooth val="0"/>
        <c:axId val="124973056"/>
        <c:axId val="124974976"/>
      </c:lineChart>
      <c:catAx>
        <c:axId val="124973056"/>
        <c:scaling>
          <c:orientation val="minMax"/>
        </c:scaling>
        <c:delete val="0"/>
        <c:axPos val="b"/>
        <c:numFmt formatCode="General" sourceLinked="1"/>
        <c:majorTickMark val="out"/>
        <c:minorTickMark val="none"/>
        <c:tickLblPos val="nextTo"/>
        <c:spPr>
          <a:ln w="3173">
            <a:solidFill>
              <a:srgbClr val="000000"/>
            </a:solidFill>
            <a:prstDash val="solid"/>
          </a:ln>
        </c:spPr>
        <c:txPr>
          <a:bodyPr rot="0" vert="horz"/>
          <a:lstStyle/>
          <a:p>
            <a:pPr>
              <a:defRPr sz="800" b="1" i="0" u="none" strike="noStrike" baseline="0">
                <a:solidFill>
                  <a:srgbClr val="000000"/>
                </a:solidFill>
                <a:latin typeface="Calibri"/>
                <a:ea typeface="Calibri"/>
                <a:cs typeface="Calibri"/>
              </a:defRPr>
            </a:pPr>
            <a:endParaRPr lang="en-US"/>
          </a:p>
        </c:txPr>
        <c:crossAx val="124974976"/>
        <c:crosses val="autoZero"/>
        <c:auto val="1"/>
        <c:lblAlgn val="ctr"/>
        <c:lblOffset val="100"/>
        <c:tickLblSkip val="1"/>
        <c:tickMarkSkip val="1"/>
        <c:noMultiLvlLbl val="0"/>
      </c:catAx>
      <c:valAx>
        <c:axId val="124974976"/>
        <c:scaling>
          <c:orientation val="minMax"/>
        </c:scaling>
        <c:delete val="0"/>
        <c:axPos val="l"/>
        <c:majorGridlines>
          <c:spPr>
            <a:ln w="3173">
              <a:solidFill>
                <a:srgbClr val="000000"/>
              </a:solidFill>
              <a:prstDash val="solid"/>
            </a:ln>
          </c:spPr>
        </c:majorGridlines>
        <c:numFmt formatCode="General" sourceLinked="1"/>
        <c:majorTickMark val="out"/>
        <c:minorTickMark val="none"/>
        <c:tickLblPos val="nextTo"/>
        <c:spPr>
          <a:ln w="3173">
            <a:solidFill>
              <a:srgbClr val="000000"/>
            </a:solidFill>
            <a:prstDash val="solid"/>
          </a:ln>
        </c:spPr>
        <c:txPr>
          <a:bodyPr rot="0" vert="horz"/>
          <a:lstStyle/>
          <a:p>
            <a:pPr>
              <a:defRPr sz="800" b="1" i="0" u="none" strike="noStrike" baseline="0">
                <a:solidFill>
                  <a:srgbClr val="000000"/>
                </a:solidFill>
                <a:latin typeface="Calibri"/>
                <a:ea typeface="Calibri"/>
                <a:cs typeface="Calibri"/>
              </a:defRPr>
            </a:pPr>
            <a:endParaRPr lang="en-US"/>
          </a:p>
        </c:txPr>
        <c:crossAx val="124973056"/>
        <c:crosses val="autoZero"/>
        <c:crossBetween val="between"/>
      </c:valAx>
      <c:spPr>
        <a:noFill/>
        <a:ln w="25395">
          <a:noFill/>
        </a:ln>
      </c:spPr>
    </c:plotArea>
    <c:legend>
      <c:legendPos val="b"/>
      <c:overlay val="0"/>
      <c:spPr>
        <a:noFill/>
        <a:ln w="3173">
          <a:solidFill>
            <a:srgbClr val="000000"/>
          </a:solidFill>
          <a:prstDash val="solid"/>
        </a:ln>
      </c:spPr>
      <c:txPr>
        <a:bodyPr/>
        <a:lstStyle/>
        <a:p>
          <a:pPr>
            <a:defRPr sz="735" b="1" i="0" u="none" strike="noStrike" baseline="0">
              <a:solidFill>
                <a:srgbClr val="000000"/>
              </a:solidFill>
              <a:latin typeface="Calibri"/>
              <a:ea typeface="Calibri"/>
              <a:cs typeface="Calibri"/>
            </a:defRPr>
          </a:pPr>
          <a:endParaRPr lang="en-US"/>
        </a:p>
      </c:txPr>
    </c:legend>
    <c:plotVisOnly val="1"/>
    <c:dispBlanksAs val="gap"/>
    <c:showDLblsOverMax val="0"/>
  </c:chart>
  <c:spPr>
    <a:noFill/>
    <a:ln>
      <a:noFill/>
    </a:ln>
  </c:spPr>
  <c:txPr>
    <a:bodyPr/>
    <a:lstStyle/>
    <a:p>
      <a:pPr>
        <a:defRPr sz="800" b="1" i="0" u="none" strike="noStrike" baseline="0">
          <a:solidFill>
            <a:srgbClr val="000000"/>
          </a:solidFill>
          <a:latin typeface="Calibri"/>
          <a:ea typeface="Calibri"/>
          <a:cs typeface="Calibri"/>
        </a:defRPr>
      </a:pPr>
      <a:endParaRPr lang="en-US"/>
    </a:p>
  </c:txPr>
  <c:externalData r:id="rId2">
    <c:autoUpdate val="0"/>
  </c:externalData>
  <c:userShapes r:id="rId3"/>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depthPercent val="100"/>
      <c:rAngAx val="1"/>
    </c:view3D>
    <c:floor>
      <c:thickness val="0"/>
    </c:floor>
    <c:sideWall>
      <c:thickness val="0"/>
    </c:sideWall>
    <c:backWall>
      <c:thickness val="0"/>
    </c:backWall>
    <c:plotArea>
      <c:layout/>
      <c:bar3DChart>
        <c:barDir val="col"/>
        <c:grouping val="percentStacked"/>
        <c:varyColors val="0"/>
        <c:ser>
          <c:idx val="0"/>
          <c:order val="0"/>
          <c:tx>
            <c:strRef>
              <c:f>Sheet1!$B$1</c:f>
              <c:strCache>
                <c:ptCount val="1"/>
                <c:pt idx="0">
                  <c:v>Mokestinės pajamos</c:v>
                </c:pt>
              </c:strCache>
            </c:strRef>
          </c:tx>
          <c:invertIfNegative val="0"/>
          <c:dLbls>
            <c:numFmt formatCode="General" sourceLinked="0"/>
            <c:showLegendKey val="0"/>
            <c:showVal val="1"/>
            <c:showCatName val="0"/>
            <c:showSerName val="0"/>
            <c:showPercent val="0"/>
            <c:showBubbleSize val="0"/>
            <c:showLeaderLines val="0"/>
          </c:dLbls>
          <c:cat>
            <c:numRef>
              <c:f>Sheet1!$A$2:$A$6</c:f>
              <c:numCache>
                <c:formatCode>General</c:formatCode>
                <c:ptCount val="5"/>
                <c:pt idx="0">
                  <c:v>2008</c:v>
                </c:pt>
                <c:pt idx="1">
                  <c:v>2009</c:v>
                </c:pt>
                <c:pt idx="2">
                  <c:v>2010</c:v>
                </c:pt>
                <c:pt idx="3">
                  <c:v>2011</c:v>
                </c:pt>
                <c:pt idx="4">
                  <c:v>2012</c:v>
                </c:pt>
              </c:numCache>
            </c:numRef>
          </c:cat>
          <c:val>
            <c:numRef>
              <c:f>Sheet1!$B$2:$B$6</c:f>
              <c:numCache>
                <c:formatCode>General</c:formatCode>
                <c:ptCount val="5"/>
                <c:pt idx="0">
                  <c:v>54</c:v>
                </c:pt>
                <c:pt idx="1">
                  <c:v>48</c:v>
                </c:pt>
                <c:pt idx="2">
                  <c:v>44</c:v>
                </c:pt>
                <c:pt idx="3">
                  <c:v>41</c:v>
                </c:pt>
                <c:pt idx="4">
                  <c:v>43</c:v>
                </c:pt>
              </c:numCache>
            </c:numRef>
          </c:val>
        </c:ser>
        <c:ser>
          <c:idx val="1"/>
          <c:order val="1"/>
          <c:tx>
            <c:strRef>
              <c:f>Sheet1!$C$1</c:f>
              <c:strCache>
                <c:ptCount val="1"/>
                <c:pt idx="0">
                  <c:v>Nemokestinės pajamos</c:v>
                </c:pt>
              </c:strCache>
            </c:strRef>
          </c:tx>
          <c:invertIfNegative val="0"/>
          <c:dLbls>
            <c:showLegendKey val="0"/>
            <c:showVal val="1"/>
            <c:showCatName val="0"/>
            <c:showSerName val="0"/>
            <c:showPercent val="0"/>
            <c:showBubbleSize val="0"/>
            <c:showLeaderLines val="0"/>
          </c:dLbls>
          <c:cat>
            <c:numRef>
              <c:f>Sheet1!$A$2:$A$6</c:f>
              <c:numCache>
                <c:formatCode>General</c:formatCode>
                <c:ptCount val="5"/>
                <c:pt idx="0">
                  <c:v>2008</c:v>
                </c:pt>
                <c:pt idx="1">
                  <c:v>2009</c:v>
                </c:pt>
                <c:pt idx="2">
                  <c:v>2010</c:v>
                </c:pt>
                <c:pt idx="3">
                  <c:v>2011</c:v>
                </c:pt>
                <c:pt idx="4">
                  <c:v>2012</c:v>
                </c:pt>
              </c:numCache>
            </c:numRef>
          </c:cat>
          <c:val>
            <c:numRef>
              <c:f>Sheet1!$C$2:$C$6</c:f>
              <c:numCache>
                <c:formatCode>General</c:formatCode>
                <c:ptCount val="5"/>
                <c:pt idx="0">
                  <c:v>5</c:v>
                </c:pt>
                <c:pt idx="1">
                  <c:v>6</c:v>
                </c:pt>
                <c:pt idx="2">
                  <c:v>6</c:v>
                </c:pt>
                <c:pt idx="3">
                  <c:v>6</c:v>
                </c:pt>
                <c:pt idx="4">
                  <c:v>6</c:v>
                </c:pt>
              </c:numCache>
            </c:numRef>
          </c:val>
        </c:ser>
        <c:ser>
          <c:idx val="2"/>
          <c:order val="2"/>
          <c:tx>
            <c:strRef>
              <c:f>Sheet1!$D$1</c:f>
              <c:strCache>
                <c:ptCount val="1"/>
                <c:pt idx="0">
                  <c:v>Valstybės biudžeto dotacijos</c:v>
                </c:pt>
              </c:strCache>
            </c:strRef>
          </c:tx>
          <c:invertIfNegative val="0"/>
          <c:dLbls>
            <c:showLegendKey val="0"/>
            <c:showVal val="1"/>
            <c:showCatName val="0"/>
            <c:showSerName val="0"/>
            <c:showPercent val="0"/>
            <c:showBubbleSize val="0"/>
            <c:showLeaderLines val="0"/>
          </c:dLbls>
          <c:cat>
            <c:numRef>
              <c:f>Sheet1!$A$2:$A$6</c:f>
              <c:numCache>
                <c:formatCode>General</c:formatCode>
                <c:ptCount val="5"/>
                <c:pt idx="0">
                  <c:v>2008</c:v>
                </c:pt>
                <c:pt idx="1">
                  <c:v>2009</c:v>
                </c:pt>
                <c:pt idx="2">
                  <c:v>2010</c:v>
                </c:pt>
                <c:pt idx="3">
                  <c:v>2011</c:v>
                </c:pt>
                <c:pt idx="4">
                  <c:v>2012</c:v>
                </c:pt>
              </c:numCache>
            </c:numRef>
          </c:cat>
          <c:val>
            <c:numRef>
              <c:f>Sheet1!$D$2:$D$6</c:f>
              <c:numCache>
                <c:formatCode>General</c:formatCode>
                <c:ptCount val="5"/>
                <c:pt idx="0">
                  <c:v>41</c:v>
                </c:pt>
                <c:pt idx="1">
                  <c:v>46</c:v>
                </c:pt>
                <c:pt idx="2">
                  <c:v>50</c:v>
                </c:pt>
                <c:pt idx="3">
                  <c:v>53</c:v>
                </c:pt>
                <c:pt idx="4">
                  <c:v>51</c:v>
                </c:pt>
              </c:numCache>
            </c:numRef>
          </c:val>
        </c:ser>
        <c:dLbls>
          <c:showLegendKey val="0"/>
          <c:showVal val="0"/>
          <c:showCatName val="0"/>
          <c:showSerName val="0"/>
          <c:showPercent val="0"/>
          <c:showBubbleSize val="0"/>
        </c:dLbls>
        <c:gapWidth val="150"/>
        <c:shape val="cylinder"/>
        <c:axId val="125133952"/>
        <c:axId val="125135488"/>
        <c:axId val="0"/>
      </c:bar3DChart>
      <c:catAx>
        <c:axId val="125133952"/>
        <c:scaling>
          <c:orientation val="minMax"/>
        </c:scaling>
        <c:delete val="0"/>
        <c:axPos val="b"/>
        <c:numFmt formatCode="General" sourceLinked="1"/>
        <c:majorTickMark val="out"/>
        <c:minorTickMark val="none"/>
        <c:tickLblPos val="nextTo"/>
        <c:crossAx val="125135488"/>
        <c:crosses val="autoZero"/>
        <c:auto val="1"/>
        <c:lblAlgn val="ctr"/>
        <c:lblOffset val="100"/>
        <c:noMultiLvlLbl val="0"/>
      </c:catAx>
      <c:valAx>
        <c:axId val="125135488"/>
        <c:scaling>
          <c:orientation val="minMax"/>
        </c:scaling>
        <c:delete val="0"/>
        <c:axPos val="l"/>
        <c:majorGridlines/>
        <c:numFmt formatCode="0%" sourceLinked="1"/>
        <c:majorTickMark val="out"/>
        <c:minorTickMark val="none"/>
        <c:tickLblPos val="nextTo"/>
        <c:crossAx val="125133952"/>
        <c:crosses val="autoZero"/>
        <c:crossBetween val="between"/>
      </c:valAx>
      <c:spPr>
        <a:noFill/>
        <a:ln w="25377">
          <a:noFill/>
        </a:ln>
      </c:spPr>
    </c:plotArea>
    <c:legend>
      <c:legendPos val="r"/>
      <c:overlay val="0"/>
    </c:legend>
    <c:plotVisOnly val="1"/>
    <c:dispBlanksAs val="gap"/>
    <c:showDLblsOverMax val="0"/>
  </c:chart>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Sheet1!$B$1</c:f>
              <c:strCache>
                <c:ptCount val="1"/>
                <c:pt idx="0">
                  <c:v>Specialiosios tikslinės dotacijos</c:v>
                </c:pt>
              </c:strCache>
            </c:strRef>
          </c:tx>
          <c:invertIfNegative val="0"/>
          <c:cat>
            <c:numRef>
              <c:f>Sheet1!$A$2:$A$6</c:f>
              <c:numCache>
                <c:formatCode>General</c:formatCode>
                <c:ptCount val="5"/>
                <c:pt idx="0">
                  <c:v>2008</c:v>
                </c:pt>
                <c:pt idx="1">
                  <c:v>2009</c:v>
                </c:pt>
                <c:pt idx="2">
                  <c:v>2010</c:v>
                </c:pt>
                <c:pt idx="3">
                  <c:v>2011</c:v>
                </c:pt>
                <c:pt idx="4">
                  <c:v>2012</c:v>
                </c:pt>
              </c:numCache>
            </c:numRef>
          </c:cat>
          <c:val>
            <c:numRef>
              <c:f>Sheet1!$B$2:$B$6</c:f>
              <c:numCache>
                <c:formatCode>0.0</c:formatCode>
                <c:ptCount val="5"/>
                <c:pt idx="0">
                  <c:v>2619.0880000000002</c:v>
                </c:pt>
                <c:pt idx="1">
                  <c:v>2946.1</c:v>
                </c:pt>
                <c:pt idx="2">
                  <c:v>2677.8</c:v>
                </c:pt>
                <c:pt idx="3">
                  <c:v>3380.6</c:v>
                </c:pt>
                <c:pt idx="4">
                  <c:v>3302.5</c:v>
                </c:pt>
              </c:numCache>
            </c:numRef>
          </c:val>
        </c:ser>
        <c:ser>
          <c:idx val="1"/>
          <c:order val="1"/>
          <c:tx>
            <c:strRef>
              <c:f>Sheet1!$C$1</c:f>
              <c:strCache>
                <c:ptCount val="1"/>
                <c:pt idx="0">
                  <c:v>Bendrosios dotacijos kompensacija</c:v>
                </c:pt>
              </c:strCache>
            </c:strRef>
          </c:tx>
          <c:invertIfNegative val="0"/>
          <c:cat>
            <c:numRef>
              <c:f>Sheet1!$A$2:$A$6</c:f>
              <c:numCache>
                <c:formatCode>General</c:formatCode>
                <c:ptCount val="5"/>
                <c:pt idx="0">
                  <c:v>2008</c:v>
                </c:pt>
                <c:pt idx="1">
                  <c:v>2009</c:v>
                </c:pt>
                <c:pt idx="2">
                  <c:v>2010</c:v>
                </c:pt>
                <c:pt idx="3">
                  <c:v>2011</c:v>
                </c:pt>
                <c:pt idx="4">
                  <c:v>2012</c:v>
                </c:pt>
              </c:numCache>
            </c:numRef>
          </c:cat>
          <c:val>
            <c:numRef>
              <c:f>Sheet1!$C$2:$C$6</c:f>
              <c:numCache>
                <c:formatCode>General</c:formatCode>
                <c:ptCount val="5"/>
                <c:pt idx="0">
                  <c:v>7.4</c:v>
                </c:pt>
                <c:pt idx="1">
                  <c:v>45.5</c:v>
                </c:pt>
                <c:pt idx="2">
                  <c:v>197.9</c:v>
                </c:pt>
                <c:pt idx="3">
                  <c:v>144.4</c:v>
                </c:pt>
                <c:pt idx="4">
                  <c:v>178.3</c:v>
                </c:pt>
              </c:numCache>
            </c:numRef>
          </c:val>
        </c:ser>
        <c:dLbls>
          <c:showLegendKey val="0"/>
          <c:showVal val="1"/>
          <c:showCatName val="0"/>
          <c:showSerName val="0"/>
          <c:showPercent val="0"/>
          <c:showBubbleSize val="0"/>
        </c:dLbls>
        <c:gapWidth val="150"/>
        <c:shape val="cylinder"/>
        <c:axId val="125191296"/>
        <c:axId val="125192832"/>
        <c:axId val="0"/>
      </c:bar3DChart>
      <c:catAx>
        <c:axId val="125191296"/>
        <c:scaling>
          <c:orientation val="minMax"/>
        </c:scaling>
        <c:delete val="0"/>
        <c:axPos val="b"/>
        <c:numFmt formatCode="General" sourceLinked="1"/>
        <c:majorTickMark val="out"/>
        <c:minorTickMark val="none"/>
        <c:tickLblPos val="nextTo"/>
        <c:crossAx val="125192832"/>
        <c:crosses val="autoZero"/>
        <c:auto val="1"/>
        <c:lblAlgn val="ctr"/>
        <c:lblOffset val="100"/>
        <c:noMultiLvlLbl val="0"/>
      </c:catAx>
      <c:valAx>
        <c:axId val="125192832"/>
        <c:scaling>
          <c:orientation val="minMax"/>
        </c:scaling>
        <c:delete val="0"/>
        <c:axPos val="l"/>
        <c:majorGridlines/>
        <c:title>
          <c:tx>
            <c:rich>
              <a:bodyPr rot="-5400000" vert="horz"/>
              <a:lstStyle/>
              <a:p>
                <a:pPr>
                  <a:defRPr/>
                </a:pPr>
                <a:r>
                  <a:rPr lang="en-US"/>
                  <a:t>mln. Lt</a:t>
                </a:r>
              </a:p>
            </c:rich>
          </c:tx>
          <c:overlay val="0"/>
        </c:title>
        <c:numFmt formatCode="0.0" sourceLinked="1"/>
        <c:majorTickMark val="out"/>
        <c:minorTickMark val="none"/>
        <c:tickLblPos val="nextTo"/>
        <c:crossAx val="125191296"/>
        <c:crosses val="autoZero"/>
        <c:crossBetween val="between"/>
      </c:valAx>
    </c:plotArea>
    <c:legend>
      <c:legendPos val="r"/>
      <c:layout>
        <c:manualLayout>
          <c:xMode val="edge"/>
          <c:yMode val="edge"/>
          <c:x val="0.73494149168853884"/>
          <c:y val="0.38029433820772401"/>
          <c:w val="0.25116961942257215"/>
          <c:h val="0.23941132358455194"/>
        </c:manualLayout>
      </c:layout>
      <c:overlay val="0"/>
    </c:legend>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lineChart>
        <c:grouping val="standard"/>
        <c:varyColors val="0"/>
        <c:ser>
          <c:idx val="0"/>
          <c:order val="0"/>
          <c:tx>
            <c:strRef>
              <c:f>Sheet1!$B$1</c:f>
              <c:strCache>
                <c:ptCount val="1"/>
                <c:pt idx="0">
                  <c:v>Gyventojų pajamų mokestis</c:v>
                </c:pt>
              </c:strCache>
            </c:strRef>
          </c:tx>
          <c:cat>
            <c:numRef>
              <c:f>Sheet1!$A$2:$A$6</c:f>
              <c:numCache>
                <c:formatCode>General</c:formatCode>
                <c:ptCount val="5"/>
                <c:pt idx="0">
                  <c:v>2008</c:v>
                </c:pt>
                <c:pt idx="1">
                  <c:v>2009</c:v>
                </c:pt>
                <c:pt idx="2">
                  <c:v>2010</c:v>
                </c:pt>
                <c:pt idx="3">
                  <c:v>2011</c:v>
                </c:pt>
                <c:pt idx="4">
                  <c:v>2012</c:v>
                </c:pt>
              </c:numCache>
            </c:numRef>
          </c:cat>
          <c:val>
            <c:numRef>
              <c:f>Sheet1!$B$2:$B$6</c:f>
              <c:numCache>
                <c:formatCode>General</c:formatCode>
                <c:ptCount val="5"/>
                <c:pt idx="0">
                  <c:v>3391.8472999999999</c:v>
                </c:pt>
                <c:pt idx="1">
                  <c:v>2745.0801999999999</c:v>
                </c:pt>
                <c:pt idx="2">
                  <c:v>2553.4436000000001</c:v>
                </c:pt>
                <c:pt idx="3">
                  <c:v>2329.2660999999998</c:v>
                </c:pt>
                <c:pt idx="4">
                  <c:v>2462.2044000000001</c:v>
                </c:pt>
              </c:numCache>
            </c:numRef>
          </c:val>
          <c:smooth val="0"/>
        </c:ser>
        <c:ser>
          <c:idx val="1"/>
          <c:order val="1"/>
          <c:tx>
            <c:strRef>
              <c:f>Sheet1!$C$1</c:f>
              <c:strCache>
                <c:ptCount val="1"/>
                <c:pt idx="0">
                  <c:v>Turto mokesčiai</c:v>
                </c:pt>
              </c:strCache>
            </c:strRef>
          </c:tx>
          <c:cat>
            <c:numRef>
              <c:f>Sheet1!$A$2:$A$6</c:f>
              <c:numCache>
                <c:formatCode>General</c:formatCode>
                <c:ptCount val="5"/>
                <c:pt idx="0">
                  <c:v>2008</c:v>
                </c:pt>
                <c:pt idx="1">
                  <c:v>2009</c:v>
                </c:pt>
                <c:pt idx="2">
                  <c:v>2010</c:v>
                </c:pt>
                <c:pt idx="3">
                  <c:v>2011</c:v>
                </c:pt>
                <c:pt idx="4">
                  <c:v>2012</c:v>
                </c:pt>
              </c:numCache>
            </c:numRef>
          </c:cat>
          <c:val>
            <c:numRef>
              <c:f>Sheet1!$C$2:$C$6</c:f>
              <c:numCache>
                <c:formatCode>General</c:formatCode>
                <c:ptCount val="5"/>
                <c:pt idx="0">
                  <c:v>307.6352</c:v>
                </c:pt>
                <c:pt idx="1">
                  <c:v>326.2681</c:v>
                </c:pt>
                <c:pt idx="2">
                  <c:v>354.7054</c:v>
                </c:pt>
                <c:pt idx="3">
                  <c:v>334.6687</c:v>
                </c:pt>
                <c:pt idx="4">
                  <c:v>323.82100000000003</c:v>
                </c:pt>
              </c:numCache>
            </c:numRef>
          </c:val>
          <c:smooth val="0"/>
        </c:ser>
        <c:ser>
          <c:idx val="2"/>
          <c:order val="2"/>
          <c:tx>
            <c:strRef>
              <c:f>Sheet1!$D$1</c:f>
              <c:strCache>
                <c:ptCount val="1"/>
                <c:pt idx="0">
                  <c:v>Prekių ir paslaugų mokesčiai</c:v>
                </c:pt>
              </c:strCache>
            </c:strRef>
          </c:tx>
          <c:cat>
            <c:numRef>
              <c:f>Sheet1!$A$2:$A$6</c:f>
              <c:numCache>
                <c:formatCode>General</c:formatCode>
                <c:ptCount val="5"/>
                <c:pt idx="0">
                  <c:v>2008</c:v>
                </c:pt>
                <c:pt idx="1">
                  <c:v>2009</c:v>
                </c:pt>
                <c:pt idx="2">
                  <c:v>2010</c:v>
                </c:pt>
                <c:pt idx="3">
                  <c:v>2011</c:v>
                </c:pt>
                <c:pt idx="4">
                  <c:v>2012</c:v>
                </c:pt>
              </c:numCache>
            </c:numRef>
          </c:cat>
          <c:val>
            <c:numRef>
              <c:f>Sheet1!$D$2:$D$6</c:f>
              <c:numCache>
                <c:formatCode>General</c:formatCode>
                <c:ptCount val="5"/>
                <c:pt idx="0">
                  <c:v>105.51049999999999</c:v>
                </c:pt>
                <c:pt idx="1">
                  <c:v>126.88849999999999</c:v>
                </c:pt>
                <c:pt idx="2">
                  <c:v>124.6088</c:v>
                </c:pt>
                <c:pt idx="3">
                  <c:v>148.84979999999999</c:v>
                </c:pt>
                <c:pt idx="4">
                  <c:v>174.18899999999999</c:v>
                </c:pt>
              </c:numCache>
            </c:numRef>
          </c:val>
          <c:smooth val="0"/>
        </c:ser>
        <c:ser>
          <c:idx val="3"/>
          <c:order val="3"/>
          <c:tx>
            <c:strRef>
              <c:f>Sheet1!$E$1</c:f>
              <c:strCache>
                <c:ptCount val="1"/>
                <c:pt idx="0">
                  <c:v>Savivaldybės mokestinės pajamos</c:v>
                </c:pt>
              </c:strCache>
            </c:strRef>
          </c:tx>
          <c:cat>
            <c:numRef>
              <c:f>Sheet1!$A$2:$A$6</c:f>
              <c:numCache>
                <c:formatCode>General</c:formatCode>
                <c:ptCount val="5"/>
                <c:pt idx="0">
                  <c:v>2008</c:v>
                </c:pt>
                <c:pt idx="1">
                  <c:v>2009</c:v>
                </c:pt>
                <c:pt idx="2">
                  <c:v>2010</c:v>
                </c:pt>
                <c:pt idx="3">
                  <c:v>2011</c:v>
                </c:pt>
                <c:pt idx="4">
                  <c:v>2012</c:v>
                </c:pt>
              </c:numCache>
            </c:numRef>
          </c:cat>
          <c:val>
            <c:numRef>
              <c:f>Sheet1!$E$2:$E$6</c:f>
              <c:numCache>
                <c:formatCode>General</c:formatCode>
                <c:ptCount val="5"/>
                <c:pt idx="0">
                  <c:v>3804.9929999999999</c:v>
                </c:pt>
                <c:pt idx="1">
                  <c:v>3198.2368000000001</c:v>
                </c:pt>
                <c:pt idx="2">
                  <c:v>3032.7577999999999</c:v>
                </c:pt>
                <c:pt idx="3">
                  <c:v>2812.7846</c:v>
                </c:pt>
                <c:pt idx="4">
                  <c:v>2960.2143999999998</c:v>
                </c:pt>
              </c:numCache>
            </c:numRef>
          </c:val>
          <c:smooth val="0"/>
        </c:ser>
        <c:dLbls>
          <c:showLegendKey val="0"/>
          <c:showVal val="0"/>
          <c:showCatName val="0"/>
          <c:showSerName val="0"/>
          <c:showPercent val="0"/>
          <c:showBubbleSize val="0"/>
        </c:dLbls>
        <c:marker val="1"/>
        <c:smooth val="0"/>
        <c:axId val="125015168"/>
        <c:axId val="125016704"/>
      </c:lineChart>
      <c:catAx>
        <c:axId val="125015168"/>
        <c:scaling>
          <c:orientation val="minMax"/>
        </c:scaling>
        <c:delete val="0"/>
        <c:axPos val="b"/>
        <c:numFmt formatCode="General" sourceLinked="1"/>
        <c:majorTickMark val="none"/>
        <c:minorTickMark val="none"/>
        <c:tickLblPos val="nextTo"/>
        <c:txPr>
          <a:bodyPr rot="0" vert="horz"/>
          <a:lstStyle/>
          <a:p>
            <a:pPr>
              <a:defRPr sz="1000" b="0" i="0" u="none" strike="noStrike" baseline="0">
                <a:solidFill>
                  <a:srgbClr val="000000"/>
                </a:solidFill>
                <a:latin typeface="Calibri"/>
                <a:ea typeface="Calibri"/>
                <a:cs typeface="Calibri"/>
              </a:defRPr>
            </a:pPr>
            <a:endParaRPr lang="en-US"/>
          </a:p>
        </c:txPr>
        <c:crossAx val="125016704"/>
        <c:crossesAt val="0"/>
        <c:auto val="1"/>
        <c:lblAlgn val="ctr"/>
        <c:lblOffset val="100"/>
        <c:noMultiLvlLbl val="0"/>
      </c:catAx>
      <c:valAx>
        <c:axId val="125016704"/>
        <c:scaling>
          <c:orientation val="minMax"/>
        </c:scaling>
        <c:delete val="0"/>
        <c:axPos val="l"/>
        <c:majorGridlines/>
        <c:title>
          <c:tx>
            <c:rich>
              <a:bodyPr/>
              <a:lstStyle/>
              <a:p>
                <a:pPr>
                  <a:defRPr/>
                </a:pPr>
                <a:r>
                  <a:rPr lang="lt-LT"/>
                  <a:t>mln.</a:t>
                </a:r>
                <a:r>
                  <a:rPr lang="lt-LT" baseline="0"/>
                  <a:t> Lt</a:t>
                </a:r>
                <a:endParaRPr lang="en-US"/>
              </a:p>
            </c:rich>
          </c:tx>
          <c:overlay val="0"/>
        </c:title>
        <c:numFmt formatCode="General" sourceLinked="1"/>
        <c:majorTickMark val="none"/>
        <c:minorTickMark val="none"/>
        <c:tickLblPos val="nextTo"/>
        <c:txPr>
          <a:bodyPr rot="0" vert="horz"/>
          <a:lstStyle/>
          <a:p>
            <a:pPr>
              <a:defRPr sz="1000" b="0" i="0" u="none" strike="noStrike" baseline="0">
                <a:solidFill>
                  <a:srgbClr val="000000"/>
                </a:solidFill>
                <a:latin typeface="Calibri"/>
                <a:ea typeface="Calibri"/>
                <a:cs typeface="Calibri"/>
              </a:defRPr>
            </a:pPr>
            <a:endParaRPr lang="en-US"/>
          </a:p>
        </c:txPr>
        <c:crossAx val="125015168"/>
        <c:crosses val="autoZero"/>
        <c:crossBetween val="between"/>
      </c:valAx>
    </c:plotArea>
    <c:legend>
      <c:legendPos val="r"/>
      <c:overlay val="0"/>
      <c:txPr>
        <a:bodyPr/>
        <a:lstStyle/>
        <a:p>
          <a:pPr>
            <a:defRPr sz="920" b="0" i="0" u="none" strike="noStrike" baseline="0">
              <a:solidFill>
                <a:srgbClr val="000000"/>
              </a:solidFill>
              <a:latin typeface="Calibri"/>
              <a:ea typeface="Calibri"/>
              <a:cs typeface="Calibri"/>
            </a:defRPr>
          </a:pPr>
          <a:endParaRPr lang="en-US"/>
        </a:p>
      </c:txPr>
    </c:legend>
    <c:plotVisOnly val="1"/>
    <c:dispBlanksAs val="gap"/>
    <c:showDLblsOverMax val="0"/>
  </c:chart>
  <c:txPr>
    <a:bodyPr/>
    <a:lstStyle/>
    <a:p>
      <a:pPr>
        <a:defRPr sz="1000" b="0" i="0" u="none" strike="noStrike" baseline="0">
          <a:solidFill>
            <a:srgbClr val="000000"/>
          </a:solidFill>
          <a:latin typeface="Calibri"/>
          <a:ea typeface="Calibri"/>
          <a:cs typeface="Calibri"/>
        </a:defRPr>
      </a:pPr>
      <a:endParaRPr lang="en-US"/>
    </a:p>
  </c:txPr>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depthPercent val="100"/>
      <c:rAngAx val="1"/>
    </c:view3D>
    <c:floor>
      <c:thickness val="0"/>
    </c:floor>
    <c:sideWall>
      <c:thickness val="0"/>
    </c:sideWall>
    <c:backWall>
      <c:thickness val="0"/>
    </c:backWall>
    <c:plotArea>
      <c:layout/>
      <c:bar3DChart>
        <c:barDir val="col"/>
        <c:grouping val="percentStacked"/>
        <c:varyColors val="0"/>
        <c:ser>
          <c:idx val="0"/>
          <c:order val="0"/>
          <c:tx>
            <c:strRef>
              <c:f>Sheet1!$B$1</c:f>
              <c:strCache>
                <c:ptCount val="1"/>
                <c:pt idx="0">
                  <c:v>Valstybės biudžeto mokestinių pajamų dalis nacionaliniame biudžete</c:v>
                </c:pt>
              </c:strCache>
            </c:strRef>
          </c:tx>
          <c:invertIfNegative val="0"/>
          <c:dLbls>
            <c:showLegendKey val="0"/>
            <c:showVal val="1"/>
            <c:showCatName val="0"/>
            <c:showSerName val="0"/>
            <c:showPercent val="0"/>
            <c:showBubbleSize val="0"/>
            <c:showLeaderLines val="0"/>
          </c:dLbls>
          <c:cat>
            <c:numRef>
              <c:f>Sheet1!$A$2:$A$6</c:f>
              <c:numCache>
                <c:formatCode>General</c:formatCode>
                <c:ptCount val="5"/>
                <c:pt idx="0">
                  <c:v>2008</c:v>
                </c:pt>
                <c:pt idx="1">
                  <c:v>2009</c:v>
                </c:pt>
                <c:pt idx="2">
                  <c:v>2010</c:v>
                </c:pt>
                <c:pt idx="3">
                  <c:v>2011</c:v>
                </c:pt>
                <c:pt idx="4">
                  <c:v>2012</c:v>
                </c:pt>
              </c:numCache>
            </c:numRef>
          </c:cat>
          <c:val>
            <c:numRef>
              <c:f>Sheet1!$B$2:$B$6</c:f>
              <c:numCache>
                <c:formatCode>General</c:formatCode>
                <c:ptCount val="5"/>
                <c:pt idx="0">
                  <c:v>83</c:v>
                </c:pt>
                <c:pt idx="1">
                  <c:v>81</c:v>
                </c:pt>
                <c:pt idx="2">
                  <c:v>81</c:v>
                </c:pt>
                <c:pt idx="3">
                  <c:v>84</c:v>
                </c:pt>
                <c:pt idx="4">
                  <c:v>84</c:v>
                </c:pt>
              </c:numCache>
            </c:numRef>
          </c:val>
        </c:ser>
        <c:ser>
          <c:idx val="1"/>
          <c:order val="1"/>
          <c:tx>
            <c:strRef>
              <c:f>Sheet1!$C$1</c:f>
              <c:strCache>
                <c:ptCount val="1"/>
                <c:pt idx="0">
                  <c:v>Savivaldybės biudžeto mokestinių pajamų dalis nacionaliniame biudžete</c:v>
                </c:pt>
              </c:strCache>
            </c:strRef>
          </c:tx>
          <c:invertIfNegative val="0"/>
          <c:dLbls>
            <c:showLegendKey val="0"/>
            <c:showVal val="1"/>
            <c:showCatName val="0"/>
            <c:showSerName val="0"/>
            <c:showPercent val="0"/>
            <c:showBubbleSize val="0"/>
            <c:showLeaderLines val="0"/>
          </c:dLbls>
          <c:cat>
            <c:numRef>
              <c:f>Sheet1!$A$2:$A$6</c:f>
              <c:numCache>
                <c:formatCode>General</c:formatCode>
                <c:ptCount val="5"/>
                <c:pt idx="0">
                  <c:v>2008</c:v>
                </c:pt>
                <c:pt idx="1">
                  <c:v>2009</c:v>
                </c:pt>
                <c:pt idx="2">
                  <c:v>2010</c:v>
                </c:pt>
                <c:pt idx="3">
                  <c:v>2011</c:v>
                </c:pt>
                <c:pt idx="4">
                  <c:v>2012</c:v>
                </c:pt>
              </c:numCache>
            </c:numRef>
          </c:cat>
          <c:val>
            <c:numRef>
              <c:f>Sheet1!$C$2:$C$6</c:f>
              <c:numCache>
                <c:formatCode>General</c:formatCode>
                <c:ptCount val="5"/>
                <c:pt idx="0">
                  <c:v>17</c:v>
                </c:pt>
                <c:pt idx="1">
                  <c:v>19</c:v>
                </c:pt>
                <c:pt idx="2">
                  <c:v>19</c:v>
                </c:pt>
                <c:pt idx="3">
                  <c:v>16</c:v>
                </c:pt>
                <c:pt idx="4">
                  <c:v>16</c:v>
                </c:pt>
              </c:numCache>
            </c:numRef>
          </c:val>
        </c:ser>
        <c:dLbls>
          <c:showLegendKey val="0"/>
          <c:showVal val="0"/>
          <c:showCatName val="0"/>
          <c:showSerName val="0"/>
          <c:showPercent val="0"/>
          <c:showBubbleSize val="0"/>
        </c:dLbls>
        <c:gapWidth val="150"/>
        <c:shape val="cylinder"/>
        <c:axId val="125350656"/>
        <c:axId val="125352192"/>
        <c:axId val="0"/>
      </c:bar3DChart>
      <c:catAx>
        <c:axId val="125350656"/>
        <c:scaling>
          <c:orientation val="minMax"/>
        </c:scaling>
        <c:delete val="0"/>
        <c:axPos val="b"/>
        <c:numFmt formatCode="General" sourceLinked="1"/>
        <c:majorTickMark val="out"/>
        <c:minorTickMark val="none"/>
        <c:tickLblPos val="nextTo"/>
        <c:crossAx val="125352192"/>
        <c:crosses val="autoZero"/>
        <c:auto val="1"/>
        <c:lblAlgn val="ctr"/>
        <c:lblOffset val="100"/>
        <c:noMultiLvlLbl val="0"/>
      </c:catAx>
      <c:valAx>
        <c:axId val="125352192"/>
        <c:scaling>
          <c:orientation val="minMax"/>
        </c:scaling>
        <c:delete val="0"/>
        <c:axPos val="l"/>
        <c:majorGridlines/>
        <c:numFmt formatCode="0%" sourceLinked="1"/>
        <c:majorTickMark val="out"/>
        <c:minorTickMark val="none"/>
        <c:tickLblPos val="nextTo"/>
        <c:crossAx val="125350656"/>
        <c:crosses val="autoZero"/>
        <c:crossBetween val="between"/>
      </c:valAx>
      <c:spPr>
        <a:noFill/>
        <a:ln w="25377">
          <a:noFill/>
        </a:ln>
      </c:spPr>
    </c:plotArea>
    <c:legend>
      <c:legendPos val="r"/>
      <c:overlay val="0"/>
    </c:legend>
    <c:plotVisOnly val="1"/>
    <c:dispBlanksAs val="gap"/>
    <c:showDLblsOverMax val="0"/>
  </c:chart>
  <c:externalData r:id="rId2">
    <c:autoUpdate val="0"/>
  </c:externalData>
</c:chartSpace>
</file>

<file path=word/diagrams/colors1.xml><?xml version="1.0" encoding="utf-8"?>
<dgm:colorsDef xmlns:dgm="http://schemas.openxmlformats.org/drawingml/2006/diagram" xmlns:a="http://schemas.openxmlformats.org/drawingml/2006/main" uniqueId="urn:microsoft.com/office/officeart/2005/8/colors/accent0_3">
  <dgm:title val=""/>
  <dgm:desc val=""/>
  <dgm:catLst>
    <dgm:cat type="mainScheme" pri="10300"/>
  </dgm:catLst>
  <dgm:styleLbl name="node0">
    <dgm:fillClrLst meth="repeat">
      <a:schemeClr val="dk2"/>
    </dgm:fillClrLst>
    <dgm:linClrLst meth="repeat">
      <a:schemeClr val="lt2"/>
    </dgm:linClrLst>
    <dgm:effectClrLst/>
    <dgm:txLinClrLst/>
    <dgm:txFillClrLst/>
    <dgm:txEffectClrLst/>
  </dgm:styleLbl>
  <dgm:styleLbl name="alignNode1">
    <dgm:fillClrLst meth="repeat">
      <a:schemeClr val="dk2"/>
    </dgm:fillClrLst>
    <dgm:linClrLst meth="repeat">
      <a:schemeClr val="dk2"/>
    </dgm:linClrLst>
    <dgm:effectClrLst/>
    <dgm:txLinClrLst/>
    <dgm:txFillClrLst/>
    <dgm:txEffectClrLst/>
  </dgm:styleLbl>
  <dgm:styleLbl name="node1">
    <dgm:fillClrLst meth="repeat">
      <a:schemeClr val="dk2"/>
    </dgm:fillClrLst>
    <dgm:linClrLst meth="repeat">
      <a:schemeClr val="lt2"/>
    </dgm:linClrLst>
    <dgm:effectClrLst/>
    <dgm:txLinClrLst/>
    <dgm:txFillClrLst/>
    <dgm:txEffectClrLst/>
  </dgm:styleLbl>
  <dgm:styleLbl name="lnNode1">
    <dgm:fillClrLst meth="repeat">
      <a:schemeClr val="dk2"/>
    </dgm:fillClrLst>
    <dgm:linClrLst meth="repeat">
      <a:schemeClr val="lt2"/>
    </dgm:linClrLst>
    <dgm:effectClrLst/>
    <dgm:txLinClrLst/>
    <dgm:txFillClrLst/>
    <dgm:txEffectClrLst/>
  </dgm:styleLbl>
  <dgm:styleLbl name="vennNode1">
    <dgm:fillClrLst meth="repeat">
      <a:schemeClr val="dk2">
        <a:alpha val="50000"/>
      </a:schemeClr>
    </dgm:fillClrLst>
    <dgm:linClrLst meth="repeat">
      <a:schemeClr val="lt2"/>
    </dgm:linClrLst>
    <dgm:effectClrLst/>
    <dgm:txLinClrLst/>
    <dgm:txFillClrLst/>
    <dgm:txEffectClrLst/>
  </dgm:styleLbl>
  <dgm:styleLbl name="node2">
    <dgm:fillClrLst meth="repeat">
      <a:schemeClr val="dk2"/>
    </dgm:fillClrLst>
    <dgm:linClrLst meth="repeat">
      <a:schemeClr val="lt2"/>
    </dgm:linClrLst>
    <dgm:effectClrLst/>
    <dgm:txLinClrLst/>
    <dgm:txFillClrLst/>
    <dgm:txEffectClrLst/>
  </dgm:styleLbl>
  <dgm:styleLbl name="node3">
    <dgm:fillClrLst meth="repeat">
      <a:schemeClr val="dk2"/>
    </dgm:fillClrLst>
    <dgm:linClrLst meth="repeat">
      <a:schemeClr val="lt2"/>
    </dgm:linClrLst>
    <dgm:effectClrLst/>
    <dgm:txLinClrLst/>
    <dgm:txFillClrLst/>
    <dgm:txEffectClrLst/>
  </dgm:styleLbl>
  <dgm:styleLbl name="node4">
    <dgm:fillClrLst meth="repeat">
      <a:schemeClr val="dk2"/>
    </dgm:fillClrLst>
    <dgm:linClrLst meth="repeat">
      <a:schemeClr val="lt2"/>
    </dgm:linClrLst>
    <dgm:effectClrLst/>
    <dgm:txLinClrLst/>
    <dgm:txFillClrLst/>
    <dgm:txEffectClrLst/>
  </dgm:styleLbl>
  <dgm:styleLbl name="fgImgPlace1">
    <dgm:fillClrLst meth="repeat">
      <a:schemeClr val="dk2">
        <a:tint val="50000"/>
      </a:schemeClr>
    </dgm:fillClrLst>
    <dgm:linClrLst meth="repeat">
      <a:schemeClr val="lt2"/>
    </dgm:linClrLst>
    <dgm:effectClrLst/>
    <dgm:txLinClrLst/>
    <dgm:txFillClrLst meth="repeat">
      <a:schemeClr val="lt2"/>
    </dgm:txFillClrLst>
    <dgm:txEffectClrLst/>
  </dgm:styleLbl>
  <dgm:styleLbl name="align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bg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dgm:txEffectClrLst/>
  </dgm:styleLbl>
  <dgm:styleLbl name="sibTrans1D1">
    <dgm:fillClrLst meth="repeat">
      <a:schemeClr val="dk2"/>
    </dgm:fillClrLst>
    <dgm:linClrLst meth="repeat">
      <a:schemeClr val="dk2"/>
    </dgm:linClrLst>
    <dgm:effectClrLst/>
    <dgm:txLinClrLst/>
    <dgm:txFillClrLst meth="repeat">
      <a:schemeClr val="lt2"/>
    </dgm:txFillClrLst>
    <dgm:txEffectClrLst/>
  </dgm:styleLbl>
  <dgm:styleLbl name="callout">
    <dgm:fillClrLst meth="repeat">
      <a:schemeClr val="dk2"/>
    </dgm:fillClrLst>
    <dgm:linClrLst meth="repeat">
      <a:schemeClr val="dk2">
        <a:tint val="50000"/>
      </a:schemeClr>
    </dgm:linClrLst>
    <dgm:effectClrLst/>
    <dgm:txLinClrLst/>
    <dgm:txFillClrLst meth="repeat">
      <a:schemeClr val="lt2"/>
    </dgm:txFillClrLst>
    <dgm:txEffectClrLst/>
  </dgm:styleLbl>
  <dgm:styleLbl name="asst0">
    <dgm:fillClrLst meth="repeat">
      <a:schemeClr val="dk2"/>
    </dgm:fillClrLst>
    <dgm:linClrLst meth="repeat">
      <a:schemeClr val="lt2"/>
    </dgm:linClrLst>
    <dgm:effectClrLst/>
    <dgm:txLinClrLst/>
    <dgm:txFillClrLst/>
    <dgm:txEffectClrLst/>
  </dgm:styleLbl>
  <dgm:styleLbl name="asst1">
    <dgm:fillClrLst meth="repeat">
      <a:schemeClr val="dk2"/>
    </dgm:fillClrLst>
    <dgm:linClrLst meth="repeat">
      <a:schemeClr val="lt2"/>
    </dgm:linClrLst>
    <dgm:effectClrLst/>
    <dgm:txLinClrLst/>
    <dgm:txFillClrLst/>
    <dgm:txEffectClrLst/>
  </dgm:styleLbl>
  <dgm:styleLbl name="asst2">
    <dgm:fillClrLst meth="repeat">
      <a:schemeClr val="dk2"/>
    </dgm:fillClrLst>
    <dgm:linClrLst meth="repeat">
      <a:schemeClr val="lt2"/>
    </dgm:linClrLst>
    <dgm:effectClrLst/>
    <dgm:txLinClrLst/>
    <dgm:txFillClrLst/>
    <dgm:txEffectClrLst/>
  </dgm:styleLbl>
  <dgm:styleLbl name="asst3">
    <dgm:fillClrLst meth="repeat">
      <a:schemeClr val="dk2"/>
    </dgm:fillClrLst>
    <dgm:linClrLst meth="repeat">
      <a:schemeClr val="lt2"/>
    </dgm:linClrLst>
    <dgm:effectClrLst/>
    <dgm:txLinClrLst/>
    <dgm:txFillClrLst/>
    <dgm:txEffectClrLst/>
  </dgm:styleLbl>
  <dgm:styleLbl name="asst4">
    <dgm:fillClrLst meth="repeat">
      <a:schemeClr val="dk2"/>
    </dgm:fillClrLst>
    <dgm:linClrLst meth="repeat">
      <a:schemeClr val="lt2"/>
    </dgm:linClrLst>
    <dgm:effectClrLst/>
    <dgm:txLinClrLst/>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meth="repeat">
      <a:schemeClr val="lt2"/>
    </dgm:txFillClrLst>
    <dgm:txEffectClrLst/>
  </dgm:styleLbl>
  <dgm:styleLbl name="parChTrans2D2">
    <dgm:fillClrLst meth="repeat">
      <a:schemeClr val="dk2"/>
    </dgm:fillClrLst>
    <dgm:linClrLst meth="repeat">
      <a:schemeClr val="dk2"/>
    </dgm:linClrLst>
    <dgm:effectClrLst/>
    <dgm:txLinClrLst/>
    <dgm:txFillClrLst meth="repeat">
      <a:schemeClr val="lt2"/>
    </dgm:txFillClrLst>
    <dgm:txEffectClrLst/>
  </dgm:styleLbl>
  <dgm:styleLbl name="parChTrans2D3">
    <dgm:fillClrLst meth="repeat">
      <a:schemeClr val="dk2"/>
    </dgm:fillClrLst>
    <dgm:linClrLst meth="repeat">
      <a:schemeClr val="dk2"/>
    </dgm:linClrLst>
    <dgm:effectClrLst/>
    <dgm:txLinClrLst/>
    <dgm:txFillClrLst meth="repeat">
      <a:schemeClr val="lt2"/>
    </dgm:txFillClrLst>
    <dgm:txEffectClrLst/>
  </dgm:styleLbl>
  <dgm:styleLbl name="parChTrans2D4">
    <dgm:fillClrLst meth="repeat">
      <a:schemeClr val="dk2"/>
    </dgm:fillClrLst>
    <dgm:linClrLst meth="repeat">
      <a:schemeClr val="dk2"/>
    </dgm:linClrLst>
    <dgm:effectClrLst/>
    <dgm:txLinClrLst/>
    <dgm:txFillClrLst meth="repeat">
      <a:schemeClr val="lt2"/>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con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align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trAlignAcc1">
    <dgm:fillClrLst meth="repeat">
      <a:schemeClr val="lt2">
        <a:alpha val="40000"/>
      </a:schemeClr>
    </dgm:fillClrLst>
    <dgm:linClrLst meth="repeat">
      <a:schemeClr val="dk2"/>
    </dgm:linClrLst>
    <dgm:effectClrLst/>
    <dgm:txLinClrLst/>
    <dgm:txFillClrLst meth="repeat">
      <a:schemeClr val="dk1"/>
    </dgm:txFillClrLst>
    <dgm:txEffectClrLst/>
  </dgm:styleLbl>
  <dgm:styleLbl name="b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solidFgAcc1">
    <dgm:fillClrLst meth="repeat">
      <a:schemeClr val="lt2"/>
    </dgm:fillClrLst>
    <dgm:linClrLst meth="repeat">
      <a:schemeClr val="dk2"/>
    </dgm:linClrLst>
    <dgm:effectClrLst/>
    <dgm:txLinClrLst/>
    <dgm:txFillClrLst meth="repeat">
      <a:schemeClr val="dk1"/>
    </dgm:txFillClrLst>
    <dgm:txEffectClrLst/>
  </dgm:styleLbl>
  <dgm:styleLbl name="solidAlignAcc1">
    <dgm:fillClrLst meth="repeat">
      <a:schemeClr val="lt2"/>
    </dgm:fillClrLst>
    <dgm:linClrLst meth="repeat">
      <a:schemeClr val="dk2"/>
    </dgm:linClrLst>
    <dgm:effectClrLst/>
    <dgm:txLinClrLst/>
    <dgm:txFillClrLst meth="repeat">
      <a:schemeClr val="dk1"/>
    </dgm:txFillClrLst>
    <dgm:txEffectClrLst/>
  </dgm:styleLbl>
  <dgm:styleLbl name="solidBgAcc1">
    <dgm:fillClrLst meth="repeat">
      <a:schemeClr val="lt2"/>
    </dgm:fillClrLst>
    <dgm:linClrLst meth="repeat">
      <a:schemeClr val="dk2"/>
    </dgm:linClrLst>
    <dgm:effectClrLst/>
    <dgm:txLinClrLst/>
    <dgm:txFillClrLst meth="repeat">
      <a:schemeClr val="dk1"/>
    </dgm:txFillClrLst>
    <dgm:txEffectClrLst/>
  </dgm:styleLbl>
  <dgm:styleLbl name="f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align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b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fgAcc0">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2">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3">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4">
    <dgm:fillClrLst meth="repeat">
      <a:schemeClr val="lt2">
        <a:alpha val="90000"/>
      </a:schemeClr>
    </dgm:fillClrLst>
    <dgm:linClrLst meth="repeat">
      <a:schemeClr val="dk2"/>
    </dgm:linClrLst>
    <dgm:effectClrLst/>
    <dgm:txLinClrLst/>
    <dgm:txFillClrLst meth="repeat">
      <a:schemeClr val="dk1"/>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1"/>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1"/>
    </dgm:txFillClrLst>
    <dgm:txEffectClrLst/>
  </dgm:styleLbl>
  <dgm:styleLbl name="fgShp">
    <dgm:fillClrLst meth="repeat">
      <a:schemeClr val="dk2">
        <a:tint val="60000"/>
      </a:schemeClr>
    </dgm:fillClrLst>
    <dgm:linClrLst meth="repeat">
      <a:schemeClr val="lt2"/>
    </dgm:linClrLst>
    <dgm:effectClrLst/>
    <dgm:txLinClrLst/>
    <dgm:txFillClrLst meth="repeat">
      <a:schemeClr val="dk1"/>
    </dgm:txFillClrLst>
    <dgm:txEffectClrLst/>
  </dgm:styleLbl>
  <dgm:styleLbl name="revTx">
    <dgm:fillClrLst meth="repeat">
      <a:schemeClr val="lt2">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23F22C5-CB48-47D8-9E07-B494890CA251}" type="doc">
      <dgm:prSet loTypeId="urn:microsoft.com/office/officeart/2005/8/layout/hierarchy1" loCatId="hierarchy" qsTypeId="urn:microsoft.com/office/officeart/2005/8/quickstyle/simple1" qsCatId="simple" csTypeId="urn:microsoft.com/office/officeart/2005/8/colors/accent0_3" csCatId="mainScheme" phldr="1"/>
      <dgm:spPr/>
      <dgm:t>
        <a:bodyPr/>
        <a:lstStyle/>
        <a:p>
          <a:endParaRPr lang="en-US"/>
        </a:p>
      </dgm:t>
    </dgm:pt>
    <dgm:pt modelId="{E0FEEA49-D6D1-49C5-9B76-8979BF2D2E48}">
      <dgm:prSet phldrT="[Text]"/>
      <dgm:spPr/>
      <dgm:t>
        <a:bodyPr/>
        <a:lstStyle/>
        <a:p>
          <a:r>
            <a:rPr lang="lt-LT"/>
            <a:t>Savivaldybių funkcijos</a:t>
          </a:r>
          <a:endParaRPr lang="en-US"/>
        </a:p>
      </dgm:t>
    </dgm:pt>
    <dgm:pt modelId="{0D9473DB-DE48-44F6-9B52-6DEFD05226D5}" type="parTrans" cxnId="{1BC48944-B481-4304-886E-3615B4D38195}">
      <dgm:prSet/>
      <dgm:spPr/>
      <dgm:t>
        <a:bodyPr/>
        <a:lstStyle/>
        <a:p>
          <a:endParaRPr lang="en-US"/>
        </a:p>
      </dgm:t>
    </dgm:pt>
    <dgm:pt modelId="{1EEF2E67-2371-4281-8C58-B8100FDB0CD7}" type="sibTrans" cxnId="{1BC48944-B481-4304-886E-3615B4D38195}">
      <dgm:prSet/>
      <dgm:spPr/>
      <dgm:t>
        <a:bodyPr/>
        <a:lstStyle/>
        <a:p>
          <a:endParaRPr lang="en-US"/>
        </a:p>
      </dgm:t>
    </dgm:pt>
    <dgm:pt modelId="{95A7C343-2768-4CB1-9F1B-BA8F2D1979CF}">
      <dgm:prSet phldrT="[Text]"/>
      <dgm:spPr/>
      <dgm:t>
        <a:bodyPr/>
        <a:lstStyle/>
        <a:p>
          <a:r>
            <a:rPr lang="lt-LT"/>
            <a:t>Pagal sprendimų priėmimo laisvę</a:t>
          </a:r>
          <a:endParaRPr lang="en-US"/>
        </a:p>
      </dgm:t>
    </dgm:pt>
    <dgm:pt modelId="{76D754F5-063D-4DF6-9E94-6A15EF0A1A42}" type="parTrans" cxnId="{A17DA7FB-42F9-47E5-986F-083566BF403A}">
      <dgm:prSet/>
      <dgm:spPr/>
      <dgm:t>
        <a:bodyPr/>
        <a:lstStyle/>
        <a:p>
          <a:endParaRPr lang="en-US"/>
        </a:p>
      </dgm:t>
    </dgm:pt>
    <dgm:pt modelId="{CE715FDA-9AF1-4B14-8A63-0DBC9187879F}" type="sibTrans" cxnId="{A17DA7FB-42F9-47E5-986F-083566BF403A}">
      <dgm:prSet/>
      <dgm:spPr/>
      <dgm:t>
        <a:bodyPr/>
        <a:lstStyle/>
        <a:p>
          <a:endParaRPr lang="en-US"/>
        </a:p>
      </dgm:t>
    </dgm:pt>
    <dgm:pt modelId="{370EF680-109E-46D3-91B0-06C8740FC842}">
      <dgm:prSet phldrT="[Text]"/>
      <dgm:spPr/>
      <dgm:t>
        <a:bodyPr/>
        <a:lstStyle/>
        <a:p>
          <a:r>
            <a:rPr lang="lt-LT"/>
            <a:t>Savarankiškos</a:t>
          </a:r>
          <a:endParaRPr lang="en-US"/>
        </a:p>
      </dgm:t>
    </dgm:pt>
    <dgm:pt modelId="{A6703812-B90D-47B0-8917-AA5488E69098}" type="parTrans" cxnId="{1D5DFA56-061E-4890-8612-D45902C9BC65}">
      <dgm:prSet/>
      <dgm:spPr/>
      <dgm:t>
        <a:bodyPr/>
        <a:lstStyle/>
        <a:p>
          <a:endParaRPr lang="en-US"/>
        </a:p>
      </dgm:t>
    </dgm:pt>
    <dgm:pt modelId="{F86A5E88-4A20-4D07-B1CB-19695678B964}" type="sibTrans" cxnId="{1D5DFA56-061E-4890-8612-D45902C9BC65}">
      <dgm:prSet/>
      <dgm:spPr/>
      <dgm:t>
        <a:bodyPr/>
        <a:lstStyle/>
        <a:p>
          <a:endParaRPr lang="en-US"/>
        </a:p>
      </dgm:t>
    </dgm:pt>
    <dgm:pt modelId="{DD2B8050-208C-4B70-89F8-A963D8A53C87}">
      <dgm:prSet phldrT="[Text]"/>
      <dgm:spPr/>
      <dgm:t>
        <a:bodyPr/>
        <a:lstStyle/>
        <a:p>
          <a:r>
            <a:rPr lang="lt-LT"/>
            <a:t>Pagal veiklos pobūdį</a:t>
          </a:r>
          <a:endParaRPr lang="en-US"/>
        </a:p>
      </dgm:t>
    </dgm:pt>
    <dgm:pt modelId="{F4D7EA36-C797-474C-AD00-5B72EF6BEC10}" type="parTrans" cxnId="{EE853B79-BECE-422F-9E2A-CC0743F749A7}">
      <dgm:prSet/>
      <dgm:spPr/>
      <dgm:t>
        <a:bodyPr/>
        <a:lstStyle/>
        <a:p>
          <a:endParaRPr lang="en-US"/>
        </a:p>
      </dgm:t>
    </dgm:pt>
    <dgm:pt modelId="{55E5B372-E937-474D-8934-ADEE43857BAA}" type="sibTrans" cxnId="{EE853B79-BECE-422F-9E2A-CC0743F749A7}">
      <dgm:prSet/>
      <dgm:spPr/>
      <dgm:t>
        <a:bodyPr/>
        <a:lstStyle/>
        <a:p>
          <a:endParaRPr lang="en-US"/>
        </a:p>
      </dgm:t>
    </dgm:pt>
    <dgm:pt modelId="{B815C75F-FD18-4841-BF99-503AB94C34DF}">
      <dgm:prSet phldrT="[Text]"/>
      <dgm:spPr/>
      <dgm:t>
        <a:bodyPr/>
        <a:lstStyle/>
        <a:p>
          <a:r>
            <a:rPr lang="lt-LT"/>
            <a:t>Vietos valdžia</a:t>
          </a:r>
          <a:endParaRPr lang="en-US"/>
        </a:p>
      </dgm:t>
    </dgm:pt>
    <dgm:pt modelId="{E0615CCE-BF2E-415D-AAA4-34FAA07F2179}" type="parTrans" cxnId="{E746339E-60AE-470F-9961-2447A4B09E6F}">
      <dgm:prSet/>
      <dgm:spPr/>
      <dgm:t>
        <a:bodyPr/>
        <a:lstStyle/>
        <a:p>
          <a:endParaRPr lang="en-US"/>
        </a:p>
      </dgm:t>
    </dgm:pt>
    <dgm:pt modelId="{187F662F-C1E0-4D9B-B832-C7D236CAB78A}" type="sibTrans" cxnId="{E746339E-60AE-470F-9961-2447A4B09E6F}">
      <dgm:prSet/>
      <dgm:spPr/>
      <dgm:t>
        <a:bodyPr/>
        <a:lstStyle/>
        <a:p>
          <a:endParaRPr lang="en-US"/>
        </a:p>
      </dgm:t>
    </dgm:pt>
    <dgm:pt modelId="{1C1070C6-949A-4760-940B-8C104B7058A9}">
      <dgm:prSet/>
      <dgm:spPr/>
      <dgm:t>
        <a:bodyPr/>
        <a:lstStyle/>
        <a:p>
          <a:r>
            <a:rPr lang="lt-LT"/>
            <a:t>Valstybinės</a:t>
          </a:r>
          <a:endParaRPr lang="en-US"/>
        </a:p>
      </dgm:t>
    </dgm:pt>
    <dgm:pt modelId="{B6066DCA-D3B4-4743-BE59-E4A27867EA25}" type="parTrans" cxnId="{D384ABA1-293E-4729-9AC0-283ADF318354}">
      <dgm:prSet/>
      <dgm:spPr/>
      <dgm:t>
        <a:bodyPr/>
        <a:lstStyle/>
        <a:p>
          <a:endParaRPr lang="en-US"/>
        </a:p>
      </dgm:t>
    </dgm:pt>
    <dgm:pt modelId="{95FDDBAD-6521-4C4C-89AE-0E5E3C02875A}" type="sibTrans" cxnId="{D384ABA1-293E-4729-9AC0-283ADF318354}">
      <dgm:prSet/>
      <dgm:spPr/>
      <dgm:t>
        <a:bodyPr/>
        <a:lstStyle/>
        <a:p>
          <a:endParaRPr lang="en-US"/>
        </a:p>
      </dgm:t>
    </dgm:pt>
    <dgm:pt modelId="{B21DBD4E-DAAD-4B97-A77E-C02C14E0F410}">
      <dgm:prSet/>
      <dgm:spPr/>
      <dgm:t>
        <a:bodyPr/>
        <a:lstStyle/>
        <a:p>
          <a:r>
            <a:rPr lang="lt-LT"/>
            <a:t>Viešasisi administravimas</a:t>
          </a:r>
          <a:endParaRPr lang="en-US"/>
        </a:p>
      </dgm:t>
    </dgm:pt>
    <dgm:pt modelId="{8DE63B1F-3813-42F6-BD16-685B89500C6A}" type="parTrans" cxnId="{65EC274D-B44C-4BAF-9B8B-17A06BB3E299}">
      <dgm:prSet/>
      <dgm:spPr/>
      <dgm:t>
        <a:bodyPr/>
        <a:lstStyle/>
        <a:p>
          <a:endParaRPr lang="en-US"/>
        </a:p>
      </dgm:t>
    </dgm:pt>
    <dgm:pt modelId="{4158077A-1AB6-4E01-86F0-336C7A65700C}" type="sibTrans" cxnId="{65EC274D-B44C-4BAF-9B8B-17A06BB3E299}">
      <dgm:prSet/>
      <dgm:spPr/>
      <dgm:t>
        <a:bodyPr/>
        <a:lstStyle/>
        <a:p>
          <a:endParaRPr lang="en-US"/>
        </a:p>
      </dgm:t>
    </dgm:pt>
    <dgm:pt modelId="{3B00101F-98AD-4DB3-A162-5FABB3C7BAF5}">
      <dgm:prSet/>
      <dgm:spPr/>
      <dgm:t>
        <a:bodyPr/>
        <a:lstStyle/>
        <a:p>
          <a:r>
            <a:rPr lang="lt-LT"/>
            <a:t>Viešųjų paslaugų teikimas</a:t>
          </a:r>
          <a:endParaRPr lang="en-US"/>
        </a:p>
      </dgm:t>
    </dgm:pt>
    <dgm:pt modelId="{8483F686-C00E-431F-B413-1AF95173B586}" type="parTrans" cxnId="{05A917C4-8C2B-45CE-8E2C-FD2131BF0892}">
      <dgm:prSet/>
      <dgm:spPr/>
      <dgm:t>
        <a:bodyPr/>
        <a:lstStyle/>
        <a:p>
          <a:endParaRPr lang="en-US"/>
        </a:p>
      </dgm:t>
    </dgm:pt>
    <dgm:pt modelId="{CD899FA9-4EF4-4265-AC44-5374DDD72E76}" type="sibTrans" cxnId="{05A917C4-8C2B-45CE-8E2C-FD2131BF0892}">
      <dgm:prSet/>
      <dgm:spPr/>
      <dgm:t>
        <a:bodyPr/>
        <a:lstStyle/>
        <a:p>
          <a:endParaRPr lang="en-US"/>
        </a:p>
      </dgm:t>
    </dgm:pt>
    <dgm:pt modelId="{B59D0A79-1C89-4795-9604-8EE6F8C420B9}" type="pres">
      <dgm:prSet presAssocID="{823F22C5-CB48-47D8-9E07-B494890CA251}" presName="hierChild1" presStyleCnt="0">
        <dgm:presLayoutVars>
          <dgm:chPref val="1"/>
          <dgm:dir/>
          <dgm:animOne val="branch"/>
          <dgm:animLvl val="lvl"/>
          <dgm:resizeHandles/>
        </dgm:presLayoutVars>
      </dgm:prSet>
      <dgm:spPr/>
      <dgm:t>
        <a:bodyPr/>
        <a:lstStyle/>
        <a:p>
          <a:endParaRPr lang="en-US"/>
        </a:p>
      </dgm:t>
    </dgm:pt>
    <dgm:pt modelId="{BF51C944-5CBF-43A7-81E3-58106827F512}" type="pres">
      <dgm:prSet presAssocID="{E0FEEA49-D6D1-49C5-9B76-8979BF2D2E48}" presName="hierRoot1" presStyleCnt="0"/>
      <dgm:spPr/>
    </dgm:pt>
    <dgm:pt modelId="{11E4A186-C55B-4673-88B5-FE7CB32D6DCB}" type="pres">
      <dgm:prSet presAssocID="{E0FEEA49-D6D1-49C5-9B76-8979BF2D2E48}" presName="composite" presStyleCnt="0"/>
      <dgm:spPr/>
    </dgm:pt>
    <dgm:pt modelId="{282A2069-9301-4E3A-B4D8-B0CF2711ACE2}" type="pres">
      <dgm:prSet presAssocID="{E0FEEA49-D6D1-49C5-9B76-8979BF2D2E48}" presName="background" presStyleLbl="node0" presStyleIdx="0" presStyleCnt="1"/>
      <dgm:spPr/>
    </dgm:pt>
    <dgm:pt modelId="{EBA4EF60-84EA-4B52-BA40-91E54EF29A07}" type="pres">
      <dgm:prSet presAssocID="{E0FEEA49-D6D1-49C5-9B76-8979BF2D2E48}" presName="text" presStyleLbl="fgAcc0" presStyleIdx="0" presStyleCnt="1">
        <dgm:presLayoutVars>
          <dgm:chPref val="3"/>
        </dgm:presLayoutVars>
      </dgm:prSet>
      <dgm:spPr/>
      <dgm:t>
        <a:bodyPr/>
        <a:lstStyle/>
        <a:p>
          <a:endParaRPr lang="en-US"/>
        </a:p>
      </dgm:t>
    </dgm:pt>
    <dgm:pt modelId="{2FD30CBC-693B-4624-8EC7-95797AC60748}" type="pres">
      <dgm:prSet presAssocID="{E0FEEA49-D6D1-49C5-9B76-8979BF2D2E48}" presName="hierChild2" presStyleCnt="0"/>
      <dgm:spPr/>
    </dgm:pt>
    <dgm:pt modelId="{BD0FCFE2-BA35-4F6C-B017-0A597B63FABA}" type="pres">
      <dgm:prSet presAssocID="{76D754F5-063D-4DF6-9E94-6A15EF0A1A42}" presName="Name10" presStyleLbl="parChTrans1D2" presStyleIdx="0" presStyleCnt="2"/>
      <dgm:spPr/>
      <dgm:t>
        <a:bodyPr/>
        <a:lstStyle/>
        <a:p>
          <a:endParaRPr lang="en-US"/>
        </a:p>
      </dgm:t>
    </dgm:pt>
    <dgm:pt modelId="{86E2F236-E167-418E-9E9D-0F56B8CD8FFB}" type="pres">
      <dgm:prSet presAssocID="{95A7C343-2768-4CB1-9F1B-BA8F2D1979CF}" presName="hierRoot2" presStyleCnt="0"/>
      <dgm:spPr/>
    </dgm:pt>
    <dgm:pt modelId="{4627B5ED-8563-4CB7-AD65-791AC1D4816E}" type="pres">
      <dgm:prSet presAssocID="{95A7C343-2768-4CB1-9F1B-BA8F2D1979CF}" presName="composite2" presStyleCnt="0"/>
      <dgm:spPr/>
    </dgm:pt>
    <dgm:pt modelId="{C63DDCF0-4D54-4679-8AD1-25CBBCA45235}" type="pres">
      <dgm:prSet presAssocID="{95A7C343-2768-4CB1-9F1B-BA8F2D1979CF}" presName="background2" presStyleLbl="node2" presStyleIdx="0" presStyleCnt="2"/>
      <dgm:spPr/>
    </dgm:pt>
    <dgm:pt modelId="{EB957155-1DEE-40E4-A84C-2F1ADE21F951}" type="pres">
      <dgm:prSet presAssocID="{95A7C343-2768-4CB1-9F1B-BA8F2D1979CF}" presName="text2" presStyleLbl="fgAcc2" presStyleIdx="0" presStyleCnt="2">
        <dgm:presLayoutVars>
          <dgm:chPref val="3"/>
        </dgm:presLayoutVars>
      </dgm:prSet>
      <dgm:spPr/>
      <dgm:t>
        <a:bodyPr/>
        <a:lstStyle/>
        <a:p>
          <a:endParaRPr lang="en-US"/>
        </a:p>
      </dgm:t>
    </dgm:pt>
    <dgm:pt modelId="{E98B94D6-DC4D-4BF9-B880-0868D1DC5F36}" type="pres">
      <dgm:prSet presAssocID="{95A7C343-2768-4CB1-9F1B-BA8F2D1979CF}" presName="hierChild3" presStyleCnt="0"/>
      <dgm:spPr/>
    </dgm:pt>
    <dgm:pt modelId="{62E92FC2-156E-4BFA-95DC-4AF8D8D2742C}" type="pres">
      <dgm:prSet presAssocID="{A6703812-B90D-47B0-8917-AA5488E69098}" presName="Name17" presStyleLbl="parChTrans1D3" presStyleIdx="0" presStyleCnt="5"/>
      <dgm:spPr/>
      <dgm:t>
        <a:bodyPr/>
        <a:lstStyle/>
        <a:p>
          <a:endParaRPr lang="en-US"/>
        </a:p>
      </dgm:t>
    </dgm:pt>
    <dgm:pt modelId="{8021EF9A-9D9D-48FE-A962-68B7A589120F}" type="pres">
      <dgm:prSet presAssocID="{370EF680-109E-46D3-91B0-06C8740FC842}" presName="hierRoot3" presStyleCnt="0"/>
      <dgm:spPr/>
    </dgm:pt>
    <dgm:pt modelId="{974BD648-8C90-4A27-8CFB-8A9A4949CF87}" type="pres">
      <dgm:prSet presAssocID="{370EF680-109E-46D3-91B0-06C8740FC842}" presName="composite3" presStyleCnt="0"/>
      <dgm:spPr/>
    </dgm:pt>
    <dgm:pt modelId="{0E7EA001-F139-4D30-8321-49047F967395}" type="pres">
      <dgm:prSet presAssocID="{370EF680-109E-46D3-91B0-06C8740FC842}" presName="background3" presStyleLbl="node3" presStyleIdx="0" presStyleCnt="5"/>
      <dgm:spPr/>
    </dgm:pt>
    <dgm:pt modelId="{F4E0D10F-5BC8-42ED-895A-0A5DB9ECF65F}" type="pres">
      <dgm:prSet presAssocID="{370EF680-109E-46D3-91B0-06C8740FC842}" presName="text3" presStyleLbl="fgAcc3" presStyleIdx="0" presStyleCnt="5">
        <dgm:presLayoutVars>
          <dgm:chPref val="3"/>
        </dgm:presLayoutVars>
      </dgm:prSet>
      <dgm:spPr/>
      <dgm:t>
        <a:bodyPr/>
        <a:lstStyle/>
        <a:p>
          <a:endParaRPr lang="en-US"/>
        </a:p>
      </dgm:t>
    </dgm:pt>
    <dgm:pt modelId="{42F851E0-4629-4A8D-8255-3653AAEDCA62}" type="pres">
      <dgm:prSet presAssocID="{370EF680-109E-46D3-91B0-06C8740FC842}" presName="hierChild4" presStyleCnt="0"/>
      <dgm:spPr/>
    </dgm:pt>
    <dgm:pt modelId="{3A8E14B2-D520-4886-82B0-4CC664F9EC8F}" type="pres">
      <dgm:prSet presAssocID="{B6066DCA-D3B4-4743-BE59-E4A27867EA25}" presName="Name17" presStyleLbl="parChTrans1D3" presStyleIdx="1" presStyleCnt="5"/>
      <dgm:spPr/>
      <dgm:t>
        <a:bodyPr/>
        <a:lstStyle/>
        <a:p>
          <a:endParaRPr lang="en-US"/>
        </a:p>
      </dgm:t>
    </dgm:pt>
    <dgm:pt modelId="{2796254D-BAC3-494A-8327-18C62D06C019}" type="pres">
      <dgm:prSet presAssocID="{1C1070C6-949A-4760-940B-8C104B7058A9}" presName="hierRoot3" presStyleCnt="0"/>
      <dgm:spPr/>
    </dgm:pt>
    <dgm:pt modelId="{62CE50C7-3A6B-4E47-AE90-FC5F74AB351C}" type="pres">
      <dgm:prSet presAssocID="{1C1070C6-949A-4760-940B-8C104B7058A9}" presName="composite3" presStyleCnt="0"/>
      <dgm:spPr/>
    </dgm:pt>
    <dgm:pt modelId="{FD7C7110-5FA4-439F-AF11-E6B3D54395C3}" type="pres">
      <dgm:prSet presAssocID="{1C1070C6-949A-4760-940B-8C104B7058A9}" presName="background3" presStyleLbl="node3" presStyleIdx="1" presStyleCnt="5"/>
      <dgm:spPr/>
    </dgm:pt>
    <dgm:pt modelId="{786A9916-9A6D-4545-AB69-5084D448ADC1}" type="pres">
      <dgm:prSet presAssocID="{1C1070C6-949A-4760-940B-8C104B7058A9}" presName="text3" presStyleLbl="fgAcc3" presStyleIdx="1" presStyleCnt="5">
        <dgm:presLayoutVars>
          <dgm:chPref val="3"/>
        </dgm:presLayoutVars>
      </dgm:prSet>
      <dgm:spPr/>
      <dgm:t>
        <a:bodyPr/>
        <a:lstStyle/>
        <a:p>
          <a:endParaRPr lang="en-US"/>
        </a:p>
      </dgm:t>
    </dgm:pt>
    <dgm:pt modelId="{55E6D5DE-0C4B-497A-BBA8-8B371B4FB4DC}" type="pres">
      <dgm:prSet presAssocID="{1C1070C6-949A-4760-940B-8C104B7058A9}" presName="hierChild4" presStyleCnt="0"/>
      <dgm:spPr/>
    </dgm:pt>
    <dgm:pt modelId="{E4D9FB88-8102-4C97-8E5B-8F0A57705A7E}" type="pres">
      <dgm:prSet presAssocID="{F4D7EA36-C797-474C-AD00-5B72EF6BEC10}" presName="Name10" presStyleLbl="parChTrans1D2" presStyleIdx="1" presStyleCnt="2"/>
      <dgm:spPr/>
      <dgm:t>
        <a:bodyPr/>
        <a:lstStyle/>
        <a:p>
          <a:endParaRPr lang="en-US"/>
        </a:p>
      </dgm:t>
    </dgm:pt>
    <dgm:pt modelId="{5845AE70-A4CC-4FA1-B86D-F19BCE7B387D}" type="pres">
      <dgm:prSet presAssocID="{DD2B8050-208C-4B70-89F8-A963D8A53C87}" presName="hierRoot2" presStyleCnt="0"/>
      <dgm:spPr/>
    </dgm:pt>
    <dgm:pt modelId="{432D64BA-D199-4329-94CF-0B799D633FC6}" type="pres">
      <dgm:prSet presAssocID="{DD2B8050-208C-4B70-89F8-A963D8A53C87}" presName="composite2" presStyleCnt="0"/>
      <dgm:spPr/>
    </dgm:pt>
    <dgm:pt modelId="{FCC0B8CA-11FF-495B-9781-0B9E0B8EAD4A}" type="pres">
      <dgm:prSet presAssocID="{DD2B8050-208C-4B70-89F8-A963D8A53C87}" presName="background2" presStyleLbl="node2" presStyleIdx="1" presStyleCnt="2"/>
      <dgm:spPr/>
    </dgm:pt>
    <dgm:pt modelId="{DABB6772-D1FF-4E8F-8DBE-4E86182A4ED9}" type="pres">
      <dgm:prSet presAssocID="{DD2B8050-208C-4B70-89F8-A963D8A53C87}" presName="text2" presStyleLbl="fgAcc2" presStyleIdx="1" presStyleCnt="2">
        <dgm:presLayoutVars>
          <dgm:chPref val="3"/>
        </dgm:presLayoutVars>
      </dgm:prSet>
      <dgm:spPr/>
      <dgm:t>
        <a:bodyPr/>
        <a:lstStyle/>
        <a:p>
          <a:endParaRPr lang="en-US"/>
        </a:p>
      </dgm:t>
    </dgm:pt>
    <dgm:pt modelId="{CB848210-4E7A-48DF-A969-39ED1C6F6D10}" type="pres">
      <dgm:prSet presAssocID="{DD2B8050-208C-4B70-89F8-A963D8A53C87}" presName="hierChild3" presStyleCnt="0"/>
      <dgm:spPr/>
    </dgm:pt>
    <dgm:pt modelId="{45B78A8D-5F2C-47B7-85B9-A263B7BB1601}" type="pres">
      <dgm:prSet presAssocID="{E0615CCE-BF2E-415D-AAA4-34FAA07F2179}" presName="Name17" presStyleLbl="parChTrans1D3" presStyleIdx="2" presStyleCnt="5"/>
      <dgm:spPr/>
      <dgm:t>
        <a:bodyPr/>
        <a:lstStyle/>
        <a:p>
          <a:endParaRPr lang="en-US"/>
        </a:p>
      </dgm:t>
    </dgm:pt>
    <dgm:pt modelId="{A3D029BD-7B4C-4E93-A7A1-5CFA585E9435}" type="pres">
      <dgm:prSet presAssocID="{B815C75F-FD18-4841-BF99-503AB94C34DF}" presName="hierRoot3" presStyleCnt="0"/>
      <dgm:spPr/>
    </dgm:pt>
    <dgm:pt modelId="{CA9B61BF-62AC-456B-9C9A-713D79FC8DF5}" type="pres">
      <dgm:prSet presAssocID="{B815C75F-FD18-4841-BF99-503AB94C34DF}" presName="composite3" presStyleCnt="0"/>
      <dgm:spPr/>
    </dgm:pt>
    <dgm:pt modelId="{70EB7871-8206-4012-BF0E-9FD88A2A8329}" type="pres">
      <dgm:prSet presAssocID="{B815C75F-FD18-4841-BF99-503AB94C34DF}" presName="background3" presStyleLbl="node3" presStyleIdx="2" presStyleCnt="5"/>
      <dgm:spPr/>
    </dgm:pt>
    <dgm:pt modelId="{C5AC05C6-5065-43E1-B3CD-E080885F785A}" type="pres">
      <dgm:prSet presAssocID="{B815C75F-FD18-4841-BF99-503AB94C34DF}" presName="text3" presStyleLbl="fgAcc3" presStyleIdx="2" presStyleCnt="5">
        <dgm:presLayoutVars>
          <dgm:chPref val="3"/>
        </dgm:presLayoutVars>
      </dgm:prSet>
      <dgm:spPr/>
      <dgm:t>
        <a:bodyPr/>
        <a:lstStyle/>
        <a:p>
          <a:endParaRPr lang="en-US"/>
        </a:p>
      </dgm:t>
    </dgm:pt>
    <dgm:pt modelId="{E2E568F7-B007-4E70-86CE-C40224F98EE8}" type="pres">
      <dgm:prSet presAssocID="{B815C75F-FD18-4841-BF99-503AB94C34DF}" presName="hierChild4" presStyleCnt="0"/>
      <dgm:spPr/>
    </dgm:pt>
    <dgm:pt modelId="{DC5B1A83-5403-4321-8255-5A5F59BD1B2D}" type="pres">
      <dgm:prSet presAssocID="{8DE63B1F-3813-42F6-BD16-685B89500C6A}" presName="Name17" presStyleLbl="parChTrans1D3" presStyleIdx="3" presStyleCnt="5"/>
      <dgm:spPr/>
      <dgm:t>
        <a:bodyPr/>
        <a:lstStyle/>
        <a:p>
          <a:endParaRPr lang="en-US"/>
        </a:p>
      </dgm:t>
    </dgm:pt>
    <dgm:pt modelId="{8DC29270-3F65-4D04-B246-19BCD3DEAC5E}" type="pres">
      <dgm:prSet presAssocID="{B21DBD4E-DAAD-4B97-A77E-C02C14E0F410}" presName="hierRoot3" presStyleCnt="0"/>
      <dgm:spPr/>
    </dgm:pt>
    <dgm:pt modelId="{8C000F5A-4060-492E-AEDF-4D8C39C9D175}" type="pres">
      <dgm:prSet presAssocID="{B21DBD4E-DAAD-4B97-A77E-C02C14E0F410}" presName="composite3" presStyleCnt="0"/>
      <dgm:spPr/>
    </dgm:pt>
    <dgm:pt modelId="{767A5685-8133-4A7E-8F63-09C576837726}" type="pres">
      <dgm:prSet presAssocID="{B21DBD4E-DAAD-4B97-A77E-C02C14E0F410}" presName="background3" presStyleLbl="node3" presStyleIdx="3" presStyleCnt="5"/>
      <dgm:spPr/>
    </dgm:pt>
    <dgm:pt modelId="{2D1F1718-4B0F-4806-8B66-EB61D0345FB0}" type="pres">
      <dgm:prSet presAssocID="{B21DBD4E-DAAD-4B97-A77E-C02C14E0F410}" presName="text3" presStyleLbl="fgAcc3" presStyleIdx="3" presStyleCnt="5">
        <dgm:presLayoutVars>
          <dgm:chPref val="3"/>
        </dgm:presLayoutVars>
      </dgm:prSet>
      <dgm:spPr/>
      <dgm:t>
        <a:bodyPr/>
        <a:lstStyle/>
        <a:p>
          <a:endParaRPr lang="en-US"/>
        </a:p>
      </dgm:t>
    </dgm:pt>
    <dgm:pt modelId="{C15C1E04-A95B-4F41-ADBA-DBEA1047E978}" type="pres">
      <dgm:prSet presAssocID="{B21DBD4E-DAAD-4B97-A77E-C02C14E0F410}" presName="hierChild4" presStyleCnt="0"/>
      <dgm:spPr/>
    </dgm:pt>
    <dgm:pt modelId="{D71CE8B0-FA01-4675-A875-C778E2B30295}" type="pres">
      <dgm:prSet presAssocID="{8483F686-C00E-431F-B413-1AF95173B586}" presName="Name17" presStyleLbl="parChTrans1D3" presStyleIdx="4" presStyleCnt="5"/>
      <dgm:spPr/>
      <dgm:t>
        <a:bodyPr/>
        <a:lstStyle/>
        <a:p>
          <a:endParaRPr lang="en-US"/>
        </a:p>
      </dgm:t>
    </dgm:pt>
    <dgm:pt modelId="{D6239811-E6C3-44DA-9350-BBBFB49359CA}" type="pres">
      <dgm:prSet presAssocID="{3B00101F-98AD-4DB3-A162-5FABB3C7BAF5}" presName="hierRoot3" presStyleCnt="0"/>
      <dgm:spPr/>
    </dgm:pt>
    <dgm:pt modelId="{CB4F4297-945A-4DDD-A80E-28BCE98855B7}" type="pres">
      <dgm:prSet presAssocID="{3B00101F-98AD-4DB3-A162-5FABB3C7BAF5}" presName="composite3" presStyleCnt="0"/>
      <dgm:spPr/>
    </dgm:pt>
    <dgm:pt modelId="{3BE00F5D-26AD-4D6D-868B-5FEF1AF531F0}" type="pres">
      <dgm:prSet presAssocID="{3B00101F-98AD-4DB3-A162-5FABB3C7BAF5}" presName="background3" presStyleLbl="node3" presStyleIdx="4" presStyleCnt="5"/>
      <dgm:spPr/>
    </dgm:pt>
    <dgm:pt modelId="{28932A2B-ADA8-412E-B0F6-47E76EA24EA8}" type="pres">
      <dgm:prSet presAssocID="{3B00101F-98AD-4DB3-A162-5FABB3C7BAF5}" presName="text3" presStyleLbl="fgAcc3" presStyleIdx="4" presStyleCnt="5">
        <dgm:presLayoutVars>
          <dgm:chPref val="3"/>
        </dgm:presLayoutVars>
      </dgm:prSet>
      <dgm:spPr/>
      <dgm:t>
        <a:bodyPr/>
        <a:lstStyle/>
        <a:p>
          <a:endParaRPr lang="en-US"/>
        </a:p>
      </dgm:t>
    </dgm:pt>
    <dgm:pt modelId="{4B057A3B-0337-4EB0-9B56-81ABA82F6F3A}" type="pres">
      <dgm:prSet presAssocID="{3B00101F-98AD-4DB3-A162-5FABB3C7BAF5}" presName="hierChild4" presStyleCnt="0"/>
      <dgm:spPr/>
    </dgm:pt>
  </dgm:ptLst>
  <dgm:cxnLst>
    <dgm:cxn modelId="{1D5DFA56-061E-4890-8612-D45902C9BC65}" srcId="{95A7C343-2768-4CB1-9F1B-BA8F2D1979CF}" destId="{370EF680-109E-46D3-91B0-06C8740FC842}" srcOrd="0" destOrd="0" parTransId="{A6703812-B90D-47B0-8917-AA5488E69098}" sibTransId="{F86A5E88-4A20-4D07-B1CB-19695678B964}"/>
    <dgm:cxn modelId="{D384ABA1-293E-4729-9AC0-283ADF318354}" srcId="{95A7C343-2768-4CB1-9F1B-BA8F2D1979CF}" destId="{1C1070C6-949A-4760-940B-8C104B7058A9}" srcOrd="1" destOrd="0" parTransId="{B6066DCA-D3B4-4743-BE59-E4A27867EA25}" sibTransId="{95FDDBAD-6521-4C4C-89AE-0E5E3C02875A}"/>
    <dgm:cxn modelId="{E746339E-60AE-470F-9961-2447A4B09E6F}" srcId="{DD2B8050-208C-4B70-89F8-A963D8A53C87}" destId="{B815C75F-FD18-4841-BF99-503AB94C34DF}" srcOrd="0" destOrd="0" parTransId="{E0615CCE-BF2E-415D-AAA4-34FAA07F2179}" sibTransId="{187F662F-C1E0-4D9B-B832-C7D236CAB78A}"/>
    <dgm:cxn modelId="{A17DA7FB-42F9-47E5-986F-083566BF403A}" srcId="{E0FEEA49-D6D1-49C5-9B76-8979BF2D2E48}" destId="{95A7C343-2768-4CB1-9F1B-BA8F2D1979CF}" srcOrd="0" destOrd="0" parTransId="{76D754F5-063D-4DF6-9E94-6A15EF0A1A42}" sibTransId="{CE715FDA-9AF1-4B14-8A63-0DBC9187879F}"/>
    <dgm:cxn modelId="{A41648E2-8CB5-4CE1-80A0-57A662B0F9C6}" type="presOf" srcId="{8483F686-C00E-431F-B413-1AF95173B586}" destId="{D71CE8B0-FA01-4675-A875-C778E2B30295}" srcOrd="0" destOrd="0" presId="urn:microsoft.com/office/officeart/2005/8/layout/hierarchy1"/>
    <dgm:cxn modelId="{9C418CEA-530D-4639-8FEB-845A842E157C}" type="presOf" srcId="{B21DBD4E-DAAD-4B97-A77E-C02C14E0F410}" destId="{2D1F1718-4B0F-4806-8B66-EB61D0345FB0}" srcOrd="0" destOrd="0" presId="urn:microsoft.com/office/officeart/2005/8/layout/hierarchy1"/>
    <dgm:cxn modelId="{EE853B79-BECE-422F-9E2A-CC0743F749A7}" srcId="{E0FEEA49-D6D1-49C5-9B76-8979BF2D2E48}" destId="{DD2B8050-208C-4B70-89F8-A963D8A53C87}" srcOrd="1" destOrd="0" parTransId="{F4D7EA36-C797-474C-AD00-5B72EF6BEC10}" sibTransId="{55E5B372-E937-474D-8934-ADEE43857BAA}"/>
    <dgm:cxn modelId="{68D2832C-E015-4ED5-BE44-F9FCAD96C8C1}" type="presOf" srcId="{823F22C5-CB48-47D8-9E07-B494890CA251}" destId="{B59D0A79-1C89-4795-9604-8EE6F8C420B9}" srcOrd="0" destOrd="0" presId="urn:microsoft.com/office/officeart/2005/8/layout/hierarchy1"/>
    <dgm:cxn modelId="{1DC7F57C-A127-4F6D-9A34-AA995E5BDC43}" type="presOf" srcId="{F4D7EA36-C797-474C-AD00-5B72EF6BEC10}" destId="{E4D9FB88-8102-4C97-8E5B-8F0A57705A7E}" srcOrd="0" destOrd="0" presId="urn:microsoft.com/office/officeart/2005/8/layout/hierarchy1"/>
    <dgm:cxn modelId="{9524FF0C-67AF-4E82-855E-B793599DBD22}" type="presOf" srcId="{B6066DCA-D3B4-4743-BE59-E4A27867EA25}" destId="{3A8E14B2-D520-4886-82B0-4CC664F9EC8F}" srcOrd="0" destOrd="0" presId="urn:microsoft.com/office/officeart/2005/8/layout/hierarchy1"/>
    <dgm:cxn modelId="{F65A81A9-4223-4E48-9999-B687A7F2143F}" type="presOf" srcId="{E0FEEA49-D6D1-49C5-9B76-8979BF2D2E48}" destId="{EBA4EF60-84EA-4B52-BA40-91E54EF29A07}" srcOrd="0" destOrd="0" presId="urn:microsoft.com/office/officeart/2005/8/layout/hierarchy1"/>
    <dgm:cxn modelId="{4F4430D4-52CE-43E7-A510-945469D73004}" type="presOf" srcId="{3B00101F-98AD-4DB3-A162-5FABB3C7BAF5}" destId="{28932A2B-ADA8-412E-B0F6-47E76EA24EA8}" srcOrd="0" destOrd="0" presId="urn:microsoft.com/office/officeart/2005/8/layout/hierarchy1"/>
    <dgm:cxn modelId="{A3A53911-E5DB-4BAC-8018-52AE59D9E3C7}" type="presOf" srcId="{8DE63B1F-3813-42F6-BD16-685B89500C6A}" destId="{DC5B1A83-5403-4321-8255-5A5F59BD1B2D}" srcOrd="0" destOrd="0" presId="urn:microsoft.com/office/officeart/2005/8/layout/hierarchy1"/>
    <dgm:cxn modelId="{1BC48944-B481-4304-886E-3615B4D38195}" srcId="{823F22C5-CB48-47D8-9E07-B494890CA251}" destId="{E0FEEA49-D6D1-49C5-9B76-8979BF2D2E48}" srcOrd="0" destOrd="0" parTransId="{0D9473DB-DE48-44F6-9B52-6DEFD05226D5}" sibTransId="{1EEF2E67-2371-4281-8C58-B8100FDB0CD7}"/>
    <dgm:cxn modelId="{740CEAD4-359E-4E38-8DD3-285009B6B415}" type="presOf" srcId="{B815C75F-FD18-4841-BF99-503AB94C34DF}" destId="{C5AC05C6-5065-43E1-B3CD-E080885F785A}" srcOrd="0" destOrd="0" presId="urn:microsoft.com/office/officeart/2005/8/layout/hierarchy1"/>
    <dgm:cxn modelId="{65EC274D-B44C-4BAF-9B8B-17A06BB3E299}" srcId="{DD2B8050-208C-4B70-89F8-A963D8A53C87}" destId="{B21DBD4E-DAAD-4B97-A77E-C02C14E0F410}" srcOrd="1" destOrd="0" parTransId="{8DE63B1F-3813-42F6-BD16-685B89500C6A}" sibTransId="{4158077A-1AB6-4E01-86F0-336C7A65700C}"/>
    <dgm:cxn modelId="{90377C9C-1DCD-4A4E-887F-9CFA21D35B31}" type="presOf" srcId="{95A7C343-2768-4CB1-9F1B-BA8F2D1979CF}" destId="{EB957155-1DEE-40E4-A84C-2F1ADE21F951}" srcOrd="0" destOrd="0" presId="urn:microsoft.com/office/officeart/2005/8/layout/hierarchy1"/>
    <dgm:cxn modelId="{67865AC6-4EAA-4309-AECD-6E62B53E61DA}" type="presOf" srcId="{1C1070C6-949A-4760-940B-8C104B7058A9}" destId="{786A9916-9A6D-4545-AB69-5084D448ADC1}" srcOrd="0" destOrd="0" presId="urn:microsoft.com/office/officeart/2005/8/layout/hierarchy1"/>
    <dgm:cxn modelId="{05A917C4-8C2B-45CE-8E2C-FD2131BF0892}" srcId="{DD2B8050-208C-4B70-89F8-A963D8A53C87}" destId="{3B00101F-98AD-4DB3-A162-5FABB3C7BAF5}" srcOrd="2" destOrd="0" parTransId="{8483F686-C00E-431F-B413-1AF95173B586}" sibTransId="{CD899FA9-4EF4-4265-AC44-5374DDD72E76}"/>
    <dgm:cxn modelId="{F8DFAF9D-F2E7-426C-BE98-DA4B5BAF0C01}" type="presOf" srcId="{370EF680-109E-46D3-91B0-06C8740FC842}" destId="{F4E0D10F-5BC8-42ED-895A-0A5DB9ECF65F}" srcOrd="0" destOrd="0" presId="urn:microsoft.com/office/officeart/2005/8/layout/hierarchy1"/>
    <dgm:cxn modelId="{673D4722-8680-416F-B572-AFE97D7594A5}" type="presOf" srcId="{A6703812-B90D-47B0-8917-AA5488E69098}" destId="{62E92FC2-156E-4BFA-95DC-4AF8D8D2742C}" srcOrd="0" destOrd="0" presId="urn:microsoft.com/office/officeart/2005/8/layout/hierarchy1"/>
    <dgm:cxn modelId="{E9993228-19B1-49EB-934C-8ACCD5355ECF}" type="presOf" srcId="{DD2B8050-208C-4B70-89F8-A963D8A53C87}" destId="{DABB6772-D1FF-4E8F-8DBE-4E86182A4ED9}" srcOrd="0" destOrd="0" presId="urn:microsoft.com/office/officeart/2005/8/layout/hierarchy1"/>
    <dgm:cxn modelId="{F424A4C0-CBEF-4E5F-9CB3-2C1BC4C8046A}" type="presOf" srcId="{76D754F5-063D-4DF6-9E94-6A15EF0A1A42}" destId="{BD0FCFE2-BA35-4F6C-B017-0A597B63FABA}" srcOrd="0" destOrd="0" presId="urn:microsoft.com/office/officeart/2005/8/layout/hierarchy1"/>
    <dgm:cxn modelId="{01F73238-C3A8-46C9-8B5F-8623D24AD94D}" type="presOf" srcId="{E0615CCE-BF2E-415D-AAA4-34FAA07F2179}" destId="{45B78A8D-5F2C-47B7-85B9-A263B7BB1601}" srcOrd="0" destOrd="0" presId="urn:microsoft.com/office/officeart/2005/8/layout/hierarchy1"/>
    <dgm:cxn modelId="{28FFC47B-4ECD-448E-8335-291C2118FFBB}" type="presParOf" srcId="{B59D0A79-1C89-4795-9604-8EE6F8C420B9}" destId="{BF51C944-5CBF-43A7-81E3-58106827F512}" srcOrd="0" destOrd="0" presId="urn:microsoft.com/office/officeart/2005/8/layout/hierarchy1"/>
    <dgm:cxn modelId="{B75B01F2-68BD-4B4F-B7A5-2CDB32DC846F}" type="presParOf" srcId="{BF51C944-5CBF-43A7-81E3-58106827F512}" destId="{11E4A186-C55B-4673-88B5-FE7CB32D6DCB}" srcOrd="0" destOrd="0" presId="urn:microsoft.com/office/officeart/2005/8/layout/hierarchy1"/>
    <dgm:cxn modelId="{DF093943-CF77-4564-9135-B01DD41E725B}" type="presParOf" srcId="{11E4A186-C55B-4673-88B5-FE7CB32D6DCB}" destId="{282A2069-9301-4E3A-B4D8-B0CF2711ACE2}" srcOrd="0" destOrd="0" presId="urn:microsoft.com/office/officeart/2005/8/layout/hierarchy1"/>
    <dgm:cxn modelId="{44DDE3C2-A304-4844-BE39-3146C21E9321}" type="presParOf" srcId="{11E4A186-C55B-4673-88B5-FE7CB32D6DCB}" destId="{EBA4EF60-84EA-4B52-BA40-91E54EF29A07}" srcOrd="1" destOrd="0" presId="urn:microsoft.com/office/officeart/2005/8/layout/hierarchy1"/>
    <dgm:cxn modelId="{64F0C6EB-46CC-4803-BA84-BD7A76A9D5B7}" type="presParOf" srcId="{BF51C944-5CBF-43A7-81E3-58106827F512}" destId="{2FD30CBC-693B-4624-8EC7-95797AC60748}" srcOrd="1" destOrd="0" presId="urn:microsoft.com/office/officeart/2005/8/layout/hierarchy1"/>
    <dgm:cxn modelId="{860DEFB1-2F51-42F9-ADC0-0569584FC241}" type="presParOf" srcId="{2FD30CBC-693B-4624-8EC7-95797AC60748}" destId="{BD0FCFE2-BA35-4F6C-B017-0A597B63FABA}" srcOrd="0" destOrd="0" presId="urn:microsoft.com/office/officeart/2005/8/layout/hierarchy1"/>
    <dgm:cxn modelId="{7B2B0E21-9A3A-4681-879D-234F59E1B963}" type="presParOf" srcId="{2FD30CBC-693B-4624-8EC7-95797AC60748}" destId="{86E2F236-E167-418E-9E9D-0F56B8CD8FFB}" srcOrd="1" destOrd="0" presId="urn:microsoft.com/office/officeart/2005/8/layout/hierarchy1"/>
    <dgm:cxn modelId="{EA392AC1-EDF0-4881-B99C-D31DF4C4205F}" type="presParOf" srcId="{86E2F236-E167-418E-9E9D-0F56B8CD8FFB}" destId="{4627B5ED-8563-4CB7-AD65-791AC1D4816E}" srcOrd="0" destOrd="0" presId="urn:microsoft.com/office/officeart/2005/8/layout/hierarchy1"/>
    <dgm:cxn modelId="{F4F982A7-07A9-4C52-ACF0-B35F24F92760}" type="presParOf" srcId="{4627B5ED-8563-4CB7-AD65-791AC1D4816E}" destId="{C63DDCF0-4D54-4679-8AD1-25CBBCA45235}" srcOrd="0" destOrd="0" presId="urn:microsoft.com/office/officeart/2005/8/layout/hierarchy1"/>
    <dgm:cxn modelId="{D51D617C-E243-4761-BC6F-A8BEBC70DFF7}" type="presParOf" srcId="{4627B5ED-8563-4CB7-AD65-791AC1D4816E}" destId="{EB957155-1DEE-40E4-A84C-2F1ADE21F951}" srcOrd="1" destOrd="0" presId="urn:microsoft.com/office/officeart/2005/8/layout/hierarchy1"/>
    <dgm:cxn modelId="{8ED755D8-7B7A-46DF-8C28-48E84C672662}" type="presParOf" srcId="{86E2F236-E167-418E-9E9D-0F56B8CD8FFB}" destId="{E98B94D6-DC4D-4BF9-B880-0868D1DC5F36}" srcOrd="1" destOrd="0" presId="urn:microsoft.com/office/officeart/2005/8/layout/hierarchy1"/>
    <dgm:cxn modelId="{AB30B0FF-1FC2-4D48-9299-76340C48E8C0}" type="presParOf" srcId="{E98B94D6-DC4D-4BF9-B880-0868D1DC5F36}" destId="{62E92FC2-156E-4BFA-95DC-4AF8D8D2742C}" srcOrd="0" destOrd="0" presId="urn:microsoft.com/office/officeart/2005/8/layout/hierarchy1"/>
    <dgm:cxn modelId="{572AEC2C-C258-4ECB-A21F-DE5E831BC61C}" type="presParOf" srcId="{E98B94D6-DC4D-4BF9-B880-0868D1DC5F36}" destId="{8021EF9A-9D9D-48FE-A962-68B7A589120F}" srcOrd="1" destOrd="0" presId="urn:microsoft.com/office/officeart/2005/8/layout/hierarchy1"/>
    <dgm:cxn modelId="{C63ABBF9-2F27-4A01-8BA7-43BD8BD472FE}" type="presParOf" srcId="{8021EF9A-9D9D-48FE-A962-68B7A589120F}" destId="{974BD648-8C90-4A27-8CFB-8A9A4949CF87}" srcOrd="0" destOrd="0" presId="urn:microsoft.com/office/officeart/2005/8/layout/hierarchy1"/>
    <dgm:cxn modelId="{891794BF-CD47-478D-B945-1F927D1304BD}" type="presParOf" srcId="{974BD648-8C90-4A27-8CFB-8A9A4949CF87}" destId="{0E7EA001-F139-4D30-8321-49047F967395}" srcOrd="0" destOrd="0" presId="urn:microsoft.com/office/officeart/2005/8/layout/hierarchy1"/>
    <dgm:cxn modelId="{5DF032CC-AA56-4D89-8EE7-E0F93E7EE7C2}" type="presParOf" srcId="{974BD648-8C90-4A27-8CFB-8A9A4949CF87}" destId="{F4E0D10F-5BC8-42ED-895A-0A5DB9ECF65F}" srcOrd="1" destOrd="0" presId="urn:microsoft.com/office/officeart/2005/8/layout/hierarchy1"/>
    <dgm:cxn modelId="{3F4A6F69-12B2-4C60-8DA7-27ECD0DB039D}" type="presParOf" srcId="{8021EF9A-9D9D-48FE-A962-68B7A589120F}" destId="{42F851E0-4629-4A8D-8255-3653AAEDCA62}" srcOrd="1" destOrd="0" presId="urn:microsoft.com/office/officeart/2005/8/layout/hierarchy1"/>
    <dgm:cxn modelId="{4AC2CEFE-9AEE-4975-B047-5A02A4D04BDD}" type="presParOf" srcId="{E98B94D6-DC4D-4BF9-B880-0868D1DC5F36}" destId="{3A8E14B2-D520-4886-82B0-4CC664F9EC8F}" srcOrd="2" destOrd="0" presId="urn:microsoft.com/office/officeart/2005/8/layout/hierarchy1"/>
    <dgm:cxn modelId="{C1CA2133-E26E-4BD6-8DDD-2CBB371C62F9}" type="presParOf" srcId="{E98B94D6-DC4D-4BF9-B880-0868D1DC5F36}" destId="{2796254D-BAC3-494A-8327-18C62D06C019}" srcOrd="3" destOrd="0" presId="urn:microsoft.com/office/officeart/2005/8/layout/hierarchy1"/>
    <dgm:cxn modelId="{829EE501-CE12-47C7-BD93-A33D3B05F0E0}" type="presParOf" srcId="{2796254D-BAC3-494A-8327-18C62D06C019}" destId="{62CE50C7-3A6B-4E47-AE90-FC5F74AB351C}" srcOrd="0" destOrd="0" presId="urn:microsoft.com/office/officeart/2005/8/layout/hierarchy1"/>
    <dgm:cxn modelId="{44BCD087-1942-4DF5-961F-8EC5A5480C83}" type="presParOf" srcId="{62CE50C7-3A6B-4E47-AE90-FC5F74AB351C}" destId="{FD7C7110-5FA4-439F-AF11-E6B3D54395C3}" srcOrd="0" destOrd="0" presId="urn:microsoft.com/office/officeart/2005/8/layout/hierarchy1"/>
    <dgm:cxn modelId="{C54AF0AD-8C09-4A17-8DE3-64D5DC7F3FAA}" type="presParOf" srcId="{62CE50C7-3A6B-4E47-AE90-FC5F74AB351C}" destId="{786A9916-9A6D-4545-AB69-5084D448ADC1}" srcOrd="1" destOrd="0" presId="urn:microsoft.com/office/officeart/2005/8/layout/hierarchy1"/>
    <dgm:cxn modelId="{0EE87242-9CA0-4362-9C29-073B3439A77B}" type="presParOf" srcId="{2796254D-BAC3-494A-8327-18C62D06C019}" destId="{55E6D5DE-0C4B-497A-BBA8-8B371B4FB4DC}" srcOrd="1" destOrd="0" presId="urn:microsoft.com/office/officeart/2005/8/layout/hierarchy1"/>
    <dgm:cxn modelId="{948FD42A-19E5-4891-AEDD-C083CEFC083A}" type="presParOf" srcId="{2FD30CBC-693B-4624-8EC7-95797AC60748}" destId="{E4D9FB88-8102-4C97-8E5B-8F0A57705A7E}" srcOrd="2" destOrd="0" presId="urn:microsoft.com/office/officeart/2005/8/layout/hierarchy1"/>
    <dgm:cxn modelId="{66C7AD17-D236-4A34-88CA-BD5FD68F30BC}" type="presParOf" srcId="{2FD30CBC-693B-4624-8EC7-95797AC60748}" destId="{5845AE70-A4CC-4FA1-B86D-F19BCE7B387D}" srcOrd="3" destOrd="0" presId="urn:microsoft.com/office/officeart/2005/8/layout/hierarchy1"/>
    <dgm:cxn modelId="{890B4C2E-6835-4ECE-8563-45A55F19A5BC}" type="presParOf" srcId="{5845AE70-A4CC-4FA1-B86D-F19BCE7B387D}" destId="{432D64BA-D199-4329-94CF-0B799D633FC6}" srcOrd="0" destOrd="0" presId="urn:microsoft.com/office/officeart/2005/8/layout/hierarchy1"/>
    <dgm:cxn modelId="{EC892EC6-8B69-406C-97B4-83A83ECB320B}" type="presParOf" srcId="{432D64BA-D199-4329-94CF-0B799D633FC6}" destId="{FCC0B8CA-11FF-495B-9781-0B9E0B8EAD4A}" srcOrd="0" destOrd="0" presId="urn:microsoft.com/office/officeart/2005/8/layout/hierarchy1"/>
    <dgm:cxn modelId="{AA1DC710-88E0-4BD6-A325-76EEDAB39375}" type="presParOf" srcId="{432D64BA-D199-4329-94CF-0B799D633FC6}" destId="{DABB6772-D1FF-4E8F-8DBE-4E86182A4ED9}" srcOrd="1" destOrd="0" presId="urn:microsoft.com/office/officeart/2005/8/layout/hierarchy1"/>
    <dgm:cxn modelId="{5642F4B8-25F1-41D7-BBA6-29BF3938218B}" type="presParOf" srcId="{5845AE70-A4CC-4FA1-B86D-F19BCE7B387D}" destId="{CB848210-4E7A-48DF-A969-39ED1C6F6D10}" srcOrd="1" destOrd="0" presId="urn:microsoft.com/office/officeart/2005/8/layout/hierarchy1"/>
    <dgm:cxn modelId="{28A46B33-8EAE-4940-8413-2C06A389FFF4}" type="presParOf" srcId="{CB848210-4E7A-48DF-A969-39ED1C6F6D10}" destId="{45B78A8D-5F2C-47B7-85B9-A263B7BB1601}" srcOrd="0" destOrd="0" presId="urn:microsoft.com/office/officeart/2005/8/layout/hierarchy1"/>
    <dgm:cxn modelId="{0B81B5FC-A685-4D9F-8381-1EC0C3D769F3}" type="presParOf" srcId="{CB848210-4E7A-48DF-A969-39ED1C6F6D10}" destId="{A3D029BD-7B4C-4E93-A7A1-5CFA585E9435}" srcOrd="1" destOrd="0" presId="urn:microsoft.com/office/officeart/2005/8/layout/hierarchy1"/>
    <dgm:cxn modelId="{CC51D8C6-4ACA-4D33-B723-BAB629158F54}" type="presParOf" srcId="{A3D029BD-7B4C-4E93-A7A1-5CFA585E9435}" destId="{CA9B61BF-62AC-456B-9C9A-713D79FC8DF5}" srcOrd="0" destOrd="0" presId="urn:microsoft.com/office/officeart/2005/8/layout/hierarchy1"/>
    <dgm:cxn modelId="{873F1BA9-3B7F-498E-A858-DCF998C8C677}" type="presParOf" srcId="{CA9B61BF-62AC-456B-9C9A-713D79FC8DF5}" destId="{70EB7871-8206-4012-BF0E-9FD88A2A8329}" srcOrd="0" destOrd="0" presId="urn:microsoft.com/office/officeart/2005/8/layout/hierarchy1"/>
    <dgm:cxn modelId="{E9554339-08DD-42EC-B1A5-FC19F57ADD29}" type="presParOf" srcId="{CA9B61BF-62AC-456B-9C9A-713D79FC8DF5}" destId="{C5AC05C6-5065-43E1-B3CD-E080885F785A}" srcOrd="1" destOrd="0" presId="urn:microsoft.com/office/officeart/2005/8/layout/hierarchy1"/>
    <dgm:cxn modelId="{1932843D-4000-4BCF-B612-E86CA226CF85}" type="presParOf" srcId="{A3D029BD-7B4C-4E93-A7A1-5CFA585E9435}" destId="{E2E568F7-B007-4E70-86CE-C40224F98EE8}" srcOrd="1" destOrd="0" presId="urn:microsoft.com/office/officeart/2005/8/layout/hierarchy1"/>
    <dgm:cxn modelId="{466C8871-0AEC-4626-9DE0-4E4C6B72F33D}" type="presParOf" srcId="{CB848210-4E7A-48DF-A969-39ED1C6F6D10}" destId="{DC5B1A83-5403-4321-8255-5A5F59BD1B2D}" srcOrd="2" destOrd="0" presId="urn:microsoft.com/office/officeart/2005/8/layout/hierarchy1"/>
    <dgm:cxn modelId="{D66D85EE-DC0C-43A2-B121-330703B2A16F}" type="presParOf" srcId="{CB848210-4E7A-48DF-A969-39ED1C6F6D10}" destId="{8DC29270-3F65-4D04-B246-19BCD3DEAC5E}" srcOrd="3" destOrd="0" presId="urn:microsoft.com/office/officeart/2005/8/layout/hierarchy1"/>
    <dgm:cxn modelId="{C23D2490-9E4C-40B9-BCD8-8955A9D81560}" type="presParOf" srcId="{8DC29270-3F65-4D04-B246-19BCD3DEAC5E}" destId="{8C000F5A-4060-492E-AEDF-4D8C39C9D175}" srcOrd="0" destOrd="0" presId="urn:microsoft.com/office/officeart/2005/8/layout/hierarchy1"/>
    <dgm:cxn modelId="{3A8226FA-1C62-4D64-9EDF-D9547ABA77B3}" type="presParOf" srcId="{8C000F5A-4060-492E-AEDF-4D8C39C9D175}" destId="{767A5685-8133-4A7E-8F63-09C576837726}" srcOrd="0" destOrd="0" presId="urn:microsoft.com/office/officeart/2005/8/layout/hierarchy1"/>
    <dgm:cxn modelId="{90C5F16E-1F25-4379-9322-657B429C5D28}" type="presParOf" srcId="{8C000F5A-4060-492E-AEDF-4D8C39C9D175}" destId="{2D1F1718-4B0F-4806-8B66-EB61D0345FB0}" srcOrd="1" destOrd="0" presId="urn:microsoft.com/office/officeart/2005/8/layout/hierarchy1"/>
    <dgm:cxn modelId="{FD6155A6-600A-4696-8D9E-C790A406209E}" type="presParOf" srcId="{8DC29270-3F65-4D04-B246-19BCD3DEAC5E}" destId="{C15C1E04-A95B-4F41-ADBA-DBEA1047E978}" srcOrd="1" destOrd="0" presId="urn:microsoft.com/office/officeart/2005/8/layout/hierarchy1"/>
    <dgm:cxn modelId="{06F99F75-2534-4386-8BD0-3F7DD6775DC5}" type="presParOf" srcId="{CB848210-4E7A-48DF-A969-39ED1C6F6D10}" destId="{D71CE8B0-FA01-4675-A875-C778E2B30295}" srcOrd="4" destOrd="0" presId="urn:microsoft.com/office/officeart/2005/8/layout/hierarchy1"/>
    <dgm:cxn modelId="{B2203679-4CAE-4E54-91C0-09CBFD9983E9}" type="presParOf" srcId="{CB848210-4E7A-48DF-A969-39ED1C6F6D10}" destId="{D6239811-E6C3-44DA-9350-BBBFB49359CA}" srcOrd="5" destOrd="0" presId="urn:microsoft.com/office/officeart/2005/8/layout/hierarchy1"/>
    <dgm:cxn modelId="{14790785-95A4-41A3-A2A8-26EB50EDC202}" type="presParOf" srcId="{D6239811-E6C3-44DA-9350-BBBFB49359CA}" destId="{CB4F4297-945A-4DDD-A80E-28BCE98855B7}" srcOrd="0" destOrd="0" presId="urn:microsoft.com/office/officeart/2005/8/layout/hierarchy1"/>
    <dgm:cxn modelId="{869B3381-F444-4399-BAD9-30B98D1E2C14}" type="presParOf" srcId="{CB4F4297-945A-4DDD-A80E-28BCE98855B7}" destId="{3BE00F5D-26AD-4D6D-868B-5FEF1AF531F0}" srcOrd="0" destOrd="0" presId="urn:microsoft.com/office/officeart/2005/8/layout/hierarchy1"/>
    <dgm:cxn modelId="{11CFEE59-373D-44F4-9039-E3BF48A6D529}" type="presParOf" srcId="{CB4F4297-945A-4DDD-A80E-28BCE98855B7}" destId="{28932A2B-ADA8-412E-B0F6-47E76EA24EA8}" srcOrd="1" destOrd="0" presId="urn:microsoft.com/office/officeart/2005/8/layout/hierarchy1"/>
    <dgm:cxn modelId="{048792F6-3946-483B-A8BD-19CD3B862CBC}" type="presParOf" srcId="{D6239811-E6C3-44DA-9350-BBBFB49359CA}" destId="{4B057A3B-0337-4EB0-9B56-81ABA82F6F3A}" srcOrd="1" destOrd="0" presId="urn:microsoft.com/office/officeart/2005/8/layout/hierarchy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FE63F0C1-AE01-4C3E-92B7-854CC6448E70}" type="doc">
      <dgm:prSet loTypeId="urn:microsoft.com/office/officeart/2005/8/layout/radial3" loCatId="relationship" qsTypeId="urn:microsoft.com/office/officeart/2005/8/quickstyle/simple1" qsCatId="simple" csTypeId="urn:microsoft.com/office/officeart/2005/8/colors/accent1_2" csCatId="accent1" phldr="1"/>
      <dgm:spPr/>
      <dgm:t>
        <a:bodyPr/>
        <a:lstStyle/>
        <a:p>
          <a:endParaRPr lang="en-US"/>
        </a:p>
      </dgm:t>
    </dgm:pt>
    <dgm:pt modelId="{FE2716E2-62A3-4FF5-9BE9-2D4E06DA9A71}">
      <dgm:prSet phldrT="[Text]"/>
      <dgm:spPr/>
      <dgm:t>
        <a:bodyPr/>
        <a:lstStyle/>
        <a:p>
          <a:r>
            <a:rPr lang="lt-LT"/>
            <a:t>Savivaldybių biudžeto išlaidos</a:t>
          </a:r>
          <a:endParaRPr lang="en-US"/>
        </a:p>
      </dgm:t>
    </dgm:pt>
    <dgm:pt modelId="{06950456-3A86-4701-BDF7-C8B17FBACD58}" type="parTrans" cxnId="{5B4CEF9A-72A3-4FDA-8AA3-DF72F89FB752}">
      <dgm:prSet/>
      <dgm:spPr/>
      <dgm:t>
        <a:bodyPr/>
        <a:lstStyle/>
        <a:p>
          <a:endParaRPr lang="en-US"/>
        </a:p>
      </dgm:t>
    </dgm:pt>
    <dgm:pt modelId="{63F718D2-D18C-4939-97D1-E97EB8CC5F33}" type="sibTrans" cxnId="{5B4CEF9A-72A3-4FDA-8AA3-DF72F89FB752}">
      <dgm:prSet/>
      <dgm:spPr/>
      <dgm:t>
        <a:bodyPr/>
        <a:lstStyle/>
        <a:p>
          <a:endParaRPr lang="en-US"/>
        </a:p>
      </dgm:t>
    </dgm:pt>
    <dgm:pt modelId="{4939F113-0E1B-4C2E-B970-DECD188C5E02}">
      <dgm:prSet phldrT="[Text]"/>
      <dgm:spPr/>
      <dgm:t>
        <a:bodyPr/>
        <a:lstStyle/>
        <a:p>
          <a:r>
            <a:rPr lang="lt-LT"/>
            <a:t>Bendros valstybės paslaugos</a:t>
          </a:r>
          <a:endParaRPr lang="en-US"/>
        </a:p>
      </dgm:t>
    </dgm:pt>
    <dgm:pt modelId="{BD1D9FBA-9565-4156-88EC-84FA8A9F2F04}" type="parTrans" cxnId="{918EE007-C5D1-4821-9A54-DB3A1A8FF212}">
      <dgm:prSet/>
      <dgm:spPr/>
      <dgm:t>
        <a:bodyPr/>
        <a:lstStyle/>
        <a:p>
          <a:endParaRPr lang="en-US"/>
        </a:p>
      </dgm:t>
    </dgm:pt>
    <dgm:pt modelId="{92CCE503-4527-4265-B347-DE570D4A5770}" type="sibTrans" cxnId="{918EE007-C5D1-4821-9A54-DB3A1A8FF212}">
      <dgm:prSet/>
      <dgm:spPr/>
      <dgm:t>
        <a:bodyPr/>
        <a:lstStyle/>
        <a:p>
          <a:endParaRPr lang="en-US"/>
        </a:p>
      </dgm:t>
    </dgm:pt>
    <dgm:pt modelId="{FFF69B4A-3D3D-47D2-89D6-18C01EE7AADD}">
      <dgm:prSet phldrT="[Text]"/>
      <dgm:spPr/>
      <dgm:t>
        <a:bodyPr/>
        <a:lstStyle/>
        <a:p>
          <a:r>
            <a:rPr lang="lt-LT"/>
            <a:t>Gynyba</a:t>
          </a:r>
          <a:endParaRPr lang="en-US"/>
        </a:p>
      </dgm:t>
    </dgm:pt>
    <dgm:pt modelId="{5D451E5F-21EF-4F82-8C0D-52B7D1DEF6D3}" type="parTrans" cxnId="{CB2543E8-F8CE-4F78-AB78-8ABD75352CC6}">
      <dgm:prSet/>
      <dgm:spPr/>
      <dgm:t>
        <a:bodyPr/>
        <a:lstStyle/>
        <a:p>
          <a:endParaRPr lang="en-US"/>
        </a:p>
      </dgm:t>
    </dgm:pt>
    <dgm:pt modelId="{0CD00B17-BC58-42FE-8818-E32F9CD99DE0}" type="sibTrans" cxnId="{CB2543E8-F8CE-4F78-AB78-8ABD75352CC6}">
      <dgm:prSet/>
      <dgm:spPr/>
      <dgm:t>
        <a:bodyPr/>
        <a:lstStyle/>
        <a:p>
          <a:endParaRPr lang="en-US"/>
        </a:p>
      </dgm:t>
    </dgm:pt>
    <dgm:pt modelId="{5C334B67-4328-410E-922E-A020E46BD467}">
      <dgm:prSet phldrT="[Text]"/>
      <dgm:spPr/>
      <dgm:t>
        <a:bodyPr/>
        <a:lstStyle/>
        <a:p>
          <a:r>
            <a:rPr lang="lt-LT"/>
            <a:t>Viešoji tvarka ir visuomenės apsauga</a:t>
          </a:r>
          <a:endParaRPr lang="en-US"/>
        </a:p>
      </dgm:t>
    </dgm:pt>
    <dgm:pt modelId="{4D98F717-457C-4DDF-9249-570B675AACB5}" type="parTrans" cxnId="{750FD74D-3AE7-4953-8484-7089E54CEFA1}">
      <dgm:prSet/>
      <dgm:spPr/>
      <dgm:t>
        <a:bodyPr/>
        <a:lstStyle/>
        <a:p>
          <a:endParaRPr lang="en-US"/>
        </a:p>
      </dgm:t>
    </dgm:pt>
    <dgm:pt modelId="{8EE82689-4BE1-4EBC-A2F9-2DB1F518250D}" type="sibTrans" cxnId="{750FD74D-3AE7-4953-8484-7089E54CEFA1}">
      <dgm:prSet/>
      <dgm:spPr/>
      <dgm:t>
        <a:bodyPr/>
        <a:lstStyle/>
        <a:p>
          <a:endParaRPr lang="en-US"/>
        </a:p>
      </dgm:t>
    </dgm:pt>
    <dgm:pt modelId="{2A9024A3-DA79-45DF-8959-96F846E1F9C3}">
      <dgm:prSet/>
      <dgm:spPr/>
      <dgm:t>
        <a:bodyPr/>
        <a:lstStyle/>
        <a:p>
          <a:r>
            <a:rPr lang="lt-LT"/>
            <a:t>Ekonomika</a:t>
          </a:r>
          <a:endParaRPr lang="en-US"/>
        </a:p>
      </dgm:t>
    </dgm:pt>
    <dgm:pt modelId="{A9B3C2E4-0B35-4442-BE43-BFF41173CE06}" type="parTrans" cxnId="{FFBDCF07-4F14-4598-A158-0CA83E3101F4}">
      <dgm:prSet/>
      <dgm:spPr/>
      <dgm:t>
        <a:bodyPr/>
        <a:lstStyle/>
        <a:p>
          <a:endParaRPr lang="en-US"/>
        </a:p>
      </dgm:t>
    </dgm:pt>
    <dgm:pt modelId="{F8D14350-C529-4925-B530-63A21B6FCAEA}" type="sibTrans" cxnId="{FFBDCF07-4F14-4598-A158-0CA83E3101F4}">
      <dgm:prSet/>
      <dgm:spPr/>
      <dgm:t>
        <a:bodyPr/>
        <a:lstStyle/>
        <a:p>
          <a:endParaRPr lang="en-US"/>
        </a:p>
      </dgm:t>
    </dgm:pt>
    <dgm:pt modelId="{411C5ECB-5C9D-4D07-88C1-236247B71B2D}">
      <dgm:prSet/>
      <dgm:spPr/>
      <dgm:t>
        <a:bodyPr/>
        <a:lstStyle/>
        <a:p>
          <a:r>
            <a:rPr lang="lt-LT"/>
            <a:t>Aplinkos apsauga</a:t>
          </a:r>
          <a:endParaRPr lang="en-US"/>
        </a:p>
      </dgm:t>
    </dgm:pt>
    <dgm:pt modelId="{71B4F7E9-A083-4720-8A41-1AC2CC1539C2}" type="parTrans" cxnId="{0E22A1DA-C682-42D8-BFC0-086BD7E20C6C}">
      <dgm:prSet/>
      <dgm:spPr/>
      <dgm:t>
        <a:bodyPr/>
        <a:lstStyle/>
        <a:p>
          <a:endParaRPr lang="en-US"/>
        </a:p>
      </dgm:t>
    </dgm:pt>
    <dgm:pt modelId="{82116D12-F45B-4BFF-AC2D-86429D395EEE}" type="sibTrans" cxnId="{0E22A1DA-C682-42D8-BFC0-086BD7E20C6C}">
      <dgm:prSet/>
      <dgm:spPr/>
      <dgm:t>
        <a:bodyPr/>
        <a:lstStyle/>
        <a:p>
          <a:endParaRPr lang="en-US"/>
        </a:p>
      </dgm:t>
    </dgm:pt>
    <dgm:pt modelId="{B9890AF2-14A0-46E6-8DA0-3445B983B76C}">
      <dgm:prSet/>
      <dgm:spPr/>
      <dgm:t>
        <a:bodyPr/>
        <a:lstStyle/>
        <a:p>
          <a:r>
            <a:rPr lang="lt-LT"/>
            <a:t>Būstas ir komunalinis ūkis</a:t>
          </a:r>
          <a:endParaRPr lang="en-US"/>
        </a:p>
      </dgm:t>
    </dgm:pt>
    <dgm:pt modelId="{BD7590F0-2EB0-4431-8BE3-35D0C0E9DB60}" type="parTrans" cxnId="{E36B4031-3A18-4398-A8DC-676FF139FD66}">
      <dgm:prSet/>
      <dgm:spPr/>
      <dgm:t>
        <a:bodyPr/>
        <a:lstStyle/>
        <a:p>
          <a:endParaRPr lang="en-US"/>
        </a:p>
      </dgm:t>
    </dgm:pt>
    <dgm:pt modelId="{7D9E0194-4419-48BC-88EA-1A225993A5DA}" type="sibTrans" cxnId="{E36B4031-3A18-4398-A8DC-676FF139FD66}">
      <dgm:prSet/>
      <dgm:spPr/>
      <dgm:t>
        <a:bodyPr/>
        <a:lstStyle/>
        <a:p>
          <a:endParaRPr lang="en-US"/>
        </a:p>
      </dgm:t>
    </dgm:pt>
    <dgm:pt modelId="{47B62C6B-E067-44B9-A8E0-0EB93B9C4340}">
      <dgm:prSet/>
      <dgm:spPr/>
      <dgm:t>
        <a:bodyPr/>
        <a:lstStyle/>
        <a:p>
          <a:r>
            <a:rPr lang="lt-LT"/>
            <a:t>Sveikatos apsauga</a:t>
          </a:r>
          <a:endParaRPr lang="en-US"/>
        </a:p>
      </dgm:t>
    </dgm:pt>
    <dgm:pt modelId="{DF42A9D5-F514-4040-93CB-B1876B3D23CA}" type="parTrans" cxnId="{339AE484-AE7F-4DE5-80F3-E0CAB9C2AC31}">
      <dgm:prSet/>
      <dgm:spPr/>
      <dgm:t>
        <a:bodyPr/>
        <a:lstStyle/>
        <a:p>
          <a:endParaRPr lang="en-US"/>
        </a:p>
      </dgm:t>
    </dgm:pt>
    <dgm:pt modelId="{84B33A7B-76A4-40E1-9762-5F8167B55144}" type="sibTrans" cxnId="{339AE484-AE7F-4DE5-80F3-E0CAB9C2AC31}">
      <dgm:prSet/>
      <dgm:spPr/>
      <dgm:t>
        <a:bodyPr/>
        <a:lstStyle/>
        <a:p>
          <a:endParaRPr lang="en-US"/>
        </a:p>
      </dgm:t>
    </dgm:pt>
    <dgm:pt modelId="{00698794-9836-4882-8CA2-FDBABDB58699}">
      <dgm:prSet/>
      <dgm:spPr/>
      <dgm:t>
        <a:bodyPr/>
        <a:lstStyle/>
        <a:p>
          <a:r>
            <a:rPr lang="lt-LT"/>
            <a:t>Poilsis, kultūra ir religija</a:t>
          </a:r>
          <a:endParaRPr lang="en-US"/>
        </a:p>
      </dgm:t>
    </dgm:pt>
    <dgm:pt modelId="{DF0EF506-270D-4642-8775-3BA6D659A315}" type="parTrans" cxnId="{FBC98F31-EE50-441E-BC6D-60ABFC88BAEF}">
      <dgm:prSet/>
      <dgm:spPr/>
      <dgm:t>
        <a:bodyPr/>
        <a:lstStyle/>
        <a:p>
          <a:endParaRPr lang="en-US"/>
        </a:p>
      </dgm:t>
    </dgm:pt>
    <dgm:pt modelId="{E91E731B-1846-480D-9257-F8C83A8C5CB1}" type="sibTrans" cxnId="{FBC98F31-EE50-441E-BC6D-60ABFC88BAEF}">
      <dgm:prSet/>
      <dgm:spPr/>
      <dgm:t>
        <a:bodyPr/>
        <a:lstStyle/>
        <a:p>
          <a:endParaRPr lang="en-US"/>
        </a:p>
      </dgm:t>
    </dgm:pt>
    <dgm:pt modelId="{7E952FC6-7510-417B-9F60-B4616C5B7516}">
      <dgm:prSet/>
      <dgm:spPr/>
      <dgm:t>
        <a:bodyPr/>
        <a:lstStyle/>
        <a:p>
          <a:r>
            <a:rPr lang="lt-LT"/>
            <a:t>Švietimas</a:t>
          </a:r>
          <a:endParaRPr lang="en-US"/>
        </a:p>
      </dgm:t>
    </dgm:pt>
    <dgm:pt modelId="{C2ADF09C-0C62-4151-B10B-3B8A6F69CA6E}" type="parTrans" cxnId="{3871D2A5-1F90-4430-95D8-4AFA9A531F99}">
      <dgm:prSet/>
      <dgm:spPr/>
      <dgm:t>
        <a:bodyPr/>
        <a:lstStyle/>
        <a:p>
          <a:endParaRPr lang="en-US"/>
        </a:p>
      </dgm:t>
    </dgm:pt>
    <dgm:pt modelId="{7EF6BE03-94AB-4DAC-82BF-8D16E52FCE7E}" type="sibTrans" cxnId="{3871D2A5-1F90-4430-95D8-4AFA9A531F99}">
      <dgm:prSet/>
      <dgm:spPr/>
      <dgm:t>
        <a:bodyPr/>
        <a:lstStyle/>
        <a:p>
          <a:endParaRPr lang="en-US"/>
        </a:p>
      </dgm:t>
    </dgm:pt>
    <dgm:pt modelId="{4B6EC0CC-A309-4D0D-85A6-3C5880092C5E}">
      <dgm:prSet/>
      <dgm:spPr/>
      <dgm:t>
        <a:bodyPr/>
        <a:lstStyle/>
        <a:p>
          <a:r>
            <a:rPr lang="lt-LT"/>
            <a:t>Socialinė apsauga</a:t>
          </a:r>
          <a:endParaRPr lang="en-US"/>
        </a:p>
      </dgm:t>
    </dgm:pt>
    <dgm:pt modelId="{1B253423-D0A3-4A32-BFB2-660B2094C6EF}" type="parTrans" cxnId="{F90C7DEA-7733-41F8-8797-E28550C20DF6}">
      <dgm:prSet/>
      <dgm:spPr/>
      <dgm:t>
        <a:bodyPr/>
        <a:lstStyle/>
        <a:p>
          <a:endParaRPr lang="en-US"/>
        </a:p>
      </dgm:t>
    </dgm:pt>
    <dgm:pt modelId="{623BADA7-6E5C-4D8F-9496-B2005D79F934}" type="sibTrans" cxnId="{F90C7DEA-7733-41F8-8797-E28550C20DF6}">
      <dgm:prSet/>
      <dgm:spPr/>
      <dgm:t>
        <a:bodyPr/>
        <a:lstStyle/>
        <a:p>
          <a:endParaRPr lang="en-US"/>
        </a:p>
      </dgm:t>
    </dgm:pt>
    <dgm:pt modelId="{74EFBE3E-570A-4E22-8100-5FAB414858AD}" type="pres">
      <dgm:prSet presAssocID="{FE63F0C1-AE01-4C3E-92B7-854CC6448E70}" presName="composite" presStyleCnt="0">
        <dgm:presLayoutVars>
          <dgm:chMax val="1"/>
          <dgm:dir/>
          <dgm:resizeHandles val="exact"/>
        </dgm:presLayoutVars>
      </dgm:prSet>
      <dgm:spPr/>
      <dgm:t>
        <a:bodyPr/>
        <a:lstStyle/>
        <a:p>
          <a:endParaRPr lang="en-US"/>
        </a:p>
      </dgm:t>
    </dgm:pt>
    <dgm:pt modelId="{F0761F41-AAFB-49C2-A992-25CFAC384808}" type="pres">
      <dgm:prSet presAssocID="{FE63F0C1-AE01-4C3E-92B7-854CC6448E70}" presName="radial" presStyleCnt="0">
        <dgm:presLayoutVars>
          <dgm:animLvl val="ctr"/>
        </dgm:presLayoutVars>
      </dgm:prSet>
      <dgm:spPr/>
    </dgm:pt>
    <dgm:pt modelId="{32A9B49A-3C2B-42A6-B452-36DB904EB420}" type="pres">
      <dgm:prSet presAssocID="{FE2716E2-62A3-4FF5-9BE9-2D4E06DA9A71}" presName="centerShape" presStyleLbl="vennNode1" presStyleIdx="0" presStyleCnt="11"/>
      <dgm:spPr/>
      <dgm:t>
        <a:bodyPr/>
        <a:lstStyle/>
        <a:p>
          <a:endParaRPr lang="en-US"/>
        </a:p>
      </dgm:t>
    </dgm:pt>
    <dgm:pt modelId="{43DC1CE9-F9D4-48B5-AB44-DC0D35CAF5ED}" type="pres">
      <dgm:prSet presAssocID="{4939F113-0E1B-4C2E-B970-DECD188C5E02}" presName="node" presStyleLbl="vennNode1" presStyleIdx="1" presStyleCnt="11">
        <dgm:presLayoutVars>
          <dgm:bulletEnabled val="1"/>
        </dgm:presLayoutVars>
      </dgm:prSet>
      <dgm:spPr/>
      <dgm:t>
        <a:bodyPr/>
        <a:lstStyle/>
        <a:p>
          <a:endParaRPr lang="en-US"/>
        </a:p>
      </dgm:t>
    </dgm:pt>
    <dgm:pt modelId="{D45960CB-B63B-4962-8068-138EBD05EC4A}" type="pres">
      <dgm:prSet presAssocID="{FFF69B4A-3D3D-47D2-89D6-18C01EE7AADD}" presName="node" presStyleLbl="vennNode1" presStyleIdx="2" presStyleCnt="11">
        <dgm:presLayoutVars>
          <dgm:bulletEnabled val="1"/>
        </dgm:presLayoutVars>
      </dgm:prSet>
      <dgm:spPr/>
      <dgm:t>
        <a:bodyPr/>
        <a:lstStyle/>
        <a:p>
          <a:endParaRPr lang="en-US"/>
        </a:p>
      </dgm:t>
    </dgm:pt>
    <dgm:pt modelId="{C21F802D-2267-4B6F-A08E-558E60463385}" type="pres">
      <dgm:prSet presAssocID="{5C334B67-4328-410E-922E-A020E46BD467}" presName="node" presStyleLbl="vennNode1" presStyleIdx="3" presStyleCnt="11">
        <dgm:presLayoutVars>
          <dgm:bulletEnabled val="1"/>
        </dgm:presLayoutVars>
      </dgm:prSet>
      <dgm:spPr/>
      <dgm:t>
        <a:bodyPr/>
        <a:lstStyle/>
        <a:p>
          <a:endParaRPr lang="en-US"/>
        </a:p>
      </dgm:t>
    </dgm:pt>
    <dgm:pt modelId="{135409EE-7B50-4ADC-8B5F-E0799077D1E9}" type="pres">
      <dgm:prSet presAssocID="{2A9024A3-DA79-45DF-8959-96F846E1F9C3}" presName="node" presStyleLbl="vennNode1" presStyleIdx="4" presStyleCnt="11">
        <dgm:presLayoutVars>
          <dgm:bulletEnabled val="1"/>
        </dgm:presLayoutVars>
      </dgm:prSet>
      <dgm:spPr/>
      <dgm:t>
        <a:bodyPr/>
        <a:lstStyle/>
        <a:p>
          <a:endParaRPr lang="en-US"/>
        </a:p>
      </dgm:t>
    </dgm:pt>
    <dgm:pt modelId="{B3165A78-AF6B-4784-8991-2CB203F4E0B9}" type="pres">
      <dgm:prSet presAssocID="{411C5ECB-5C9D-4D07-88C1-236247B71B2D}" presName="node" presStyleLbl="vennNode1" presStyleIdx="5" presStyleCnt="11">
        <dgm:presLayoutVars>
          <dgm:bulletEnabled val="1"/>
        </dgm:presLayoutVars>
      </dgm:prSet>
      <dgm:spPr/>
      <dgm:t>
        <a:bodyPr/>
        <a:lstStyle/>
        <a:p>
          <a:endParaRPr lang="en-US"/>
        </a:p>
      </dgm:t>
    </dgm:pt>
    <dgm:pt modelId="{2772E8C1-B6F7-4AC4-B74E-E7551C166D10}" type="pres">
      <dgm:prSet presAssocID="{B9890AF2-14A0-46E6-8DA0-3445B983B76C}" presName="node" presStyleLbl="vennNode1" presStyleIdx="6" presStyleCnt="11">
        <dgm:presLayoutVars>
          <dgm:bulletEnabled val="1"/>
        </dgm:presLayoutVars>
      </dgm:prSet>
      <dgm:spPr/>
      <dgm:t>
        <a:bodyPr/>
        <a:lstStyle/>
        <a:p>
          <a:endParaRPr lang="en-US"/>
        </a:p>
      </dgm:t>
    </dgm:pt>
    <dgm:pt modelId="{F5EC6E49-A313-442F-8752-AE61CC7D64CD}" type="pres">
      <dgm:prSet presAssocID="{47B62C6B-E067-44B9-A8E0-0EB93B9C4340}" presName="node" presStyleLbl="vennNode1" presStyleIdx="7" presStyleCnt="11">
        <dgm:presLayoutVars>
          <dgm:bulletEnabled val="1"/>
        </dgm:presLayoutVars>
      </dgm:prSet>
      <dgm:spPr/>
      <dgm:t>
        <a:bodyPr/>
        <a:lstStyle/>
        <a:p>
          <a:endParaRPr lang="en-US"/>
        </a:p>
      </dgm:t>
    </dgm:pt>
    <dgm:pt modelId="{951E050F-ED96-468E-B53A-FBCD93B37953}" type="pres">
      <dgm:prSet presAssocID="{00698794-9836-4882-8CA2-FDBABDB58699}" presName="node" presStyleLbl="vennNode1" presStyleIdx="8" presStyleCnt="11">
        <dgm:presLayoutVars>
          <dgm:bulletEnabled val="1"/>
        </dgm:presLayoutVars>
      </dgm:prSet>
      <dgm:spPr/>
      <dgm:t>
        <a:bodyPr/>
        <a:lstStyle/>
        <a:p>
          <a:endParaRPr lang="en-US"/>
        </a:p>
      </dgm:t>
    </dgm:pt>
    <dgm:pt modelId="{6D850E3F-9070-4BAB-925A-A81EBFD492A7}" type="pres">
      <dgm:prSet presAssocID="{7E952FC6-7510-417B-9F60-B4616C5B7516}" presName="node" presStyleLbl="vennNode1" presStyleIdx="9" presStyleCnt="11">
        <dgm:presLayoutVars>
          <dgm:bulletEnabled val="1"/>
        </dgm:presLayoutVars>
      </dgm:prSet>
      <dgm:spPr/>
      <dgm:t>
        <a:bodyPr/>
        <a:lstStyle/>
        <a:p>
          <a:endParaRPr lang="en-US"/>
        </a:p>
      </dgm:t>
    </dgm:pt>
    <dgm:pt modelId="{CE7627CF-5311-486A-AD7F-00E2FB40E232}" type="pres">
      <dgm:prSet presAssocID="{4B6EC0CC-A309-4D0D-85A6-3C5880092C5E}" presName="node" presStyleLbl="vennNode1" presStyleIdx="10" presStyleCnt="11">
        <dgm:presLayoutVars>
          <dgm:bulletEnabled val="1"/>
        </dgm:presLayoutVars>
      </dgm:prSet>
      <dgm:spPr/>
      <dgm:t>
        <a:bodyPr/>
        <a:lstStyle/>
        <a:p>
          <a:endParaRPr lang="en-US"/>
        </a:p>
      </dgm:t>
    </dgm:pt>
  </dgm:ptLst>
  <dgm:cxnLst>
    <dgm:cxn modelId="{0791BAC2-ADC5-4C56-BE91-39F55181A28D}" type="presOf" srcId="{FFF69B4A-3D3D-47D2-89D6-18C01EE7AADD}" destId="{D45960CB-B63B-4962-8068-138EBD05EC4A}" srcOrd="0" destOrd="0" presId="urn:microsoft.com/office/officeart/2005/8/layout/radial3"/>
    <dgm:cxn modelId="{9A4CF3D7-E0A9-4F3E-A346-1F92C09D6691}" type="presOf" srcId="{FE2716E2-62A3-4FF5-9BE9-2D4E06DA9A71}" destId="{32A9B49A-3C2B-42A6-B452-36DB904EB420}" srcOrd="0" destOrd="0" presId="urn:microsoft.com/office/officeart/2005/8/layout/radial3"/>
    <dgm:cxn modelId="{0E22A1DA-C682-42D8-BFC0-086BD7E20C6C}" srcId="{FE2716E2-62A3-4FF5-9BE9-2D4E06DA9A71}" destId="{411C5ECB-5C9D-4D07-88C1-236247B71B2D}" srcOrd="4" destOrd="0" parTransId="{71B4F7E9-A083-4720-8A41-1AC2CC1539C2}" sibTransId="{82116D12-F45B-4BFF-AC2D-86429D395EEE}"/>
    <dgm:cxn modelId="{BB99A362-A12B-44AD-9D8B-8F9138D95298}" type="presOf" srcId="{FE63F0C1-AE01-4C3E-92B7-854CC6448E70}" destId="{74EFBE3E-570A-4E22-8100-5FAB414858AD}" srcOrd="0" destOrd="0" presId="urn:microsoft.com/office/officeart/2005/8/layout/radial3"/>
    <dgm:cxn modelId="{3871D2A5-1F90-4430-95D8-4AFA9A531F99}" srcId="{FE2716E2-62A3-4FF5-9BE9-2D4E06DA9A71}" destId="{7E952FC6-7510-417B-9F60-B4616C5B7516}" srcOrd="8" destOrd="0" parTransId="{C2ADF09C-0C62-4151-B10B-3B8A6F69CA6E}" sibTransId="{7EF6BE03-94AB-4DAC-82BF-8D16E52FCE7E}"/>
    <dgm:cxn modelId="{278F0C48-955C-4743-B7D9-797D9636AB5D}" type="presOf" srcId="{4939F113-0E1B-4C2E-B970-DECD188C5E02}" destId="{43DC1CE9-F9D4-48B5-AB44-DC0D35CAF5ED}" srcOrd="0" destOrd="0" presId="urn:microsoft.com/office/officeart/2005/8/layout/radial3"/>
    <dgm:cxn modelId="{339AE484-AE7F-4DE5-80F3-E0CAB9C2AC31}" srcId="{FE2716E2-62A3-4FF5-9BE9-2D4E06DA9A71}" destId="{47B62C6B-E067-44B9-A8E0-0EB93B9C4340}" srcOrd="6" destOrd="0" parTransId="{DF42A9D5-F514-4040-93CB-B1876B3D23CA}" sibTransId="{84B33A7B-76A4-40E1-9762-5F8167B55144}"/>
    <dgm:cxn modelId="{750FD74D-3AE7-4953-8484-7089E54CEFA1}" srcId="{FE2716E2-62A3-4FF5-9BE9-2D4E06DA9A71}" destId="{5C334B67-4328-410E-922E-A020E46BD467}" srcOrd="2" destOrd="0" parTransId="{4D98F717-457C-4DDF-9249-570B675AACB5}" sibTransId="{8EE82689-4BE1-4EBC-A2F9-2DB1F518250D}"/>
    <dgm:cxn modelId="{F90C7DEA-7733-41F8-8797-E28550C20DF6}" srcId="{FE2716E2-62A3-4FF5-9BE9-2D4E06DA9A71}" destId="{4B6EC0CC-A309-4D0D-85A6-3C5880092C5E}" srcOrd="9" destOrd="0" parTransId="{1B253423-D0A3-4A32-BFB2-660B2094C6EF}" sibTransId="{623BADA7-6E5C-4D8F-9496-B2005D79F934}"/>
    <dgm:cxn modelId="{1993F4A2-0FF0-417D-9E2D-70107A715A1D}" type="presOf" srcId="{5C334B67-4328-410E-922E-A020E46BD467}" destId="{C21F802D-2267-4B6F-A08E-558E60463385}" srcOrd="0" destOrd="0" presId="urn:microsoft.com/office/officeart/2005/8/layout/radial3"/>
    <dgm:cxn modelId="{FBC98F31-EE50-441E-BC6D-60ABFC88BAEF}" srcId="{FE2716E2-62A3-4FF5-9BE9-2D4E06DA9A71}" destId="{00698794-9836-4882-8CA2-FDBABDB58699}" srcOrd="7" destOrd="0" parTransId="{DF0EF506-270D-4642-8775-3BA6D659A315}" sibTransId="{E91E731B-1846-480D-9257-F8C83A8C5CB1}"/>
    <dgm:cxn modelId="{1B732749-4725-4346-9764-02288586D54E}" type="presOf" srcId="{2A9024A3-DA79-45DF-8959-96F846E1F9C3}" destId="{135409EE-7B50-4ADC-8B5F-E0799077D1E9}" srcOrd="0" destOrd="0" presId="urn:microsoft.com/office/officeart/2005/8/layout/radial3"/>
    <dgm:cxn modelId="{5B4CEF9A-72A3-4FDA-8AA3-DF72F89FB752}" srcId="{FE63F0C1-AE01-4C3E-92B7-854CC6448E70}" destId="{FE2716E2-62A3-4FF5-9BE9-2D4E06DA9A71}" srcOrd="0" destOrd="0" parTransId="{06950456-3A86-4701-BDF7-C8B17FBACD58}" sibTransId="{63F718D2-D18C-4939-97D1-E97EB8CC5F33}"/>
    <dgm:cxn modelId="{A9B756AF-4B4E-4279-AFC3-6E4D42BAD5B3}" type="presOf" srcId="{00698794-9836-4882-8CA2-FDBABDB58699}" destId="{951E050F-ED96-468E-B53A-FBCD93B37953}" srcOrd="0" destOrd="0" presId="urn:microsoft.com/office/officeart/2005/8/layout/radial3"/>
    <dgm:cxn modelId="{A39B212F-E21C-49C0-9B16-27D065679996}" type="presOf" srcId="{4B6EC0CC-A309-4D0D-85A6-3C5880092C5E}" destId="{CE7627CF-5311-486A-AD7F-00E2FB40E232}" srcOrd="0" destOrd="0" presId="urn:microsoft.com/office/officeart/2005/8/layout/radial3"/>
    <dgm:cxn modelId="{FFBDCF07-4F14-4598-A158-0CA83E3101F4}" srcId="{FE2716E2-62A3-4FF5-9BE9-2D4E06DA9A71}" destId="{2A9024A3-DA79-45DF-8959-96F846E1F9C3}" srcOrd="3" destOrd="0" parTransId="{A9B3C2E4-0B35-4442-BE43-BFF41173CE06}" sibTransId="{F8D14350-C529-4925-B530-63A21B6FCAEA}"/>
    <dgm:cxn modelId="{CAAEB440-2E20-4FF4-9A68-706B97A6BBE1}" type="presOf" srcId="{7E952FC6-7510-417B-9F60-B4616C5B7516}" destId="{6D850E3F-9070-4BAB-925A-A81EBFD492A7}" srcOrd="0" destOrd="0" presId="urn:microsoft.com/office/officeart/2005/8/layout/radial3"/>
    <dgm:cxn modelId="{C2C89EC6-9614-4330-82FC-7E85475D4BAC}" type="presOf" srcId="{47B62C6B-E067-44B9-A8E0-0EB93B9C4340}" destId="{F5EC6E49-A313-442F-8752-AE61CC7D64CD}" srcOrd="0" destOrd="0" presId="urn:microsoft.com/office/officeart/2005/8/layout/radial3"/>
    <dgm:cxn modelId="{58F77673-3612-40E7-B7B3-21AF35B5B892}" type="presOf" srcId="{411C5ECB-5C9D-4D07-88C1-236247B71B2D}" destId="{B3165A78-AF6B-4784-8991-2CB203F4E0B9}" srcOrd="0" destOrd="0" presId="urn:microsoft.com/office/officeart/2005/8/layout/radial3"/>
    <dgm:cxn modelId="{F6B7F0CB-420B-444D-AC75-8EA87E1230CC}" type="presOf" srcId="{B9890AF2-14A0-46E6-8DA0-3445B983B76C}" destId="{2772E8C1-B6F7-4AC4-B74E-E7551C166D10}" srcOrd="0" destOrd="0" presId="urn:microsoft.com/office/officeart/2005/8/layout/radial3"/>
    <dgm:cxn modelId="{E36B4031-3A18-4398-A8DC-676FF139FD66}" srcId="{FE2716E2-62A3-4FF5-9BE9-2D4E06DA9A71}" destId="{B9890AF2-14A0-46E6-8DA0-3445B983B76C}" srcOrd="5" destOrd="0" parTransId="{BD7590F0-2EB0-4431-8BE3-35D0C0E9DB60}" sibTransId="{7D9E0194-4419-48BC-88EA-1A225993A5DA}"/>
    <dgm:cxn modelId="{CB2543E8-F8CE-4F78-AB78-8ABD75352CC6}" srcId="{FE2716E2-62A3-4FF5-9BE9-2D4E06DA9A71}" destId="{FFF69B4A-3D3D-47D2-89D6-18C01EE7AADD}" srcOrd="1" destOrd="0" parTransId="{5D451E5F-21EF-4F82-8C0D-52B7D1DEF6D3}" sibTransId="{0CD00B17-BC58-42FE-8818-E32F9CD99DE0}"/>
    <dgm:cxn modelId="{918EE007-C5D1-4821-9A54-DB3A1A8FF212}" srcId="{FE2716E2-62A3-4FF5-9BE9-2D4E06DA9A71}" destId="{4939F113-0E1B-4C2E-B970-DECD188C5E02}" srcOrd="0" destOrd="0" parTransId="{BD1D9FBA-9565-4156-88EC-84FA8A9F2F04}" sibTransId="{92CCE503-4527-4265-B347-DE570D4A5770}"/>
    <dgm:cxn modelId="{C0FFDF68-F8F9-4323-B48A-98B90BA67DDF}" type="presParOf" srcId="{74EFBE3E-570A-4E22-8100-5FAB414858AD}" destId="{F0761F41-AAFB-49C2-A992-25CFAC384808}" srcOrd="0" destOrd="0" presId="urn:microsoft.com/office/officeart/2005/8/layout/radial3"/>
    <dgm:cxn modelId="{CD674FC9-208E-442B-8FF2-47D7A3A2666F}" type="presParOf" srcId="{F0761F41-AAFB-49C2-A992-25CFAC384808}" destId="{32A9B49A-3C2B-42A6-B452-36DB904EB420}" srcOrd="0" destOrd="0" presId="urn:microsoft.com/office/officeart/2005/8/layout/radial3"/>
    <dgm:cxn modelId="{F1D0AACB-6324-4C3E-A1A9-919B48C44C29}" type="presParOf" srcId="{F0761F41-AAFB-49C2-A992-25CFAC384808}" destId="{43DC1CE9-F9D4-48B5-AB44-DC0D35CAF5ED}" srcOrd="1" destOrd="0" presId="urn:microsoft.com/office/officeart/2005/8/layout/radial3"/>
    <dgm:cxn modelId="{7095C42D-22B0-4FB9-84F1-9B5A8A4F0105}" type="presParOf" srcId="{F0761F41-AAFB-49C2-A992-25CFAC384808}" destId="{D45960CB-B63B-4962-8068-138EBD05EC4A}" srcOrd="2" destOrd="0" presId="urn:microsoft.com/office/officeart/2005/8/layout/radial3"/>
    <dgm:cxn modelId="{03149A63-099F-44CB-B69A-6FE78AD6D8C7}" type="presParOf" srcId="{F0761F41-AAFB-49C2-A992-25CFAC384808}" destId="{C21F802D-2267-4B6F-A08E-558E60463385}" srcOrd="3" destOrd="0" presId="urn:microsoft.com/office/officeart/2005/8/layout/radial3"/>
    <dgm:cxn modelId="{B3C7664C-1409-4FDC-9DF6-471CB7D4B5BA}" type="presParOf" srcId="{F0761F41-AAFB-49C2-A992-25CFAC384808}" destId="{135409EE-7B50-4ADC-8B5F-E0799077D1E9}" srcOrd="4" destOrd="0" presId="urn:microsoft.com/office/officeart/2005/8/layout/radial3"/>
    <dgm:cxn modelId="{0BC5E1C1-76C1-4E86-B3A9-FE23D84D0676}" type="presParOf" srcId="{F0761F41-AAFB-49C2-A992-25CFAC384808}" destId="{B3165A78-AF6B-4784-8991-2CB203F4E0B9}" srcOrd="5" destOrd="0" presId="urn:microsoft.com/office/officeart/2005/8/layout/radial3"/>
    <dgm:cxn modelId="{B237F333-991B-4193-A5CF-8294DF3F5168}" type="presParOf" srcId="{F0761F41-AAFB-49C2-A992-25CFAC384808}" destId="{2772E8C1-B6F7-4AC4-B74E-E7551C166D10}" srcOrd="6" destOrd="0" presId="urn:microsoft.com/office/officeart/2005/8/layout/radial3"/>
    <dgm:cxn modelId="{977599B0-6107-4131-ABA8-84EFFC7CD26D}" type="presParOf" srcId="{F0761F41-AAFB-49C2-A992-25CFAC384808}" destId="{F5EC6E49-A313-442F-8752-AE61CC7D64CD}" srcOrd="7" destOrd="0" presId="urn:microsoft.com/office/officeart/2005/8/layout/radial3"/>
    <dgm:cxn modelId="{5FFBDCFD-4E93-4541-94BE-B06D292B538E}" type="presParOf" srcId="{F0761F41-AAFB-49C2-A992-25CFAC384808}" destId="{951E050F-ED96-468E-B53A-FBCD93B37953}" srcOrd="8" destOrd="0" presId="urn:microsoft.com/office/officeart/2005/8/layout/radial3"/>
    <dgm:cxn modelId="{1BB97929-1CAD-403C-871D-CA2A186A9041}" type="presParOf" srcId="{F0761F41-AAFB-49C2-A992-25CFAC384808}" destId="{6D850E3F-9070-4BAB-925A-A81EBFD492A7}" srcOrd="9" destOrd="0" presId="urn:microsoft.com/office/officeart/2005/8/layout/radial3"/>
    <dgm:cxn modelId="{E7881327-FA2A-4239-AF1F-AFFF96666F28}" type="presParOf" srcId="{F0761F41-AAFB-49C2-A992-25CFAC384808}" destId="{CE7627CF-5311-486A-AD7F-00E2FB40E232}" srcOrd="10" destOrd="0" presId="urn:microsoft.com/office/officeart/2005/8/layout/radial3"/>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0EAF311F-225E-4BA0-A151-6B9479F3E00D}"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en-US"/>
        </a:p>
      </dgm:t>
    </dgm:pt>
    <dgm:pt modelId="{D57A4FCA-DAD5-4A81-8402-068755418B58}">
      <dgm:prSet phldrT="[Text]"/>
      <dgm:spPr/>
      <dgm:t>
        <a:bodyPr/>
        <a:lstStyle/>
        <a:p>
          <a:r>
            <a:rPr lang="lt-LT"/>
            <a:t>Savivaldybių biudžeto pajamos</a:t>
          </a:r>
          <a:endParaRPr lang="en-US"/>
        </a:p>
      </dgm:t>
    </dgm:pt>
    <dgm:pt modelId="{4500262B-5E87-40DF-AF16-FBA8CCEEB861}" type="parTrans" cxnId="{FADDF69B-EC87-4F30-884A-F37D4A4538ED}">
      <dgm:prSet/>
      <dgm:spPr/>
      <dgm:t>
        <a:bodyPr/>
        <a:lstStyle/>
        <a:p>
          <a:endParaRPr lang="en-US"/>
        </a:p>
      </dgm:t>
    </dgm:pt>
    <dgm:pt modelId="{4CDF443D-0C8A-41D8-83B2-B0F94C6BD1F1}" type="sibTrans" cxnId="{FADDF69B-EC87-4F30-884A-F37D4A4538ED}">
      <dgm:prSet/>
      <dgm:spPr/>
      <dgm:t>
        <a:bodyPr/>
        <a:lstStyle/>
        <a:p>
          <a:endParaRPr lang="en-US"/>
        </a:p>
      </dgm:t>
    </dgm:pt>
    <dgm:pt modelId="{628F3204-F94A-46B6-8D1F-A249DE51492C}" type="asst">
      <dgm:prSet phldrT="[Text]"/>
      <dgm:spPr/>
      <dgm:t>
        <a:bodyPr/>
        <a:lstStyle/>
        <a:p>
          <a:r>
            <a:rPr lang="lt-LT"/>
            <a:t>Mokestinės pajamos</a:t>
          </a:r>
          <a:endParaRPr lang="en-US"/>
        </a:p>
      </dgm:t>
    </dgm:pt>
    <dgm:pt modelId="{DE25414F-0E6B-4101-A8D6-A93C7A6ACEB6}" type="parTrans" cxnId="{DD733392-F085-432E-AE52-AB6D07C01D75}">
      <dgm:prSet/>
      <dgm:spPr/>
      <dgm:t>
        <a:bodyPr/>
        <a:lstStyle/>
        <a:p>
          <a:endParaRPr lang="en-US"/>
        </a:p>
      </dgm:t>
    </dgm:pt>
    <dgm:pt modelId="{8B38D1AF-B076-4372-B31D-31FFC77C9F62}" type="sibTrans" cxnId="{DD733392-F085-432E-AE52-AB6D07C01D75}">
      <dgm:prSet/>
      <dgm:spPr/>
      <dgm:t>
        <a:bodyPr/>
        <a:lstStyle/>
        <a:p>
          <a:endParaRPr lang="en-US"/>
        </a:p>
      </dgm:t>
    </dgm:pt>
    <dgm:pt modelId="{0BEC0343-087C-42CD-ADEF-2036353DF190}">
      <dgm:prSet phldrT="[Text]"/>
      <dgm:spPr/>
      <dgm:t>
        <a:bodyPr/>
        <a:lstStyle/>
        <a:p>
          <a:r>
            <a:rPr lang="lt-LT"/>
            <a:t>Nemokestinės pajamos</a:t>
          </a:r>
          <a:endParaRPr lang="en-US"/>
        </a:p>
      </dgm:t>
    </dgm:pt>
    <dgm:pt modelId="{B3CE55B6-232F-449B-94D2-EFD7326BC6B7}" type="parTrans" cxnId="{7D1D4513-93CF-4446-921E-29CE2E96713E}">
      <dgm:prSet/>
      <dgm:spPr/>
      <dgm:t>
        <a:bodyPr/>
        <a:lstStyle/>
        <a:p>
          <a:endParaRPr lang="en-US"/>
        </a:p>
      </dgm:t>
    </dgm:pt>
    <dgm:pt modelId="{F1E54B20-55D8-4D5B-A692-182BE539D70B}" type="sibTrans" cxnId="{7D1D4513-93CF-4446-921E-29CE2E96713E}">
      <dgm:prSet/>
      <dgm:spPr/>
      <dgm:t>
        <a:bodyPr/>
        <a:lstStyle/>
        <a:p>
          <a:endParaRPr lang="en-US"/>
        </a:p>
      </dgm:t>
    </dgm:pt>
    <dgm:pt modelId="{C118B04D-1C93-4CB3-8912-7881A80D2404}">
      <dgm:prSet phldrT="[Text]"/>
      <dgm:spPr/>
      <dgm:t>
        <a:bodyPr/>
        <a:lstStyle/>
        <a:p>
          <a:r>
            <a:rPr lang="lt-LT"/>
            <a:t>Dotacijos</a:t>
          </a:r>
          <a:endParaRPr lang="en-US"/>
        </a:p>
      </dgm:t>
    </dgm:pt>
    <dgm:pt modelId="{909B4812-0ED2-480F-9EF8-592A213C2A40}" type="parTrans" cxnId="{A196A99E-B24A-4372-98AB-462A5C99713F}">
      <dgm:prSet/>
      <dgm:spPr/>
      <dgm:t>
        <a:bodyPr/>
        <a:lstStyle/>
        <a:p>
          <a:endParaRPr lang="en-US"/>
        </a:p>
      </dgm:t>
    </dgm:pt>
    <dgm:pt modelId="{A5AF9A2D-9AD5-4538-BDD2-7062FC75AACD}" type="sibTrans" cxnId="{A196A99E-B24A-4372-98AB-462A5C99713F}">
      <dgm:prSet/>
      <dgm:spPr/>
      <dgm:t>
        <a:bodyPr/>
        <a:lstStyle/>
        <a:p>
          <a:endParaRPr lang="en-US"/>
        </a:p>
      </dgm:t>
    </dgm:pt>
    <dgm:pt modelId="{B1042765-4C6A-4529-B7A8-B0926FC0CFDC}" type="pres">
      <dgm:prSet presAssocID="{0EAF311F-225E-4BA0-A151-6B9479F3E00D}" presName="hierChild1" presStyleCnt="0">
        <dgm:presLayoutVars>
          <dgm:chPref val="1"/>
          <dgm:dir/>
          <dgm:animOne val="branch"/>
          <dgm:animLvl val="lvl"/>
          <dgm:resizeHandles/>
        </dgm:presLayoutVars>
      </dgm:prSet>
      <dgm:spPr/>
      <dgm:t>
        <a:bodyPr/>
        <a:lstStyle/>
        <a:p>
          <a:endParaRPr lang="en-US"/>
        </a:p>
      </dgm:t>
    </dgm:pt>
    <dgm:pt modelId="{80FA40CA-A036-457F-AC27-E3467FFAE0B9}" type="pres">
      <dgm:prSet presAssocID="{D57A4FCA-DAD5-4A81-8402-068755418B58}" presName="hierRoot1" presStyleCnt="0"/>
      <dgm:spPr/>
    </dgm:pt>
    <dgm:pt modelId="{F4B36DA2-D9EF-4A17-8AEA-E8FBEBD36DED}" type="pres">
      <dgm:prSet presAssocID="{D57A4FCA-DAD5-4A81-8402-068755418B58}" presName="composite" presStyleCnt="0"/>
      <dgm:spPr/>
    </dgm:pt>
    <dgm:pt modelId="{1E529707-0F6D-4B25-A91E-436FBD55D81E}" type="pres">
      <dgm:prSet presAssocID="{D57A4FCA-DAD5-4A81-8402-068755418B58}" presName="background" presStyleLbl="node0" presStyleIdx="0" presStyleCnt="1"/>
      <dgm:spPr/>
    </dgm:pt>
    <dgm:pt modelId="{A6D19084-B357-4076-ADAA-B4483D74AB7B}" type="pres">
      <dgm:prSet presAssocID="{D57A4FCA-DAD5-4A81-8402-068755418B58}" presName="text" presStyleLbl="fgAcc0" presStyleIdx="0" presStyleCnt="1">
        <dgm:presLayoutVars>
          <dgm:chPref val="3"/>
        </dgm:presLayoutVars>
      </dgm:prSet>
      <dgm:spPr/>
      <dgm:t>
        <a:bodyPr/>
        <a:lstStyle/>
        <a:p>
          <a:endParaRPr lang="en-US"/>
        </a:p>
      </dgm:t>
    </dgm:pt>
    <dgm:pt modelId="{A806ABDC-E6A3-4B4F-876E-D7094C49CD8E}" type="pres">
      <dgm:prSet presAssocID="{D57A4FCA-DAD5-4A81-8402-068755418B58}" presName="hierChild2" presStyleCnt="0"/>
      <dgm:spPr/>
    </dgm:pt>
    <dgm:pt modelId="{9167AC06-4373-4F7F-BFF8-9C3B17A56E74}" type="pres">
      <dgm:prSet presAssocID="{DE25414F-0E6B-4101-A8D6-A93C7A6ACEB6}" presName="Name10" presStyleLbl="parChTrans1D2" presStyleIdx="0" presStyleCnt="3"/>
      <dgm:spPr/>
      <dgm:t>
        <a:bodyPr/>
        <a:lstStyle/>
        <a:p>
          <a:endParaRPr lang="en-US"/>
        </a:p>
      </dgm:t>
    </dgm:pt>
    <dgm:pt modelId="{BE2AF053-2DDD-484B-AD92-B536A9389115}" type="pres">
      <dgm:prSet presAssocID="{628F3204-F94A-46B6-8D1F-A249DE51492C}" presName="hierRoot2" presStyleCnt="0"/>
      <dgm:spPr/>
    </dgm:pt>
    <dgm:pt modelId="{5ED60CD3-CF43-48AD-A3FE-08E3C86E1CFA}" type="pres">
      <dgm:prSet presAssocID="{628F3204-F94A-46B6-8D1F-A249DE51492C}" presName="composite2" presStyleCnt="0"/>
      <dgm:spPr/>
    </dgm:pt>
    <dgm:pt modelId="{EDCF7A20-5598-4AAF-B1A0-C972BC59FB81}" type="pres">
      <dgm:prSet presAssocID="{628F3204-F94A-46B6-8D1F-A249DE51492C}" presName="background2" presStyleLbl="asst1" presStyleIdx="0" presStyleCnt="1"/>
      <dgm:spPr/>
    </dgm:pt>
    <dgm:pt modelId="{1D60638A-D054-4F6E-BFB5-BB448D658401}" type="pres">
      <dgm:prSet presAssocID="{628F3204-F94A-46B6-8D1F-A249DE51492C}" presName="text2" presStyleLbl="fgAcc2" presStyleIdx="0" presStyleCnt="3">
        <dgm:presLayoutVars>
          <dgm:chPref val="3"/>
        </dgm:presLayoutVars>
      </dgm:prSet>
      <dgm:spPr/>
      <dgm:t>
        <a:bodyPr/>
        <a:lstStyle/>
        <a:p>
          <a:endParaRPr lang="en-US"/>
        </a:p>
      </dgm:t>
    </dgm:pt>
    <dgm:pt modelId="{2BD2BA6F-EFD8-4FF4-A1FC-4A4FF409A1EE}" type="pres">
      <dgm:prSet presAssocID="{628F3204-F94A-46B6-8D1F-A249DE51492C}" presName="hierChild3" presStyleCnt="0"/>
      <dgm:spPr/>
    </dgm:pt>
    <dgm:pt modelId="{F8BFC402-91BD-4EFF-80E3-985F77ABA63B}" type="pres">
      <dgm:prSet presAssocID="{B3CE55B6-232F-449B-94D2-EFD7326BC6B7}" presName="Name10" presStyleLbl="parChTrans1D2" presStyleIdx="1" presStyleCnt="3"/>
      <dgm:spPr/>
      <dgm:t>
        <a:bodyPr/>
        <a:lstStyle/>
        <a:p>
          <a:endParaRPr lang="en-US"/>
        </a:p>
      </dgm:t>
    </dgm:pt>
    <dgm:pt modelId="{7F2F1ACB-9505-4D71-A7B8-83C1B09D98B0}" type="pres">
      <dgm:prSet presAssocID="{0BEC0343-087C-42CD-ADEF-2036353DF190}" presName="hierRoot2" presStyleCnt="0"/>
      <dgm:spPr/>
    </dgm:pt>
    <dgm:pt modelId="{36EE36ED-A7BE-48A7-8799-27658E05E11E}" type="pres">
      <dgm:prSet presAssocID="{0BEC0343-087C-42CD-ADEF-2036353DF190}" presName="composite2" presStyleCnt="0"/>
      <dgm:spPr/>
    </dgm:pt>
    <dgm:pt modelId="{183B8BE5-0823-48AA-BB0A-D40F64D535FC}" type="pres">
      <dgm:prSet presAssocID="{0BEC0343-087C-42CD-ADEF-2036353DF190}" presName="background2" presStyleLbl="node2" presStyleIdx="0" presStyleCnt="2"/>
      <dgm:spPr/>
    </dgm:pt>
    <dgm:pt modelId="{F2878B18-83D0-4AE1-8B6C-349927EA8ED8}" type="pres">
      <dgm:prSet presAssocID="{0BEC0343-087C-42CD-ADEF-2036353DF190}" presName="text2" presStyleLbl="fgAcc2" presStyleIdx="1" presStyleCnt="3">
        <dgm:presLayoutVars>
          <dgm:chPref val="3"/>
        </dgm:presLayoutVars>
      </dgm:prSet>
      <dgm:spPr/>
      <dgm:t>
        <a:bodyPr/>
        <a:lstStyle/>
        <a:p>
          <a:endParaRPr lang="en-US"/>
        </a:p>
      </dgm:t>
    </dgm:pt>
    <dgm:pt modelId="{F37DA61F-6304-461D-985B-CE3F53E56518}" type="pres">
      <dgm:prSet presAssocID="{0BEC0343-087C-42CD-ADEF-2036353DF190}" presName="hierChild3" presStyleCnt="0"/>
      <dgm:spPr/>
    </dgm:pt>
    <dgm:pt modelId="{F9E349D9-C5A4-4A23-BAE7-12EDE426E365}" type="pres">
      <dgm:prSet presAssocID="{909B4812-0ED2-480F-9EF8-592A213C2A40}" presName="Name10" presStyleLbl="parChTrans1D2" presStyleIdx="2" presStyleCnt="3"/>
      <dgm:spPr/>
      <dgm:t>
        <a:bodyPr/>
        <a:lstStyle/>
        <a:p>
          <a:endParaRPr lang="en-US"/>
        </a:p>
      </dgm:t>
    </dgm:pt>
    <dgm:pt modelId="{90EEDD3D-4907-4910-B359-59A0F4B51B6C}" type="pres">
      <dgm:prSet presAssocID="{C118B04D-1C93-4CB3-8912-7881A80D2404}" presName="hierRoot2" presStyleCnt="0"/>
      <dgm:spPr/>
    </dgm:pt>
    <dgm:pt modelId="{6A157801-4F84-4E10-AA16-A160ADE37330}" type="pres">
      <dgm:prSet presAssocID="{C118B04D-1C93-4CB3-8912-7881A80D2404}" presName="composite2" presStyleCnt="0"/>
      <dgm:spPr/>
    </dgm:pt>
    <dgm:pt modelId="{0882827F-191A-4382-B11B-B9E35F3E27FA}" type="pres">
      <dgm:prSet presAssocID="{C118B04D-1C93-4CB3-8912-7881A80D2404}" presName="background2" presStyleLbl="node2" presStyleIdx="1" presStyleCnt="2"/>
      <dgm:spPr/>
    </dgm:pt>
    <dgm:pt modelId="{1B37C88C-62F9-448F-AB58-1567971803F2}" type="pres">
      <dgm:prSet presAssocID="{C118B04D-1C93-4CB3-8912-7881A80D2404}" presName="text2" presStyleLbl="fgAcc2" presStyleIdx="2" presStyleCnt="3">
        <dgm:presLayoutVars>
          <dgm:chPref val="3"/>
        </dgm:presLayoutVars>
      </dgm:prSet>
      <dgm:spPr/>
      <dgm:t>
        <a:bodyPr/>
        <a:lstStyle/>
        <a:p>
          <a:endParaRPr lang="en-US"/>
        </a:p>
      </dgm:t>
    </dgm:pt>
    <dgm:pt modelId="{6908EDCD-CA5D-4C4A-A1E5-1632593C90BF}" type="pres">
      <dgm:prSet presAssocID="{C118B04D-1C93-4CB3-8912-7881A80D2404}" presName="hierChild3" presStyleCnt="0"/>
      <dgm:spPr/>
    </dgm:pt>
  </dgm:ptLst>
  <dgm:cxnLst>
    <dgm:cxn modelId="{85401E89-02E3-4687-8E47-2DE2D4A49DA4}" type="presOf" srcId="{C118B04D-1C93-4CB3-8912-7881A80D2404}" destId="{1B37C88C-62F9-448F-AB58-1567971803F2}" srcOrd="0" destOrd="0" presId="urn:microsoft.com/office/officeart/2005/8/layout/hierarchy1"/>
    <dgm:cxn modelId="{FADDF69B-EC87-4F30-884A-F37D4A4538ED}" srcId="{0EAF311F-225E-4BA0-A151-6B9479F3E00D}" destId="{D57A4FCA-DAD5-4A81-8402-068755418B58}" srcOrd="0" destOrd="0" parTransId="{4500262B-5E87-40DF-AF16-FBA8CCEEB861}" sibTransId="{4CDF443D-0C8A-41D8-83B2-B0F94C6BD1F1}"/>
    <dgm:cxn modelId="{890D32FC-518C-41E9-91E3-16E5E4E5CADA}" type="presOf" srcId="{DE25414F-0E6B-4101-A8D6-A93C7A6ACEB6}" destId="{9167AC06-4373-4F7F-BFF8-9C3B17A56E74}" srcOrd="0" destOrd="0" presId="urn:microsoft.com/office/officeart/2005/8/layout/hierarchy1"/>
    <dgm:cxn modelId="{653A4906-E462-45C0-8535-807C93C8B6E7}" type="presOf" srcId="{D57A4FCA-DAD5-4A81-8402-068755418B58}" destId="{A6D19084-B357-4076-ADAA-B4483D74AB7B}" srcOrd="0" destOrd="0" presId="urn:microsoft.com/office/officeart/2005/8/layout/hierarchy1"/>
    <dgm:cxn modelId="{F602F7F0-CA17-4117-96C8-1FE1970690AF}" type="presOf" srcId="{628F3204-F94A-46B6-8D1F-A249DE51492C}" destId="{1D60638A-D054-4F6E-BFB5-BB448D658401}" srcOrd="0" destOrd="0" presId="urn:microsoft.com/office/officeart/2005/8/layout/hierarchy1"/>
    <dgm:cxn modelId="{DD733392-F085-432E-AE52-AB6D07C01D75}" srcId="{D57A4FCA-DAD5-4A81-8402-068755418B58}" destId="{628F3204-F94A-46B6-8D1F-A249DE51492C}" srcOrd="0" destOrd="0" parTransId="{DE25414F-0E6B-4101-A8D6-A93C7A6ACEB6}" sibTransId="{8B38D1AF-B076-4372-B31D-31FFC77C9F62}"/>
    <dgm:cxn modelId="{9C081AB1-88DD-453F-B417-4E4212E36174}" type="presOf" srcId="{0BEC0343-087C-42CD-ADEF-2036353DF190}" destId="{F2878B18-83D0-4AE1-8B6C-349927EA8ED8}" srcOrd="0" destOrd="0" presId="urn:microsoft.com/office/officeart/2005/8/layout/hierarchy1"/>
    <dgm:cxn modelId="{7D1D4513-93CF-4446-921E-29CE2E96713E}" srcId="{D57A4FCA-DAD5-4A81-8402-068755418B58}" destId="{0BEC0343-087C-42CD-ADEF-2036353DF190}" srcOrd="1" destOrd="0" parTransId="{B3CE55B6-232F-449B-94D2-EFD7326BC6B7}" sibTransId="{F1E54B20-55D8-4D5B-A692-182BE539D70B}"/>
    <dgm:cxn modelId="{3AF4F7BC-6E86-4AC7-8641-AAF9109A7B62}" type="presOf" srcId="{909B4812-0ED2-480F-9EF8-592A213C2A40}" destId="{F9E349D9-C5A4-4A23-BAE7-12EDE426E365}" srcOrd="0" destOrd="0" presId="urn:microsoft.com/office/officeart/2005/8/layout/hierarchy1"/>
    <dgm:cxn modelId="{A196A99E-B24A-4372-98AB-462A5C99713F}" srcId="{D57A4FCA-DAD5-4A81-8402-068755418B58}" destId="{C118B04D-1C93-4CB3-8912-7881A80D2404}" srcOrd="2" destOrd="0" parTransId="{909B4812-0ED2-480F-9EF8-592A213C2A40}" sibTransId="{A5AF9A2D-9AD5-4538-BDD2-7062FC75AACD}"/>
    <dgm:cxn modelId="{CAF792B7-1FB9-4EB0-92A8-9ED23A2AF4BE}" type="presOf" srcId="{0EAF311F-225E-4BA0-A151-6B9479F3E00D}" destId="{B1042765-4C6A-4529-B7A8-B0926FC0CFDC}" srcOrd="0" destOrd="0" presId="urn:microsoft.com/office/officeart/2005/8/layout/hierarchy1"/>
    <dgm:cxn modelId="{4C2FF2FF-92CA-4F9E-A43A-86EAE0643DE3}" type="presOf" srcId="{B3CE55B6-232F-449B-94D2-EFD7326BC6B7}" destId="{F8BFC402-91BD-4EFF-80E3-985F77ABA63B}" srcOrd="0" destOrd="0" presId="urn:microsoft.com/office/officeart/2005/8/layout/hierarchy1"/>
    <dgm:cxn modelId="{72C04613-497E-4B9B-8E4C-1BDA00176262}" type="presParOf" srcId="{B1042765-4C6A-4529-B7A8-B0926FC0CFDC}" destId="{80FA40CA-A036-457F-AC27-E3467FFAE0B9}" srcOrd="0" destOrd="0" presId="urn:microsoft.com/office/officeart/2005/8/layout/hierarchy1"/>
    <dgm:cxn modelId="{8CB29764-D6EB-448C-A1DA-3938E2E720E4}" type="presParOf" srcId="{80FA40CA-A036-457F-AC27-E3467FFAE0B9}" destId="{F4B36DA2-D9EF-4A17-8AEA-E8FBEBD36DED}" srcOrd="0" destOrd="0" presId="urn:microsoft.com/office/officeart/2005/8/layout/hierarchy1"/>
    <dgm:cxn modelId="{3C74F74A-FF3D-49B1-A79C-E63602E8CBD0}" type="presParOf" srcId="{F4B36DA2-D9EF-4A17-8AEA-E8FBEBD36DED}" destId="{1E529707-0F6D-4B25-A91E-436FBD55D81E}" srcOrd="0" destOrd="0" presId="urn:microsoft.com/office/officeart/2005/8/layout/hierarchy1"/>
    <dgm:cxn modelId="{B7D66588-EFF6-4984-BC38-36D602178DC3}" type="presParOf" srcId="{F4B36DA2-D9EF-4A17-8AEA-E8FBEBD36DED}" destId="{A6D19084-B357-4076-ADAA-B4483D74AB7B}" srcOrd="1" destOrd="0" presId="urn:microsoft.com/office/officeart/2005/8/layout/hierarchy1"/>
    <dgm:cxn modelId="{1F888E8D-45DD-4B76-BB31-92B6060B3952}" type="presParOf" srcId="{80FA40CA-A036-457F-AC27-E3467FFAE0B9}" destId="{A806ABDC-E6A3-4B4F-876E-D7094C49CD8E}" srcOrd="1" destOrd="0" presId="urn:microsoft.com/office/officeart/2005/8/layout/hierarchy1"/>
    <dgm:cxn modelId="{F6E06493-2B63-4725-B23E-0B4E05877E72}" type="presParOf" srcId="{A806ABDC-E6A3-4B4F-876E-D7094C49CD8E}" destId="{9167AC06-4373-4F7F-BFF8-9C3B17A56E74}" srcOrd="0" destOrd="0" presId="urn:microsoft.com/office/officeart/2005/8/layout/hierarchy1"/>
    <dgm:cxn modelId="{5BAFCFFA-698A-4658-9317-92F71FE200FF}" type="presParOf" srcId="{A806ABDC-E6A3-4B4F-876E-D7094C49CD8E}" destId="{BE2AF053-2DDD-484B-AD92-B536A9389115}" srcOrd="1" destOrd="0" presId="urn:microsoft.com/office/officeart/2005/8/layout/hierarchy1"/>
    <dgm:cxn modelId="{B07E4FED-15CD-4C58-9FBE-E0E83D3A64A4}" type="presParOf" srcId="{BE2AF053-2DDD-484B-AD92-B536A9389115}" destId="{5ED60CD3-CF43-48AD-A3FE-08E3C86E1CFA}" srcOrd="0" destOrd="0" presId="urn:microsoft.com/office/officeart/2005/8/layout/hierarchy1"/>
    <dgm:cxn modelId="{69C4E712-3348-45F2-87F9-1D8C36E44D1A}" type="presParOf" srcId="{5ED60CD3-CF43-48AD-A3FE-08E3C86E1CFA}" destId="{EDCF7A20-5598-4AAF-B1A0-C972BC59FB81}" srcOrd="0" destOrd="0" presId="urn:microsoft.com/office/officeart/2005/8/layout/hierarchy1"/>
    <dgm:cxn modelId="{CC7910A3-C18B-4852-94F0-8288160AF72D}" type="presParOf" srcId="{5ED60CD3-CF43-48AD-A3FE-08E3C86E1CFA}" destId="{1D60638A-D054-4F6E-BFB5-BB448D658401}" srcOrd="1" destOrd="0" presId="urn:microsoft.com/office/officeart/2005/8/layout/hierarchy1"/>
    <dgm:cxn modelId="{FC4FFCF1-A847-408F-9965-F8E4A1B1F808}" type="presParOf" srcId="{BE2AF053-2DDD-484B-AD92-B536A9389115}" destId="{2BD2BA6F-EFD8-4FF4-A1FC-4A4FF409A1EE}" srcOrd="1" destOrd="0" presId="urn:microsoft.com/office/officeart/2005/8/layout/hierarchy1"/>
    <dgm:cxn modelId="{A3CAAEBF-FBC7-4BE5-86A0-2C06DC5E4731}" type="presParOf" srcId="{A806ABDC-E6A3-4B4F-876E-D7094C49CD8E}" destId="{F8BFC402-91BD-4EFF-80E3-985F77ABA63B}" srcOrd="2" destOrd="0" presId="urn:microsoft.com/office/officeart/2005/8/layout/hierarchy1"/>
    <dgm:cxn modelId="{C483D6E5-4A73-4B15-B9F1-C37F4457FDDA}" type="presParOf" srcId="{A806ABDC-E6A3-4B4F-876E-D7094C49CD8E}" destId="{7F2F1ACB-9505-4D71-A7B8-83C1B09D98B0}" srcOrd="3" destOrd="0" presId="urn:microsoft.com/office/officeart/2005/8/layout/hierarchy1"/>
    <dgm:cxn modelId="{E788E094-8B62-4BCE-8F22-0FCB023BF49C}" type="presParOf" srcId="{7F2F1ACB-9505-4D71-A7B8-83C1B09D98B0}" destId="{36EE36ED-A7BE-48A7-8799-27658E05E11E}" srcOrd="0" destOrd="0" presId="urn:microsoft.com/office/officeart/2005/8/layout/hierarchy1"/>
    <dgm:cxn modelId="{1A67E00B-5908-4FF5-853F-1F70857A87E2}" type="presParOf" srcId="{36EE36ED-A7BE-48A7-8799-27658E05E11E}" destId="{183B8BE5-0823-48AA-BB0A-D40F64D535FC}" srcOrd="0" destOrd="0" presId="urn:microsoft.com/office/officeart/2005/8/layout/hierarchy1"/>
    <dgm:cxn modelId="{4E62A036-602D-4DE7-BA6B-2A9AFD7969BC}" type="presParOf" srcId="{36EE36ED-A7BE-48A7-8799-27658E05E11E}" destId="{F2878B18-83D0-4AE1-8B6C-349927EA8ED8}" srcOrd="1" destOrd="0" presId="urn:microsoft.com/office/officeart/2005/8/layout/hierarchy1"/>
    <dgm:cxn modelId="{B64299DE-F7B2-4AF4-85AE-372D805B0D57}" type="presParOf" srcId="{7F2F1ACB-9505-4D71-A7B8-83C1B09D98B0}" destId="{F37DA61F-6304-461D-985B-CE3F53E56518}" srcOrd="1" destOrd="0" presId="urn:microsoft.com/office/officeart/2005/8/layout/hierarchy1"/>
    <dgm:cxn modelId="{5ECA44C6-4148-46A1-842E-467E0B380C51}" type="presParOf" srcId="{A806ABDC-E6A3-4B4F-876E-D7094C49CD8E}" destId="{F9E349D9-C5A4-4A23-BAE7-12EDE426E365}" srcOrd="4" destOrd="0" presId="urn:microsoft.com/office/officeart/2005/8/layout/hierarchy1"/>
    <dgm:cxn modelId="{E16DB03C-1DC4-4F8F-9FF2-C183318D755F}" type="presParOf" srcId="{A806ABDC-E6A3-4B4F-876E-D7094C49CD8E}" destId="{90EEDD3D-4907-4910-B359-59A0F4B51B6C}" srcOrd="5" destOrd="0" presId="urn:microsoft.com/office/officeart/2005/8/layout/hierarchy1"/>
    <dgm:cxn modelId="{84937251-5564-46D9-A368-7351442A6BA8}" type="presParOf" srcId="{90EEDD3D-4907-4910-B359-59A0F4B51B6C}" destId="{6A157801-4F84-4E10-AA16-A160ADE37330}" srcOrd="0" destOrd="0" presId="urn:microsoft.com/office/officeart/2005/8/layout/hierarchy1"/>
    <dgm:cxn modelId="{26FE1A4D-BD5B-4A93-8D85-0C000BBF781C}" type="presParOf" srcId="{6A157801-4F84-4E10-AA16-A160ADE37330}" destId="{0882827F-191A-4382-B11B-B9E35F3E27FA}" srcOrd="0" destOrd="0" presId="urn:microsoft.com/office/officeart/2005/8/layout/hierarchy1"/>
    <dgm:cxn modelId="{1A2295D3-56FC-4648-BAB9-FC8D7F71913A}" type="presParOf" srcId="{6A157801-4F84-4E10-AA16-A160ADE37330}" destId="{1B37C88C-62F9-448F-AB58-1567971803F2}" srcOrd="1" destOrd="0" presId="urn:microsoft.com/office/officeart/2005/8/layout/hierarchy1"/>
    <dgm:cxn modelId="{2742E329-653C-4F5A-90FB-5FE60974C8C8}" type="presParOf" srcId="{90EEDD3D-4907-4910-B359-59A0F4B51B6C}" destId="{6908EDCD-CA5D-4C4A-A1E5-1632593C90BF}" srcOrd="1" destOrd="0" presId="urn:microsoft.com/office/officeart/2005/8/layout/hierarchy1"/>
  </dgm:cxnLst>
  <dgm:bg/>
  <dgm:whole/>
  <dgm:extLst>
    <a:ext uri="http://schemas.microsoft.com/office/drawing/2008/diagram">
      <dsp:dataModelExt xmlns:dsp="http://schemas.microsoft.com/office/drawing/2008/diagram" relId="rId24"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9C24AE0D-054F-4B83-B617-A6A5B40F2EAE}"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en-US"/>
        </a:p>
      </dgm:t>
    </dgm:pt>
    <dgm:pt modelId="{7F89B1AC-3083-46F6-8570-77D8D4B4964C}">
      <dgm:prSet phldrT="[Text]"/>
      <dgm:spPr/>
      <dgm:t>
        <a:bodyPr/>
        <a:lstStyle/>
        <a:p>
          <a:pPr algn="ctr"/>
          <a:r>
            <a:rPr lang="lt-LT"/>
            <a:t>Valstybės biudžeto dotacijos </a:t>
          </a:r>
          <a:endParaRPr lang="en-US"/>
        </a:p>
      </dgm:t>
    </dgm:pt>
    <dgm:pt modelId="{7ACC5541-AA3F-4306-902D-F79436A6CA98}" type="parTrans" cxnId="{5E72A43F-BFAF-4D45-949A-9F39D1B5E3D2}">
      <dgm:prSet/>
      <dgm:spPr/>
      <dgm:t>
        <a:bodyPr/>
        <a:lstStyle/>
        <a:p>
          <a:pPr algn="ctr"/>
          <a:endParaRPr lang="en-US"/>
        </a:p>
      </dgm:t>
    </dgm:pt>
    <dgm:pt modelId="{E13A2EC3-EAF6-47C3-ACCF-8C9E7BAABCFD}" type="sibTrans" cxnId="{5E72A43F-BFAF-4D45-949A-9F39D1B5E3D2}">
      <dgm:prSet/>
      <dgm:spPr/>
      <dgm:t>
        <a:bodyPr/>
        <a:lstStyle/>
        <a:p>
          <a:pPr algn="ctr"/>
          <a:endParaRPr lang="en-US"/>
        </a:p>
      </dgm:t>
    </dgm:pt>
    <dgm:pt modelId="{B0BE65EE-1A2F-4056-B6EF-81577D5CAC64}">
      <dgm:prSet phldrT="[Text]"/>
      <dgm:spPr/>
      <dgm:t>
        <a:bodyPr/>
        <a:lstStyle/>
        <a:p>
          <a:pPr algn="ctr"/>
          <a:r>
            <a:rPr lang="lt-LT"/>
            <a:t>Valstybės biudžeto bendroji dotacija</a:t>
          </a:r>
          <a:endParaRPr lang="en-US"/>
        </a:p>
      </dgm:t>
    </dgm:pt>
    <dgm:pt modelId="{AE206C74-7BFF-4EA2-B625-B396662F1891}" type="parTrans" cxnId="{07D84EFB-66CE-4E4A-B4AA-DFCEBE217F4A}">
      <dgm:prSet/>
      <dgm:spPr/>
      <dgm:t>
        <a:bodyPr/>
        <a:lstStyle/>
        <a:p>
          <a:pPr algn="ctr"/>
          <a:endParaRPr lang="en-US"/>
        </a:p>
      </dgm:t>
    </dgm:pt>
    <dgm:pt modelId="{4319EA93-E169-4C1B-8F50-4EAA8C4138E1}" type="sibTrans" cxnId="{07D84EFB-66CE-4E4A-B4AA-DFCEBE217F4A}">
      <dgm:prSet/>
      <dgm:spPr/>
      <dgm:t>
        <a:bodyPr/>
        <a:lstStyle/>
        <a:p>
          <a:pPr algn="ctr"/>
          <a:endParaRPr lang="en-US"/>
        </a:p>
      </dgm:t>
    </dgm:pt>
    <dgm:pt modelId="{06D6A83A-6449-4273-99E5-58A2D9D8C2D7}">
      <dgm:prSet phldrT="[Text]"/>
      <dgm:spPr/>
      <dgm:t>
        <a:bodyPr/>
        <a:lstStyle/>
        <a:p>
          <a:pPr algn="ctr"/>
          <a:r>
            <a:rPr lang="lt-LT"/>
            <a:t>Valstybės biudžeto specialios tikslinės dotacijos</a:t>
          </a:r>
          <a:endParaRPr lang="en-US"/>
        </a:p>
      </dgm:t>
    </dgm:pt>
    <dgm:pt modelId="{4E2EB6E0-24EA-4053-96DD-7E0AF5B237F2}" type="parTrans" cxnId="{C31ECC1A-EEF5-4E29-87D3-6B33DD363CD3}">
      <dgm:prSet/>
      <dgm:spPr/>
      <dgm:t>
        <a:bodyPr/>
        <a:lstStyle/>
        <a:p>
          <a:pPr algn="ctr"/>
          <a:endParaRPr lang="en-US"/>
        </a:p>
      </dgm:t>
    </dgm:pt>
    <dgm:pt modelId="{1CEA7C50-1A54-4A60-BDDA-81E08E4D03D5}" type="sibTrans" cxnId="{C31ECC1A-EEF5-4E29-87D3-6B33DD363CD3}">
      <dgm:prSet/>
      <dgm:spPr/>
      <dgm:t>
        <a:bodyPr/>
        <a:lstStyle/>
        <a:p>
          <a:pPr algn="ctr"/>
          <a:endParaRPr lang="en-US"/>
        </a:p>
      </dgm:t>
    </dgm:pt>
    <dgm:pt modelId="{2139A326-2F1E-41C3-8C37-8C0B7AF86272}">
      <dgm:prSet/>
      <dgm:spPr/>
      <dgm:t>
        <a:bodyPr/>
        <a:lstStyle/>
        <a:p>
          <a:pPr algn="ctr"/>
          <a:r>
            <a:rPr lang="lt-LT"/>
            <a:t>Valstybės biudžeto bendrosios dotacijos kompensacijos</a:t>
          </a:r>
          <a:endParaRPr lang="en-US"/>
        </a:p>
      </dgm:t>
    </dgm:pt>
    <dgm:pt modelId="{715386FE-9084-4C3B-9EB0-3C28ED530DF3}" type="parTrans" cxnId="{1650946F-289B-4AEC-87A6-0B971639D987}">
      <dgm:prSet/>
      <dgm:spPr/>
      <dgm:t>
        <a:bodyPr/>
        <a:lstStyle/>
        <a:p>
          <a:pPr algn="ctr"/>
          <a:endParaRPr lang="en-US"/>
        </a:p>
      </dgm:t>
    </dgm:pt>
    <dgm:pt modelId="{2F8CF84F-E3F2-4274-B637-3C2A9034FF13}" type="sibTrans" cxnId="{1650946F-289B-4AEC-87A6-0B971639D987}">
      <dgm:prSet/>
      <dgm:spPr/>
      <dgm:t>
        <a:bodyPr/>
        <a:lstStyle/>
        <a:p>
          <a:pPr algn="ctr"/>
          <a:endParaRPr lang="en-US"/>
        </a:p>
      </dgm:t>
    </dgm:pt>
    <dgm:pt modelId="{9D145AAD-63F3-4CAC-84CF-C06DA8ED4F2B}" type="pres">
      <dgm:prSet presAssocID="{9C24AE0D-054F-4B83-B617-A6A5B40F2EAE}" presName="hierChild1" presStyleCnt="0">
        <dgm:presLayoutVars>
          <dgm:chPref val="1"/>
          <dgm:dir/>
          <dgm:animOne val="branch"/>
          <dgm:animLvl val="lvl"/>
          <dgm:resizeHandles/>
        </dgm:presLayoutVars>
      </dgm:prSet>
      <dgm:spPr/>
      <dgm:t>
        <a:bodyPr/>
        <a:lstStyle/>
        <a:p>
          <a:endParaRPr lang="en-US"/>
        </a:p>
      </dgm:t>
    </dgm:pt>
    <dgm:pt modelId="{916A110A-44A0-448E-B826-8537FB4205B7}" type="pres">
      <dgm:prSet presAssocID="{7F89B1AC-3083-46F6-8570-77D8D4B4964C}" presName="hierRoot1" presStyleCnt="0"/>
      <dgm:spPr/>
    </dgm:pt>
    <dgm:pt modelId="{6F984B62-9BA1-4EF8-BE86-343CAEA1776E}" type="pres">
      <dgm:prSet presAssocID="{7F89B1AC-3083-46F6-8570-77D8D4B4964C}" presName="composite" presStyleCnt="0"/>
      <dgm:spPr/>
    </dgm:pt>
    <dgm:pt modelId="{02C0C32F-5016-46AA-9755-3EB9764B2435}" type="pres">
      <dgm:prSet presAssocID="{7F89B1AC-3083-46F6-8570-77D8D4B4964C}" presName="background" presStyleLbl="node0" presStyleIdx="0" presStyleCnt="1"/>
      <dgm:spPr/>
    </dgm:pt>
    <dgm:pt modelId="{8E75052A-2006-4AF0-A1D9-84E71B6F2443}" type="pres">
      <dgm:prSet presAssocID="{7F89B1AC-3083-46F6-8570-77D8D4B4964C}" presName="text" presStyleLbl="fgAcc0" presStyleIdx="0" presStyleCnt="1">
        <dgm:presLayoutVars>
          <dgm:chPref val="3"/>
        </dgm:presLayoutVars>
      </dgm:prSet>
      <dgm:spPr/>
      <dgm:t>
        <a:bodyPr/>
        <a:lstStyle/>
        <a:p>
          <a:endParaRPr lang="en-US"/>
        </a:p>
      </dgm:t>
    </dgm:pt>
    <dgm:pt modelId="{3B017C1E-BE93-415E-A841-2EA32E7ABAC3}" type="pres">
      <dgm:prSet presAssocID="{7F89B1AC-3083-46F6-8570-77D8D4B4964C}" presName="hierChild2" presStyleCnt="0"/>
      <dgm:spPr/>
    </dgm:pt>
    <dgm:pt modelId="{11315B26-192C-4263-B398-80E4B014EEE4}" type="pres">
      <dgm:prSet presAssocID="{AE206C74-7BFF-4EA2-B625-B396662F1891}" presName="Name10" presStyleLbl="parChTrans1D2" presStyleIdx="0" presStyleCnt="3"/>
      <dgm:spPr/>
      <dgm:t>
        <a:bodyPr/>
        <a:lstStyle/>
        <a:p>
          <a:endParaRPr lang="en-US"/>
        </a:p>
      </dgm:t>
    </dgm:pt>
    <dgm:pt modelId="{A265748F-CD82-49FC-835E-781DFB2A3583}" type="pres">
      <dgm:prSet presAssocID="{B0BE65EE-1A2F-4056-B6EF-81577D5CAC64}" presName="hierRoot2" presStyleCnt="0"/>
      <dgm:spPr/>
    </dgm:pt>
    <dgm:pt modelId="{94D9E34C-F21C-4862-808C-CF9F1EA12DC4}" type="pres">
      <dgm:prSet presAssocID="{B0BE65EE-1A2F-4056-B6EF-81577D5CAC64}" presName="composite2" presStyleCnt="0"/>
      <dgm:spPr/>
    </dgm:pt>
    <dgm:pt modelId="{A97B9D95-A9D1-422A-85F8-C3780ED42D03}" type="pres">
      <dgm:prSet presAssocID="{B0BE65EE-1A2F-4056-B6EF-81577D5CAC64}" presName="background2" presStyleLbl="node2" presStyleIdx="0" presStyleCnt="3"/>
      <dgm:spPr/>
    </dgm:pt>
    <dgm:pt modelId="{F3DD90CA-9571-436F-BE46-729E9E5C4A22}" type="pres">
      <dgm:prSet presAssocID="{B0BE65EE-1A2F-4056-B6EF-81577D5CAC64}" presName="text2" presStyleLbl="fgAcc2" presStyleIdx="0" presStyleCnt="3">
        <dgm:presLayoutVars>
          <dgm:chPref val="3"/>
        </dgm:presLayoutVars>
      </dgm:prSet>
      <dgm:spPr/>
      <dgm:t>
        <a:bodyPr/>
        <a:lstStyle/>
        <a:p>
          <a:endParaRPr lang="en-US"/>
        </a:p>
      </dgm:t>
    </dgm:pt>
    <dgm:pt modelId="{44BDBF71-4EB5-4B64-AA45-17C7F0E5DB9C}" type="pres">
      <dgm:prSet presAssocID="{B0BE65EE-1A2F-4056-B6EF-81577D5CAC64}" presName="hierChild3" presStyleCnt="0"/>
      <dgm:spPr/>
    </dgm:pt>
    <dgm:pt modelId="{2B7BF256-9F97-4CAB-B238-33E4F694FB62}" type="pres">
      <dgm:prSet presAssocID="{4E2EB6E0-24EA-4053-96DD-7E0AF5B237F2}" presName="Name10" presStyleLbl="parChTrans1D2" presStyleIdx="1" presStyleCnt="3"/>
      <dgm:spPr/>
      <dgm:t>
        <a:bodyPr/>
        <a:lstStyle/>
        <a:p>
          <a:endParaRPr lang="en-US"/>
        </a:p>
      </dgm:t>
    </dgm:pt>
    <dgm:pt modelId="{7628342F-D510-4D6C-9CFE-134CE7A250CC}" type="pres">
      <dgm:prSet presAssocID="{06D6A83A-6449-4273-99E5-58A2D9D8C2D7}" presName="hierRoot2" presStyleCnt="0"/>
      <dgm:spPr/>
    </dgm:pt>
    <dgm:pt modelId="{4A042AE6-35D3-4F79-A2F3-D6B0BB43F7C7}" type="pres">
      <dgm:prSet presAssocID="{06D6A83A-6449-4273-99E5-58A2D9D8C2D7}" presName="composite2" presStyleCnt="0"/>
      <dgm:spPr/>
    </dgm:pt>
    <dgm:pt modelId="{3043D1DE-CDA3-47FB-BD75-744210C3934C}" type="pres">
      <dgm:prSet presAssocID="{06D6A83A-6449-4273-99E5-58A2D9D8C2D7}" presName="background2" presStyleLbl="node2" presStyleIdx="1" presStyleCnt="3"/>
      <dgm:spPr/>
    </dgm:pt>
    <dgm:pt modelId="{866EB292-77C1-4691-98A0-511EA6627F1C}" type="pres">
      <dgm:prSet presAssocID="{06D6A83A-6449-4273-99E5-58A2D9D8C2D7}" presName="text2" presStyleLbl="fgAcc2" presStyleIdx="1" presStyleCnt="3">
        <dgm:presLayoutVars>
          <dgm:chPref val="3"/>
        </dgm:presLayoutVars>
      </dgm:prSet>
      <dgm:spPr/>
      <dgm:t>
        <a:bodyPr/>
        <a:lstStyle/>
        <a:p>
          <a:endParaRPr lang="en-US"/>
        </a:p>
      </dgm:t>
    </dgm:pt>
    <dgm:pt modelId="{88276B36-E9B9-487E-A40F-6E67D7213EF9}" type="pres">
      <dgm:prSet presAssocID="{06D6A83A-6449-4273-99E5-58A2D9D8C2D7}" presName="hierChild3" presStyleCnt="0"/>
      <dgm:spPr/>
    </dgm:pt>
    <dgm:pt modelId="{8A648CD4-A616-4F6C-BA81-9AE3C8AA7EE3}" type="pres">
      <dgm:prSet presAssocID="{715386FE-9084-4C3B-9EB0-3C28ED530DF3}" presName="Name10" presStyleLbl="parChTrans1D2" presStyleIdx="2" presStyleCnt="3"/>
      <dgm:spPr/>
      <dgm:t>
        <a:bodyPr/>
        <a:lstStyle/>
        <a:p>
          <a:endParaRPr lang="en-US"/>
        </a:p>
      </dgm:t>
    </dgm:pt>
    <dgm:pt modelId="{2D3B3877-38C9-453F-9D85-3EE9B1C4BAB0}" type="pres">
      <dgm:prSet presAssocID="{2139A326-2F1E-41C3-8C37-8C0B7AF86272}" presName="hierRoot2" presStyleCnt="0"/>
      <dgm:spPr/>
    </dgm:pt>
    <dgm:pt modelId="{19AFCB3C-866C-4AD3-AC59-60F35695ABAE}" type="pres">
      <dgm:prSet presAssocID="{2139A326-2F1E-41C3-8C37-8C0B7AF86272}" presName="composite2" presStyleCnt="0"/>
      <dgm:spPr/>
    </dgm:pt>
    <dgm:pt modelId="{2B4BC33C-240A-40F7-85F4-DB62114B3ACC}" type="pres">
      <dgm:prSet presAssocID="{2139A326-2F1E-41C3-8C37-8C0B7AF86272}" presName="background2" presStyleLbl="node2" presStyleIdx="2" presStyleCnt="3"/>
      <dgm:spPr/>
    </dgm:pt>
    <dgm:pt modelId="{1CBBC732-DB23-4F59-A898-C868FDF05B52}" type="pres">
      <dgm:prSet presAssocID="{2139A326-2F1E-41C3-8C37-8C0B7AF86272}" presName="text2" presStyleLbl="fgAcc2" presStyleIdx="2" presStyleCnt="3">
        <dgm:presLayoutVars>
          <dgm:chPref val="3"/>
        </dgm:presLayoutVars>
      </dgm:prSet>
      <dgm:spPr/>
      <dgm:t>
        <a:bodyPr/>
        <a:lstStyle/>
        <a:p>
          <a:endParaRPr lang="en-US"/>
        </a:p>
      </dgm:t>
    </dgm:pt>
    <dgm:pt modelId="{D3E36DE8-0A5D-4CB0-8BC4-C6D05E030E3F}" type="pres">
      <dgm:prSet presAssocID="{2139A326-2F1E-41C3-8C37-8C0B7AF86272}" presName="hierChild3" presStyleCnt="0"/>
      <dgm:spPr/>
    </dgm:pt>
  </dgm:ptLst>
  <dgm:cxnLst>
    <dgm:cxn modelId="{07D84EFB-66CE-4E4A-B4AA-DFCEBE217F4A}" srcId="{7F89B1AC-3083-46F6-8570-77D8D4B4964C}" destId="{B0BE65EE-1A2F-4056-B6EF-81577D5CAC64}" srcOrd="0" destOrd="0" parTransId="{AE206C74-7BFF-4EA2-B625-B396662F1891}" sibTransId="{4319EA93-E169-4C1B-8F50-4EAA8C4138E1}"/>
    <dgm:cxn modelId="{1650946F-289B-4AEC-87A6-0B971639D987}" srcId="{7F89B1AC-3083-46F6-8570-77D8D4B4964C}" destId="{2139A326-2F1E-41C3-8C37-8C0B7AF86272}" srcOrd="2" destOrd="0" parTransId="{715386FE-9084-4C3B-9EB0-3C28ED530DF3}" sibTransId="{2F8CF84F-E3F2-4274-B637-3C2A9034FF13}"/>
    <dgm:cxn modelId="{7E347D1B-6B56-4ACA-8AE7-77095F82B76D}" type="presOf" srcId="{AE206C74-7BFF-4EA2-B625-B396662F1891}" destId="{11315B26-192C-4263-B398-80E4B014EEE4}" srcOrd="0" destOrd="0" presId="urn:microsoft.com/office/officeart/2005/8/layout/hierarchy1"/>
    <dgm:cxn modelId="{360D0A6C-8133-4565-909C-1BD7183FC61E}" type="presOf" srcId="{7F89B1AC-3083-46F6-8570-77D8D4B4964C}" destId="{8E75052A-2006-4AF0-A1D9-84E71B6F2443}" srcOrd="0" destOrd="0" presId="urn:microsoft.com/office/officeart/2005/8/layout/hierarchy1"/>
    <dgm:cxn modelId="{3F3E7B29-5920-4047-8B1F-7258996B7048}" type="presOf" srcId="{9C24AE0D-054F-4B83-B617-A6A5B40F2EAE}" destId="{9D145AAD-63F3-4CAC-84CF-C06DA8ED4F2B}" srcOrd="0" destOrd="0" presId="urn:microsoft.com/office/officeart/2005/8/layout/hierarchy1"/>
    <dgm:cxn modelId="{E1DCD71F-F82E-40BF-B70C-6EABF8AAFB36}" type="presOf" srcId="{715386FE-9084-4C3B-9EB0-3C28ED530DF3}" destId="{8A648CD4-A616-4F6C-BA81-9AE3C8AA7EE3}" srcOrd="0" destOrd="0" presId="urn:microsoft.com/office/officeart/2005/8/layout/hierarchy1"/>
    <dgm:cxn modelId="{1101FFBF-85AC-49D4-9CEA-5AF96CF7B795}" type="presOf" srcId="{2139A326-2F1E-41C3-8C37-8C0B7AF86272}" destId="{1CBBC732-DB23-4F59-A898-C868FDF05B52}" srcOrd="0" destOrd="0" presId="urn:microsoft.com/office/officeart/2005/8/layout/hierarchy1"/>
    <dgm:cxn modelId="{C31ECC1A-EEF5-4E29-87D3-6B33DD363CD3}" srcId="{7F89B1AC-3083-46F6-8570-77D8D4B4964C}" destId="{06D6A83A-6449-4273-99E5-58A2D9D8C2D7}" srcOrd="1" destOrd="0" parTransId="{4E2EB6E0-24EA-4053-96DD-7E0AF5B237F2}" sibTransId="{1CEA7C50-1A54-4A60-BDDA-81E08E4D03D5}"/>
    <dgm:cxn modelId="{D6D9D12C-3EBD-455A-B35C-0422E2039609}" type="presOf" srcId="{B0BE65EE-1A2F-4056-B6EF-81577D5CAC64}" destId="{F3DD90CA-9571-436F-BE46-729E9E5C4A22}" srcOrd="0" destOrd="0" presId="urn:microsoft.com/office/officeart/2005/8/layout/hierarchy1"/>
    <dgm:cxn modelId="{CA9D3F4A-80B8-47B3-ADE5-C2DAC62A77E6}" type="presOf" srcId="{06D6A83A-6449-4273-99E5-58A2D9D8C2D7}" destId="{866EB292-77C1-4691-98A0-511EA6627F1C}" srcOrd="0" destOrd="0" presId="urn:microsoft.com/office/officeart/2005/8/layout/hierarchy1"/>
    <dgm:cxn modelId="{AB00D064-7206-4917-812E-D962A36D6F21}" type="presOf" srcId="{4E2EB6E0-24EA-4053-96DD-7E0AF5B237F2}" destId="{2B7BF256-9F97-4CAB-B238-33E4F694FB62}" srcOrd="0" destOrd="0" presId="urn:microsoft.com/office/officeart/2005/8/layout/hierarchy1"/>
    <dgm:cxn modelId="{5E72A43F-BFAF-4D45-949A-9F39D1B5E3D2}" srcId="{9C24AE0D-054F-4B83-B617-A6A5B40F2EAE}" destId="{7F89B1AC-3083-46F6-8570-77D8D4B4964C}" srcOrd="0" destOrd="0" parTransId="{7ACC5541-AA3F-4306-902D-F79436A6CA98}" sibTransId="{E13A2EC3-EAF6-47C3-ACCF-8C9E7BAABCFD}"/>
    <dgm:cxn modelId="{E44FC59D-A6CE-4425-BAE8-A1D2B69D1E41}" type="presParOf" srcId="{9D145AAD-63F3-4CAC-84CF-C06DA8ED4F2B}" destId="{916A110A-44A0-448E-B826-8537FB4205B7}" srcOrd="0" destOrd="0" presId="urn:microsoft.com/office/officeart/2005/8/layout/hierarchy1"/>
    <dgm:cxn modelId="{0B1D9B9E-9138-4EC9-88D1-601394F4C845}" type="presParOf" srcId="{916A110A-44A0-448E-B826-8537FB4205B7}" destId="{6F984B62-9BA1-4EF8-BE86-343CAEA1776E}" srcOrd="0" destOrd="0" presId="urn:microsoft.com/office/officeart/2005/8/layout/hierarchy1"/>
    <dgm:cxn modelId="{1BE31ED0-9BED-4C76-95E4-8F62E6C27370}" type="presParOf" srcId="{6F984B62-9BA1-4EF8-BE86-343CAEA1776E}" destId="{02C0C32F-5016-46AA-9755-3EB9764B2435}" srcOrd="0" destOrd="0" presId="urn:microsoft.com/office/officeart/2005/8/layout/hierarchy1"/>
    <dgm:cxn modelId="{7B68A8F1-CBB5-4EDA-AD53-4655B6A93D94}" type="presParOf" srcId="{6F984B62-9BA1-4EF8-BE86-343CAEA1776E}" destId="{8E75052A-2006-4AF0-A1D9-84E71B6F2443}" srcOrd="1" destOrd="0" presId="urn:microsoft.com/office/officeart/2005/8/layout/hierarchy1"/>
    <dgm:cxn modelId="{6FC8B8D3-A4DA-4837-B23F-12E0B27E2FDE}" type="presParOf" srcId="{916A110A-44A0-448E-B826-8537FB4205B7}" destId="{3B017C1E-BE93-415E-A841-2EA32E7ABAC3}" srcOrd="1" destOrd="0" presId="urn:microsoft.com/office/officeart/2005/8/layout/hierarchy1"/>
    <dgm:cxn modelId="{23615343-0BE6-44F7-B129-9A221B1C6944}" type="presParOf" srcId="{3B017C1E-BE93-415E-A841-2EA32E7ABAC3}" destId="{11315B26-192C-4263-B398-80E4B014EEE4}" srcOrd="0" destOrd="0" presId="urn:microsoft.com/office/officeart/2005/8/layout/hierarchy1"/>
    <dgm:cxn modelId="{72FB83AB-C2F1-4C6C-B1E6-7A07C2E0ED80}" type="presParOf" srcId="{3B017C1E-BE93-415E-A841-2EA32E7ABAC3}" destId="{A265748F-CD82-49FC-835E-781DFB2A3583}" srcOrd="1" destOrd="0" presId="urn:microsoft.com/office/officeart/2005/8/layout/hierarchy1"/>
    <dgm:cxn modelId="{DE72F6A0-437F-4F0B-A970-5EAF2EC2F7CA}" type="presParOf" srcId="{A265748F-CD82-49FC-835E-781DFB2A3583}" destId="{94D9E34C-F21C-4862-808C-CF9F1EA12DC4}" srcOrd="0" destOrd="0" presId="urn:microsoft.com/office/officeart/2005/8/layout/hierarchy1"/>
    <dgm:cxn modelId="{38CB4401-1F40-41D7-B2C9-ACAF9B18D0DF}" type="presParOf" srcId="{94D9E34C-F21C-4862-808C-CF9F1EA12DC4}" destId="{A97B9D95-A9D1-422A-85F8-C3780ED42D03}" srcOrd="0" destOrd="0" presId="urn:microsoft.com/office/officeart/2005/8/layout/hierarchy1"/>
    <dgm:cxn modelId="{455B0A63-DA15-4573-96BB-8D99AF59169B}" type="presParOf" srcId="{94D9E34C-F21C-4862-808C-CF9F1EA12DC4}" destId="{F3DD90CA-9571-436F-BE46-729E9E5C4A22}" srcOrd="1" destOrd="0" presId="urn:microsoft.com/office/officeart/2005/8/layout/hierarchy1"/>
    <dgm:cxn modelId="{E08EED16-C426-42FA-9450-DC22D06DA5A4}" type="presParOf" srcId="{A265748F-CD82-49FC-835E-781DFB2A3583}" destId="{44BDBF71-4EB5-4B64-AA45-17C7F0E5DB9C}" srcOrd="1" destOrd="0" presId="urn:microsoft.com/office/officeart/2005/8/layout/hierarchy1"/>
    <dgm:cxn modelId="{3A00D37D-26AF-4125-B667-A6FAFED1C638}" type="presParOf" srcId="{3B017C1E-BE93-415E-A841-2EA32E7ABAC3}" destId="{2B7BF256-9F97-4CAB-B238-33E4F694FB62}" srcOrd="2" destOrd="0" presId="urn:microsoft.com/office/officeart/2005/8/layout/hierarchy1"/>
    <dgm:cxn modelId="{F57E4481-538B-4097-92ED-D435EF4732A2}" type="presParOf" srcId="{3B017C1E-BE93-415E-A841-2EA32E7ABAC3}" destId="{7628342F-D510-4D6C-9CFE-134CE7A250CC}" srcOrd="3" destOrd="0" presId="urn:microsoft.com/office/officeart/2005/8/layout/hierarchy1"/>
    <dgm:cxn modelId="{9DD56FB4-7081-47F5-951C-87967AC037F1}" type="presParOf" srcId="{7628342F-D510-4D6C-9CFE-134CE7A250CC}" destId="{4A042AE6-35D3-4F79-A2F3-D6B0BB43F7C7}" srcOrd="0" destOrd="0" presId="urn:microsoft.com/office/officeart/2005/8/layout/hierarchy1"/>
    <dgm:cxn modelId="{EB534981-4C0C-44E5-8691-D26BF7854E0B}" type="presParOf" srcId="{4A042AE6-35D3-4F79-A2F3-D6B0BB43F7C7}" destId="{3043D1DE-CDA3-47FB-BD75-744210C3934C}" srcOrd="0" destOrd="0" presId="urn:microsoft.com/office/officeart/2005/8/layout/hierarchy1"/>
    <dgm:cxn modelId="{5FC6231D-6AD6-406F-A2BA-1E506437F4B0}" type="presParOf" srcId="{4A042AE6-35D3-4F79-A2F3-D6B0BB43F7C7}" destId="{866EB292-77C1-4691-98A0-511EA6627F1C}" srcOrd="1" destOrd="0" presId="urn:microsoft.com/office/officeart/2005/8/layout/hierarchy1"/>
    <dgm:cxn modelId="{C17796F9-8477-44F5-9E93-3CB0041943C9}" type="presParOf" srcId="{7628342F-D510-4D6C-9CFE-134CE7A250CC}" destId="{88276B36-E9B9-487E-A40F-6E67D7213EF9}" srcOrd="1" destOrd="0" presId="urn:microsoft.com/office/officeart/2005/8/layout/hierarchy1"/>
    <dgm:cxn modelId="{2405D132-12FB-49C9-AB9E-3D3107638CBD}" type="presParOf" srcId="{3B017C1E-BE93-415E-A841-2EA32E7ABAC3}" destId="{8A648CD4-A616-4F6C-BA81-9AE3C8AA7EE3}" srcOrd="4" destOrd="0" presId="urn:microsoft.com/office/officeart/2005/8/layout/hierarchy1"/>
    <dgm:cxn modelId="{AEC2FBE4-2E64-41D9-85C8-FD0DEFE82AA0}" type="presParOf" srcId="{3B017C1E-BE93-415E-A841-2EA32E7ABAC3}" destId="{2D3B3877-38C9-453F-9D85-3EE9B1C4BAB0}" srcOrd="5" destOrd="0" presId="urn:microsoft.com/office/officeart/2005/8/layout/hierarchy1"/>
    <dgm:cxn modelId="{853A2529-E28E-45EB-A2B2-5CD6CD3C433A}" type="presParOf" srcId="{2D3B3877-38C9-453F-9D85-3EE9B1C4BAB0}" destId="{19AFCB3C-866C-4AD3-AC59-60F35695ABAE}" srcOrd="0" destOrd="0" presId="urn:microsoft.com/office/officeart/2005/8/layout/hierarchy1"/>
    <dgm:cxn modelId="{0421DEB9-E1F3-4577-A6BD-56E896327308}" type="presParOf" srcId="{19AFCB3C-866C-4AD3-AC59-60F35695ABAE}" destId="{2B4BC33C-240A-40F7-85F4-DB62114B3ACC}" srcOrd="0" destOrd="0" presId="urn:microsoft.com/office/officeart/2005/8/layout/hierarchy1"/>
    <dgm:cxn modelId="{B81CA2DD-9F8C-4477-BB16-CC74EE9FA0A4}" type="presParOf" srcId="{19AFCB3C-866C-4AD3-AC59-60F35695ABAE}" destId="{1CBBC732-DB23-4F59-A898-C868FDF05B52}" srcOrd="1" destOrd="0" presId="urn:microsoft.com/office/officeart/2005/8/layout/hierarchy1"/>
    <dgm:cxn modelId="{A705172A-386E-453E-A905-57387742E154}" type="presParOf" srcId="{2D3B3877-38C9-453F-9D85-3EE9B1C4BAB0}" destId="{D3E36DE8-0A5D-4CB0-8BC4-C6D05E030E3F}" srcOrd="1" destOrd="0" presId="urn:microsoft.com/office/officeart/2005/8/layout/hierarchy1"/>
  </dgm:cxnLst>
  <dgm:bg/>
  <dgm:whole/>
  <dgm:extLst>
    <a:ext uri="http://schemas.microsoft.com/office/drawing/2008/diagram">
      <dsp:dataModelExt xmlns:dsp="http://schemas.microsoft.com/office/drawing/2008/diagram" relId="rId2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71CE8B0-FA01-4675-A875-C778E2B30295}">
      <dsp:nvSpPr>
        <dsp:cNvPr id="0" name=""/>
        <dsp:cNvSpPr/>
      </dsp:nvSpPr>
      <dsp:spPr>
        <a:xfrm>
          <a:off x="4173458" y="1531281"/>
          <a:ext cx="1199008" cy="285309"/>
        </a:xfrm>
        <a:custGeom>
          <a:avLst/>
          <a:gdLst/>
          <a:ahLst/>
          <a:cxnLst/>
          <a:rect l="0" t="0" r="0" b="0"/>
          <a:pathLst>
            <a:path>
              <a:moveTo>
                <a:pt x="0" y="0"/>
              </a:moveTo>
              <a:lnTo>
                <a:pt x="0" y="194430"/>
              </a:lnTo>
              <a:lnTo>
                <a:pt x="1199008" y="194430"/>
              </a:lnTo>
              <a:lnTo>
                <a:pt x="1199008" y="285309"/>
              </a:lnTo>
            </a:path>
          </a:pathLst>
        </a:custGeom>
        <a:noFill/>
        <a:ln w="25400" cap="flat" cmpd="sng" algn="ctr">
          <a:solidFill>
            <a:schemeClr val="dk2">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C5B1A83-5403-4321-8255-5A5F59BD1B2D}">
      <dsp:nvSpPr>
        <dsp:cNvPr id="0" name=""/>
        <dsp:cNvSpPr/>
      </dsp:nvSpPr>
      <dsp:spPr>
        <a:xfrm>
          <a:off x="4127738" y="1531281"/>
          <a:ext cx="91440" cy="285309"/>
        </a:xfrm>
        <a:custGeom>
          <a:avLst/>
          <a:gdLst/>
          <a:ahLst/>
          <a:cxnLst/>
          <a:rect l="0" t="0" r="0" b="0"/>
          <a:pathLst>
            <a:path>
              <a:moveTo>
                <a:pt x="45720" y="0"/>
              </a:moveTo>
              <a:lnTo>
                <a:pt x="45720" y="285309"/>
              </a:lnTo>
            </a:path>
          </a:pathLst>
        </a:custGeom>
        <a:noFill/>
        <a:ln w="25400" cap="flat" cmpd="sng" algn="ctr">
          <a:solidFill>
            <a:schemeClr val="dk2">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5B78A8D-5F2C-47B7-85B9-A263B7BB1601}">
      <dsp:nvSpPr>
        <dsp:cNvPr id="0" name=""/>
        <dsp:cNvSpPr/>
      </dsp:nvSpPr>
      <dsp:spPr>
        <a:xfrm>
          <a:off x="2974449" y="1531281"/>
          <a:ext cx="1199008" cy="285309"/>
        </a:xfrm>
        <a:custGeom>
          <a:avLst/>
          <a:gdLst/>
          <a:ahLst/>
          <a:cxnLst/>
          <a:rect l="0" t="0" r="0" b="0"/>
          <a:pathLst>
            <a:path>
              <a:moveTo>
                <a:pt x="1199008" y="0"/>
              </a:moveTo>
              <a:lnTo>
                <a:pt x="1199008" y="194430"/>
              </a:lnTo>
              <a:lnTo>
                <a:pt x="0" y="194430"/>
              </a:lnTo>
              <a:lnTo>
                <a:pt x="0" y="285309"/>
              </a:lnTo>
            </a:path>
          </a:pathLst>
        </a:custGeom>
        <a:noFill/>
        <a:ln w="25400" cap="flat" cmpd="sng" algn="ctr">
          <a:solidFill>
            <a:schemeClr val="dk2">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4D9FB88-8102-4C97-8E5B-8F0A57705A7E}">
      <dsp:nvSpPr>
        <dsp:cNvPr id="0" name=""/>
        <dsp:cNvSpPr/>
      </dsp:nvSpPr>
      <dsp:spPr>
        <a:xfrm>
          <a:off x="2674697" y="623032"/>
          <a:ext cx="1498760" cy="285309"/>
        </a:xfrm>
        <a:custGeom>
          <a:avLst/>
          <a:gdLst/>
          <a:ahLst/>
          <a:cxnLst/>
          <a:rect l="0" t="0" r="0" b="0"/>
          <a:pathLst>
            <a:path>
              <a:moveTo>
                <a:pt x="0" y="0"/>
              </a:moveTo>
              <a:lnTo>
                <a:pt x="0" y="194430"/>
              </a:lnTo>
              <a:lnTo>
                <a:pt x="1498760" y="194430"/>
              </a:lnTo>
              <a:lnTo>
                <a:pt x="1498760" y="285309"/>
              </a:lnTo>
            </a:path>
          </a:pathLst>
        </a:custGeom>
        <a:noFill/>
        <a:ln w="25400" cap="flat" cmpd="sng" algn="ctr">
          <a:solidFill>
            <a:schemeClr val="dk2">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A8E14B2-D520-4886-82B0-4CC664F9EC8F}">
      <dsp:nvSpPr>
        <dsp:cNvPr id="0" name=""/>
        <dsp:cNvSpPr/>
      </dsp:nvSpPr>
      <dsp:spPr>
        <a:xfrm>
          <a:off x="1175936" y="1531281"/>
          <a:ext cx="599504" cy="285309"/>
        </a:xfrm>
        <a:custGeom>
          <a:avLst/>
          <a:gdLst/>
          <a:ahLst/>
          <a:cxnLst/>
          <a:rect l="0" t="0" r="0" b="0"/>
          <a:pathLst>
            <a:path>
              <a:moveTo>
                <a:pt x="0" y="0"/>
              </a:moveTo>
              <a:lnTo>
                <a:pt x="0" y="194430"/>
              </a:lnTo>
              <a:lnTo>
                <a:pt x="599504" y="194430"/>
              </a:lnTo>
              <a:lnTo>
                <a:pt x="599504" y="285309"/>
              </a:lnTo>
            </a:path>
          </a:pathLst>
        </a:custGeom>
        <a:noFill/>
        <a:ln w="25400" cap="flat" cmpd="sng" algn="ctr">
          <a:solidFill>
            <a:schemeClr val="dk2">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2E92FC2-156E-4BFA-95DC-4AF8D8D2742C}">
      <dsp:nvSpPr>
        <dsp:cNvPr id="0" name=""/>
        <dsp:cNvSpPr/>
      </dsp:nvSpPr>
      <dsp:spPr>
        <a:xfrm>
          <a:off x="576432" y="1531281"/>
          <a:ext cx="599504" cy="285309"/>
        </a:xfrm>
        <a:custGeom>
          <a:avLst/>
          <a:gdLst/>
          <a:ahLst/>
          <a:cxnLst/>
          <a:rect l="0" t="0" r="0" b="0"/>
          <a:pathLst>
            <a:path>
              <a:moveTo>
                <a:pt x="599504" y="0"/>
              </a:moveTo>
              <a:lnTo>
                <a:pt x="599504" y="194430"/>
              </a:lnTo>
              <a:lnTo>
                <a:pt x="0" y="194430"/>
              </a:lnTo>
              <a:lnTo>
                <a:pt x="0" y="285309"/>
              </a:lnTo>
            </a:path>
          </a:pathLst>
        </a:custGeom>
        <a:noFill/>
        <a:ln w="25400" cap="flat" cmpd="sng" algn="ctr">
          <a:solidFill>
            <a:schemeClr val="dk2">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D0FCFE2-BA35-4F6C-B017-0A597B63FABA}">
      <dsp:nvSpPr>
        <dsp:cNvPr id="0" name=""/>
        <dsp:cNvSpPr/>
      </dsp:nvSpPr>
      <dsp:spPr>
        <a:xfrm>
          <a:off x="1175936" y="623032"/>
          <a:ext cx="1498760" cy="285309"/>
        </a:xfrm>
        <a:custGeom>
          <a:avLst/>
          <a:gdLst/>
          <a:ahLst/>
          <a:cxnLst/>
          <a:rect l="0" t="0" r="0" b="0"/>
          <a:pathLst>
            <a:path>
              <a:moveTo>
                <a:pt x="1498760" y="0"/>
              </a:moveTo>
              <a:lnTo>
                <a:pt x="1498760" y="194430"/>
              </a:lnTo>
              <a:lnTo>
                <a:pt x="0" y="194430"/>
              </a:lnTo>
              <a:lnTo>
                <a:pt x="0" y="285309"/>
              </a:lnTo>
            </a:path>
          </a:pathLst>
        </a:custGeom>
        <a:noFill/>
        <a:ln w="25400" cap="flat" cmpd="sng" algn="ctr">
          <a:solidFill>
            <a:schemeClr val="dk2">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82A2069-9301-4E3A-B4D8-B0CF2711ACE2}">
      <dsp:nvSpPr>
        <dsp:cNvPr id="0" name=""/>
        <dsp:cNvSpPr/>
      </dsp:nvSpPr>
      <dsp:spPr>
        <a:xfrm>
          <a:off x="2184193" y="93"/>
          <a:ext cx="981007" cy="622939"/>
        </a:xfrm>
        <a:prstGeom prst="roundRect">
          <a:avLst>
            <a:gd name="adj" fmla="val 10000"/>
          </a:avLst>
        </a:prstGeom>
        <a:solidFill>
          <a:schemeClr val="dk2">
            <a:hueOff val="0"/>
            <a:satOff val="0"/>
            <a:lumOff val="0"/>
            <a:alphaOff val="0"/>
          </a:schemeClr>
        </a:solidFill>
        <a:ln w="25400"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EBA4EF60-84EA-4B52-BA40-91E54EF29A07}">
      <dsp:nvSpPr>
        <dsp:cNvPr id="0" name=""/>
        <dsp:cNvSpPr/>
      </dsp:nvSpPr>
      <dsp:spPr>
        <a:xfrm>
          <a:off x="2293194" y="103644"/>
          <a:ext cx="981007" cy="622939"/>
        </a:xfrm>
        <a:prstGeom prst="roundRect">
          <a:avLst>
            <a:gd name="adj" fmla="val 10000"/>
          </a:avLst>
        </a:prstGeom>
        <a:solidFill>
          <a:schemeClr val="lt2">
            <a:alpha val="90000"/>
            <a:hueOff val="0"/>
            <a:satOff val="0"/>
            <a:lumOff val="0"/>
            <a:alphaOff val="0"/>
          </a:schemeClr>
        </a:solidFill>
        <a:ln w="25400" cap="flat" cmpd="sng" algn="ctr">
          <a:solidFill>
            <a:schemeClr val="dk2">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lt-LT" sz="1000" kern="1200"/>
            <a:t>Savivaldybių funkcijos</a:t>
          </a:r>
          <a:endParaRPr lang="en-US" sz="1000" kern="1200"/>
        </a:p>
      </dsp:txBody>
      <dsp:txXfrm>
        <a:off x="2311439" y="121889"/>
        <a:ext cx="944517" cy="586449"/>
      </dsp:txXfrm>
    </dsp:sp>
    <dsp:sp modelId="{C63DDCF0-4D54-4679-8AD1-25CBBCA45235}">
      <dsp:nvSpPr>
        <dsp:cNvPr id="0" name=""/>
        <dsp:cNvSpPr/>
      </dsp:nvSpPr>
      <dsp:spPr>
        <a:xfrm>
          <a:off x="685433" y="908342"/>
          <a:ext cx="981007" cy="622939"/>
        </a:xfrm>
        <a:prstGeom prst="roundRect">
          <a:avLst>
            <a:gd name="adj" fmla="val 10000"/>
          </a:avLst>
        </a:prstGeom>
        <a:solidFill>
          <a:schemeClr val="dk2">
            <a:hueOff val="0"/>
            <a:satOff val="0"/>
            <a:lumOff val="0"/>
            <a:alphaOff val="0"/>
          </a:schemeClr>
        </a:solidFill>
        <a:ln w="25400"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EB957155-1DEE-40E4-A84C-2F1ADE21F951}">
      <dsp:nvSpPr>
        <dsp:cNvPr id="0" name=""/>
        <dsp:cNvSpPr/>
      </dsp:nvSpPr>
      <dsp:spPr>
        <a:xfrm>
          <a:off x="794433" y="1011893"/>
          <a:ext cx="981007" cy="622939"/>
        </a:xfrm>
        <a:prstGeom prst="roundRect">
          <a:avLst>
            <a:gd name="adj" fmla="val 10000"/>
          </a:avLst>
        </a:prstGeom>
        <a:solidFill>
          <a:schemeClr val="lt2">
            <a:alpha val="90000"/>
            <a:hueOff val="0"/>
            <a:satOff val="0"/>
            <a:lumOff val="0"/>
            <a:alphaOff val="0"/>
          </a:schemeClr>
        </a:solidFill>
        <a:ln w="25400" cap="flat" cmpd="sng" algn="ctr">
          <a:solidFill>
            <a:schemeClr val="dk2">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lt-LT" sz="1000" kern="1200"/>
            <a:t>Pagal sprendimų priėmimo laisvę</a:t>
          </a:r>
          <a:endParaRPr lang="en-US" sz="1000" kern="1200"/>
        </a:p>
      </dsp:txBody>
      <dsp:txXfrm>
        <a:off x="812678" y="1030138"/>
        <a:ext cx="944517" cy="586449"/>
      </dsp:txXfrm>
    </dsp:sp>
    <dsp:sp modelId="{0E7EA001-F139-4D30-8321-49047F967395}">
      <dsp:nvSpPr>
        <dsp:cNvPr id="0" name=""/>
        <dsp:cNvSpPr/>
      </dsp:nvSpPr>
      <dsp:spPr>
        <a:xfrm>
          <a:off x="85928" y="1816591"/>
          <a:ext cx="981007" cy="622939"/>
        </a:xfrm>
        <a:prstGeom prst="roundRect">
          <a:avLst>
            <a:gd name="adj" fmla="val 10000"/>
          </a:avLst>
        </a:prstGeom>
        <a:solidFill>
          <a:schemeClr val="dk2">
            <a:hueOff val="0"/>
            <a:satOff val="0"/>
            <a:lumOff val="0"/>
            <a:alphaOff val="0"/>
          </a:schemeClr>
        </a:solidFill>
        <a:ln w="25400"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F4E0D10F-5BC8-42ED-895A-0A5DB9ECF65F}">
      <dsp:nvSpPr>
        <dsp:cNvPr id="0" name=""/>
        <dsp:cNvSpPr/>
      </dsp:nvSpPr>
      <dsp:spPr>
        <a:xfrm>
          <a:off x="194929" y="1920142"/>
          <a:ext cx="981007" cy="622939"/>
        </a:xfrm>
        <a:prstGeom prst="roundRect">
          <a:avLst>
            <a:gd name="adj" fmla="val 10000"/>
          </a:avLst>
        </a:prstGeom>
        <a:solidFill>
          <a:schemeClr val="lt2">
            <a:alpha val="90000"/>
            <a:hueOff val="0"/>
            <a:satOff val="0"/>
            <a:lumOff val="0"/>
            <a:alphaOff val="0"/>
          </a:schemeClr>
        </a:solidFill>
        <a:ln w="25400" cap="flat" cmpd="sng" algn="ctr">
          <a:solidFill>
            <a:schemeClr val="dk2">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lt-LT" sz="1000" kern="1200"/>
            <a:t>Savarankiškos</a:t>
          </a:r>
          <a:endParaRPr lang="en-US" sz="1000" kern="1200"/>
        </a:p>
      </dsp:txBody>
      <dsp:txXfrm>
        <a:off x="213174" y="1938387"/>
        <a:ext cx="944517" cy="586449"/>
      </dsp:txXfrm>
    </dsp:sp>
    <dsp:sp modelId="{FD7C7110-5FA4-439F-AF11-E6B3D54395C3}">
      <dsp:nvSpPr>
        <dsp:cNvPr id="0" name=""/>
        <dsp:cNvSpPr/>
      </dsp:nvSpPr>
      <dsp:spPr>
        <a:xfrm>
          <a:off x="1284937" y="1816591"/>
          <a:ext cx="981007" cy="622939"/>
        </a:xfrm>
        <a:prstGeom prst="roundRect">
          <a:avLst>
            <a:gd name="adj" fmla="val 10000"/>
          </a:avLst>
        </a:prstGeom>
        <a:solidFill>
          <a:schemeClr val="dk2">
            <a:hueOff val="0"/>
            <a:satOff val="0"/>
            <a:lumOff val="0"/>
            <a:alphaOff val="0"/>
          </a:schemeClr>
        </a:solidFill>
        <a:ln w="25400"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786A9916-9A6D-4545-AB69-5084D448ADC1}">
      <dsp:nvSpPr>
        <dsp:cNvPr id="0" name=""/>
        <dsp:cNvSpPr/>
      </dsp:nvSpPr>
      <dsp:spPr>
        <a:xfrm>
          <a:off x="1393938" y="1920142"/>
          <a:ext cx="981007" cy="622939"/>
        </a:xfrm>
        <a:prstGeom prst="roundRect">
          <a:avLst>
            <a:gd name="adj" fmla="val 10000"/>
          </a:avLst>
        </a:prstGeom>
        <a:solidFill>
          <a:schemeClr val="lt2">
            <a:alpha val="90000"/>
            <a:hueOff val="0"/>
            <a:satOff val="0"/>
            <a:lumOff val="0"/>
            <a:alphaOff val="0"/>
          </a:schemeClr>
        </a:solidFill>
        <a:ln w="25400" cap="flat" cmpd="sng" algn="ctr">
          <a:solidFill>
            <a:schemeClr val="dk2">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lt-LT" sz="1000" kern="1200"/>
            <a:t>Valstybinės</a:t>
          </a:r>
          <a:endParaRPr lang="en-US" sz="1000" kern="1200"/>
        </a:p>
      </dsp:txBody>
      <dsp:txXfrm>
        <a:off x="1412183" y="1938387"/>
        <a:ext cx="944517" cy="586449"/>
      </dsp:txXfrm>
    </dsp:sp>
    <dsp:sp modelId="{FCC0B8CA-11FF-495B-9781-0B9E0B8EAD4A}">
      <dsp:nvSpPr>
        <dsp:cNvPr id="0" name=""/>
        <dsp:cNvSpPr/>
      </dsp:nvSpPr>
      <dsp:spPr>
        <a:xfrm>
          <a:off x="3682954" y="908342"/>
          <a:ext cx="981007" cy="622939"/>
        </a:xfrm>
        <a:prstGeom prst="roundRect">
          <a:avLst>
            <a:gd name="adj" fmla="val 10000"/>
          </a:avLst>
        </a:prstGeom>
        <a:solidFill>
          <a:schemeClr val="dk2">
            <a:hueOff val="0"/>
            <a:satOff val="0"/>
            <a:lumOff val="0"/>
            <a:alphaOff val="0"/>
          </a:schemeClr>
        </a:solidFill>
        <a:ln w="25400"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DABB6772-D1FF-4E8F-8DBE-4E86182A4ED9}">
      <dsp:nvSpPr>
        <dsp:cNvPr id="0" name=""/>
        <dsp:cNvSpPr/>
      </dsp:nvSpPr>
      <dsp:spPr>
        <a:xfrm>
          <a:off x="3791955" y="1011893"/>
          <a:ext cx="981007" cy="622939"/>
        </a:xfrm>
        <a:prstGeom prst="roundRect">
          <a:avLst>
            <a:gd name="adj" fmla="val 10000"/>
          </a:avLst>
        </a:prstGeom>
        <a:solidFill>
          <a:schemeClr val="lt2">
            <a:alpha val="90000"/>
            <a:hueOff val="0"/>
            <a:satOff val="0"/>
            <a:lumOff val="0"/>
            <a:alphaOff val="0"/>
          </a:schemeClr>
        </a:solidFill>
        <a:ln w="25400" cap="flat" cmpd="sng" algn="ctr">
          <a:solidFill>
            <a:schemeClr val="dk2">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lt-LT" sz="1000" kern="1200"/>
            <a:t>Pagal veiklos pobūdį</a:t>
          </a:r>
          <a:endParaRPr lang="en-US" sz="1000" kern="1200"/>
        </a:p>
      </dsp:txBody>
      <dsp:txXfrm>
        <a:off x="3810200" y="1030138"/>
        <a:ext cx="944517" cy="586449"/>
      </dsp:txXfrm>
    </dsp:sp>
    <dsp:sp modelId="{70EB7871-8206-4012-BF0E-9FD88A2A8329}">
      <dsp:nvSpPr>
        <dsp:cNvPr id="0" name=""/>
        <dsp:cNvSpPr/>
      </dsp:nvSpPr>
      <dsp:spPr>
        <a:xfrm>
          <a:off x="2483946" y="1816591"/>
          <a:ext cx="981007" cy="622939"/>
        </a:xfrm>
        <a:prstGeom prst="roundRect">
          <a:avLst>
            <a:gd name="adj" fmla="val 10000"/>
          </a:avLst>
        </a:prstGeom>
        <a:solidFill>
          <a:schemeClr val="dk2">
            <a:hueOff val="0"/>
            <a:satOff val="0"/>
            <a:lumOff val="0"/>
            <a:alphaOff val="0"/>
          </a:schemeClr>
        </a:solidFill>
        <a:ln w="25400"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C5AC05C6-5065-43E1-B3CD-E080885F785A}">
      <dsp:nvSpPr>
        <dsp:cNvPr id="0" name=""/>
        <dsp:cNvSpPr/>
      </dsp:nvSpPr>
      <dsp:spPr>
        <a:xfrm>
          <a:off x="2592946" y="1920142"/>
          <a:ext cx="981007" cy="622939"/>
        </a:xfrm>
        <a:prstGeom prst="roundRect">
          <a:avLst>
            <a:gd name="adj" fmla="val 10000"/>
          </a:avLst>
        </a:prstGeom>
        <a:solidFill>
          <a:schemeClr val="lt2">
            <a:alpha val="90000"/>
            <a:hueOff val="0"/>
            <a:satOff val="0"/>
            <a:lumOff val="0"/>
            <a:alphaOff val="0"/>
          </a:schemeClr>
        </a:solidFill>
        <a:ln w="25400" cap="flat" cmpd="sng" algn="ctr">
          <a:solidFill>
            <a:schemeClr val="dk2">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lt-LT" sz="1000" kern="1200"/>
            <a:t>Vietos valdžia</a:t>
          </a:r>
          <a:endParaRPr lang="en-US" sz="1000" kern="1200"/>
        </a:p>
      </dsp:txBody>
      <dsp:txXfrm>
        <a:off x="2611191" y="1938387"/>
        <a:ext cx="944517" cy="586449"/>
      </dsp:txXfrm>
    </dsp:sp>
    <dsp:sp modelId="{767A5685-8133-4A7E-8F63-09C576837726}">
      <dsp:nvSpPr>
        <dsp:cNvPr id="0" name=""/>
        <dsp:cNvSpPr/>
      </dsp:nvSpPr>
      <dsp:spPr>
        <a:xfrm>
          <a:off x="3682954" y="1816591"/>
          <a:ext cx="981007" cy="622939"/>
        </a:xfrm>
        <a:prstGeom prst="roundRect">
          <a:avLst>
            <a:gd name="adj" fmla="val 10000"/>
          </a:avLst>
        </a:prstGeom>
        <a:solidFill>
          <a:schemeClr val="dk2">
            <a:hueOff val="0"/>
            <a:satOff val="0"/>
            <a:lumOff val="0"/>
            <a:alphaOff val="0"/>
          </a:schemeClr>
        </a:solidFill>
        <a:ln w="25400"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2D1F1718-4B0F-4806-8B66-EB61D0345FB0}">
      <dsp:nvSpPr>
        <dsp:cNvPr id="0" name=""/>
        <dsp:cNvSpPr/>
      </dsp:nvSpPr>
      <dsp:spPr>
        <a:xfrm>
          <a:off x="3791955" y="1920142"/>
          <a:ext cx="981007" cy="622939"/>
        </a:xfrm>
        <a:prstGeom prst="roundRect">
          <a:avLst>
            <a:gd name="adj" fmla="val 10000"/>
          </a:avLst>
        </a:prstGeom>
        <a:solidFill>
          <a:schemeClr val="lt2">
            <a:alpha val="90000"/>
            <a:hueOff val="0"/>
            <a:satOff val="0"/>
            <a:lumOff val="0"/>
            <a:alphaOff val="0"/>
          </a:schemeClr>
        </a:solidFill>
        <a:ln w="25400" cap="flat" cmpd="sng" algn="ctr">
          <a:solidFill>
            <a:schemeClr val="dk2">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lt-LT" sz="1000" kern="1200"/>
            <a:t>Viešasisi administravimas</a:t>
          </a:r>
          <a:endParaRPr lang="en-US" sz="1000" kern="1200"/>
        </a:p>
      </dsp:txBody>
      <dsp:txXfrm>
        <a:off x="3810200" y="1938387"/>
        <a:ext cx="944517" cy="586449"/>
      </dsp:txXfrm>
    </dsp:sp>
    <dsp:sp modelId="{3BE00F5D-26AD-4D6D-868B-5FEF1AF531F0}">
      <dsp:nvSpPr>
        <dsp:cNvPr id="0" name=""/>
        <dsp:cNvSpPr/>
      </dsp:nvSpPr>
      <dsp:spPr>
        <a:xfrm>
          <a:off x="4881963" y="1816591"/>
          <a:ext cx="981007" cy="622939"/>
        </a:xfrm>
        <a:prstGeom prst="roundRect">
          <a:avLst>
            <a:gd name="adj" fmla="val 10000"/>
          </a:avLst>
        </a:prstGeom>
        <a:solidFill>
          <a:schemeClr val="dk2">
            <a:hueOff val="0"/>
            <a:satOff val="0"/>
            <a:lumOff val="0"/>
            <a:alphaOff val="0"/>
          </a:schemeClr>
        </a:solidFill>
        <a:ln w="25400"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28932A2B-ADA8-412E-B0F6-47E76EA24EA8}">
      <dsp:nvSpPr>
        <dsp:cNvPr id="0" name=""/>
        <dsp:cNvSpPr/>
      </dsp:nvSpPr>
      <dsp:spPr>
        <a:xfrm>
          <a:off x="4990964" y="1920142"/>
          <a:ext cx="981007" cy="622939"/>
        </a:xfrm>
        <a:prstGeom prst="roundRect">
          <a:avLst>
            <a:gd name="adj" fmla="val 10000"/>
          </a:avLst>
        </a:prstGeom>
        <a:solidFill>
          <a:schemeClr val="lt2">
            <a:alpha val="90000"/>
            <a:hueOff val="0"/>
            <a:satOff val="0"/>
            <a:lumOff val="0"/>
            <a:alphaOff val="0"/>
          </a:schemeClr>
        </a:solidFill>
        <a:ln w="25400" cap="flat" cmpd="sng" algn="ctr">
          <a:solidFill>
            <a:schemeClr val="dk2">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lt-LT" sz="1000" kern="1200"/>
            <a:t>Viešųjų paslaugų teikimas</a:t>
          </a:r>
          <a:endParaRPr lang="en-US" sz="1000" kern="1200"/>
        </a:p>
      </dsp:txBody>
      <dsp:txXfrm>
        <a:off x="5009209" y="1938387"/>
        <a:ext cx="944517" cy="586449"/>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2A9B49A-3C2B-42A6-B452-36DB904EB420}">
      <dsp:nvSpPr>
        <dsp:cNvPr id="0" name=""/>
        <dsp:cNvSpPr/>
      </dsp:nvSpPr>
      <dsp:spPr>
        <a:xfrm>
          <a:off x="2227121" y="518636"/>
          <a:ext cx="1292040" cy="1292040"/>
        </a:xfrm>
        <a:prstGeom prst="ellipse">
          <a:avLst/>
        </a:prstGeom>
        <a:solidFill>
          <a:schemeClr val="accent1">
            <a:alpha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16510" tIns="16510" rIns="16510" bIns="16510" numCol="1" spcCol="1270" anchor="ctr" anchorCtr="0">
          <a:noAutofit/>
        </a:bodyPr>
        <a:lstStyle/>
        <a:p>
          <a:pPr lvl="0" algn="ctr" defTabSz="577850">
            <a:lnSpc>
              <a:spcPct val="90000"/>
            </a:lnSpc>
            <a:spcBef>
              <a:spcPct val="0"/>
            </a:spcBef>
            <a:spcAft>
              <a:spcPct val="35000"/>
            </a:spcAft>
          </a:pPr>
          <a:r>
            <a:rPr lang="lt-LT" sz="1300" kern="1200"/>
            <a:t>Savivaldybių biudžeto išlaidos</a:t>
          </a:r>
          <a:endParaRPr lang="en-US" sz="1300" kern="1200"/>
        </a:p>
      </dsp:txBody>
      <dsp:txXfrm>
        <a:off x="2416336" y="707851"/>
        <a:ext cx="913610" cy="913610"/>
      </dsp:txXfrm>
    </dsp:sp>
    <dsp:sp modelId="{43DC1CE9-F9D4-48B5-AB44-DC0D35CAF5ED}">
      <dsp:nvSpPr>
        <dsp:cNvPr id="0" name=""/>
        <dsp:cNvSpPr/>
      </dsp:nvSpPr>
      <dsp:spPr>
        <a:xfrm>
          <a:off x="2550131" y="230"/>
          <a:ext cx="646020" cy="646020"/>
        </a:xfrm>
        <a:prstGeom prst="ellipse">
          <a:avLst/>
        </a:prstGeom>
        <a:solidFill>
          <a:schemeClr val="accent1">
            <a:alpha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8890" tIns="8890" rIns="8890" bIns="8890" numCol="1" spcCol="1270" anchor="ctr" anchorCtr="0">
          <a:noAutofit/>
        </a:bodyPr>
        <a:lstStyle/>
        <a:p>
          <a:pPr lvl="0" algn="ctr" defTabSz="311150">
            <a:lnSpc>
              <a:spcPct val="90000"/>
            </a:lnSpc>
            <a:spcBef>
              <a:spcPct val="0"/>
            </a:spcBef>
            <a:spcAft>
              <a:spcPct val="35000"/>
            </a:spcAft>
          </a:pPr>
          <a:r>
            <a:rPr lang="lt-LT" sz="700" kern="1200"/>
            <a:t>Bendros valstybės paslaugos</a:t>
          </a:r>
          <a:endParaRPr lang="en-US" sz="700" kern="1200"/>
        </a:p>
      </dsp:txBody>
      <dsp:txXfrm>
        <a:off x="2644738" y="94837"/>
        <a:ext cx="456806" cy="456806"/>
      </dsp:txXfrm>
    </dsp:sp>
    <dsp:sp modelId="{D45960CB-B63B-4962-8068-138EBD05EC4A}">
      <dsp:nvSpPr>
        <dsp:cNvPr id="0" name=""/>
        <dsp:cNvSpPr/>
      </dsp:nvSpPr>
      <dsp:spPr>
        <a:xfrm>
          <a:off x="3044703" y="160926"/>
          <a:ext cx="646020" cy="646020"/>
        </a:xfrm>
        <a:prstGeom prst="ellipse">
          <a:avLst/>
        </a:prstGeom>
        <a:solidFill>
          <a:schemeClr val="accent1">
            <a:alpha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8890" tIns="8890" rIns="8890" bIns="8890" numCol="1" spcCol="1270" anchor="ctr" anchorCtr="0">
          <a:noAutofit/>
        </a:bodyPr>
        <a:lstStyle/>
        <a:p>
          <a:pPr lvl="0" algn="ctr" defTabSz="311150">
            <a:lnSpc>
              <a:spcPct val="90000"/>
            </a:lnSpc>
            <a:spcBef>
              <a:spcPct val="0"/>
            </a:spcBef>
            <a:spcAft>
              <a:spcPct val="35000"/>
            </a:spcAft>
          </a:pPr>
          <a:r>
            <a:rPr lang="lt-LT" sz="700" kern="1200"/>
            <a:t>Gynyba</a:t>
          </a:r>
          <a:endParaRPr lang="en-US" sz="700" kern="1200"/>
        </a:p>
      </dsp:txBody>
      <dsp:txXfrm>
        <a:off x="3139310" y="255533"/>
        <a:ext cx="456806" cy="456806"/>
      </dsp:txXfrm>
    </dsp:sp>
    <dsp:sp modelId="{C21F802D-2267-4B6F-A08E-558E60463385}">
      <dsp:nvSpPr>
        <dsp:cNvPr id="0" name=""/>
        <dsp:cNvSpPr/>
      </dsp:nvSpPr>
      <dsp:spPr>
        <a:xfrm>
          <a:off x="3350365" y="581634"/>
          <a:ext cx="646020" cy="646020"/>
        </a:xfrm>
        <a:prstGeom prst="ellipse">
          <a:avLst/>
        </a:prstGeom>
        <a:solidFill>
          <a:schemeClr val="accent1">
            <a:alpha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8890" tIns="8890" rIns="8890" bIns="8890" numCol="1" spcCol="1270" anchor="ctr" anchorCtr="0">
          <a:noAutofit/>
        </a:bodyPr>
        <a:lstStyle/>
        <a:p>
          <a:pPr lvl="0" algn="ctr" defTabSz="311150">
            <a:lnSpc>
              <a:spcPct val="90000"/>
            </a:lnSpc>
            <a:spcBef>
              <a:spcPct val="0"/>
            </a:spcBef>
            <a:spcAft>
              <a:spcPct val="35000"/>
            </a:spcAft>
          </a:pPr>
          <a:r>
            <a:rPr lang="lt-LT" sz="700" kern="1200"/>
            <a:t>Viešoji tvarka ir visuomenės apsauga</a:t>
          </a:r>
          <a:endParaRPr lang="en-US" sz="700" kern="1200"/>
        </a:p>
      </dsp:txBody>
      <dsp:txXfrm>
        <a:off x="3444972" y="676241"/>
        <a:ext cx="456806" cy="456806"/>
      </dsp:txXfrm>
    </dsp:sp>
    <dsp:sp modelId="{135409EE-7B50-4ADC-8B5F-E0799077D1E9}">
      <dsp:nvSpPr>
        <dsp:cNvPr id="0" name=""/>
        <dsp:cNvSpPr/>
      </dsp:nvSpPr>
      <dsp:spPr>
        <a:xfrm>
          <a:off x="3350365" y="1101658"/>
          <a:ext cx="646020" cy="646020"/>
        </a:xfrm>
        <a:prstGeom prst="ellipse">
          <a:avLst/>
        </a:prstGeom>
        <a:solidFill>
          <a:schemeClr val="accent1">
            <a:alpha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8890" tIns="8890" rIns="8890" bIns="8890" numCol="1" spcCol="1270" anchor="ctr" anchorCtr="0">
          <a:noAutofit/>
        </a:bodyPr>
        <a:lstStyle/>
        <a:p>
          <a:pPr lvl="0" algn="ctr" defTabSz="311150">
            <a:lnSpc>
              <a:spcPct val="90000"/>
            </a:lnSpc>
            <a:spcBef>
              <a:spcPct val="0"/>
            </a:spcBef>
            <a:spcAft>
              <a:spcPct val="35000"/>
            </a:spcAft>
          </a:pPr>
          <a:r>
            <a:rPr lang="lt-LT" sz="700" kern="1200"/>
            <a:t>Ekonomika</a:t>
          </a:r>
          <a:endParaRPr lang="en-US" sz="700" kern="1200"/>
        </a:p>
      </dsp:txBody>
      <dsp:txXfrm>
        <a:off x="3444972" y="1196265"/>
        <a:ext cx="456806" cy="456806"/>
      </dsp:txXfrm>
    </dsp:sp>
    <dsp:sp modelId="{B3165A78-AF6B-4784-8991-2CB203F4E0B9}">
      <dsp:nvSpPr>
        <dsp:cNvPr id="0" name=""/>
        <dsp:cNvSpPr/>
      </dsp:nvSpPr>
      <dsp:spPr>
        <a:xfrm>
          <a:off x="3044703" y="1522365"/>
          <a:ext cx="646020" cy="646020"/>
        </a:xfrm>
        <a:prstGeom prst="ellipse">
          <a:avLst/>
        </a:prstGeom>
        <a:solidFill>
          <a:schemeClr val="accent1">
            <a:alpha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8890" tIns="8890" rIns="8890" bIns="8890" numCol="1" spcCol="1270" anchor="ctr" anchorCtr="0">
          <a:noAutofit/>
        </a:bodyPr>
        <a:lstStyle/>
        <a:p>
          <a:pPr lvl="0" algn="ctr" defTabSz="311150">
            <a:lnSpc>
              <a:spcPct val="90000"/>
            </a:lnSpc>
            <a:spcBef>
              <a:spcPct val="0"/>
            </a:spcBef>
            <a:spcAft>
              <a:spcPct val="35000"/>
            </a:spcAft>
          </a:pPr>
          <a:r>
            <a:rPr lang="lt-LT" sz="700" kern="1200"/>
            <a:t>Aplinkos apsauga</a:t>
          </a:r>
          <a:endParaRPr lang="en-US" sz="700" kern="1200"/>
        </a:p>
      </dsp:txBody>
      <dsp:txXfrm>
        <a:off x="3139310" y="1616972"/>
        <a:ext cx="456806" cy="456806"/>
      </dsp:txXfrm>
    </dsp:sp>
    <dsp:sp modelId="{2772E8C1-B6F7-4AC4-B74E-E7551C166D10}">
      <dsp:nvSpPr>
        <dsp:cNvPr id="0" name=""/>
        <dsp:cNvSpPr/>
      </dsp:nvSpPr>
      <dsp:spPr>
        <a:xfrm>
          <a:off x="2550131" y="1683061"/>
          <a:ext cx="646020" cy="646020"/>
        </a:xfrm>
        <a:prstGeom prst="ellipse">
          <a:avLst/>
        </a:prstGeom>
        <a:solidFill>
          <a:schemeClr val="accent1">
            <a:alpha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8890" tIns="8890" rIns="8890" bIns="8890" numCol="1" spcCol="1270" anchor="ctr" anchorCtr="0">
          <a:noAutofit/>
        </a:bodyPr>
        <a:lstStyle/>
        <a:p>
          <a:pPr lvl="0" algn="ctr" defTabSz="311150">
            <a:lnSpc>
              <a:spcPct val="90000"/>
            </a:lnSpc>
            <a:spcBef>
              <a:spcPct val="0"/>
            </a:spcBef>
            <a:spcAft>
              <a:spcPct val="35000"/>
            </a:spcAft>
          </a:pPr>
          <a:r>
            <a:rPr lang="lt-LT" sz="700" kern="1200"/>
            <a:t>Būstas ir komunalinis ūkis</a:t>
          </a:r>
          <a:endParaRPr lang="en-US" sz="700" kern="1200"/>
        </a:p>
      </dsp:txBody>
      <dsp:txXfrm>
        <a:off x="2644738" y="1777668"/>
        <a:ext cx="456806" cy="456806"/>
      </dsp:txXfrm>
    </dsp:sp>
    <dsp:sp modelId="{F5EC6E49-A313-442F-8752-AE61CC7D64CD}">
      <dsp:nvSpPr>
        <dsp:cNvPr id="0" name=""/>
        <dsp:cNvSpPr/>
      </dsp:nvSpPr>
      <dsp:spPr>
        <a:xfrm>
          <a:off x="2055559" y="1522365"/>
          <a:ext cx="646020" cy="646020"/>
        </a:xfrm>
        <a:prstGeom prst="ellipse">
          <a:avLst/>
        </a:prstGeom>
        <a:solidFill>
          <a:schemeClr val="accent1">
            <a:alpha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8890" tIns="8890" rIns="8890" bIns="8890" numCol="1" spcCol="1270" anchor="ctr" anchorCtr="0">
          <a:noAutofit/>
        </a:bodyPr>
        <a:lstStyle/>
        <a:p>
          <a:pPr lvl="0" algn="ctr" defTabSz="311150">
            <a:lnSpc>
              <a:spcPct val="90000"/>
            </a:lnSpc>
            <a:spcBef>
              <a:spcPct val="0"/>
            </a:spcBef>
            <a:spcAft>
              <a:spcPct val="35000"/>
            </a:spcAft>
          </a:pPr>
          <a:r>
            <a:rPr lang="lt-LT" sz="700" kern="1200"/>
            <a:t>Sveikatos apsauga</a:t>
          </a:r>
          <a:endParaRPr lang="en-US" sz="700" kern="1200"/>
        </a:p>
      </dsp:txBody>
      <dsp:txXfrm>
        <a:off x="2150166" y="1616972"/>
        <a:ext cx="456806" cy="456806"/>
      </dsp:txXfrm>
    </dsp:sp>
    <dsp:sp modelId="{951E050F-ED96-468E-B53A-FBCD93B37953}">
      <dsp:nvSpPr>
        <dsp:cNvPr id="0" name=""/>
        <dsp:cNvSpPr/>
      </dsp:nvSpPr>
      <dsp:spPr>
        <a:xfrm>
          <a:off x="1749897" y="1101658"/>
          <a:ext cx="646020" cy="646020"/>
        </a:xfrm>
        <a:prstGeom prst="ellipse">
          <a:avLst/>
        </a:prstGeom>
        <a:solidFill>
          <a:schemeClr val="accent1">
            <a:alpha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8890" tIns="8890" rIns="8890" bIns="8890" numCol="1" spcCol="1270" anchor="ctr" anchorCtr="0">
          <a:noAutofit/>
        </a:bodyPr>
        <a:lstStyle/>
        <a:p>
          <a:pPr lvl="0" algn="ctr" defTabSz="311150">
            <a:lnSpc>
              <a:spcPct val="90000"/>
            </a:lnSpc>
            <a:spcBef>
              <a:spcPct val="0"/>
            </a:spcBef>
            <a:spcAft>
              <a:spcPct val="35000"/>
            </a:spcAft>
          </a:pPr>
          <a:r>
            <a:rPr lang="lt-LT" sz="700" kern="1200"/>
            <a:t>Poilsis, kultūra ir religija</a:t>
          </a:r>
          <a:endParaRPr lang="en-US" sz="700" kern="1200"/>
        </a:p>
      </dsp:txBody>
      <dsp:txXfrm>
        <a:off x="1844504" y="1196265"/>
        <a:ext cx="456806" cy="456806"/>
      </dsp:txXfrm>
    </dsp:sp>
    <dsp:sp modelId="{6D850E3F-9070-4BAB-925A-A81EBFD492A7}">
      <dsp:nvSpPr>
        <dsp:cNvPr id="0" name=""/>
        <dsp:cNvSpPr/>
      </dsp:nvSpPr>
      <dsp:spPr>
        <a:xfrm>
          <a:off x="1749897" y="581634"/>
          <a:ext cx="646020" cy="646020"/>
        </a:xfrm>
        <a:prstGeom prst="ellipse">
          <a:avLst/>
        </a:prstGeom>
        <a:solidFill>
          <a:schemeClr val="accent1">
            <a:alpha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8890" tIns="8890" rIns="8890" bIns="8890" numCol="1" spcCol="1270" anchor="ctr" anchorCtr="0">
          <a:noAutofit/>
        </a:bodyPr>
        <a:lstStyle/>
        <a:p>
          <a:pPr lvl="0" algn="ctr" defTabSz="311150">
            <a:lnSpc>
              <a:spcPct val="90000"/>
            </a:lnSpc>
            <a:spcBef>
              <a:spcPct val="0"/>
            </a:spcBef>
            <a:spcAft>
              <a:spcPct val="35000"/>
            </a:spcAft>
          </a:pPr>
          <a:r>
            <a:rPr lang="lt-LT" sz="700" kern="1200"/>
            <a:t>Švietimas</a:t>
          </a:r>
          <a:endParaRPr lang="en-US" sz="700" kern="1200"/>
        </a:p>
      </dsp:txBody>
      <dsp:txXfrm>
        <a:off x="1844504" y="676241"/>
        <a:ext cx="456806" cy="456806"/>
      </dsp:txXfrm>
    </dsp:sp>
    <dsp:sp modelId="{CE7627CF-5311-486A-AD7F-00E2FB40E232}">
      <dsp:nvSpPr>
        <dsp:cNvPr id="0" name=""/>
        <dsp:cNvSpPr/>
      </dsp:nvSpPr>
      <dsp:spPr>
        <a:xfrm>
          <a:off x="2055559" y="160926"/>
          <a:ext cx="646020" cy="646020"/>
        </a:xfrm>
        <a:prstGeom prst="ellipse">
          <a:avLst/>
        </a:prstGeom>
        <a:solidFill>
          <a:schemeClr val="accent1">
            <a:alpha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8890" tIns="8890" rIns="8890" bIns="8890" numCol="1" spcCol="1270" anchor="ctr" anchorCtr="0">
          <a:noAutofit/>
        </a:bodyPr>
        <a:lstStyle/>
        <a:p>
          <a:pPr lvl="0" algn="ctr" defTabSz="311150">
            <a:lnSpc>
              <a:spcPct val="90000"/>
            </a:lnSpc>
            <a:spcBef>
              <a:spcPct val="0"/>
            </a:spcBef>
            <a:spcAft>
              <a:spcPct val="35000"/>
            </a:spcAft>
          </a:pPr>
          <a:r>
            <a:rPr lang="lt-LT" sz="700" kern="1200"/>
            <a:t>Socialinė apsauga</a:t>
          </a:r>
          <a:endParaRPr lang="en-US" sz="700" kern="1200"/>
        </a:p>
      </dsp:txBody>
      <dsp:txXfrm>
        <a:off x="2150166" y="255533"/>
        <a:ext cx="456806" cy="456806"/>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9E349D9-C5A4-4A23-BAE7-12EDE426E365}">
      <dsp:nvSpPr>
        <dsp:cNvPr id="0" name=""/>
        <dsp:cNvSpPr/>
      </dsp:nvSpPr>
      <dsp:spPr>
        <a:xfrm>
          <a:off x="2586891" y="753615"/>
          <a:ext cx="1450503" cy="345153"/>
        </a:xfrm>
        <a:custGeom>
          <a:avLst/>
          <a:gdLst/>
          <a:ahLst/>
          <a:cxnLst/>
          <a:rect l="0" t="0" r="0" b="0"/>
          <a:pathLst>
            <a:path>
              <a:moveTo>
                <a:pt x="0" y="0"/>
              </a:moveTo>
              <a:lnTo>
                <a:pt x="0" y="235212"/>
              </a:lnTo>
              <a:lnTo>
                <a:pt x="1450503" y="235212"/>
              </a:lnTo>
              <a:lnTo>
                <a:pt x="1450503" y="34515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8BFC402-91BD-4EFF-80E3-985F77ABA63B}">
      <dsp:nvSpPr>
        <dsp:cNvPr id="0" name=""/>
        <dsp:cNvSpPr/>
      </dsp:nvSpPr>
      <dsp:spPr>
        <a:xfrm>
          <a:off x="2541171" y="753615"/>
          <a:ext cx="91440" cy="345153"/>
        </a:xfrm>
        <a:custGeom>
          <a:avLst/>
          <a:gdLst/>
          <a:ahLst/>
          <a:cxnLst/>
          <a:rect l="0" t="0" r="0" b="0"/>
          <a:pathLst>
            <a:path>
              <a:moveTo>
                <a:pt x="45720" y="0"/>
              </a:moveTo>
              <a:lnTo>
                <a:pt x="45720" y="34515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167AC06-4373-4F7F-BFF8-9C3B17A56E74}">
      <dsp:nvSpPr>
        <dsp:cNvPr id="0" name=""/>
        <dsp:cNvSpPr/>
      </dsp:nvSpPr>
      <dsp:spPr>
        <a:xfrm>
          <a:off x="1136387" y="753615"/>
          <a:ext cx="1450503" cy="345153"/>
        </a:xfrm>
        <a:custGeom>
          <a:avLst/>
          <a:gdLst/>
          <a:ahLst/>
          <a:cxnLst/>
          <a:rect l="0" t="0" r="0" b="0"/>
          <a:pathLst>
            <a:path>
              <a:moveTo>
                <a:pt x="1450503" y="0"/>
              </a:moveTo>
              <a:lnTo>
                <a:pt x="1450503" y="235212"/>
              </a:lnTo>
              <a:lnTo>
                <a:pt x="0" y="235212"/>
              </a:lnTo>
              <a:lnTo>
                <a:pt x="0" y="34515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E529707-0F6D-4B25-A91E-436FBD55D81E}">
      <dsp:nvSpPr>
        <dsp:cNvPr id="0" name=""/>
        <dsp:cNvSpPr/>
      </dsp:nvSpPr>
      <dsp:spPr>
        <a:xfrm>
          <a:off x="1993503" y="12"/>
          <a:ext cx="1186775" cy="75360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A6D19084-B357-4076-ADAA-B4483D74AB7B}">
      <dsp:nvSpPr>
        <dsp:cNvPr id="0" name=""/>
        <dsp:cNvSpPr/>
      </dsp:nvSpPr>
      <dsp:spPr>
        <a:xfrm>
          <a:off x="2125367" y="125283"/>
          <a:ext cx="1186775" cy="753602"/>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lt-LT" sz="1400" kern="1200"/>
            <a:t>Savivaldybių biudžeto pajamos</a:t>
          </a:r>
          <a:endParaRPr lang="en-US" sz="1400" kern="1200"/>
        </a:p>
      </dsp:txBody>
      <dsp:txXfrm>
        <a:off x="2147439" y="147355"/>
        <a:ext cx="1142631" cy="709458"/>
      </dsp:txXfrm>
    </dsp:sp>
    <dsp:sp modelId="{EDCF7A20-5598-4AAF-B1A0-C972BC59FB81}">
      <dsp:nvSpPr>
        <dsp:cNvPr id="0" name=""/>
        <dsp:cNvSpPr/>
      </dsp:nvSpPr>
      <dsp:spPr>
        <a:xfrm>
          <a:off x="542999" y="1098769"/>
          <a:ext cx="1186775" cy="75360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1D60638A-D054-4F6E-BFB5-BB448D658401}">
      <dsp:nvSpPr>
        <dsp:cNvPr id="0" name=""/>
        <dsp:cNvSpPr/>
      </dsp:nvSpPr>
      <dsp:spPr>
        <a:xfrm>
          <a:off x="674863" y="1224040"/>
          <a:ext cx="1186775" cy="753602"/>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lt-LT" sz="1400" kern="1200"/>
            <a:t>Mokestinės pajamos</a:t>
          </a:r>
          <a:endParaRPr lang="en-US" sz="1400" kern="1200"/>
        </a:p>
      </dsp:txBody>
      <dsp:txXfrm>
        <a:off x="696935" y="1246112"/>
        <a:ext cx="1142631" cy="709458"/>
      </dsp:txXfrm>
    </dsp:sp>
    <dsp:sp modelId="{183B8BE5-0823-48AA-BB0A-D40F64D535FC}">
      <dsp:nvSpPr>
        <dsp:cNvPr id="0" name=""/>
        <dsp:cNvSpPr/>
      </dsp:nvSpPr>
      <dsp:spPr>
        <a:xfrm>
          <a:off x="1993503" y="1098769"/>
          <a:ext cx="1186775" cy="75360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F2878B18-83D0-4AE1-8B6C-349927EA8ED8}">
      <dsp:nvSpPr>
        <dsp:cNvPr id="0" name=""/>
        <dsp:cNvSpPr/>
      </dsp:nvSpPr>
      <dsp:spPr>
        <a:xfrm>
          <a:off x="2125367" y="1224040"/>
          <a:ext cx="1186775" cy="753602"/>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lt-LT" sz="1400" kern="1200"/>
            <a:t>Nemokestinės pajamos</a:t>
          </a:r>
          <a:endParaRPr lang="en-US" sz="1400" kern="1200"/>
        </a:p>
      </dsp:txBody>
      <dsp:txXfrm>
        <a:off x="2147439" y="1246112"/>
        <a:ext cx="1142631" cy="709458"/>
      </dsp:txXfrm>
    </dsp:sp>
    <dsp:sp modelId="{0882827F-191A-4382-B11B-B9E35F3E27FA}">
      <dsp:nvSpPr>
        <dsp:cNvPr id="0" name=""/>
        <dsp:cNvSpPr/>
      </dsp:nvSpPr>
      <dsp:spPr>
        <a:xfrm>
          <a:off x="3444007" y="1098769"/>
          <a:ext cx="1186775" cy="75360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1B37C88C-62F9-448F-AB58-1567971803F2}">
      <dsp:nvSpPr>
        <dsp:cNvPr id="0" name=""/>
        <dsp:cNvSpPr/>
      </dsp:nvSpPr>
      <dsp:spPr>
        <a:xfrm>
          <a:off x="3575871" y="1224040"/>
          <a:ext cx="1186775" cy="753602"/>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lt-LT" sz="1400" kern="1200"/>
            <a:t>Dotacijos</a:t>
          </a:r>
          <a:endParaRPr lang="en-US" sz="1400" kern="1200"/>
        </a:p>
      </dsp:txBody>
      <dsp:txXfrm>
        <a:off x="3597943" y="1246112"/>
        <a:ext cx="1142631" cy="709458"/>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648CD4-A616-4F6C-BA81-9AE3C8AA7EE3}">
      <dsp:nvSpPr>
        <dsp:cNvPr id="0" name=""/>
        <dsp:cNvSpPr/>
      </dsp:nvSpPr>
      <dsp:spPr>
        <a:xfrm>
          <a:off x="2500881" y="744830"/>
          <a:ext cx="1433371" cy="341077"/>
        </a:xfrm>
        <a:custGeom>
          <a:avLst/>
          <a:gdLst/>
          <a:ahLst/>
          <a:cxnLst/>
          <a:rect l="0" t="0" r="0" b="0"/>
          <a:pathLst>
            <a:path>
              <a:moveTo>
                <a:pt x="0" y="0"/>
              </a:moveTo>
              <a:lnTo>
                <a:pt x="0" y="232434"/>
              </a:lnTo>
              <a:lnTo>
                <a:pt x="1433371" y="232434"/>
              </a:lnTo>
              <a:lnTo>
                <a:pt x="1433371" y="34107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B7BF256-9F97-4CAB-B238-33E4F694FB62}">
      <dsp:nvSpPr>
        <dsp:cNvPr id="0" name=""/>
        <dsp:cNvSpPr/>
      </dsp:nvSpPr>
      <dsp:spPr>
        <a:xfrm>
          <a:off x="2455161" y="744830"/>
          <a:ext cx="91440" cy="341077"/>
        </a:xfrm>
        <a:custGeom>
          <a:avLst/>
          <a:gdLst/>
          <a:ahLst/>
          <a:cxnLst/>
          <a:rect l="0" t="0" r="0" b="0"/>
          <a:pathLst>
            <a:path>
              <a:moveTo>
                <a:pt x="45720" y="0"/>
              </a:moveTo>
              <a:lnTo>
                <a:pt x="45720" y="34107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1315B26-192C-4263-B398-80E4B014EEE4}">
      <dsp:nvSpPr>
        <dsp:cNvPr id="0" name=""/>
        <dsp:cNvSpPr/>
      </dsp:nvSpPr>
      <dsp:spPr>
        <a:xfrm>
          <a:off x="1067510" y="744830"/>
          <a:ext cx="1433371" cy="341077"/>
        </a:xfrm>
        <a:custGeom>
          <a:avLst/>
          <a:gdLst/>
          <a:ahLst/>
          <a:cxnLst/>
          <a:rect l="0" t="0" r="0" b="0"/>
          <a:pathLst>
            <a:path>
              <a:moveTo>
                <a:pt x="1433371" y="0"/>
              </a:moveTo>
              <a:lnTo>
                <a:pt x="1433371" y="232434"/>
              </a:lnTo>
              <a:lnTo>
                <a:pt x="0" y="232434"/>
              </a:lnTo>
              <a:lnTo>
                <a:pt x="0" y="34107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2C0C32F-5016-46AA-9755-3EB9764B2435}">
      <dsp:nvSpPr>
        <dsp:cNvPr id="0" name=""/>
        <dsp:cNvSpPr/>
      </dsp:nvSpPr>
      <dsp:spPr>
        <a:xfrm>
          <a:off x="1914502" y="129"/>
          <a:ext cx="1172758" cy="74470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8E75052A-2006-4AF0-A1D9-84E71B6F2443}">
      <dsp:nvSpPr>
        <dsp:cNvPr id="0" name=""/>
        <dsp:cNvSpPr/>
      </dsp:nvSpPr>
      <dsp:spPr>
        <a:xfrm>
          <a:off x="2044809" y="123920"/>
          <a:ext cx="1172758" cy="744701"/>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lt-LT" sz="1000" kern="1200"/>
            <a:t>Valstybės biudžeto dotacijos </a:t>
          </a:r>
          <a:endParaRPr lang="en-US" sz="1000" kern="1200"/>
        </a:p>
      </dsp:txBody>
      <dsp:txXfrm>
        <a:off x="2066621" y="145732"/>
        <a:ext cx="1129134" cy="701077"/>
      </dsp:txXfrm>
    </dsp:sp>
    <dsp:sp modelId="{A97B9D95-A9D1-422A-85F8-C3780ED42D03}">
      <dsp:nvSpPr>
        <dsp:cNvPr id="0" name=""/>
        <dsp:cNvSpPr/>
      </dsp:nvSpPr>
      <dsp:spPr>
        <a:xfrm>
          <a:off x="481131" y="1085908"/>
          <a:ext cx="1172758" cy="74470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F3DD90CA-9571-436F-BE46-729E9E5C4A22}">
      <dsp:nvSpPr>
        <dsp:cNvPr id="0" name=""/>
        <dsp:cNvSpPr/>
      </dsp:nvSpPr>
      <dsp:spPr>
        <a:xfrm>
          <a:off x="611438" y="1209699"/>
          <a:ext cx="1172758" cy="744701"/>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lt-LT" sz="1000" kern="1200"/>
            <a:t>Valstybės biudžeto bendroji dotacija</a:t>
          </a:r>
          <a:endParaRPr lang="en-US" sz="1000" kern="1200"/>
        </a:p>
      </dsp:txBody>
      <dsp:txXfrm>
        <a:off x="633250" y="1231511"/>
        <a:ext cx="1129134" cy="701077"/>
      </dsp:txXfrm>
    </dsp:sp>
    <dsp:sp modelId="{3043D1DE-CDA3-47FB-BD75-744210C3934C}">
      <dsp:nvSpPr>
        <dsp:cNvPr id="0" name=""/>
        <dsp:cNvSpPr/>
      </dsp:nvSpPr>
      <dsp:spPr>
        <a:xfrm>
          <a:off x="1914502" y="1085908"/>
          <a:ext cx="1172758" cy="74470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866EB292-77C1-4691-98A0-511EA6627F1C}">
      <dsp:nvSpPr>
        <dsp:cNvPr id="0" name=""/>
        <dsp:cNvSpPr/>
      </dsp:nvSpPr>
      <dsp:spPr>
        <a:xfrm>
          <a:off x="2044809" y="1209699"/>
          <a:ext cx="1172758" cy="744701"/>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lt-LT" sz="1000" kern="1200"/>
            <a:t>Valstybės biudžeto specialios tikslinės dotacijos</a:t>
          </a:r>
          <a:endParaRPr lang="en-US" sz="1000" kern="1200"/>
        </a:p>
      </dsp:txBody>
      <dsp:txXfrm>
        <a:off x="2066621" y="1231511"/>
        <a:ext cx="1129134" cy="701077"/>
      </dsp:txXfrm>
    </dsp:sp>
    <dsp:sp modelId="{2B4BC33C-240A-40F7-85F4-DB62114B3ACC}">
      <dsp:nvSpPr>
        <dsp:cNvPr id="0" name=""/>
        <dsp:cNvSpPr/>
      </dsp:nvSpPr>
      <dsp:spPr>
        <a:xfrm>
          <a:off x="3347873" y="1085908"/>
          <a:ext cx="1172758" cy="74470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1CBBC732-DB23-4F59-A898-C868FDF05B52}">
      <dsp:nvSpPr>
        <dsp:cNvPr id="0" name=""/>
        <dsp:cNvSpPr/>
      </dsp:nvSpPr>
      <dsp:spPr>
        <a:xfrm>
          <a:off x="3478180" y="1209699"/>
          <a:ext cx="1172758" cy="744701"/>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lt-LT" sz="1000" kern="1200"/>
            <a:t>Valstybės biudžeto bendrosios dotacijos kompensacijos</a:t>
          </a:r>
          <a:endParaRPr lang="en-US" sz="1000" kern="1200"/>
        </a:p>
      </dsp:txBody>
      <dsp:txXfrm>
        <a:off x="3499992" y="1231511"/>
        <a:ext cx="1129134" cy="701077"/>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radial3">
  <dgm:title val=""/>
  <dgm:desc val=""/>
  <dgm:catLst>
    <dgm:cat type="relationship" pri="31000"/>
    <dgm:cat type="cycle" pri="12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omposite">
    <dgm:varLst>
      <dgm:chMax val="1"/>
      <dgm:dir/>
      <dgm:resizeHandles val="exact"/>
    </dgm:varLst>
    <dgm:alg type="composite">
      <dgm:param type="ar" val="1"/>
    </dgm:alg>
    <dgm:shape xmlns:r="http://schemas.openxmlformats.org/officeDocument/2006/relationships" r:blip="">
      <dgm:adjLst/>
    </dgm:shape>
    <dgm:presOf/>
    <dgm:constrLst/>
    <dgm:ruleLst/>
    <dgm:layoutNode name="radial">
      <dgm:varLst>
        <dgm:animLvl val="ctr"/>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h" for="ch" forName="centerShape" refType="h"/>
        <dgm:constr type="w" for="ch" forName="node" refType="w" fact="0.5"/>
        <dgm:constr type="h" for="ch" forName="node" refType="h" fact="0.5"/>
        <dgm:constr type="sp" refType="w" refFor="ch" refForName="node" fact="-0.2"/>
        <dgm:constr type="sibSp" refType="w" refFor="ch" refForName="node" fact="-0.2"/>
        <dgm:constr type="primFontSz" for="ch" forName="centerShape" val="65"/>
        <dgm:constr type="primFontSz" for="des" forName="node" val="65"/>
        <dgm:constr type="primFontSz" for="ch" forName="node" refType="primFontSz" refFor="ch" refForName="centerShape" op="lte"/>
      </dgm:constrLst>
      <dgm:ruleLst/>
      <dgm:forEach name="Name6" axis="ch" ptType="node" cnt="1">
        <dgm:layoutNode name="centerShape" styleLbl="vennNode1">
          <dgm:alg type="tx"/>
          <dgm:shape xmlns:r="http://schemas.openxmlformats.org/officeDocument/2006/relationships" type="ellipse" r:blip="">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7" axis="ch" ptType="node">
          <dgm:layoutNode name="node" styleLbl="vennNode1">
            <dgm:varLst>
              <dgm:bulletEnabled val="1"/>
            </dgm:varLst>
            <dgm:alg type="tx">
              <dgm:param type="txAnchorVertCh" val="mid"/>
            </dgm:alg>
            <dgm:shape xmlns:r="http://schemas.openxmlformats.org/officeDocument/2006/relationships" type="ellipse" r:blip="">
              <dgm:adjLst/>
            </dgm:shape>
            <dgm:presOf axis="desOrSelf" ptType="node"/>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dgm:forEach>
    </dgm:layoutNode>
  </dgm:layoutNode>
</dgm:layoutDef>
</file>

<file path=word/diagrams/layout3.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rawings/drawing1.xml><?xml version="1.0" encoding="utf-8"?>
<c:userShapes xmlns:c="http://schemas.openxmlformats.org/drawingml/2006/chart">
  <cdr:relSizeAnchor xmlns:cdr="http://schemas.openxmlformats.org/drawingml/2006/chartDrawing">
    <cdr:from>
      <cdr:x>0</cdr:x>
      <cdr:y>0.3987</cdr:y>
    </cdr:from>
    <cdr:to>
      <cdr:x>0.06656</cdr:x>
      <cdr:y>0.56287</cdr:y>
    </cdr:to>
    <cdr:sp macro="" textlink="">
      <cdr:nvSpPr>
        <cdr:cNvPr id="2" name="Text Box 1"/>
        <cdr:cNvSpPr txBox="1"/>
      </cdr:nvSpPr>
      <cdr:spPr>
        <a:xfrm xmlns:a="http://schemas.openxmlformats.org/drawingml/2006/main">
          <a:off x="0" y="1165860"/>
          <a:ext cx="388620" cy="480060"/>
        </a:xfrm>
        <a:prstGeom xmlns:a="http://schemas.openxmlformats.org/drawingml/2006/main" prst="rect">
          <a:avLst/>
        </a:prstGeom>
      </cdr:spPr>
      <cdr:txBody>
        <a:bodyPr xmlns:a="http://schemas.openxmlformats.org/drawingml/2006/main" vertOverflow="clip" vert="vert270" wrap="square" rtlCol="0"/>
        <a:lstStyle xmlns:a="http://schemas.openxmlformats.org/drawingml/2006/main"/>
        <a:p xmlns:a="http://schemas.openxmlformats.org/drawingml/2006/main">
          <a:r>
            <a:rPr lang="en-US" sz="1100"/>
            <a:t>proc.</a:t>
          </a:r>
        </a:p>
      </cdr:txBody>
    </cdr:sp>
  </cdr:relSizeAnchor>
</c:userShapes>
</file>

<file path=word/drawings/drawing10.xml><?xml version="1.0" encoding="utf-8"?>
<c:userShapes xmlns:c="http://schemas.openxmlformats.org/drawingml/2006/chart">
  <cdr:relSizeAnchor xmlns:cdr="http://schemas.openxmlformats.org/drawingml/2006/chartDrawing">
    <cdr:from>
      <cdr:x>0.01673</cdr:x>
      <cdr:y>0.3018</cdr:y>
    </cdr:from>
    <cdr:to>
      <cdr:x>0.06691</cdr:x>
      <cdr:y>0.6036</cdr:y>
    </cdr:to>
    <cdr:sp macro="" textlink="">
      <cdr:nvSpPr>
        <cdr:cNvPr id="2" name="Text Box 1"/>
        <cdr:cNvSpPr txBox="1"/>
      </cdr:nvSpPr>
      <cdr:spPr>
        <a:xfrm xmlns:a="http://schemas.openxmlformats.org/drawingml/2006/main">
          <a:off x="102870" y="765810"/>
          <a:ext cx="308610" cy="765810"/>
        </a:xfrm>
        <a:prstGeom xmlns:a="http://schemas.openxmlformats.org/drawingml/2006/main" prst="rect">
          <a:avLst/>
        </a:prstGeom>
      </cdr:spPr>
      <cdr:txBody>
        <a:bodyPr xmlns:a="http://schemas.openxmlformats.org/drawingml/2006/main" vertOverflow="clip" vert="vert270" wrap="square" rtlCol="0"/>
        <a:lstStyle xmlns:a="http://schemas.openxmlformats.org/drawingml/2006/main"/>
        <a:p xmlns:a="http://schemas.openxmlformats.org/drawingml/2006/main">
          <a:r>
            <a:rPr lang="en-US" sz="1100"/>
            <a:t>proc.</a:t>
          </a:r>
        </a:p>
      </cdr:txBody>
    </cdr:sp>
  </cdr:relSizeAnchor>
</c:userShapes>
</file>

<file path=word/drawings/drawing11.xml><?xml version="1.0" encoding="utf-8"?>
<c:userShapes xmlns:c="http://schemas.openxmlformats.org/drawingml/2006/chart">
  <cdr:relSizeAnchor xmlns:cdr="http://schemas.openxmlformats.org/drawingml/2006/chartDrawing">
    <cdr:from>
      <cdr:x>0</cdr:x>
      <cdr:y>0.13261</cdr:y>
    </cdr:from>
    <cdr:to>
      <cdr:x>0.0662</cdr:x>
      <cdr:y>0.53597</cdr:y>
    </cdr:to>
    <cdr:sp macro="" textlink="">
      <cdr:nvSpPr>
        <cdr:cNvPr id="2" name="Text Box 1"/>
        <cdr:cNvSpPr txBox="1"/>
      </cdr:nvSpPr>
      <cdr:spPr>
        <a:xfrm xmlns:a="http://schemas.openxmlformats.org/drawingml/2006/main">
          <a:off x="0" y="313509"/>
          <a:ext cx="365759" cy="953589"/>
        </a:xfrm>
        <a:prstGeom xmlns:a="http://schemas.openxmlformats.org/drawingml/2006/main" prst="rect">
          <a:avLst/>
        </a:prstGeom>
      </cdr:spPr>
      <cdr:txBody>
        <a:bodyPr xmlns:a="http://schemas.openxmlformats.org/drawingml/2006/main" vertOverflow="clip" vert="vert270" wrap="square" rtlCol="0"/>
        <a:lstStyle xmlns:a="http://schemas.openxmlformats.org/drawingml/2006/main"/>
        <a:p xmlns:a="http://schemas.openxmlformats.org/drawingml/2006/main">
          <a:r>
            <a:rPr lang="lt-LT" sz="1100"/>
            <a:t>proc.</a:t>
          </a:r>
          <a:endParaRPr lang="en-US" sz="1100"/>
        </a:p>
      </cdr:txBody>
    </cdr:sp>
  </cdr:relSizeAnchor>
</c:userShapes>
</file>

<file path=word/drawings/drawing12.xml><?xml version="1.0" encoding="utf-8"?>
<c:userShapes xmlns:c="http://schemas.openxmlformats.org/drawingml/2006/chart">
  <cdr:relSizeAnchor xmlns:cdr="http://schemas.openxmlformats.org/drawingml/2006/chartDrawing">
    <cdr:from>
      <cdr:x>0</cdr:x>
      <cdr:y>0.31429</cdr:y>
    </cdr:from>
    <cdr:to>
      <cdr:x>0.04892</cdr:x>
      <cdr:y>0.58929</cdr:y>
    </cdr:to>
    <cdr:sp macro="" textlink="">
      <cdr:nvSpPr>
        <cdr:cNvPr id="2" name="Text Box 1"/>
        <cdr:cNvSpPr txBox="1"/>
      </cdr:nvSpPr>
      <cdr:spPr>
        <a:xfrm xmlns:a="http://schemas.openxmlformats.org/drawingml/2006/main">
          <a:off x="0" y="1005840"/>
          <a:ext cx="285750" cy="880110"/>
        </a:xfrm>
        <a:prstGeom xmlns:a="http://schemas.openxmlformats.org/drawingml/2006/main" prst="rect">
          <a:avLst/>
        </a:prstGeom>
      </cdr:spPr>
      <cdr:txBody>
        <a:bodyPr xmlns:a="http://schemas.openxmlformats.org/drawingml/2006/main" vertOverflow="clip" vert="vert270" wrap="square" rtlCol="0"/>
        <a:lstStyle xmlns:a="http://schemas.openxmlformats.org/drawingml/2006/main"/>
        <a:p xmlns:a="http://schemas.openxmlformats.org/drawingml/2006/main">
          <a:r>
            <a:rPr lang="en-US" sz="1100"/>
            <a:t>proc.</a:t>
          </a:r>
        </a:p>
      </cdr:txBody>
    </cdr:sp>
  </cdr:relSizeAnchor>
</c:userShapes>
</file>

<file path=word/drawings/drawing13.xml><?xml version="1.0" encoding="utf-8"?>
<c:userShapes xmlns:c="http://schemas.openxmlformats.org/drawingml/2006/chart">
  <cdr:relSizeAnchor xmlns:cdr="http://schemas.openxmlformats.org/drawingml/2006/chartDrawing">
    <cdr:from>
      <cdr:x>0.01624</cdr:x>
      <cdr:y>0.14286</cdr:y>
    </cdr:from>
    <cdr:to>
      <cdr:x>0.19258</cdr:x>
      <cdr:y>0.93469</cdr:y>
    </cdr:to>
    <cdr:sp macro="" textlink="">
      <cdr:nvSpPr>
        <cdr:cNvPr id="2" name="Text Box 1"/>
        <cdr:cNvSpPr txBox="1"/>
      </cdr:nvSpPr>
      <cdr:spPr>
        <a:xfrm xmlns:a="http://schemas.openxmlformats.org/drawingml/2006/main">
          <a:off x="91440" y="457200"/>
          <a:ext cx="992777" cy="253419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US" sz="1100">
            <a:latin typeface="Times New Roman" pitchFamily="18" charset="0"/>
            <a:cs typeface="Times New Roman" pitchFamily="18" charset="0"/>
          </a:endParaRPr>
        </a:p>
      </cdr:txBody>
    </cdr:sp>
  </cdr:relSizeAnchor>
</c:userShapes>
</file>

<file path=word/drawings/drawing14.xml><?xml version="1.0" encoding="utf-8"?>
<c:userShapes xmlns:c="http://schemas.openxmlformats.org/drawingml/2006/chart">
  <cdr:relSizeAnchor xmlns:cdr="http://schemas.openxmlformats.org/drawingml/2006/chartDrawing">
    <cdr:from>
      <cdr:x>0</cdr:x>
      <cdr:y>0.3125</cdr:y>
    </cdr:from>
    <cdr:to>
      <cdr:x>0.05668</cdr:x>
      <cdr:y>0.625</cdr:y>
    </cdr:to>
    <cdr:sp macro="" textlink="">
      <cdr:nvSpPr>
        <cdr:cNvPr id="2" name="Text Box 1"/>
        <cdr:cNvSpPr txBox="1"/>
      </cdr:nvSpPr>
      <cdr:spPr>
        <a:xfrm xmlns:a="http://schemas.openxmlformats.org/drawingml/2006/main">
          <a:off x="0" y="800100"/>
          <a:ext cx="320040" cy="800100"/>
        </a:xfrm>
        <a:prstGeom xmlns:a="http://schemas.openxmlformats.org/drawingml/2006/main" prst="rect">
          <a:avLst/>
        </a:prstGeom>
      </cdr:spPr>
      <cdr:txBody>
        <a:bodyPr xmlns:a="http://schemas.openxmlformats.org/drawingml/2006/main" vertOverflow="clip" vert="vert270" wrap="square" rtlCol="0"/>
        <a:lstStyle xmlns:a="http://schemas.openxmlformats.org/drawingml/2006/main"/>
        <a:p xmlns:a="http://schemas.openxmlformats.org/drawingml/2006/main">
          <a:r>
            <a:rPr lang="en-US" sz="1100"/>
            <a:t>t</a:t>
          </a:r>
          <a:r>
            <a:rPr lang="lt-LT" sz="1100"/>
            <a:t>ūkst.</a:t>
          </a:r>
          <a:endParaRPr lang="en-US" sz="1100"/>
        </a:p>
      </cdr:txBody>
    </cdr:sp>
  </cdr:relSizeAnchor>
</c:userShapes>
</file>

<file path=word/drawings/drawing15.xml><?xml version="1.0" encoding="utf-8"?>
<c:userShapes xmlns:c="http://schemas.openxmlformats.org/drawingml/2006/chart">
  <cdr:relSizeAnchor xmlns:cdr="http://schemas.openxmlformats.org/drawingml/2006/chartDrawing">
    <cdr:from>
      <cdr:x>0.02469</cdr:x>
      <cdr:y>0.25893</cdr:y>
    </cdr:from>
    <cdr:to>
      <cdr:x>0.06996</cdr:x>
      <cdr:y>0.45089</cdr:y>
    </cdr:to>
    <cdr:sp macro="" textlink="">
      <cdr:nvSpPr>
        <cdr:cNvPr id="2" name="Text Box 1"/>
        <cdr:cNvSpPr txBox="1"/>
      </cdr:nvSpPr>
      <cdr:spPr>
        <a:xfrm xmlns:a="http://schemas.openxmlformats.org/drawingml/2006/main">
          <a:off x="137160" y="662940"/>
          <a:ext cx="251460" cy="491490"/>
        </a:xfrm>
        <a:prstGeom xmlns:a="http://schemas.openxmlformats.org/drawingml/2006/main" prst="rect">
          <a:avLst/>
        </a:prstGeom>
      </cdr:spPr>
      <cdr:txBody>
        <a:bodyPr xmlns:a="http://schemas.openxmlformats.org/drawingml/2006/main" vertOverflow="clip" vert="vert270" wrap="square" rtlCol="0"/>
        <a:lstStyle xmlns:a="http://schemas.openxmlformats.org/drawingml/2006/main"/>
        <a:p xmlns:a="http://schemas.openxmlformats.org/drawingml/2006/main">
          <a:r>
            <a:rPr lang="en-US" sz="1100" b="1">
              <a:latin typeface="Times New Roman" pitchFamily="18" charset="0"/>
              <a:cs typeface="Times New Roman" pitchFamily="18" charset="0"/>
            </a:rPr>
            <a:t>Lt</a:t>
          </a:r>
        </a:p>
      </cdr:txBody>
    </cdr:sp>
  </cdr:relSizeAnchor>
</c:userShapes>
</file>

<file path=word/drawings/drawing2.xml><?xml version="1.0" encoding="utf-8"?>
<c:userShapes xmlns:c="http://schemas.openxmlformats.org/drawingml/2006/chart">
  <cdr:relSizeAnchor xmlns:cdr="http://schemas.openxmlformats.org/drawingml/2006/chartDrawing">
    <cdr:from>
      <cdr:x>0</cdr:x>
      <cdr:y>0.33333</cdr:y>
    </cdr:from>
    <cdr:to>
      <cdr:x>0.05973</cdr:x>
      <cdr:y>0.64327</cdr:y>
    </cdr:to>
    <cdr:sp macro="" textlink="">
      <cdr:nvSpPr>
        <cdr:cNvPr id="2" name="Text Box 1"/>
        <cdr:cNvSpPr txBox="1"/>
      </cdr:nvSpPr>
      <cdr:spPr>
        <a:xfrm xmlns:a="http://schemas.openxmlformats.org/drawingml/2006/main">
          <a:off x="0" y="651510"/>
          <a:ext cx="308610" cy="605790"/>
        </a:xfrm>
        <a:prstGeom xmlns:a="http://schemas.openxmlformats.org/drawingml/2006/main" prst="rect">
          <a:avLst/>
        </a:prstGeom>
      </cdr:spPr>
      <cdr:txBody>
        <a:bodyPr xmlns:a="http://schemas.openxmlformats.org/drawingml/2006/main" vertOverflow="clip" vert="vert270" wrap="square" rtlCol="0"/>
        <a:lstStyle xmlns:a="http://schemas.openxmlformats.org/drawingml/2006/main"/>
        <a:p xmlns:a="http://schemas.openxmlformats.org/drawingml/2006/main">
          <a:r>
            <a:rPr lang="lt-LT" sz="1100"/>
            <a:t>proc.</a:t>
          </a:r>
          <a:endParaRPr lang="en-US" sz="1100"/>
        </a:p>
      </cdr:txBody>
    </cdr:sp>
  </cdr:relSizeAnchor>
</c:userShapes>
</file>

<file path=word/drawings/drawing3.xml><?xml version="1.0" encoding="utf-8"?>
<c:userShapes xmlns:c="http://schemas.openxmlformats.org/drawingml/2006/chart">
  <cdr:relSizeAnchor xmlns:cdr="http://schemas.openxmlformats.org/drawingml/2006/chartDrawing">
    <cdr:from>
      <cdr:x>0.0233</cdr:x>
      <cdr:y>0.34483</cdr:y>
    </cdr:from>
    <cdr:to>
      <cdr:x>0.08244</cdr:x>
      <cdr:y>0.55172</cdr:y>
    </cdr:to>
    <cdr:sp macro="" textlink="">
      <cdr:nvSpPr>
        <cdr:cNvPr id="2" name="Text Box 1"/>
        <cdr:cNvSpPr txBox="1"/>
      </cdr:nvSpPr>
      <cdr:spPr>
        <a:xfrm xmlns:a="http://schemas.openxmlformats.org/drawingml/2006/main">
          <a:off x="148590" y="914400"/>
          <a:ext cx="377190" cy="548640"/>
        </a:xfrm>
        <a:prstGeom xmlns:a="http://schemas.openxmlformats.org/drawingml/2006/main" prst="rect">
          <a:avLst/>
        </a:prstGeom>
      </cdr:spPr>
      <cdr:txBody>
        <a:bodyPr xmlns:a="http://schemas.openxmlformats.org/drawingml/2006/main" vertOverflow="clip" vert="vert270" wrap="square" rtlCol="0"/>
        <a:lstStyle xmlns:a="http://schemas.openxmlformats.org/drawingml/2006/main"/>
        <a:p xmlns:a="http://schemas.openxmlformats.org/drawingml/2006/main">
          <a:r>
            <a:rPr lang="en-US" sz="1100"/>
            <a:t>proc.</a:t>
          </a:r>
        </a:p>
      </cdr:txBody>
    </cdr:sp>
  </cdr:relSizeAnchor>
</c:userShapes>
</file>

<file path=word/drawings/drawing4.xml><?xml version="1.0" encoding="utf-8"?>
<c:userShapes xmlns:c="http://schemas.openxmlformats.org/drawingml/2006/chart">
  <cdr:relSizeAnchor xmlns:cdr="http://schemas.openxmlformats.org/drawingml/2006/chartDrawing">
    <cdr:from>
      <cdr:x>0.02852</cdr:x>
      <cdr:y>0.94345</cdr:y>
    </cdr:from>
    <cdr:to>
      <cdr:x>0.4245</cdr:x>
      <cdr:y>0.98512</cdr:y>
    </cdr:to>
    <cdr:sp macro="" textlink="">
      <cdr:nvSpPr>
        <cdr:cNvPr id="2" name="Text Box 1"/>
        <cdr:cNvSpPr txBox="1"/>
      </cdr:nvSpPr>
      <cdr:spPr>
        <a:xfrm xmlns:a="http://schemas.openxmlformats.org/drawingml/2006/main">
          <a:off x="161925" y="3019425"/>
          <a:ext cx="2247900" cy="13335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US" sz="1100"/>
        </a:p>
      </cdr:txBody>
    </cdr:sp>
  </cdr:relSizeAnchor>
  <cdr:relSizeAnchor xmlns:cdr="http://schemas.openxmlformats.org/drawingml/2006/chartDrawing">
    <cdr:from>
      <cdr:x>0.0302</cdr:x>
      <cdr:y>0.88267</cdr:y>
    </cdr:from>
    <cdr:to>
      <cdr:x>0.48993</cdr:x>
      <cdr:y>0.968</cdr:y>
    </cdr:to>
    <cdr:sp macro="" textlink="">
      <cdr:nvSpPr>
        <cdr:cNvPr id="3" name="Text Box 2"/>
        <cdr:cNvSpPr txBox="1"/>
      </cdr:nvSpPr>
      <cdr:spPr>
        <a:xfrm xmlns:a="http://schemas.openxmlformats.org/drawingml/2006/main">
          <a:off x="171450" y="3152775"/>
          <a:ext cx="2609850" cy="3048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US" sz="1100"/>
        </a:p>
      </cdr:txBody>
    </cdr:sp>
  </cdr:relSizeAnchor>
  <cdr:relSizeAnchor xmlns:cdr="http://schemas.openxmlformats.org/drawingml/2006/chartDrawing">
    <cdr:from>
      <cdr:x>0.03356</cdr:x>
      <cdr:y>0.896</cdr:y>
    </cdr:from>
    <cdr:to>
      <cdr:x>0.93792</cdr:x>
      <cdr:y>0.97333</cdr:y>
    </cdr:to>
    <cdr:sp macro="" textlink="">
      <cdr:nvSpPr>
        <cdr:cNvPr id="4" name="Text Box 3"/>
        <cdr:cNvSpPr txBox="1"/>
      </cdr:nvSpPr>
      <cdr:spPr>
        <a:xfrm xmlns:a="http://schemas.openxmlformats.org/drawingml/2006/main">
          <a:off x="190499" y="3200400"/>
          <a:ext cx="5133975" cy="27622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700"/>
            <a:t>*socialin</a:t>
          </a:r>
          <a:r>
            <a:rPr lang="lt-LT" sz="700"/>
            <a:t>ės apsaugos fondų ir  vietinės valdžios skolos duomenys pateikiami</a:t>
          </a:r>
          <a:r>
            <a:rPr lang="en-US" sz="700" baseline="0"/>
            <a:t> </a:t>
          </a:r>
          <a:r>
            <a:rPr lang="lt-LT" sz="700"/>
            <a:t>konsoliduoti, t.y. atėmus valstybės sutaiktas paskolas</a:t>
          </a:r>
          <a:endParaRPr lang="en-US" sz="700"/>
        </a:p>
      </cdr:txBody>
    </cdr:sp>
  </cdr:relSizeAnchor>
</c:userShapes>
</file>

<file path=word/drawings/drawing5.xml><?xml version="1.0" encoding="utf-8"?>
<c:userShapes xmlns:c="http://schemas.openxmlformats.org/drawingml/2006/chart">
  <cdr:relSizeAnchor xmlns:cdr="http://schemas.openxmlformats.org/drawingml/2006/chartDrawing">
    <cdr:from>
      <cdr:x>0</cdr:x>
      <cdr:y>0.23729</cdr:y>
    </cdr:from>
    <cdr:to>
      <cdr:x>0.05188</cdr:x>
      <cdr:y>0.61569</cdr:y>
    </cdr:to>
    <cdr:sp macro="" textlink="">
      <cdr:nvSpPr>
        <cdr:cNvPr id="2" name="Text Box 1"/>
        <cdr:cNvSpPr txBox="1"/>
      </cdr:nvSpPr>
      <cdr:spPr>
        <a:xfrm xmlns:a="http://schemas.openxmlformats.org/drawingml/2006/main">
          <a:off x="0" y="691612"/>
          <a:ext cx="331469" cy="1102898"/>
        </a:xfrm>
        <a:prstGeom xmlns:a="http://schemas.openxmlformats.org/drawingml/2006/main" prst="rect">
          <a:avLst/>
        </a:prstGeom>
      </cdr:spPr>
      <cdr:txBody>
        <a:bodyPr xmlns:a="http://schemas.openxmlformats.org/drawingml/2006/main" vertOverflow="clip" vert="vert270" wrap="square" rtlCol="0"/>
        <a:lstStyle xmlns:a="http://schemas.openxmlformats.org/drawingml/2006/main"/>
        <a:p xmlns:a="http://schemas.openxmlformats.org/drawingml/2006/main">
          <a:r>
            <a:rPr lang="en-US" sz="1100"/>
            <a:t>proc.</a:t>
          </a:r>
        </a:p>
      </cdr:txBody>
    </cdr:sp>
  </cdr:relSizeAnchor>
</c:userShapes>
</file>

<file path=word/drawings/drawing6.xml><?xml version="1.0" encoding="utf-8"?>
<c:userShapes xmlns:c="http://schemas.openxmlformats.org/drawingml/2006/chart">
  <cdr:relSizeAnchor xmlns:cdr="http://schemas.openxmlformats.org/drawingml/2006/chartDrawing">
    <cdr:from>
      <cdr:x>0.22059</cdr:x>
      <cdr:y>0.95937</cdr:y>
    </cdr:from>
    <cdr:to>
      <cdr:x>0.82647</cdr:x>
      <cdr:y>1</cdr:y>
    </cdr:to>
    <cdr:sp macro="" textlink="">
      <cdr:nvSpPr>
        <cdr:cNvPr id="2" name="Text Box 1"/>
        <cdr:cNvSpPr txBox="1"/>
      </cdr:nvSpPr>
      <cdr:spPr>
        <a:xfrm xmlns:a="http://schemas.openxmlformats.org/drawingml/2006/main">
          <a:off x="714375" y="4114800"/>
          <a:ext cx="1962150" cy="17145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lt-LT" sz="800"/>
            <a:t>Vidutinis savivaldybės plotas (km</a:t>
          </a:r>
          <a:r>
            <a:rPr lang="en-US" sz="800" baseline="30000"/>
            <a:t>2</a:t>
          </a:r>
          <a:r>
            <a:rPr lang="lt-LT" sz="800"/>
            <a:t>)</a:t>
          </a:r>
          <a:endParaRPr lang="en-US" sz="800"/>
        </a:p>
      </cdr:txBody>
    </cdr:sp>
  </cdr:relSizeAnchor>
</c:userShapes>
</file>

<file path=word/drawings/drawing7.xml><?xml version="1.0" encoding="utf-8"?>
<c:userShapes xmlns:c="http://schemas.openxmlformats.org/drawingml/2006/chart">
  <cdr:relSizeAnchor xmlns:cdr="http://schemas.openxmlformats.org/drawingml/2006/chartDrawing">
    <cdr:from>
      <cdr:x>0.76751</cdr:x>
      <cdr:y>0.03956</cdr:y>
    </cdr:from>
    <cdr:to>
      <cdr:x>0.91036</cdr:x>
      <cdr:y>0.15385</cdr:y>
    </cdr:to>
    <cdr:sp macro="" textlink="">
      <cdr:nvSpPr>
        <cdr:cNvPr id="2" name="Text Box 1"/>
        <cdr:cNvSpPr txBox="1"/>
      </cdr:nvSpPr>
      <cdr:spPr>
        <a:xfrm xmlns:a="http://schemas.openxmlformats.org/drawingml/2006/main">
          <a:off x="2609850" y="171450"/>
          <a:ext cx="485775" cy="4953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US" sz="1100"/>
        </a:p>
      </cdr:txBody>
    </cdr:sp>
  </cdr:relSizeAnchor>
  <cdr:relSizeAnchor xmlns:cdr="http://schemas.openxmlformats.org/drawingml/2006/chartDrawing">
    <cdr:from>
      <cdr:x>0.68908</cdr:x>
      <cdr:y>0.02637</cdr:y>
    </cdr:from>
    <cdr:to>
      <cdr:x>0.86275</cdr:x>
      <cdr:y>0.08132</cdr:y>
    </cdr:to>
    <cdr:sp macro="" textlink="">
      <cdr:nvSpPr>
        <cdr:cNvPr id="3" name="Text Box 2"/>
        <cdr:cNvSpPr txBox="1"/>
      </cdr:nvSpPr>
      <cdr:spPr>
        <a:xfrm xmlns:a="http://schemas.openxmlformats.org/drawingml/2006/main">
          <a:off x="2343151" y="114299"/>
          <a:ext cx="590550" cy="23812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700"/>
            <a:t>115172</a:t>
          </a:r>
        </a:p>
      </cdr:txBody>
    </cdr:sp>
  </cdr:relSizeAnchor>
  <cdr:relSizeAnchor xmlns:cdr="http://schemas.openxmlformats.org/drawingml/2006/chartDrawing">
    <cdr:from>
      <cdr:x>0.14286</cdr:x>
      <cdr:y>0.95604</cdr:y>
    </cdr:from>
    <cdr:to>
      <cdr:x>0.88235</cdr:x>
      <cdr:y>1</cdr:y>
    </cdr:to>
    <cdr:sp macro="" textlink="">
      <cdr:nvSpPr>
        <cdr:cNvPr id="4" name="Text Box 3"/>
        <cdr:cNvSpPr txBox="1"/>
      </cdr:nvSpPr>
      <cdr:spPr>
        <a:xfrm xmlns:a="http://schemas.openxmlformats.org/drawingml/2006/main">
          <a:off x="485775" y="4219575"/>
          <a:ext cx="2514600" cy="1905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n-US" sz="800"/>
            <a:t>Vidutinis</a:t>
          </a:r>
          <a:r>
            <a:rPr lang="en-US" sz="800" baseline="0"/>
            <a:t> gyventoj</a:t>
          </a:r>
          <a:r>
            <a:rPr lang="lt-LT" sz="800" baseline="0"/>
            <a:t>ų skaičius savivaldybėje</a:t>
          </a:r>
          <a:endParaRPr lang="en-US" sz="800"/>
        </a:p>
      </cdr:txBody>
    </cdr:sp>
  </cdr:relSizeAnchor>
</c:userShapes>
</file>

<file path=word/drawings/drawing8.xml><?xml version="1.0" encoding="utf-8"?>
<c:userShapes xmlns:c="http://schemas.openxmlformats.org/drawingml/2006/chart">
  <cdr:relSizeAnchor xmlns:cdr="http://schemas.openxmlformats.org/drawingml/2006/chartDrawing">
    <cdr:from>
      <cdr:x>0.10678</cdr:x>
      <cdr:y>0.47841</cdr:y>
    </cdr:from>
    <cdr:to>
      <cdr:x>0.96441</cdr:x>
      <cdr:y>0.48505</cdr:y>
    </cdr:to>
    <cdr:cxnSp macro="">
      <cdr:nvCxnSpPr>
        <cdr:cNvPr id="3" name="Straight Connector 2"/>
        <cdr:cNvCxnSpPr/>
      </cdr:nvCxnSpPr>
      <cdr:spPr>
        <a:xfrm xmlns:a="http://schemas.openxmlformats.org/drawingml/2006/main">
          <a:off x="669851" y="1531088"/>
          <a:ext cx="5380074" cy="21265"/>
        </a:xfrm>
        <a:prstGeom xmlns:a="http://schemas.openxmlformats.org/drawingml/2006/main" prst="line">
          <a:avLst/>
        </a:prstGeom>
        <a:ln xmlns:a="http://schemas.openxmlformats.org/drawingml/2006/main">
          <a:solidFill>
            <a:schemeClr val="accent2"/>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0.10678</cdr:x>
      <cdr:y>0.58472</cdr:y>
    </cdr:from>
    <cdr:to>
      <cdr:x>0.96611</cdr:x>
      <cdr:y>0.59136</cdr:y>
    </cdr:to>
    <cdr:cxnSp macro="">
      <cdr:nvCxnSpPr>
        <cdr:cNvPr id="17" name="Straight Connector 16"/>
        <cdr:cNvCxnSpPr/>
      </cdr:nvCxnSpPr>
      <cdr:spPr>
        <a:xfrm xmlns:a="http://schemas.openxmlformats.org/drawingml/2006/main">
          <a:off x="669851" y="1871330"/>
          <a:ext cx="5390707" cy="21265"/>
        </a:xfrm>
        <a:prstGeom xmlns:a="http://schemas.openxmlformats.org/drawingml/2006/main" prst="line">
          <a:avLst/>
        </a:prstGeom>
        <a:ln xmlns:a="http://schemas.openxmlformats.org/drawingml/2006/main">
          <a:solidFill>
            <a:schemeClr val="accent2"/>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0.40339</cdr:x>
      <cdr:y>0.15947</cdr:y>
    </cdr:from>
    <cdr:to>
      <cdr:x>0.74916</cdr:x>
      <cdr:y>0.2691</cdr:y>
    </cdr:to>
    <cdr:sp macro="" textlink="">
      <cdr:nvSpPr>
        <cdr:cNvPr id="19" name="Text Box 18"/>
        <cdr:cNvSpPr txBox="1"/>
      </cdr:nvSpPr>
      <cdr:spPr>
        <a:xfrm xmlns:a="http://schemas.openxmlformats.org/drawingml/2006/main">
          <a:off x="2530549" y="510363"/>
          <a:ext cx="2169042" cy="35087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000">
              <a:solidFill>
                <a:srgbClr val="FF0000"/>
              </a:solidFill>
              <a:latin typeface="Times New Roman" pitchFamily="18" charset="0"/>
              <a:cs typeface="Times New Roman" pitchFamily="18" charset="0"/>
            </a:rPr>
            <a:t>Fiskalin</a:t>
          </a:r>
          <a:r>
            <a:rPr lang="lt-LT" sz="1000">
              <a:solidFill>
                <a:srgbClr val="FF0000"/>
              </a:solidFill>
              <a:latin typeface="Times New Roman" pitchFamily="18" charset="0"/>
              <a:cs typeface="Times New Roman" pitchFamily="18" charset="0"/>
            </a:rPr>
            <a:t>ės</a:t>
          </a:r>
          <a:r>
            <a:rPr lang="lt-LT" sz="1000" baseline="0">
              <a:solidFill>
                <a:srgbClr val="FF0000"/>
              </a:solidFill>
              <a:latin typeface="Times New Roman" pitchFamily="18" charset="0"/>
              <a:cs typeface="Times New Roman" pitchFamily="18" charset="0"/>
            </a:rPr>
            <a:t> decentralizacijos lygis</a:t>
          </a:r>
          <a:endParaRPr lang="en-US" sz="1000">
            <a:solidFill>
              <a:srgbClr val="FF0000"/>
            </a:solidFill>
            <a:latin typeface="Times New Roman" pitchFamily="18" charset="0"/>
            <a:cs typeface="Times New Roman" pitchFamily="18" charset="0"/>
          </a:endParaRPr>
        </a:p>
      </cdr:txBody>
    </cdr:sp>
  </cdr:relSizeAnchor>
  <cdr:relSizeAnchor xmlns:cdr="http://schemas.openxmlformats.org/drawingml/2006/chartDrawing">
    <cdr:from>
      <cdr:x>0.82373</cdr:x>
      <cdr:y>0.40864</cdr:y>
    </cdr:from>
    <cdr:to>
      <cdr:x>0.97289</cdr:x>
      <cdr:y>0.48505</cdr:y>
    </cdr:to>
    <cdr:sp macro="" textlink="">
      <cdr:nvSpPr>
        <cdr:cNvPr id="20" name="Text Box 19"/>
        <cdr:cNvSpPr txBox="1"/>
      </cdr:nvSpPr>
      <cdr:spPr>
        <a:xfrm xmlns:a="http://schemas.openxmlformats.org/drawingml/2006/main">
          <a:off x="5167424" y="1307805"/>
          <a:ext cx="935665" cy="24454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lt-LT" sz="1100">
              <a:solidFill>
                <a:srgbClr val="FF0000"/>
              </a:solidFill>
              <a:latin typeface="Times New Roman" pitchFamily="18" charset="0"/>
              <a:cs typeface="Times New Roman" pitchFamily="18" charset="0"/>
            </a:rPr>
            <a:t>Didelis</a:t>
          </a:r>
          <a:endParaRPr lang="en-US" sz="1100">
            <a:solidFill>
              <a:srgbClr val="FF0000"/>
            </a:solidFill>
            <a:latin typeface="Times New Roman" pitchFamily="18" charset="0"/>
            <a:cs typeface="Times New Roman" pitchFamily="18" charset="0"/>
          </a:endParaRPr>
        </a:p>
      </cdr:txBody>
    </cdr:sp>
  </cdr:relSizeAnchor>
  <cdr:relSizeAnchor xmlns:cdr="http://schemas.openxmlformats.org/drawingml/2006/chartDrawing">
    <cdr:from>
      <cdr:x>0.82373</cdr:x>
      <cdr:y>0.50498</cdr:y>
    </cdr:from>
    <cdr:to>
      <cdr:x>0.97289</cdr:x>
      <cdr:y>0.58804</cdr:y>
    </cdr:to>
    <cdr:sp macro="" textlink="">
      <cdr:nvSpPr>
        <cdr:cNvPr id="21" name="Text Box 20"/>
        <cdr:cNvSpPr txBox="1"/>
      </cdr:nvSpPr>
      <cdr:spPr>
        <a:xfrm xmlns:a="http://schemas.openxmlformats.org/drawingml/2006/main">
          <a:off x="5167424" y="1616150"/>
          <a:ext cx="935665" cy="26581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lt-LT" sz="1100">
              <a:solidFill>
                <a:srgbClr val="FF0000"/>
              </a:solidFill>
              <a:latin typeface="Times New Roman" pitchFamily="18" charset="0"/>
              <a:cs typeface="Times New Roman" pitchFamily="18" charset="0"/>
            </a:rPr>
            <a:t>Vidutinis</a:t>
          </a:r>
          <a:endParaRPr lang="en-US" sz="1100">
            <a:solidFill>
              <a:srgbClr val="FF0000"/>
            </a:solidFill>
            <a:latin typeface="Times New Roman" pitchFamily="18" charset="0"/>
            <a:cs typeface="Times New Roman" pitchFamily="18" charset="0"/>
          </a:endParaRPr>
        </a:p>
      </cdr:txBody>
    </cdr:sp>
  </cdr:relSizeAnchor>
  <cdr:relSizeAnchor xmlns:cdr="http://schemas.openxmlformats.org/drawingml/2006/chartDrawing">
    <cdr:from>
      <cdr:x>0.82543</cdr:x>
      <cdr:y>0.61462</cdr:y>
    </cdr:from>
    <cdr:to>
      <cdr:x>0.95085</cdr:x>
      <cdr:y>0.69103</cdr:y>
    </cdr:to>
    <cdr:sp macro="" textlink="">
      <cdr:nvSpPr>
        <cdr:cNvPr id="22" name="Text Box 21"/>
        <cdr:cNvSpPr txBox="1"/>
      </cdr:nvSpPr>
      <cdr:spPr>
        <a:xfrm xmlns:a="http://schemas.openxmlformats.org/drawingml/2006/main">
          <a:off x="5178056" y="1967023"/>
          <a:ext cx="786809" cy="24454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lt-LT" sz="1100">
              <a:solidFill>
                <a:srgbClr val="FF0000"/>
              </a:solidFill>
              <a:latin typeface="Times New Roman" pitchFamily="18" charset="0"/>
              <a:cs typeface="Times New Roman" pitchFamily="18" charset="0"/>
            </a:rPr>
            <a:t>Žemas</a:t>
          </a:r>
          <a:endParaRPr lang="en-US" sz="1100">
            <a:solidFill>
              <a:srgbClr val="FF0000"/>
            </a:solidFill>
            <a:latin typeface="Times New Roman" pitchFamily="18" charset="0"/>
            <a:cs typeface="Times New Roman" pitchFamily="18" charset="0"/>
          </a:endParaRPr>
        </a:p>
      </cdr:txBody>
    </cdr:sp>
  </cdr:relSizeAnchor>
</c:userShapes>
</file>

<file path=word/drawings/drawing9.xml><?xml version="1.0" encoding="utf-8"?>
<c:userShapes xmlns:c="http://schemas.openxmlformats.org/drawingml/2006/chart">
  <cdr:relSizeAnchor xmlns:cdr="http://schemas.openxmlformats.org/drawingml/2006/chartDrawing">
    <cdr:from>
      <cdr:x>0.7093</cdr:x>
      <cdr:y>0.21262</cdr:y>
    </cdr:from>
    <cdr:to>
      <cdr:x>0.7345</cdr:x>
      <cdr:y>0.25581</cdr:y>
    </cdr:to>
    <cdr:sp macro="" textlink="">
      <cdr:nvSpPr>
        <cdr:cNvPr id="2" name="Text Box 1"/>
        <cdr:cNvSpPr txBox="1"/>
      </cdr:nvSpPr>
      <cdr:spPr>
        <a:xfrm xmlns:a="http://schemas.openxmlformats.org/drawingml/2006/main">
          <a:off x="3891517" y="680484"/>
          <a:ext cx="138223" cy="138223"/>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US" sz="1100"/>
        </a:p>
      </cdr:txBody>
    </cdr:sp>
  </cdr:relSizeAnchor>
  <cdr:relSizeAnchor xmlns:cdr="http://schemas.openxmlformats.org/drawingml/2006/chartDrawing">
    <cdr:from>
      <cdr:x>0.49833</cdr:x>
      <cdr:y>0.47011</cdr:y>
    </cdr:from>
    <cdr:to>
      <cdr:x>0.57024</cdr:x>
      <cdr:y>0.57423</cdr:y>
    </cdr:to>
    <cdr:sp macro="" textlink="">
      <cdr:nvSpPr>
        <cdr:cNvPr id="3" name="Text Box 2"/>
        <cdr:cNvSpPr txBox="1"/>
      </cdr:nvSpPr>
      <cdr:spPr>
        <a:xfrm xmlns:a="http://schemas.openxmlformats.org/drawingml/2006/main">
          <a:off x="3168503" y="1584251"/>
          <a:ext cx="457200" cy="35087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900" b="1"/>
            <a:t>EU27</a:t>
          </a:r>
        </a:p>
      </cdr:txBody>
    </cdr:sp>
  </cdr:relSizeAnchor>
  <cdr:relSizeAnchor xmlns:cdr="http://schemas.openxmlformats.org/drawingml/2006/chartDrawing">
    <cdr:from>
      <cdr:x>0.13545</cdr:x>
      <cdr:y>0.53637</cdr:y>
    </cdr:from>
    <cdr:to>
      <cdr:x>0.18729</cdr:x>
      <cdr:y>0.64049</cdr:y>
    </cdr:to>
    <cdr:sp macro="" textlink="">
      <cdr:nvSpPr>
        <cdr:cNvPr id="4" name="Text Box 3"/>
        <cdr:cNvSpPr txBox="1"/>
      </cdr:nvSpPr>
      <cdr:spPr>
        <a:xfrm xmlns:a="http://schemas.openxmlformats.org/drawingml/2006/main">
          <a:off x="861238" y="1807535"/>
          <a:ext cx="329610" cy="35087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900" b="1"/>
            <a:t>LT</a:t>
          </a:r>
        </a:p>
      </cdr:txBody>
    </cdr:sp>
  </cdr:relSizeAnchor>
  <cdr:relSizeAnchor xmlns:cdr="http://schemas.openxmlformats.org/drawingml/2006/chartDrawing">
    <cdr:from>
      <cdr:x>0.32138</cdr:x>
      <cdr:y>0.79402</cdr:y>
    </cdr:from>
    <cdr:to>
      <cdr:x>0.38805</cdr:x>
      <cdr:y>0.86379</cdr:y>
    </cdr:to>
    <cdr:sp macro="" textlink="">
      <cdr:nvSpPr>
        <cdr:cNvPr id="5" name="Text Box 4"/>
        <cdr:cNvSpPr txBox="1"/>
      </cdr:nvSpPr>
      <cdr:spPr>
        <a:xfrm xmlns:a="http://schemas.openxmlformats.org/drawingml/2006/main">
          <a:off x="1998922" y="2541181"/>
          <a:ext cx="414670" cy="22328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800"/>
            <a:t>MT</a:t>
          </a:r>
        </a:p>
      </cdr:txBody>
    </cdr:sp>
  </cdr:relSizeAnchor>
  <cdr:relSizeAnchor xmlns:cdr="http://schemas.openxmlformats.org/drawingml/2006/chartDrawing">
    <cdr:from>
      <cdr:x>0.66388</cdr:x>
      <cdr:y>0.44803</cdr:y>
    </cdr:from>
    <cdr:to>
      <cdr:x>0.69733</cdr:x>
      <cdr:y>0.50482</cdr:y>
    </cdr:to>
    <cdr:sp macro="" textlink="">
      <cdr:nvSpPr>
        <cdr:cNvPr id="6" name="Text Box 5"/>
        <cdr:cNvSpPr txBox="1"/>
      </cdr:nvSpPr>
      <cdr:spPr>
        <a:xfrm xmlns:a="http://schemas.openxmlformats.org/drawingml/2006/main">
          <a:off x="4221126" y="1509823"/>
          <a:ext cx="212651" cy="19138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US" sz="1100"/>
        </a:p>
      </cdr:txBody>
    </cdr:sp>
  </cdr:relSizeAnchor>
  <cdr:relSizeAnchor xmlns:cdr="http://schemas.openxmlformats.org/drawingml/2006/chartDrawing">
    <cdr:from>
      <cdr:x>0.65385</cdr:x>
      <cdr:y>0.43225</cdr:y>
    </cdr:from>
    <cdr:to>
      <cdr:x>0.70569</cdr:x>
      <cdr:y>0.50482</cdr:y>
    </cdr:to>
    <cdr:sp macro="" textlink="">
      <cdr:nvSpPr>
        <cdr:cNvPr id="7" name="Text Box 6"/>
        <cdr:cNvSpPr txBox="1"/>
      </cdr:nvSpPr>
      <cdr:spPr>
        <a:xfrm xmlns:a="http://schemas.openxmlformats.org/drawingml/2006/main">
          <a:off x="4157331" y="1456660"/>
          <a:ext cx="329609" cy="24454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800"/>
            <a:t>BE</a:t>
          </a:r>
        </a:p>
      </cdr:txBody>
    </cdr:sp>
  </cdr:relSizeAnchor>
  <cdr:relSizeAnchor xmlns:cdr="http://schemas.openxmlformats.org/drawingml/2006/chartDrawing">
    <cdr:from>
      <cdr:x>0.13712</cdr:x>
      <cdr:y>0.64995</cdr:y>
    </cdr:from>
    <cdr:to>
      <cdr:x>0.20569</cdr:x>
      <cdr:y>0.74776</cdr:y>
    </cdr:to>
    <cdr:sp macro="" textlink="">
      <cdr:nvSpPr>
        <cdr:cNvPr id="8" name="Text Box 7"/>
        <cdr:cNvSpPr txBox="1"/>
      </cdr:nvSpPr>
      <cdr:spPr>
        <a:xfrm xmlns:a="http://schemas.openxmlformats.org/drawingml/2006/main">
          <a:off x="871870" y="2190308"/>
          <a:ext cx="435935" cy="329608"/>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900"/>
            <a:t>BG</a:t>
          </a:r>
          <a:endParaRPr lang="en-US" sz="800"/>
        </a:p>
      </cdr:txBody>
    </cdr:sp>
  </cdr:relSizeAnchor>
  <cdr:relSizeAnchor xmlns:cdr="http://schemas.openxmlformats.org/drawingml/2006/chartDrawing">
    <cdr:from>
      <cdr:x>0.37626</cdr:x>
      <cdr:y>0.5837</cdr:y>
    </cdr:from>
    <cdr:to>
      <cdr:x>0.42977</cdr:x>
      <cdr:y>0.67519</cdr:y>
    </cdr:to>
    <cdr:sp macro="" textlink="">
      <cdr:nvSpPr>
        <cdr:cNvPr id="9" name="Text Box 8"/>
        <cdr:cNvSpPr txBox="1"/>
      </cdr:nvSpPr>
      <cdr:spPr>
        <a:xfrm xmlns:a="http://schemas.openxmlformats.org/drawingml/2006/main">
          <a:off x="2392326" y="1967023"/>
          <a:ext cx="340242" cy="30834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900"/>
            <a:t>CZ</a:t>
          </a:r>
        </a:p>
      </cdr:txBody>
    </cdr:sp>
  </cdr:relSizeAnchor>
  <cdr:relSizeAnchor xmlns:cdr="http://schemas.openxmlformats.org/drawingml/2006/chartDrawing">
    <cdr:from>
      <cdr:x>0.77759</cdr:x>
      <cdr:y>0.1262</cdr:y>
    </cdr:from>
    <cdr:to>
      <cdr:x>0.82943</cdr:x>
      <cdr:y>0.20824</cdr:y>
    </cdr:to>
    <cdr:sp macro="" textlink="">
      <cdr:nvSpPr>
        <cdr:cNvPr id="10" name="Text Box 9"/>
        <cdr:cNvSpPr txBox="1"/>
      </cdr:nvSpPr>
      <cdr:spPr>
        <a:xfrm xmlns:a="http://schemas.openxmlformats.org/drawingml/2006/main">
          <a:off x="4944139" y="425303"/>
          <a:ext cx="329610" cy="27644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800"/>
            <a:t>DK</a:t>
          </a:r>
        </a:p>
      </cdr:txBody>
    </cdr:sp>
  </cdr:relSizeAnchor>
  <cdr:relSizeAnchor xmlns:cdr="http://schemas.openxmlformats.org/drawingml/2006/chartDrawing">
    <cdr:from>
      <cdr:x>0.36622</cdr:x>
      <cdr:y>0.40701</cdr:y>
    </cdr:from>
    <cdr:to>
      <cdr:x>0.42141</cdr:x>
      <cdr:y>0.50797</cdr:y>
    </cdr:to>
    <cdr:sp macro="" textlink="">
      <cdr:nvSpPr>
        <cdr:cNvPr id="11" name="Text Box 10"/>
        <cdr:cNvSpPr txBox="1"/>
      </cdr:nvSpPr>
      <cdr:spPr>
        <a:xfrm xmlns:a="http://schemas.openxmlformats.org/drawingml/2006/main">
          <a:off x="2328532" y="1371600"/>
          <a:ext cx="350874" cy="340241"/>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900"/>
            <a:t>DE</a:t>
          </a:r>
        </a:p>
      </cdr:txBody>
    </cdr:sp>
  </cdr:relSizeAnchor>
  <cdr:relSizeAnchor xmlns:cdr="http://schemas.openxmlformats.org/drawingml/2006/chartDrawing">
    <cdr:from>
      <cdr:x>0.23411</cdr:x>
      <cdr:y>0.56477</cdr:y>
    </cdr:from>
    <cdr:to>
      <cdr:x>0.28094</cdr:x>
      <cdr:y>0.64049</cdr:y>
    </cdr:to>
    <cdr:sp macro="" textlink="">
      <cdr:nvSpPr>
        <cdr:cNvPr id="12" name="Text Box 11"/>
        <cdr:cNvSpPr txBox="1"/>
      </cdr:nvSpPr>
      <cdr:spPr>
        <a:xfrm xmlns:a="http://schemas.openxmlformats.org/drawingml/2006/main">
          <a:off x="1488559" y="1903229"/>
          <a:ext cx="297712" cy="25518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900"/>
            <a:t>EE</a:t>
          </a:r>
        </a:p>
      </cdr:txBody>
    </cdr:sp>
  </cdr:relSizeAnchor>
  <cdr:relSizeAnchor xmlns:cdr="http://schemas.openxmlformats.org/drawingml/2006/chartDrawing">
    <cdr:from>
      <cdr:x>0.32776</cdr:x>
      <cdr:y>0.71937</cdr:y>
    </cdr:from>
    <cdr:to>
      <cdr:x>0.37458</cdr:x>
      <cdr:y>0.78878</cdr:y>
    </cdr:to>
    <cdr:sp macro="" textlink="">
      <cdr:nvSpPr>
        <cdr:cNvPr id="13" name="Text Box 12"/>
        <cdr:cNvSpPr txBox="1"/>
      </cdr:nvSpPr>
      <cdr:spPr>
        <a:xfrm xmlns:a="http://schemas.openxmlformats.org/drawingml/2006/main">
          <a:off x="2083982" y="2424223"/>
          <a:ext cx="297711" cy="233918"/>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900"/>
            <a:t>IE</a:t>
          </a:r>
        </a:p>
      </cdr:txBody>
    </cdr:sp>
  </cdr:relSizeAnchor>
  <cdr:relSizeAnchor xmlns:cdr="http://schemas.openxmlformats.org/drawingml/2006/chartDrawing">
    <cdr:from>
      <cdr:x>0.6087</cdr:x>
      <cdr:y>0.79193</cdr:y>
    </cdr:from>
    <cdr:to>
      <cdr:x>0.65552</cdr:x>
      <cdr:y>0.86135</cdr:y>
    </cdr:to>
    <cdr:sp macro="" textlink="">
      <cdr:nvSpPr>
        <cdr:cNvPr id="14" name="Text Box 13"/>
        <cdr:cNvSpPr txBox="1"/>
      </cdr:nvSpPr>
      <cdr:spPr>
        <a:xfrm xmlns:a="http://schemas.openxmlformats.org/drawingml/2006/main">
          <a:off x="3870251" y="2668771"/>
          <a:ext cx="297712" cy="233917"/>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900"/>
            <a:t>EL</a:t>
          </a:r>
        </a:p>
      </cdr:txBody>
    </cdr:sp>
  </cdr:relSizeAnchor>
  <cdr:relSizeAnchor xmlns:cdr="http://schemas.openxmlformats.org/drawingml/2006/chartDrawing">
    <cdr:from>
      <cdr:x>0.46823</cdr:x>
      <cdr:y>0.30605</cdr:y>
    </cdr:from>
    <cdr:to>
      <cdr:x>0.53177</cdr:x>
      <cdr:y>0.40385</cdr:y>
    </cdr:to>
    <cdr:sp macro="" textlink="">
      <cdr:nvSpPr>
        <cdr:cNvPr id="15" name="Text Box 14"/>
        <cdr:cNvSpPr txBox="1"/>
      </cdr:nvSpPr>
      <cdr:spPr>
        <a:xfrm xmlns:a="http://schemas.openxmlformats.org/drawingml/2006/main">
          <a:off x="2977117" y="1031359"/>
          <a:ext cx="404037" cy="329608"/>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900"/>
            <a:t>ES</a:t>
          </a:r>
        </a:p>
      </cdr:txBody>
    </cdr:sp>
  </cdr:relSizeAnchor>
  <cdr:relSizeAnchor xmlns:cdr="http://schemas.openxmlformats.org/drawingml/2006/chartDrawing">
    <cdr:from>
      <cdr:x>0.699</cdr:x>
      <cdr:y>0.63418</cdr:y>
    </cdr:from>
    <cdr:to>
      <cdr:x>0.7592</cdr:x>
      <cdr:y>0.71937</cdr:y>
    </cdr:to>
    <cdr:sp macro="" textlink="">
      <cdr:nvSpPr>
        <cdr:cNvPr id="16" name="Text Box 15"/>
        <cdr:cNvSpPr txBox="1"/>
      </cdr:nvSpPr>
      <cdr:spPr>
        <a:xfrm xmlns:a="http://schemas.openxmlformats.org/drawingml/2006/main">
          <a:off x="4444410" y="2137144"/>
          <a:ext cx="382772" cy="28708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900"/>
            <a:t>FR</a:t>
          </a:r>
        </a:p>
      </cdr:txBody>
    </cdr:sp>
  </cdr:relSizeAnchor>
  <cdr:relSizeAnchor xmlns:cdr="http://schemas.openxmlformats.org/drawingml/2006/chartDrawing">
    <cdr:from>
      <cdr:x>0.55017</cdr:x>
      <cdr:y>0.51744</cdr:y>
    </cdr:from>
    <cdr:to>
      <cdr:x>0.59699</cdr:x>
      <cdr:y>0.59947</cdr:y>
    </cdr:to>
    <cdr:sp macro="" textlink="">
      <cdr:nvSpPr>
        <cdr:cNvPr id="17" name="Text Box 16"/>
        <cdr:cNvSpPr txBox="1"/>
      </cdr:nvSpPr>
      <cdr:spPr>
        <a:xfrm xmlns:a="http://schemas.openxmlformats.org/drawingml/2006/main">
          <a:off x="3498113" y="1743741"/>
          <a:ext cx="297712" cy="27644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900"/>
            <a:t>IT</a:t>
          </a:r>
        </a:p>
      </cdr:txBody>
    </cdr:sp>
  </cdr:relSizeAnchor>
  <cdr:relSizeAnchor xmlns:cdr="http://schemas.openxmlformats.org/drawingml/2006/chartDrawing">
    <cdr:from>
      <cdr:x>0.40636</cdr:x>
      <cdr:y>0.79193</cdr:y>
    </cdr:from>
    <cdr:to>
      <cdr:x>0.45652</cdr:x>
      <cdr:y>0.85819</cdr:y>
    </cdr:to>
    <cdr:sp macro="" textlink="">
      <cdr:nvSpPr>
        <cdr:cNvPr id="18" name="Text Box 17"/>
        <cdr:cNvSpPr txBox="1"/>
      </cdr:nvSpPr>
      <cdr:spPr>
        <a:xfrm xmlns:a="http://schemas.openxmlformats.org/drawingml/2006/main">
          <a:off x="2583712" y="2668773"/>
          <a:ext cx="318977" cy="223283"/>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900"/>
            <a:t>CY</a:t>
          </a:r>
        </a:p>
      </cdr:txBody>
    </cdr:sp>
  </cdr:relSizeAnchor>
  <cdr:relSizeAnchor xmlns:cdr="http://schemas.openxmlformats.org/drawingml/2006/chartDrawing">
    <cdr:from>
      <cdr:x>0.37793</cdr:x>
      <cdr:y>0.6815</cdr:y>
    </cdr:from>
    <cdr:to>
      <cdr:x>0.43311</cdr:x>
      <cdr:y>0.76354</cdr:y>
    </cdr:to>
    <cdr:sp macro="" textlink="">
      <cdr:nvSpPr>
        <cdr:cNvPr id="19" name="Text Box 18"/>
        <cdr:cNvSpPr txBox="1"/>
      </cdr:nvSpPr>
      <cdr:spPr>
        <a:xfrm xmlns:a="http://schemas.openxmlformats.org/drawingml/2006/main">
          <a:off x="2402958" y="2296632"/>
          <a:ext cx="350875" cy="276447"/>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900"/>
            <a:t>LU</a:t>
          </a:r>
        </a:p>
      </cdr:txBody>
    </cdr:sp>
  </cdr:relSizeAnchor>
  <cdr:relSizeAnchor xmlns:cdr="http://schemas.openxmlformats.org/drawingml/2006/chartDrawing">
    <cdr:from>
      <cdr:x>0.5</cdr:x>
      <cdr:y>0.61525</cdr:y>
    </cdr:from>
    <cdr:to>
      <cdr:x>0.55351</cdr:x>
      <cdr:y>0.68781</cdr:y>
    </cdr:to>
    <cdr:sp macro="" textlink="">
      <cdr:nvSpPr>
        <cdr:cNvPr id="20" name="Text Box 19"/>
        <cdr:cNvSpPr txBox="1"/>
      </cdr:nvSpPr>
      <cdr:spPr>
        <a:xfrm xmlns:a="http://schemas.openxmlformats.org/drawingml/2006/main">
          <a:off x="3179135" y="2073350"/>
          <a:ext cx="340242" cy="244548"/>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900"/>
            <a:t>HU</a:t>
          </a:r>
        </a:p>
      </cdr:txBody>
    </cdr:sp>
  </cdr:relSizeAnchor>
  <cdr:relSizeAnchor xmlns:cdr="http://schemas.openxmlformats.org/drawingml/2006/chartDrawing">
    <cdr:from>
      <cdr:x>0.52341</cdr:x>
      <cdr:y>0.43225</cdr:y>
    </cdr:from>
    <cdr:to>
      <cdr:x>0.58027</cdr:x>
      <cdr:y>0.51744</cdr:y>
    </cdr:to>
    <cdr:sp macro="" textlink="">
      <cdr:nvSpPr>
        <cdr:cNvPr id="21" name="Text Box 20"/>
        <cdr:cNvSpPr txBox="1"/>
      </cdr:nvSpPr>
      <cdr:spPr>
        <a:xfrm xmlns:a="http://schemas.openxmlformats.org/drawingml/2006/main">
          <a:off x="3327992" y="1456660"/>
          <a:ext cx="361506" cy="28708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900"/>
            <a:t>NL</a:t>
          </a:r>
        </a:p>
      </cdr:txBody>
    </cdr:sp>
  </cdr:relSizeAnchor>
  <cdr:relSizeAnchor xmlns:cdr="http://schemas.openxmlformats.org/drawingml/2006/chartDrawing">
    <cdr:from>
      <cdr:x>0.57191</cdr:x>
      <cdr:y>0.40385</cdr:y>
    </cdr:from>
    <cdr:to>
      <cdr:x>0.62542</cdr:x>
      <cdr:y>0.49535</cdr:y>
    </cdr:to>
    <cdr:sp macro="" textlink="">
      <cdr:nvSpPr>
        <cdr:cNvPr id="22" name="Text Box 21"/>
        <cdr:cNvSpPr txBox="1"/>
      </cdr:nvSpPr>
      <cdr:spPr>
        <a:xfrm xmlns:a="http://schemas.openxmlformats.org/drawingml/2006/main">
          <a:off x="3636336" y="1360967"/>
          <a:ext cx="340242" cy="30834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900"/>
            <a:t>AT</a:t>
          </a:r>
        </a:p>
      </cdr:txBody>
    </cdr:sp>
  </cdr:relSizeAnchor>
  <cdr:relSizeAnchor xmlns:cdr="http://schemas.openxmlformats.org/drawingml/2006/chartDrawing">
    <cdr:from>
      <cdr:x>0.31773</cdr:x>
      <cdr:y>0.44487</cdr:y>
    </cdr:from>
    <cdr:to>
      <cdr:x>0.36957</cdr:x>
      <cdr:y>0.54268</cdr:y>
    </cdr:to>
    <cdr:sp macro="" textlink="">
      <cdr:nvSpPr>
        <cdr:cNvPr id="23" name="Text Box 22"/>
        <cdr:cNvSpPr txBox="1"/>
      </cdr:nvSpPr>
      <cdr:spPr>
        <a:xfrm xmlns:a="http://schemas.openxmlformats.org/drawingml/2006/main">
          <a:off x="2020186" y="1499191"/>
          <a:ext cx="329610" cy="32961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900"/>
            <a:t>PL</a:t>
          </a:r>
        </a:p>
      </cdr:txBody>
    </cdr:sp>
  </cdr:relSizeAnchor>
  <cdr:relSizeAnchor xmlns:cdr="http://schemas.openxmlformats.org/drawingml/2006/chartDrawing">
    <cdr:from>
      <cdr:x>0.46823</cdr:x>
      <cdr:y>0.67835</cdr:y>
    </cdr:from>
    <cdr:to>
      <cdr:x>0.52007</cdr:x>
      <cdr:y>0.77616</cdr:y>
    </cdr:to>
    <cdr:sp macro="" textlink="">
      <cdr:nvSpPr>
        <cdr:cNvPr id="24" name="Text Box 23"/>
        <cdr:cNvSpPr txBox="1"/>
      </cdr:nvSpPr>
      <cdr:spPr>
        <a:xfrm xmlns:a="http://schemas.openxmlformats.org/drawingml/2006/main">
          <a:off x="2977118" y="2286000"/>
          <a:ext cx="329608" cy="32960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900"/>
            <a:t>PT</a:t>
          </a:r>
        </a:p>
      </cdr:txBody>
    </cdr:sp>
  </cdr:relSizeAnchor>
  <cdr:relSizeAnchor xmlns:cdr="http://schemas.openxmlformats.org/drawingml/2006/chartDrawing">
    <cdr:from>
      <cdr:x>0.47157</cdr:x>
      <cdr:y>0.57739</cdr:y>
    </cdr:from>
    <cdr:to>
      <cdr:x>0.5184</cdr:x>
      <cdr:y>0.66888</cdr:y>
    </cdr:to>
    <cdr:sp macro="" textlink="">
      <cdr:nvSpPr>
        <cdr:cNvPr id="25" name="Text Box 24"/>
        <cdr:cNvSpPr txBox="1"/>
      </cdr:nvSpPr>
      <cdr:spPr>
        <a:xfrm xmlns:a="http://schemas.openxmlformats.org/drawingml/2006/main">
          <a:off x="2998382" y="1945757"/>
          <a:ext cx="297711" cy="30834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900"/>
            <a:t>SI</a:t>
          </a:r>
        </a:p>
      </cdr:txBody>
    </cdr:sp>
  </cdr:relSizeAnchor>
  <cdr:relSizeAnchor xmlns:cdr="http://schemas.openxmlformats.org/drawingml/2006/chartDrawing">
    <cdr:from>
      <cdr:x>0.20401</cdr:x>
      <cdr:y>0.6468</cdr:y>
    </cdr:from>
    <cdr:to>
      <cdr:x>0.26589</cdr:x>
      <cdr:y>0.72883</cdr:y>
    </cdr:to>
    <cdr:sp macro="" textlink="">
      <cdr:nvSpPr>
        <cdr:cNvPr id="26" name="Text Box 25"/>
        <cdr:cNvSpPr txBox="1"/>
      </cdr:nvSpPr>
      <cdr:spPr>
        <a:xfrm xmlns:a="http://schemas.openxmlformats.org/drawingml/2006/main">
          <a:off x="1297172" y="2179674"/>
          <a:ext cx="393405" cy="276447"/>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900"/>
            <a:t>SK</a:t>
          </a:r>
        </a:p>
      </cdr:txBody>
    </cdr:sp>
  </cdr:relSizeAnchor>
  <cdr:relSizeAnchor xmlns:cdr="http://schemas.openxmlformats.org/drawingml/2006/chartDrawing">
    <cdr:from>
      <cdr:x>0.69733</cdr:x>
      <cdr:y>0.31551</cdr:y>
    </cdr:from>
    <cdr:to>
      <cdr:x>0.74415</cdr:x>
      <cdr:y>0.43856</cdr:y>
    </cdr:to>
    <cdr:sp macro="" textlink="">
      <cdr:nvSpPr>
        <cdr:cNvPr id="27" name="Text Box 26"/>
        <cdr:cNvSpPr txBox="1"/>
      </cdr:nvSpPr>
      <cdr:spPr>
        <a:xfrm xmlns:a="http://schemas.openxmlformats.org/drawingml/2006/main">
          <a:off x="4433778" y="1063256"/>
          <a:ext cx="297712" cy="41467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900"/>
            <a:t>FI</a:t>
          </a:r>
        </a:p>
      </cdr:txBody>
    </cdr:sp>
  </cdr:relSizeAnchor>
  <cdr:relSizeAnchor xmlns:cdr="http://schemas.openxmlformats.org/drawingml/2006/chartDrawing">
    <cdr:from>
      <cdr:x>0.58863</cdr:x>
      <cdr:y>0.22717</cdr:y>
    </cdr:from>
    <cdr:to>
      <cdr:x>0.63713</cdr:x>
      <cdr:y>0.31867</cdr:y>
    </cdr:to>
    <cdr:sp macro="" textlink="">
      <cdr:nvSpPr>
        <cdr:cNvPr id="28" name="Text Box 27"/>
        <cdr:cNvSpPr txBox="1"/>
      </cdr:nvSpPr>
      <cdr:spPr>
        <a:xfrm xmlns:a="http://schemas.openxmlformats.org/drawingml/2006/main">
          <a:off x="3742662" y="765545"/>
          <a:ext cx="308344" cy="30834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900"/>
            <a:t>SE</a:t>
          </a:r>
        </a:p>
      </cdr:txBody>
    </cdr:sp>
  </cdr:relSizeAnchor>
  <cdr:relSizeAnchor xmlns:cdr="http://schemas.openxmlformats.org/drawingml/2006/chartDrawing">
    <cdr:from>
      <cdr:x>0.46321</cdr:x>
      <cdr:y>0.47958</cdr:y>
    </cdr:from>
    <cdr:to>
      <cdr:x>0.51338</cdr:x>
      <cdr:y>0.59632</cdr:y>
    </cdr:to>
    <cdr:sp macro="" textlink="">
      <cdr:nvSpPr>
        <cdr:cNvPr id="29" name="Text Box 28"/>
        <cdr:cNvSpPr txBox="1"/>
      </cdr:nvSpPr>
      <cdr:spPr>
        <a:xfrm xmlns:a="http://schemas.openxmlformats.org/drawingml/2006/main">
          <a:off x="2945219" y="1616148"/>
          <a:ext cx="318977" cy="39340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900"/>
            <a:t>UK</a:t>
          </a:r>
        </a:p>
      </cdr:txBody>
    </cdr:sp>
  </cdr:relSizeAnchor>
  <cdr:relSizeAnchor xmlns:cdr="http://schemas.openxmlformats.org/drawingml/2006/chartDrawing">
    <cdr:from>
      <cdr:x>0.16221</cdr:x>
      <cdr:y>0.48273</cdr:y>
    </cdr:from>
    <cdr:to>
      <cdr:x>0.22241</cdr:x>
      <cdr:y>0.56792</cdr:y>
    </cdr:to>
    <cdr:sp macro="" textlink="">
      <cdr:nvSpPr>
        <cdr:cNvPr id="30" name="Text Box 29"/>
        <cdr:cNvSpPr txBox="1"/>
      </cdr:nvSpPr>
      <cdr:spPr>
        <a:xfrm xmlns:a="http://schemas.openxmlformats.org/drawingml/2006/main">
          <a:off x="1031358" y="1626781"/>
          <a:ext cx="382773" cy="28707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900"/>
            <a:t>LV</a:t>
          </a:r>
        </a:p>
      </cdr:txBody>
    </cdr:sp>
  </cdr:relSizeAnchor>
  <cdr:relSizeAnchor xmlns:cdr="http://schemas.openxmlformats.org/drawingml/2006/chartDrawing">
    <cdr:from>
      <cdr:x>0.1689</cdr:x>
      <cdr:y>0.53952</cdr:y>
    </cdr:from>
    <cdr:to>
      <cdr:x>0.2291</cdr:x>
      <cdr:y>0.60894</cdr:y>
    </cdr:to>
    <cdr:sp macro="" textlink="">
      <cdr:nvSpPr>
        <cdr:cNvPr id="31" name="Text Box 30"/>
        <cdr:cNvSpPr txBox="1"/>
      </cdr:nvSpPr>
      <cdr:spPr>
        <a:xfrm xmlns:a="http://schemas.openxmlformats.org/drawingml/2006/main">
          <a:off x="1073889" y="1818168"/>
          <a:ext cx="382772" cy="23391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900"/>
            <a:t>RO</a:t>
          </a:r>
        </a:p>
      </cdr:txBody>
    </cdr:sp>
  </cdr:relSizeAnchor>
  <cdr:relSizeAnchor xmlns:cdr="http://schemas.openxmlformats.org/drawingml/2006/chartDrawing">
    <cdr:from>
      <cdr:x>0.03344</cdr:x>
      <cdr:y>0.05995</cdr:y>
    </cdr:from>
    <cdr:to>
      <cdr:x>0.06856</cdr:x>
      <cdr:y>0.93391</cdr:y>
    </cdr:to>
    <cdr:sp macro="" textlink="">
      <cdr:nvSpPr>
        <cdr:cNvPr id="32" name="Text Box 31"/>
        <cdr:cNvSpPr txBox="1"/>
      </cdr:nvSpPr>
      <cdr:spPr>
        <a:xfrm xmlns:a="http://schemas.openxmlformats.org/drawingml/2006/main">
          <a:off x="212651" y="202019"/>
          <a:ext cx="223284" cy="294521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US" sz="1100"/>
        </a:p>
      </cdr:txBody>
    </cdr:sp>
  </cdr:relSizeAnchor>
  <cdr:relSizeAnchor xmlns:cdr="http://schemas.openxmlformats.org/drawingml/2006/chartDrawing">
    <cdr:from>
      <cdr:x>0.01171</cdr:x>
      <cdr:y>0.07572</cdr:y>
    </cdr:from>
    <cdr:to>
      <cdr:x>0.09197</cdr:x>
      <cdr:y>0.94022</cdr:y>
    </cdr:to>
    <cdr:sp macro="" textlink="">
      <cdr:nvSpPr>
        <cdr:cNvPr id="34" name="Text Box 33"/>
        <cdr:cNvSpPr txBox="1"/>
      </cdr:nvSpPr>
      <cdr:spPr>
        <a:xfrm xmlns:a="http://schemas.openxmlformats.org/drawingml/2006/main">
          <a:off x="74427" y="255182"/>
          <a:ext cx="510363" cy="2913321"/>
        </a:xfrm>
        <a:prstGeom xmlns:a="http://schemas.openxmlformats.org/drawingml/2006/main" prst="rect">
          <a:avLst/>
        </a:prstGeom>
        <a:solidFill xmlns:a="http://schemas.openxmlformats.org/drawingml/2006/main">
          <a:schemeClr val="bg1"/>
        </a:solidFill>
        <a:ln xmlns:a="http://schemas.openxmlformats.org/drawingml/2006/main">
          <a:solidFill>
            <a:schemeClr val="bg1"/>
          </a:solidFill>
        </a:ln>
      </cdr:spPr>
      <cdr:txBody>
        <a:bodyPr xmlns:a="http://schemas.openxmlformats.org/drawingml/2006/main" vertOverflow="clip" vert="vert270" wrap="square" rtlCol="0"/>
        <a:lstStyle xmlns:a="http://schemas.openxmlformats.org/drawingml/2006/main"/>
        <a:p xmlns:a="http://schemas.openxmlformats.org/drawingml/2006/main">
          <a:pPr algn="ctr"/>
          <a:r>
            <a:rPr lang="lt-LT" sz="800">
              <a:latin typeface="Times New Roman" pitchFamily="18" charset="0"/>
              <a:cs typeface="Times New Roman" pitchFamily="18" charset="0"/>
            </a:rPr>
            <a:t>Subnacionalinių valdžios institucijų biudžetų</a:t>
          </a:r>
          <a:r>
            <a:rPr lang="lt-LT" sz="800" baseline="0">
              <a:latin typeface="Times New Roman" pitchFamily="18" charset="0"/>
              <a:cs typeface="Times New Roman" pitchFamily="18" charset="0"/>
            </a:rPr>
            <a:t> išlaidų dalis nacionaliniame biudžete, proc.</a:t>
          </a:r>
          <a:endParaRPr lang="en-US" sz="800">
            <a:latin typeface="Times New Roman" pitchFamily="18" charset="0"/>
            <a:cs typeface="Times New Roman" pitchFamily="18" charset="0"/>
          </a:endParaRPr>
        </a:p>
      </cdr:txBody>
    </cdr:sp>
  </cdr:relSizeAnchor>
  <cdr:relSizeAnchor xmlns:cdr="http://schemas.openxmlformats.org/drawingml/2006/chartDrawing">
    <cdr:from>
      <cdr:x>0.33612</cdr:x>
      <cdr:y>0.93093</cdr:y>
    </cdr:from>
    <cdr:to>
      <cdr:x>0.72743</cdr:x>
      <cdr:y>1</cdr:y>
    </cdr:to>
    <cdr:sp macro="" textlink="">
      <cdr:nvSpPr>
        <cdr:cNvPr id="35" name="Text Box 34"/>
        <cdr:cNvSpPr txBox="1"/>
      </cdr:nvSpPr>
      <cdr:spPr>
        <a:xfrm xmlns:a="http://schemas.openxmlformats.org/drawingml/2006/main">
          <a:off x="2137144" y="3147238"/>
          <a:ext cx="2488020" cy="233502"/>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lt-LT" sz="900"/>
            <a:t>Nacionalinio biudžeto išlaidų</a:t>
          </a:r>
          <a:r>
            <a:rPr lang="lt-LT" sz="900" baseline="0"/>
            <a:t> dalis BVP, proc.</a:t>
          </a:r>
          <a:endParaRPr lang="en-US" sz="900"/>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99FBBD-C9D4-4EB3-A8C2-E029255D9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344</TotalTime>
  <Pages>90</Pages>
  <Words>24837</Words>
  <Characters>141575</Characters>
  <Application>Microsoft Office Word</Application>
  <DocSecurity>0</DocSecurity>
  <Lines>1179</Lines>
  <Paragraphs>332</Paragraphs>
  <ScaleCrop>false</ScaleCrop>
  <HeadingPairs>
    <vt:vector size="2" baseType="variant">
      <vt:variant>
        <vt:lpstr>Title</vt:lpstr>
      </vt:variant>
      <vt:variant>
        <vt:i4>1</vt:i4>
      </vt:variant>
    </vt:vector>
  </HeadingPairs>
  <TitlesOfParts>
    <vt:vector size="1" baseType="lpstr">
      <vt:lpstr>Viešojo sektoriaus decentralizacijos pranašumai ir trūkumai yra plačiai aptariami ekonomikos ir politinių mokslų</vt:lpstr>
    </vt:vector>
  </TitlesOfParts>
  <Company/>
  <LinksUpToDate>false</LinksUpToDate>
  <CharactersWithSpaces>166080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sektoriaus decentralizacijos pranašumai ir trūkumai yra plačiai aptariami ekonomikos ir politinių mokslų</dc:title>
  <dc:creator>sandra</dc:creator>
  <cp:lastModifiedBy>Samsung</cp:lastModifiedBy>
  <cp:revision>6</cp:revision>
  <dcterms:created xsi:type="dcterms:W3CDTF">2014-04-16T15:47:00Z</dcterms:created>
  <dcterms:modified xsi:type="dcterms:W3CDTF">2014-05-02T09:46:00Z</dcterms:modified>
</cp:coreProperties>
</file>