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F40" w:rsidRPr="000D37F1" w:rsidRDefault="00246F40" w:rsidP="00246F40">
      <w:pPr>
        <w:jc w:val="center"/>
        <w:rPr>
          <w:rFonts w:ascii="Times New Roman" w:hAnsi="Times New Roman" w:cs="Times New Roman"/>
          <w:b/>
          <w:bCs/>
          <w:sz w:val="28"/>
          <w:szCs w:val="28"/>
          <w:lang w:val="lt-LT"/>
        </w:rPr>
      </w:pPr>
      <w:r w:rsidRPr="000D37F1">
        <w:rPr>
          <w:rFonts w:ascii="Times New Roman" w:hAnsi="Times New Roman" w:cs="Times New Roman"/>
          <w:b/>
          <w:bCs/>
          <w:sz w:val="32"/>
          <w:szCs w:val="32"/>
          <w:lang w:val="lt-LT"/>
        </w:rPr>
        <w:t>MYKOLO ROMERIO UNIVERSITETAS</w:t>
      </w:r>
    </w:p>
    <w:p w:rsidR="00246F40" w:rsidRPr="000D37F1" w:rsidRDefault="00246F40" w:rsidP="00246F40">
      <w:pPr>
        <w:jc w:val="center"/>
        <w:rPr>
          <w:rFonts w:ascii="Times New Roman" w:hAnsi="Times New Roman" w:cs="Times New Roman"/>
          <w:b/>
          <w:bCs/>
          <w:lang w:val="lt-LT"/>
        </w:rPr>
      </w:pPr>
      <w:r w:rsidRPr="000D37F1">
        <w:rPr>
          <w:rFonts w:ascii="Times New Roman" w:hAnsi="Times New Roman" w:cs="Times New Roman"/>
          <w:b/>
          <w:bCs/>
          <w:sz w:val="28"/>
          <w:szCs w:val="28"/>
          <w:lang w:val="lt-LT"/>
        </w:rPr>
        <w:t>EKONOMIKOS IR FINANSŲ VALDYMO FAKULTETAS</w:t>
      </w:r>
    </w:p>
    <w:p w:rsidR="00246F40" w:rsidRPr="000D37F1" w:rsidRDefault="00246F40" w:rsidP="00246F40">
      <w:pPr>
        <w:jc w:val="center"/>
        <w:rPr>
          <w:rFonts w:ascii="Times New Roman" w:hAnsi="Times New Roman" w:cs="Times New Roman"/>
          <w:bCs/>
          <w:sz w:val="24"/>
          <w:szCs w:val="24"/>
          <w:lang w:val="lt-LT"/>
        </w:rPr>
      </w:pPr>
      <w:r w:rsidRPr="000D37F1">
        <w:rPr>
          <w:rFonts w:ascii="Times New Roman" w:hAnsi="Times New Roman" w:cs="Times New Roman"/>
          <w:b/>
          <w:bCs/>
          <w:sz w:val="24"/>
          <w:szCs w:val="24"/>
          <w:lang w:val="lt-LT"/>
        </w:rPr>
        <w:t>FINANSŲ IR MOKESČIŲ KATEDRA</w:t>
      </w:r>
    </w:p>
    <w:p w:rsidR="00246F40" w:rsidRPr="000D37F1" w:rsidRDefault="00246F40" w:rsidP="00246F40">
      <w:pPr>
        <w:rPr>
          <w:rFonts w:ascii="Times New Roman" w:hAnsi="Times New Roman" w:cs="Times New Roman"/>
          <w:b/>
          <w:bCs/>
          <w:lang w:val="lt-LT"/>
        </w:rPr>
      </w:pPr>
    </w:p>
    <w:p w:rsidR="00246F40" w:rsidRPr="000D37F1" w:rsidRDefault="00246F40" w:rsidP="00246F40">
      <w:pPr>
        <w:rPr>
          <w:rFonts w:ascii="Times New Roman" w:hAnsi="Times New Roman" w:cs="Times New Roman"/>
          <w:b/>
          <w:bCs/>
          <w:lang w:val="lt-LT"/>
        </w:rPr>
      </w:pPr>
    </w:p>
    <w:p w:rsidR="00246F40" w:rsidRPr="000D37F1" w:rsidRDefault="00246F40" w:rsidP="00246F40">
      <w:pPr>
        <w:rPr>
          <w:rFonts w:ascii="Times New Roman" w:hAnsi="Times New Roman" w:cs="Times New Roman"/>
          <w:b/>
          <w:bCs/>
          <w:lang w:val="lt-LT"/>
        </w:rPr>
      </w:pPr>
    </w:p>
    <w:p w:rsidR="00246F40" w:rsidRPr="000D37F1" w:rsidRDefault="00246F40" w:rsidP="00246F40">
      <w:pPr>
        <w:jc w:val="center"/>
        <w:rPr>
          <w:rFonts w:ascii="Times New Roman" w:hAnsi="Times New Roman" w:cs="Times New Roman"/>
          <w:b/>
          <w:bCs/>
          <w:lang w:val="lt-LT"/>
        </w:rPr>
      </w:pPr>
    </w:p>
    <w:p w:rsidR="00246F40" w:rsidRPr="000D37F1" w:rsidRDefault="00246F40" w:rsidP="00246F40">
      <w:pPr>
        <w:jc w:val="center"/>
        <w:rPr>
          <w:rFonts w:ascii="Times New Roman" w:hAnsi="Times New Roman" w:cs="Times New Roman"/>
          <w:b/>
          <w:bCs/>
          <w:sz w:val="32"/>
          <w:szCs w:val="32"/>
          <w:lang w:val="lt-LT"/>
        </w:rPr>
      </w:pPr>
      <w:r w:rsidRPr="000D37F1">
        <w:rPr>
          <w:rFonts w:ascii="Times New Roman" w:hAnsi="Times New Roman" w:cs="Times New Roman"/>
          <w:b/>
          <w:bCs/>
          <w:sz w:val="32"/>
          <w:szCs w:val="32"/>
          <w:lang w:val="lt-LT"/>
        </w:rPr>
        <w:t>VIKTORIJA JOKŪBAITYTĖ</w:t>
      </w:r>
    </w:p>
    <w:p w:rsidR="00246F40" w:rsidRPr="000D37F1" w:rsidRDefault="00246F40" w:rsidP="00246F40">
      <w:pPr>
        <w:jc w:val="center"/>
        <w:rPr>
          <w:rFonts w:ascii="Times New Roman" w:hAnsi="Times New Roman" w:cs="Times New Roman"/>
          <w:b/>
          <w:bCs/>
          <w:lang w:val="lt-LT"/>
        </w:rPr>
      </w:pPr>
    </w:p>
    <w:p w:rsidR="00246F40" w:rsidRPr="000D37F1" w:rsidRDefault="00246F40" w:rsidP="00246F40">
      <w:pPr>
        <w:jc w:val="center"/>
        <w:rPr>
          <w:rFonts w:ascii="Times New Roman" w:hAnsi="Times New Roman" w:cs="Times New Roman"/>
          <w:b/>
          <w:bCs/>
          <w:lang w:val="lt-LT"/>
        </w:rPr>
      </w:pPr>
    </w:p>
    <w:p w:rsidR="00246F40" w:rsidRPr="000D37F1" w:rsidRDefault="00246F40" w:rsidP="00246F40">
      <w:pPr>
        <w:jc w:val="center"/>
        <w:rPr>
          <w:rFonts w:ascii="Times New Roman" w:hAnsi="Times New Roman" w:cs="Times New Roman"/>
          <w:b/>
          <w:bCs/>
          <w:lang w:val="lt-LT"/>
        </w:rPr>
      </w:pPr>
    </w:p>
    <w:p w:rsidR="00246F40" w:rsidRPr="000D37F1" w:rsidRDefault="00246F40" w:rsidP="00246F40">
      <w:pPr>
        <w:jc w:val="center"/>
        <w:rPr>
          <w:rFonts w:ascii="Times New Roman" w:hAnsi="Times New Roman" w:cs="Times New Roman"/>
          <w:b/>
          <w:bCs/>
          <w:lang w:val="lt-LT"/>
        </w:rPr>
      </w:pPr>
    </w:p>
    <w:p w:rsidR="00246F40" w:rsidRPr="000D37F1" w:rsidRDefault="00246F40" w:rsidP="00246F40">
      <w:pPr>
        <w:jc w:val="center"/>
        <w:rPr>
          <w:rFonts w:ascii="Times New Roman" w:hAnsi="Times New Roman" w:cs="Times New Roman"/>
          <w:b/>
          <w:bCs/>
          <w:sz w:val="40"/>
          <w:szCs w:val="40"/>
          <w:lang w:val="lt-LT"/>
        </w:rPr>
      </w:pPr>
      <w:r w:rsidRPr="000D37F1">
        <w:rPr>
          <w:rFonts w:ascii="Times New Roman" w:hAnsi="Times New Roman" w:cs="Times New Roman"/>
          <w:b/>
          <w:bCs/>
          <w:sz w:val="40"/>
          <w:szCs w:val="40"/>
          <w:lang w:val="lt-LT"/>
        </w:rPr>
        <w:t>LIETUVOS KREDITO UNIJŲ VEIKLOS RIZIKINGUMO VERTINIMAS</w:t>
      </w:r>
    </w:p>
    <w:p w:rsidR="00246F40" w:rsidRPr="000D37F1" w:rsidRDefault="00246F40" w:rsidP="00246F40">
      <w:pPr>
        <w:jc w:val="center"/>
        <w:rPr>
          <w:rFonts w:ascii="Times New Roman" w:hAnsi="Times New Roman" w:cs="Times New Roman"/>
          <w:b/>
          <w:bCs/>
          <w:sz w:val="28"/>
          <w:szCs w:val="28"/>
          <w:lang w:val="lt-LT"/>
        </w:rPr>
      </w:pPr>
      <w:r w:rsidRPr="000D37F1">
        <w:rPr>
          <w:rFonts w:ascii="Times New Roman" w:hAnsi="Times New Roman" w:cs="Times New Roman"/>
          <w:b/>
          <w:bCs/>
          <w:sz w:val="28"/>
          <w:szCs w:val="28"/>
          <w:lang w:val="lt-LT"/>
        </w:rPr>
        <w:t>Magistro baigiamasis darbas</w:t>
      </w:r>
    </w:p>
    <w:p w:rsidR="00246F40" w:rsidRPr="000D37F1" w:rsidRDefault="00246F40" w:rsidP="00246F40">
      <w:pPr>
        <w:rPr>
          <w:rFonts w:ascii="Times New Roman" w:hAnsi="Times New Roman" w:cs="Times New Roman"/>
          <w:b/>
          <w:bCs/>
          <w:sz w:val="28"/>
          <w:szCs w:val="28"/>
          <w:lang w:val="lt-LT"/>
        </w:rPr>
      </w:pPr>
    </w:p>
    <w:p w:rsidR="00246F40" w:rsidRPr="000D37F1" w:rsidRDefault="00246F40" w:rsidP="00246F40">
      <w:pPr>
        <w:tabs>
          <w:tab w:val="left" w:pos="0"/>
        </w:tabs>
        <w:rPr>
          <w:rFonts w:ascii="Times New Roman" w:hAnsi="Times New Roman" w:cs="Times New Roman"/>
          <w:b/>
          <w:bCs/>
          <w:sz w:val="28"/>
          <w:szCs w:val="28"/>
          <w:lang w:val="lt-LT"/>
        </w:rPr>
      </w:pP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p>
    <w:p w:rsidR="00246F40" w:rsidRPr="000D37F1" w:rsidRDefault="00246F40" w:rsidP="00246F40">
      <w:pPr>
        <w:tabs>
          <w:tab w:val="left" w:pos="0"/>
        </w:tabs>
        <w:rPr>
          <w:rFonts w:ascii="Times New Roman" w:hAnsi="Times New Roman" w:cs="Times New Roman"/>
          <w:b/>
          <w:color w:val="000000"/>
          <w:lang w:val="lt-LT"/>
        </w:rPr>
      </w:pPr>
    </w:p>
    <w:p w:rsidR="00246F40" w:rsidRPr="000D37F1" w:rsidRDefault="00246F40" w:rsidP="00246F40">
      <w:pPr>
        <w:tabs>
          <w:tab w:val="left" w:pos="0"/>
        </w:tabs>
        <w:rPr>
          <w:rFonts w:ascii="Times New Roman" w:hAnsi="Times New Roman" w:cs="Times New Roman"/>
          <w:b/>
          <w:color w:val="000000"/>
          <w:lang w:val="lt-LT"/>
        </w:rPr>
      </w:pPr>
    </w:p>
    <w:p w:rsidR="00246F40" w:rsidRPr="000D37F1" w:rsidRDefault="00246F40" w:rsidP="00246F40">
      <w:pPr>
        <w:tabs>
          <w:tab w:val="left" w:pos="0"/>
        </w:tabs>
        <w:spacing w:line="240" w:lineRule="auto"/>
        <w:rPr>
          <w:rFonts w:ascii="Times New Roman" w:hAnsi="Times New Roman" w:cs="Times New Roman"/>
          <w:b/>
          <w:color w:val="000000"/>
          <w:lang w:val="lt-LT"/>
        </w:rPr>
      </w:pPr>
    </w:p>
    <w:p w:rsidR="00246F40" w:rsidRPr="000D37F1" w:rsidRDefault="00246F40" w:rsidP="00246F40">
      <w:pPr>
        <w:tabs>
          <w:tab w:val="left" w:pos="0"/>
        </w:tabs>
        <w:spacing w:line="240" w:lineRule="auto"/>
        <w:ind w:firstLine="6307"/>
        <w:rPr>
          <w:rFonts w:ascii="Times New Roman" w:hAnsi="Times New Roman" w:cs="Times New Roman"/>
          <w:b/>
          <w:color w:val="000000"/>
          <w:lang w:val="lt-LT"/>
        </w:rPr>
      </w:pPr>
      <w:r w:rsidRPr="000D37F1">
        <w:rPr>
          <w:rFonts w:ascii="Times New Roman" w:hAnsi="Times New Roman" w:cs="Times New Roman"/>
          <w:b/>
          <w:color w:val="000000"/>
          <w:lang w:val="lt-LT"/>
        </w:rPr>
        <w:t>Vadovas</w:t>
      </w:r>
    </w:p>
    <w:p w:rsidR="00246F40" w:rsidRPr="000D37F1" w:rsidRDefault="00246F40" w:rsidP="00246F40">
      <w:pPr>
        <w:tabs>
          <w:tab w:val="left" w:pos="0"/>
        </w:tabs>
        <w:spacing w:line="240" w:lineRule="auto"/>
        <w:ind w:right="28" w:firstLine="6307"/>
        <w:rPr>
          <w:rFonts w:ascii="Times New Roman" w:hAnsi="Times New Roman" w:cs="Times New Roman"/>
          <w:b/>
          <w:color w:val="000000"/>
          <w:lang w:val="lt-LT"/>
        </w:rPr>
      </w:pPr>
      <w:r w:rsidRPr="000D37F1">
        <w:rPr>
          <w:rFonts w:ascii="Times New Roman" w:hAnsi="Times New Roman" w:cs="Times New Roman"/>
          <w:b/>
          <w:color w:val="000000"/>
          <w:lang w:val="lt-LT"/>
        </w:rPr>
        <w:t xml:space="preserve">prof. dr. G. </w:t>
      </w:r>
      <w:r w:rsidR="00141F2D" w:rsidRPr="000D37F1">
        <w:rPr>
          <w:rFonts w:ascii="Times New Roman" w:hAnsi="Times New Roman" w:cs="Times New Roman"/>
          <w:b/>
          <w:color w:val="000000"/>
          <w:lang w:val="lt-LT"/>
        </w:rPr>
        <w:t>Č</w:t>
      </w:r>
      <w:r w:rsidRPr="000D37F1">
        <w:rPr>
          <w:rFonts w:ascii="Times New Roman" w:hAnsi="Times New Roman" w:cs="Times New Roman"/>
          <w:b/>
          <w:color w:val="000000"/>
          <w:lang w:val="lt-LT"/>
        </w:rPr>
        <w:t>ernius</w:t>
      </w:r>
    </w:p>
    <w:p w:rsidR="00246F40" w:rsidRPr="000D37F1" w:rsidRDefault="00246F40" w:rsidP="00246F40">
      <w:pPr>
        <w:rPr>
          <w:rFonts w:ascii="Times New Roman" w:hAnsi="Times New Roman" w:cs="Times New Roman"/>
          <w:b/>
          <w:color w:val="000000"/>
          <w:lang w:val="lt-LT"/>
        </w:rPr>
      </w:pPr>
    </w:p>
    <w:p w:rsidR="00246F40" w:rsidRPr="000D37F1" w:rsidRDefault="00246F40" w:rsidP="00246F40">
      <w:pPr>
        <w:rPr>
          <w:rFonts w:ascii="Times New Roman" w:hAnsi="Times New Roman" w:cs="Times New Roman"/>
          <w:b/>
          <w:bCs/>
          <w:sz w:val="28"/>
          <w:szCs w:val="28"/>
          <w:lang w:val="lt-LT"/>
        </w:rPr>
      </w:pPr>
    </w:p>
    <w:p w:rsidR="00246F40" w:rsidRPr="000D37F1" w:rsidRDefault="00246F40" w:rsidP="00246F40">
      <w:pPr>
        <w:rPr>
          <w:rFonts w:ascii="Times New Roman" w:hAnsi="Times New Roman" w:cs="Times New Roman"/>
          <w:b/>
          <w:bCs/>
          <w:sz w:val="28"/>
          <w:szCs w:val="28"/>
          <w:lang w:val="lt-LT"/>
        </w:rPr>
      </w:pPr>
    </w:p>
    <w:p w:rsidR="00246F40" w:rsidRPr="000D37F1" w:rsidRDefault="00246F40" w:rsidP="00246F40">
      <w:pPr>
        <w:jc w:val="center"/>
        <w:rPr>
          <w:rFonts w:ascii="Times New Roman" w:hAnsi="Times New Roman" w:cs="Times New Roman"/>
          <w:b/>
          <w:bCs/>
          <w:sz w:val="28"/>
          <w:szCs w:val="28"/>
          <w:lang w:val="lt-LT"/>
        </w:rPr>
      </w:pPr>
    </w:p>
    <w:p w:rsidR="00246F40" w:rsidRPr="000D37F1" w:rsidRDefault="00246F40" w:rsidP="00246F40">
      <w:pPr>
        <w:jc w:val="center"/>
        <w:rPr>
          <w:rFonts w:ascii="Times New Roman" w:hAnsi="Times New Roman" w:cs="Times New Roman"/>
          <w:b/>
          <w:bCs/>
          <w:sz w:val="28"/>
          <w:szCs w:val="28"/>
          <w:lang w:val="lt-LT"/>
        </w:rPr>
      </w:pPr>
      <w:r w:rsidRPr="000D37F1">
        <w:rPr>
          <w:rFonts w:ascii="Times New Roman" w:hAnsi="Times New Roman" w:cs="Times New Roman"/>
          <w:b/>
          <w:bCs/>
          <w:sz w:val="28"/>
          <w:szCs w:val="28"/>
          <w:lang w:val="lt-LT"/>
        </w:rPr>
        <w:t>VILNIUS, 2014</w:t>
      </w:r>
    </w:p>
    <w:p w:rsidR="007C4F6E" w:rsidRPr="000D37F1" w:rsidRDefault="007C4F6E" w:rsidP="007C4F6E">
      <w:pPr>
        <w:jc w:val="center"/>
        <w:rPr>
          <w:rFonts w:ascii="Times New Roman" w:hAnsi="Times New Roman" w:cs="Times New Roman"/>
          <w:b/>
          <w:bCs/>
          <w:sz w:val="28"/>
          <w:szCs w:val="28"/>
          <w:lang w:val="lt-LT"/>
        </w:rPr>
      </w:pPr>
      <w:r w:rsidRPr="000D37F1">
        <w:rPr>
          <w:rFonts w:ascii="Times New Roman" w:hAnsi="Times New Roman" w:cs="Times New Roman"/>
          <w:b/>
          <w:bCs/>
          <w:sz w:val="32"/>
          <w:szCs w:val="32"/>
          <w:lang w:val="lt-LT"/>
        </w:rPr>
        <w:lastRenderedPageBreak/>
        <w:t>MYKOLO ROMERIO UNIVERSITETAS</w:t>
      </w:r>
    </w:p>
    <w:p w:rsidR="007C4F6E" w:rsidRPr="000D37F1" w:rsidRDefault="007C4F6E" w:rsidP="007C4F6E">
      <w:pPr>
        <w:jc w:val="center"/>
        <w:rPr>
          <w:rFonts w:ascii="Times New Roman" w:hAnsi="Times New Roman" w:cs="Times New Roman"/>
          <w:b/>
          <w:bCs/>
          <w:lang w:val="lt-LT"/>
        </w:rPr>
      </w:pPr>
      <w:r w:rsidRPr="000D37F1">
        <w:rPr>
          <w:rFonts w:ascii="Times New Roman" w:hAnsi="Times New Roman" w:cs="Times New Roman"/>
          <w:b/>
          <w:bCs/>
          <w:sz w:val="28"/>
          <w:szCs w:val="28"/>
          <w:lang w:val="lt-LT"/>
        </w:rPr>
        <w:t>EKONOMIKOS IR FINANSŲ VALDYMO FAKULTETAS</w:t>
      </w:r>
    </w:p>
    <w:p w:rsidR="007C4F6E" w:rsidRPr="000D37F1" w:rsidRDefault="007C4F6E" w:rsidP="007C4F6E">
      <w:pPr>
        <w:jc w:val="center"/>
        <w:rPr>
          <w:rFonts w:ascii="Times New Roman" w:hAnsi="Times New Roman" w:cs="Times New Roman"/>
          <w:bCs/>
          <w:sz w:val="24"/>
          <w:szCs w:val="24"/>
          <w:lang w:val="lt-LT"/>
        </w:rPr>
      </w:pPr>
      <w:r w:rsidRPr="000D37F1">
        <w:rPr>
          <w:rFonts w:ascii="Times New Roman" w:hAnsi="Times New Roman" w:cs="Times New Roman"/>
          <w:b/>
          <w:bCs/>
          <w:sz w:val="24"/>
          <w:szCs w:val="24"/>
          <w:lang w:val="lt-LT"/>
        </w:rPr>
        <w:t>FINANSŲ IR MOKESČIŲ KATEDRA</w:t>
      </w:r>
    </w:p>
    <w:p w:rsidR="007C4F6E" w:rsidRPr="000D37F1" w:rsidRDefault="007C4F6E" w:rsidP="007C4F6E">
      <w:pPr>
        <w:rPr>
          <w:rFonts w:ascii="Times New Roman" w:hAnsi="Times New Roman" w:cs="Times New Roman"/>
          <w:b/>
          <w:bCs/>
          <w:lang w:val="lt-LT"/>
        </w:rPr>
      </w:pPr>
    </w:p>
    <w:p w:rsidR="007C4F6E" w:rsidRPr="000D37F1" w:rsidRDefault="007C4F6E" w:rsidP="007C4F6E">
      <w:pPr>
        <w:rPr>
          <w:rFonts w:ascii="Times New Roman" w:hAnsi="Times New Roman" w:cs="Times New Roman"/>
          <w:b/>
          <w:bCs/>
          <w:lang w:val="lt-LT"/>
        </w:rPr>
      </w:pPr>
    </w:p>
    <w:p w:rsidR="007C4F6E" w:rsidRPr="000D37F1" w:rsidRDefault="007C4F6E" w:rsidP="007C4F6E">
      <w:pPr>
        <w:rPr>
          <w:rFonts w:ascii="Times New Roman" w:hAnsi="Times New Roman" w:cs="Times New Roman"/>
          <w:b/>
          <w:bCs/>
          <w:lang w:val="lt-LT"/>
        </w:rPr>
      </w:pPr>
    </w:p>
    <w:p w:rsidR="007C4F6E" w:rsidRPr="000D37F1" w:rsidRDefault="007C4F6E" w:rsidP="007C4F6E">
      <w:pPr>
        <w:jc w:val="center"/>
        <w:rPr>
          <w:rFonts w:ascii="Times New Roman" w:hAnsi="Times New Roman" w:cs="Times New Roman"/>
          <w:b/>
          <w:bCs/>
          <w:lang w:val="lt-LT"/>
        </w:rPr>
      </w:pPr>
    </w:p>
    <w:p w:rsidR="007C4F6E" w:rsidRPr="000D37F1" w:rsidRDefault="007C4F6E" w:rsidP="007C4F6E">
      <w:pPr>
        <w:jc w:val="center"/>
        <w:rPr>
          <w:rFonts w:ascii="Times New Roman" w:hAnsi="Times New Roman" w:cs="Times New Roman"/>
          <w:b/>
          <w:bCs/>
          <w:lang w:val="lt-LT"/>
        </w:rPr>
      </w:pPr>
    </w:p>
    <w:p w:rsidR="007C4F6E" w:rsidRPr="000D37F1" w:rsidRDefault="007C4F6E" w:rsidP="007C4F6E">
      <w:pPr>
        <w:jc w:val="center"/>
        <w:rPr>
          <w:rFonts w:ascii="Times New Roman" w:hAnsi="Times New Roman" w:cs="Times New Roman"/>
          <w:b/>
          <w:bCs/>
          <w:lang w:val="lt-LT"/>
        </w:rPr>
      </w:pPr>
    </w:p>
    <w:p w:rsidR="007C4F6E" w:rsidRPr="000D37F1" w:rsidRDefault="007C4F6E" w:rsidP="007C4F6E">
      <w:pPr>
        <w:jc w:val="center"/>
        <w:rPr>
          <w:rFonts w:ascii="Times New Roman" w:hAnsi="Times New Roman" w:cs="Times New Roman"/>
          <w:b/>
          <w:bCs/>
          <w:lang w:val="lt-LT"/>
        </w:rPr>
      </w:pPr>
    </w:p>
    <w:p w:rsidR="007C4F6E" w:rsidRPr="000D37F1" w:rsidRDefault="007C4F6E" w:rsidP="007C4F6E">
      <w:pPr>
        <w:jc w:val="center"/>
        <w:rPr>
          <w:rFonts w:ascii="Times New Roman" w:hAnsi="Times New Roman" w:cs="Times New Roman"/>
          <w:b/>
          <w:bCs/>
          <w:sz w:val="40"/>
          <w:szCs w:val="40"/>
          <w:lang w:val="lt-LT"/>
        </w:rPr>
      </w:pPr>
      <w:r w:rsidRPr="000D37F1">
        <w:rPr>
          <w:rFonts w:ascii="Times New Roman" w:hAnsi="Times New Roman" w:cs="Times New Roman"/>
          <w:b/>
          <w:bCs/>
          <w:sz w:val="40"/>
          <w:szCs w:val="40"/>
          <w:lang w:val="lt-LT"/>
        </w:rPr>
        <w:t>LIETUVOS KREDITO UNIJŲ VEIKLOS RIZIKINGUMO VERTINIMAS</w:t>
      </w:r>
    </w:p>
    <w:p w:rsidR="007C4F6E" w:rsidRPr="000D37F1" w:rsidRDefault="000E772A" w:rsidP="007C4F6E">
      <w:pPr>
        <w:jc w:val="center"/>
        <w:rPr>
          <w:rFonts w:ascii="Times New Roman" w:hAnsi="Times New Roman" w:cs="Times New Roman"/>
          <w:b/>
          <w:bCs/>
          <w:sz w:val="28"/>
          <w:szCs w:val="28"/>
          <w:lang w:val="lt-LT"/>
        </w:rPr>
      </w:pPr>
      <w:r w:rsidRPr="000D37F1">
        <w:rPr>
          <w:rFonts w:ascii="Times New Roman" w:hAnsi="Times New Roman" w:cs="Times New Roman"/>
          <w:b/>
          <w:bCs/>
          <w:sz w:val="28"/>
          <w:szCs w:val="28"/>
          <w:lang w:val="lt-LT"/>
        </w:rPr>
        <w:t>Finan</w:t>
      </w:r>
      <w:r w:rsidR="007C4F6E" w:rsidRPr="000D37F1">
        <w:rPr>
          <w:rFonts w:ascii="Times New Roman" w:hAnsi="Times New Roman" w:cs="Times New Roman"/>
          <w:b/>
          <w:bCs/>
          <w:sz w:val="28"/>
          <w:szCs w:val="28"/>
          <w:lang w:val="lt-LT"/>
        </w:rPr>
        <w:t>sų valdymo magistro baigiamasis darbas</w:t>
      </w:r>
    </w:p>
    <w:p w:rsidR="007C4F6E" w:rsidRPr="000D37F1" w:rsidRDefault="007C4F6E" w:rsidP="007C4F6E">
      <w:pPr>
        <w:jc w:val="center"/>
        <w:rPr>
          <w:rFonts w:ascii="Times New Roman" w:hAnsi="Times New Roman" w:cs="Times New Roman"/>
          <w:b/>
          <w:bCs/>
          <w:sz w:val="28"/>
          <w:szCs w:val="28"/>
          <w:lang w:val="lt-LT"/>
        </w:rPr>
      </w:pPr>
      <w:r w:rsidRPr="000D37F1">
        <w:rPr>
          <w:rFonts w:ascii="Times New Roman" w:hAnsi="Times New Roman" w:cs="Times New Roman"/>
          <w:b/>
          <w:bCs/>
          <w:sz w:val="28"/>
          <w:szCs w:val="28"/>
          <w:lang w:val="lt-LT"/>
        </w:rPr>
        <w:t>Studijų programa</w:t>
      </w:r>
      <w:r w:rsidR="001B670A">
        <w:rPr>
          <w:rFonts w:ascii="Times New Roman" w:hAnsi="Times New Roman" w:cs="Times New Roman"/>
          <w:b/>
          <w:bCs/>
          <w:sz w:val="28"/>
          <w:szCs w:val="28"/>
          <w:lang w:val="lt-LT"/>
        </w:rPr>
        <w:t xml:space="preserve"> 621N30005</w:t>
      </w:r>
    </w:p>
    <w:p w:rsidR="007C4F6E" w:rsidRPr="000D37F1" w:rsidRDefault="007C4F6E" w:rsidP="007C4F6E">
      <w:pPr>
        <w:jc w:val="center"/>
        <w:rPr>
          <w:rFonts w:ascii="Times New Roman" w:hAnsi="Times New Roman" w:cs="Times New Roman"/>
          <w:b/>
          <w:bCs/>
          <w:sz w:val="28"/>
          <w:szCs w:val="28"/>
          <w:lang w:val="lt-LT"/>
        </w:rPr>
      </w:pPr>
    </w:p>
    <w:p w:rsidR="007C4F6E" w:rsidRPr="000D37F1" w:rsidRDefault="007C4F6E" w:rsidP="007C4F6E">
      <w:pPr>
        <w:jc w:val="center"/>
        <w:rPr>
          <w:rFonts w:ascii="Times New Roman" w:hAnsi="Times New Roman" w:cs="Times New Roman"/>
          <w:b/>
          <w:bCs/>
          <w:sz w:val="28"/>
          <w:szCs w:val="28"/>
          <w:lang w:val="lt-LT"/>
        </w:rPr>
      </w:pPr>
    </w:p>
    <w:p w:rsidR="007C4F6E" w:rsidRPr="000D37F1" w:rsidRDefault="007C4F6E" w:rsidP="007C4F6E">
      <w:pPr>
        <w:tabs>
          <w:tab w:val="left" w:pos="0"/>
        </w:tabs>
        <w:spacing w:line="240" w:lineRule="auto"/>
        <w:ind w:firstLine="6307"/>
        <w:rPr>
          <w:rFonts w:ascii="Times New Roman" w:hAnsi="Times New Roman" w:cs="Times New Roman"/>
          <w:b/>
          <w:color w:val="000000"/>
          <w:lang w:val="lt-LT"/>
        </w:rPr>
      </w:pP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color w:val="000000"/>
          <w:lang w:val="lt-LT"/>
        </w:rPr>
        <w:t>Vadovas</w:t>
      </w:r>
    </w:p>
    <w:p w:rsidR="007C4F6E" w:rsidRPr="000D37F1" w:rsidRDefault="007C4F6E" w:rsidP="007C4F6E">
      <w:pPr>
        <w:tabs>
          <w:tab w:val="left" w:pos="0"/>
        </w:tabs>
        <w:spacing w:line="240" w:lineRule="auto"/>
        <w:ind w:right="28" w:firstLine="6307"/>
        <w:rPr>
          <w:rFonts w:ascii="Times New Roman" w:hAnsi="Times New Roman" w:cs="Times New Roman"/>
          <w:b/>
          <w:color w:val="000000"/>
          <w:lang w:val="lt-LT"/>
        </w:rPr>
      </w:pPr>
      <w:r w:rsidRPr="000D37F1">
        <w:rPr>
          <w:rFonts w:ascii="Times New Roman" w:hAnsi="Times New Roman" w:cs="Times New Roman"/>
          <w:b/>
          <w:color w:val="000000"/>
          <w:lang w:val="lt-LT"/>
        </w:rPr>
        <w:tab/>
        <w:t>………</w:t>
      </w:r>
      <w:r w:rsidR="00684BA7">
        <w:rPr>
          <w:rFonts w:ascii="Times New Roman" w:hAnsi="Times New Roman" w:cs="Times New Roman"/>
          <w:b/>
          <w:color w:val="000000"/>
          <w:lang w:val="lt-LT"/>
        </w:rPr>
        <w:t>.</w:t>
      </w:r>
      <w:r w:rsidRPr="000D37F1">
        <w:rPr>
          <w:rFonts w:ascii="Times New Roman" w:hAnsi="Times New Roman" w:cs="Times New Roman"/>
          <w:b/>
          <w:color w:val="000000"/>
          <w:lang w:val="lt-LT"/>
        </w:rPr>
        <w:t>… prof. dr. G. Černius</w:t>
      </w:r>
    </w:p>
    <w:p w:rsidR="007C4F6E" w:rsidRPr="000D37F1" w:rsidRDefault="007C4F6E" w:rsidP="007C4F6E">
      <w:pPr>
        <w:rPr>
          <w:rFonts w:ascii="Times New Roman" w:hAnsi="Times New Roman" w:cs="Times New Roman"/>
          <w:b/>
          <w:bCs/>
          <w:sz w:val="24"/>
          <w:szCs w:val="24"/>
          <w:lang w:val="lt-LT"/>
        </w:rPr>
      </w:pP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8"/>
          <w:szCs w:val="28"/>
          <w:lang w:val="lt-LT"/>
        </w:rPr>
        <w:tab/>
      </w:r>
      <w:r w:rsidRPr="000D37F1">
        <w:rPr>
          <w:rFonts w:ascii="Times New Roman" w:hAnsi="Times New Roman" w:cs="Times New Roman"/>
          <w:b/>
          <w:bCs/>
          <w:sz w:val="24"/>
          <w:szCs w:val="24"/>
          <w:lang w:val="lt-LT"/>
        </w:rPr>
        <w:t>2014-04</w:t>
      </w:r>
    </w:p>
    <w:p w:rsidR="007C4F6E" w:rsidRPr="000D37F1" w:rsidRDefault="007C4F6E" w:rsidP="007C4F6E">
      <w:pPr>
        <w:rPr>
          <w:rFonts w:ascii="Times New Roman" w:hAnsi="Times New Roman" w:cs="Times New Roman"/>
          <w:b/>
          <w:bCs/>
          <w:sz w:val="24"/>
          <w:szCs w:val="24"/>
          <w:lang w:val="lt-LT"/>
        </w:rPr>
      </w:pPr>
    </w:p>
    <w:p w:rsidR="007C4F6E" w:rsidRPr="000D37F1" w:rsidRDefault="00450C32" w:rsidP="00450C32">
      <w:pPr>
        <w:tabs>
          <w:tab w:val="left" w:pos="0"/>
        </w:tabs>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Recenzentas</w:t>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sidR="007C4F6E" w:rsidRPr="000D37F1">
        <w:rPr>
          <w:rFonts w:ascii="Times New Roman" w:hAnsi="Times New Roman" w:cs="Times New Roman"/>
          <w:b/>
          <w:color w:val="000000"/>
          <w:sz w:val="24"/>
          <w:szCs w:val="24"/>
          <w:lang w:val="lt-LT"/>
        </w:rPr>
        <w:tab/>
        <w:t>Atliko</w:t>
      </w:r>
    </w:p>
    <w:p w:rsidR="007C4F6E" w:rsidRPr="000D37F1" w:rsidRDefault="007C4F6E" w:rsidP="007C4F6E">
      <w:pPr>
        <w:tabs>
          <w:tab w:val="left" w:pos="0"/>
        </w:tabs>
        <w:ind w:firstLine="6300"/>
        <w:rPr>
          <w:rFonts w:ascii="Times New Roman" w:hAnsi="Times New Roman" w:cs="Times New Roman"/>
          <w:b/>
          <w:color w:val="000000"/>
          <w:sz w:val="24"/>
          <w:szCs w:val="24"/>
          <w:lang w:val="lt-LT"/>
        </w:rPr>
      </w:pPr>
      <w:r w:rsidRPr="000D37F1">
        <w:rPr>
          <w:rFonts w:ascii="Times New Roman" w:hAnsi="Times New Roman" w:cs="Times New Roman"/>
          <w:b/>
          <w:color w:val="000000"/>
          <w:sz w:val="24"/>
          <w:szCs w:val="24"/>
          <w:lang w:val="lt-LT"/>
        </w:rPr>
        <w:tab/>
        <w:t xml:space="preserve">FVmns2-02 gr. </w:t>
      </w:r>
      <w:proofErr w:type="spellStart"/>
      <w:r w:rsidRPr="000D37F1">
        <w:rPr>
          <w:rFonts w:ascii="Times New Roman" w:hAnsi="Times New Roman" w:cs="Times New Roman"/>
          <w:b/>
          <w:color w:val="000000"/>
          <w:sz w:val="24"/>
          <w:szCs w:val="24"/>
          <w:lang w:val="lt-LT"/>
        </w:rPr>
        <w:t>stud</w:t>
      </w:r>
      <w:proofErr w:type="spellEnd"/>
      <w:r w:rsidRPr="000D37F1">
        <w:rPr>
          <w:rFonts w:ascii="Times New Roman" w:hAnsi="Times New Roman" w:cs="Times New Roman"/>
          <w:b/>
          <w:color w:val="000000"/>
          <w:sz w:val="24"/>
          <w:szCs w:val="24"/>
          <w:lang w:val="lt-LT"/>
        </w:rPr>
        <w:t>.</w:t>
      </w:r>
    </w:p>
    <w:p w:rsidR="007C4F6E" w:rsidRPr="000D37F1" w:rsidRDefault="00450C32" w:rsidP="00450C32">
      <w:pPr>
        <w:tabs>
          <w:tab w:val="left" w:pos="0"/>
        </w:tabs>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(parašas)</w:t>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sidR="007C4F6E" w:rsidRPr="000D37F1">
        <w:rPr>
          <w:rFonts w:ascii="Times New Roman" w:hAnsi="Times New Roman" w:cs="Times New Roman"/>
          <w:b/>
          <w:color w:val="000000"/>
          <w:sz w:val="24"/>
          <w:szCs w:val="24"/>
          <w:lang w:val="lt-LT"/>
        </w:rPr>
        <w:tab/>
        <w:t xml:space="preserve">…………. V. </w:t>
      </w:r>
      <w:proofErr w:type="spellStart"/>
      <w:r w:rsidR="007C4F6E" w:rsidRPr="000D37F1">
        <w:rPr>
          <w:rFonts w:ascii="Times New Roman" w:hAnsi="Times New Roman" w:cs="Times New Roman"/>
          <w:b/>
          <w:color w:val="000000"/>
          <w:sz w:val="24"/>
          <w:szCs w:val="24"/>
          <w:lang w:val="lt-LT"/>
        </w:rPr>
        <w:t>Jokūbaitytė</w:t>
      </w:r>
      <w:proofErr w:type="spellEnd"/>
    </w:p>
    <w:p w:rsidR="007C4F6E" w:rsidRPr="000D37F1" w:rsidRDefault="00450C32" w:rsidP="00450C32">
      <w:pPr>
        <w:tabs>
          <w:tab w:val="left" w:pos="0"/>
        </w:tabs>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2014-04</w:t>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Pr>
          <w:rFonts w:ascii="Times New Roman" w:hAnsi="Times New Roman" w:cs="Times New Roman"/>
          <w:b/>
          <w:color w:val="000000"/>
          <w:sz w:val="24"/>
          <w:szCs w:val="24"/>
          <w:lang w:val="lt-LT"/>
        </w:rPr>
        <w:tab/>
      </w:r>
      <w:r w:rsidR="007C4F6E" w:rsidRPr="000D37F1">
        <w:rPr>
          <w:rFonts w:ascii="Times New Roman" w:hAnsi="Times New Roman" w:cs="Times New Roman"/>
          <w:b/>
          <w:color w:val="000000"/>
          <w:sz w:val="24"/>
          <w:szCs w:val="24"/>
          <w:lang w:val="lt-LT"/>
        </w:rPr>
        <w:tab/>
        <w:t>2014-04</w:t>
      </w:r>
    </w:p>
    <w:p w:rsidR="007C4F6E" w:rsidRPr="000D37F1" w:rsidRDefault="007C4F6E" w:rsidP="007C4F6E">
      <w:pPr>
        <w:rPr>
          <w:rFonts w:ascii="Times New Roman" w:hAnsi="Times New Roman" w:cs="Times New Roman"/>
          <w:b/>
          <w:bCs/>
          <w:sz w:val="24"/>
          <w:szCs w:val="24"/>
          <w:lang w:val="lt-LT"/>
        </w:rPr>
      </w:pPr>
    </w:p>
    <w:p w:rsidR="007C4F6E" w:rsidRPr="000D37F1" w:rsidRDefault="007C4F6E" w:rsidP="007C4F6E">
      <w:pPr>
        <w:rPr>
          <w:rFonts w:ascii="Times New Roman" w:hAnsi="Times New Roman" w:cs="Times New Roman"/>
          <w:b/>
          <w:bCs/>
          <w:sz w:val="24"/>
          <w:szCs w:val="24"/>
          <w:lang w:val="lt-LT"/>
        </w:rPr>
      </w:pPr>
    </w:p>
    <w:p w:rsidR="007C4F6E" w:rsidRPr="000D37F1" w:rsidRDefault="007C4F6E" w:rsidP="007C4F6E">
      <w:pPr>
        <w:jc w:val="center"/>
        <w:rPr>
          <w:rFonts w:ascii="Times New Roman" w:hAnsi="Times New Roman" w:cs="Times New Roman"/>
          <w:b/>
          <w:bCs/>
          <w:sz w:val="28"/>
          <w:szCs w:val="28"/>
          <w:lang w:val="lt-LT"/>
        </w:rPr>
      </w:pPr>
      <w:r w:rsidRPr="000D37F1">
        <w:rPr>
          <w:rFonts w:ascii="Times New Roman" w:hAnsi="Times New Roman" w:cs="Times New Roman"/>
          <w:b/>
          <w:bCs/>
          <w:sz w:val="28"/>
          <w:szCs w:val="28"/>
          <w:lang w:val="lt-LT"/>
        </w:rPr>
        <w:t>VILNIUS, 2014</w:t>
      </w:r>
    </w:p>
    <w:p w:rsidR="00307E50" w:rsidRPr="004462A5" w:rsidRDefault="00A2704E" w:rsidP="004462A5">
      <w:pPr>
        <w:jc w:val="center"/>
        <w:rPr>
          <w:rFonts w:ascii="Times New Roman" w:hAnsi="Times New Roman" w:cs="Times New Roman"/>
          <w:b/>
          <w:bCs/>
          <w:sz w:val="28"/>
          <w:szCs w:val="28"/>
          <w:lang w:val="lt-LT"/>
        </w:rPr>
      </w:pPr>
      <w:r>
        <w:rPr>
          <w:rFonts w:ascii="Times New Roman" w:hAnsi="Times New Roman" w:cs="Times New Roman"/>
          <w:b/>
          <w:sz w:val="28"/>
          <w:szCs w:val="28"/>
          <w:lang w:val="lt-LT"/>
        </w:rPr>
        <w:lastRenderedPageBreak/>
        <w:t>TURINYS</w:t>
      </w:r>
    </w:p>
    <w:sdt>
      <w:sdtPr>
        <w:rPr>
          <w:rFonts w:asciiTheme="minorHAnsi" w:eastAsiaTheme="minorHAnsi" w:hAnsiTheme="minorHAnsi" w:cstheme="minorBidi"/>
          <w:b w:val="0"/>
          <w:bCs w:val="0"/>
          <w:color w:val="auto"/>
          <w:kern w:val="2"/>
          <w:sz w:val="22"/>
          <w:szCs w:val="22"/>
          <w:lang w:eastAsia="en-US"/>
          <w14:ligatures w14:val="standard"/>
        </w:rPr>
        <w:id w:val="1569926675"/>
        <w:docPartObj>
          <w:docPartGallery w:val="Table of Contents"/>
          <w:docPartUnique/>
        </w:docPartObj>
      </w:sdtPr>
      <w:sdtEndPr>
        <w:rPr>
          <w:noProof/>
        </w:rPr>
      </w:sdtEndPr>
      <w:sdtContent>
        <w:p w:rsidR="00734657" w:rsidRDefault="00734657">
          <w:pPr>
            <w:pStyle w:val="TOCHeading"/>
          </w:pPr>
        </w:p>
        <w:p w:rsidR="00101045" w:rsidRPr="00101045" w:rsidRDefault="00734657">
          <w:pPr>
            <w:pStyle w:val="TOC1"/>
            <w:tabs>
              <w:tab w:val="right" w:leader="dot" w:pos="9350"/>
            </w:tabs>
            <w:rPr>
              <w:rFonts w:eastAsiaTheme="minorEastAsia"/>
              <w:b w:val="0"/>
              <w:bCs w:val="0"/>
              <w:caps w:val="0"/>
              <w:noProof/>
              <w:kern w:val="0"/>
              <w:sz w:val="22"/>
              <w:szCs w:val="22"/>
              <w14:ligatures w14:val="none"/>
            </w:rPr>
          </w:pPr>
          <w:r>
            <w:fldChar w:fldCharType="begin"/>
          </w:r>
          <w:r>
            <w:instrText xml:space="preserve"> TOC \o "1-3" \h \z \u </w:instrText>
          </w:r>
          <w:r>
            <w:fldChar w:fldCharType="separate"/>
          </w:r>
          <w:hyperlink w:anchor="_Toc384570729" w:history="1">
            <w:r w:rsidR="00101045" w:rsidRPr="00101045">
              <w:rPr>
                <w:rStyle w:val="Hyperlink"/>
                <w:rFonts w:ascii="Times New Roman" w:hAnsi="Times New Roman" w:cs="Times New Roman"/>
                <w:noProof/>
                <w:u w:val="none"/>
              </w:rPr>
              <w:t>ĮVADAS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_Toc384570729 \h </w:instrText>
            </w:r>
            <w:r w:rsidR="00101045" w:rsidRPr="00101045">
              <w:rPr>
                <w:noProof/>
                <w:webHidden/>
              </w:rPr>
            </w:r>
            <w:r w:rsidR="00101045" w:rsidRPr="00101045">
              <w:rPr>
                <w:noProof/>
                <w:webHidden/>
              </w:rPr>
              <w:fldChar w:fldCharType="separate"/>
            </w:r>
            <w:r w:rsidR="004804FA">
              <w:rPr>
                <w:noProof/>
                <w:webHidden/>
              </w:rPr>
              <w:t>7</w:t>
            </w:r>
            <w:r w:rsidR="00101045" w:rsidRPr="00101045">
              <w:rPr>
                <w:noProof/>
                <w:webHidden/>
              </w:rPr>
              <w:fldChar w:fldCharType="end"/>
            </w:r>
          </w:hyperlink>
        </w:p>
        <w:p w:rsidR="00101045" w:rsidRPr="00101045" w:rsidRDefault="00F20243">
          <w:pPr>
            <w:pStyle w:val="TOC1"/>
            <w:tabs>
              <w:tab w:val="left" w:pos="440"/>
              <w:tab w:val="right" w:leader="dot" w:pos="9350"/>
            </w:tabs>
            <w:rPr>
              <w:rFonts w:eastAsiaTheme="minorEastAsia"/>
              <w:b w:val="0"/>
              <w:bCs w:val="0"/>
              <w:caps w:val="0"/>
              <w:noProof/>
              <w:kern w:val="0"/>
              <w:sz w:val="22"/>
              <w:szCs w:val="22"/>
              <w14:ligatures w14:val="none"/>
            </w:rPr>
          </w:pPr>
          <w:hyperlink w:anchor="_Toc384570730" w:history="1">
            <w:r w:rsidR="00101045" w:rsidRPr="00101045">
              <w:rPr>
                <w:rStyle w:val="Hyperlink"/>
                <w:rFonts w:ascii="Times New Roman" w:hAnsi="Times New Roman" w:cs="Times New Roman"/>
                <w:noProof/>
                <w:u w:val="none"/>
              </w:rPr>
              <w:t>1.</w:t>
            </w:r>
            <w:r w:rsidR="00101045">
              <w:rPr>
                <w:rStyle w:val="Hyperlink"/>
                <w:rFonts w:ascii="Times New Roman" w:hAnsi="Times New Roman" w:cs="Times New Roman"/>
                <w:noProof/>
                <w:u w:val="none"/>
              </w:rPr>
              <w:t xml:space="preserve"> </w:t>
            </w:r>
            <w:r w:rsidR="00101045" w:rsidRPr="00101045">
              <w:rPr>
                <w:rStyle w:val="Hyperlink"/>
                <w:rFonts w:ascii="Times New Roman" w:hAnsi="Times New Roman" w:cs="Times New Roman"/>
                <w:noProof/>
                <w:u w:val="none"/>
              </w:rPr>
              <w:t>KREDITO UNIJŲ VEIKLOS TEORINIAI ASPEKTAI</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_Toc384570730 \h </w:instrText>
            </w:r>
            <w:r w:rsidR="00101045" w:rsidRPr="00101045">
              <w:rPr>
                <w:noProof/>
                <w:webHidden/>
              </w:rPr>
            </w:r>
            <w:r w:rsidR="00101045" w:rsidRPr="00101045">
              <w:rPr>
                <w:noProof/>
                <w:webHidden/>
              </w:rPr>
              <w:fldChar w:fldCharType="separate"/>
            </w:r>
            <w:r w:rsidR="004804FA">
              <w:rPr>
                <w:noProof/>
                <w:webHidden/>
              </w:rPr>
              <w:t>9</w:t>
            </w:r>
            <w:r w:rsidR="00101045" w:rsidRPr="00101045">
              <w:rPr>
                <w:noProof/>
                <w:webHidden/>
              </w:rPr>
              <w:fldChar w:fldCharType="end"/>
            </w:r>
          </w:hyperlink>
        </w:p>
        <w:p w:rsidR="00101045" w:rsidRPr="00101045" w:rsidRDefault="00F20243">
          <w:pPr>
            <w:pStyle w:val="TOC2"/>
            <w:tabs>
              <w:tab w:val="left" w:pos="880"/>
              <w:tab w:val="right" w:leader="dot" w:pos="9350"/>
            </w:tabs>
            <w:rPr>
              <w:rFonts w:eastAsiaTheme="minorEastAsia"/>
              <w:smallCaps w:val="0"/>
              <w:noProof/>
              <w:kern w:val="0"/>
              <w:sz w:val="22"/>
              <w:szCs w:val="22"/>
              <w14:ligatures w14:val="none"/>
            </w:rPr>
          </w:pPr>
          <w:hyperlink w:anchor="_Toc384570731" w:history="1">
            <w:r w:rsidR="00101045" w:rsidRPr="00101045">
              <w:rPr>
                <w:rStyle w:val="Hyperlink"/>
                <w:rFonts w:ascii="Times New Roman" w:hAnsi="Times New Roman" w:cs="Times New Roman"/>
                <w:noProof/>
                <w:u w:val="none"/>
                <w:lang w:val="lt-LT"/>
              </w:rPr>
              <w:t>1.1.</w:t>
            </w:r>
            <w:r w:rsidR="00101045">
              <w:rPr>
                <w:rFonts w:eastAsiaTheme="minorEastAsia"/>
                <w:smallCaps w:val="0"/>
                <w:noProof/>
                <w:kern w:val="0"/>
                <w:sz w:val="22"/>
                <w:szCs w:val="22"/>
                <w14:ligatures w14:val="none"/>
              </w:rPr>
              <w:t xml:space="preserve"> </w:t>
            </w:r>
            <w:r w:rsidR="00101045" w:rsidRPr="00101045">
              <w:rPr>
                <w:rStyle w:val="Hyperlink"/>
                <w:rFonts w:ascii="Times New Roman" w:hAnsi="Times New Roman" w:cs="Times New Roman"/>
                <w:noProof/>
                <w:u w:val="none"/>
                <w:lang w:val="lt-LT"/>
              </w:rPr>
              <w:t>KREDITO UNIJŲ KONSEPCIJA</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_Toc384570731 \h </w:instrText>
            </w:r>
            <w:r w:rsidR="00101045" w:rsidRPr="00101045">
              <w:rPr>
                <w:noProof/>
                <w:webHidden/>
              </w:rPr>
            </w:r>
            <w:r w:rsidR="00101045" w:rsidRPr="00101045">
              <w:rPr>
                <w:noProof/>
                <w:webHidden/>
              </w:rPr>
              <w:fldChar w:fldCharType="separate"/>
            </w:r>
            <w:r w:rsidR="004804FA">
              <w:rPr>
                <w:noProof/>
                <w:webHidden/>
              </w:rPr>
              <w:t>9</w:t>
            </w:r>
            <w:r w:rsidR="00101045" w:rsidRPr="00101045">
              <w:rPr>
                <w:noProof/>
                <w:webHidden/>
              </w:rPr>
              <w:fldChar w:fldCharType="end"/>
            </w:r>
          </w:hyperlink>
        </w:p>
        <w:p w:rsidR="00101045" w:rsidRPr="00101045" w:rsidRDefault="00F20243">
          <w:pPr>
            <w:pStyle w:val="TOC2"/>
            <w:tabs>
              <w:tab w:val="left" w:pos="880"/>
              <w:tab w:val="right" w:leader="dot" w:pos="9350"/>
            </w:tabs>
            <w:rPr>
              <w:rFonts w:eastAsiaTheme="minorEastAsia"/>
              <w:smallCaps w:val="0"/>
              <w:noProof/>
              <w:kern w:val="0"/>
              <w:sz w:val="22"/>
              <w:szCs w:val="22"/>
              <w14:ligatures w14:val="none"/>
            </w:rPr>
          </w:pPr>
          <w:hyperlink w:anchor="_Toc384570732" w:history="1">
            <w:r w:rsidR="00101045" w:rsidRPr="00101045">
              <w:rPr>
                <w:rStyle w:val="Hyperlink"/>
                <w:rFonts w:ascii="Times New Roman" w:hAnsi="Times New Roman" w:cs="Times New Roman"/>
                <w:noProof/>
                <w:u w:val="none"/>
                <w:lang w:val="lt-LT"/>
              </w:rPr>
              <w:t>1.2.KREDITO UNIJŲ IR KOMERCINIŲ BANKŲ VEIKLOS REGLAMENTAVIMO PALYGINIMAS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_Toc384570732 \h </w:instrText>
            </w:r>
            <w:r w:rsidR="00101045" w:rsidRPr="00101045">
              <w:rPr>
                <w:noProof/>
                <w:webHidden/>
              </w:rPr>
            </w:r>
            <w:r w:rsidR="00101045" w:rsidRPr="00101045">
              <w:rPr>
                <w:noProof/>
                <w:webHidden/>
              </w:rPr>
              <w:fldChar w:fldCharType="separate"/>
            </w:r>
            <w:r w:rsidR="004804FA">
              <w:rPr>
                <w:noProof/>
                <w:webHidden/>
              </w:rPr>
              <w:t>11</w:t>
            </w:r>
            <w:r w:rsidR="00101045" w:rsidRPr="00101045">
              <w:rPr>
                <w:noProof/>
                <w:webHidden/>
              </w:rPr>
              <w:fldChar w:fldCharType="end"/>
            </w:r>
          </w:hyperlink>
        </w:p>
        <w:p w:rsidR="00101045" w:rsidRPr="00101045" w:rsidRDefault="00F20243">
          <w:pPr>
            <w:pStyle w:val="TOC2"/>
            <w:tabs>
              <w:tab w:val="right" w:leader="dot" w:pos="9350"/>
            </w:tabs>
            <w:rPr>
              <w:rFonts w:eastAsiaTheme="minorEastAsia"/>
              <w:smallCaps w:val="0"/>
              <w:noProof/>
              <w:kern w:val="0"/>
              <w:sz w:val="22"/>
              <w:szCs w:val="22"/>
              <w14:ligatures w14:val="none"/>
            </w:rPr>
          </w:pPr>
          <w:hyperlink w:anchor="_Toc384570734" w:history="1">
            <w:r w:rsidR="00101045" w:rsidRPr="00101045">
              <w:rPr>
                <w:rStyle w:val="Hyperlink"/>
                <w:rFonts w:ascii="Times New Roman" w:hAnsi="Times New Roman" w:cs="Times New Roman"/>
                <w:noProof/>
                <w:u w:val="none"/>
                <w:lang w:val="lt-LT"/>
              </w:rPr>
              <w:t>1.3. KREDITO UNIJŲ RIZIKOS RŪŠYS IR JŲ VALDYMAS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_Toc384570734 \h </w:instrText>
            </w:r>
            <w:r w:rsidR="00101045" w:rsidRPr="00101045">
              <w:rPr>
                <w:noProof/>
                <w:webHidden/>
              </w:rPr>
            </w:r>
            <w:r w:rsidR="00101045" w:rsidRPr="00101045">
              <w:rPr>
                <w:noProof/>
                <w:webHidden/>
              </w:rPr>
              <w:fldChar w:fldCharType="separate"/>
            </w:r>
            <w:r w:rsidR="004804FA">
              <w:rPr>
                <w:noProof/>
                <w:webHidden/>
              </w:rPr>
              <w:t>16</w:t>
            </w:r>
            <w:r w:rsidR="00101045" w:rsidRPr="00101045">
              <w:rPr>
                <w:noProof/>
                <w:webHidden/>
              </w:rPr>
              <w:fldChar w:fldCharType="end"/>
            </w:r>
          </w:hyperlink>
        </w:p>
        <w:p w:rsidR="00101045" w:rsidRPr="00101045" w:rsidRDefault="00F20243" w:rsidP="00101045">
          <w:pPr>
            <w:pStyle w:val="TOC2"/>
            <w:tabs>
              <w:tab w:val="right" w:leader="dot" w:pos="9350"/>
            </w:tabs>
            <w:rPr>
              <w:rFonts w:eastAsiaTheme="minorEastAsia"/>
              <w:b/>
              <w:bCs/>
              <w:caps/>
              <w:noProof/>
              <w:kern w:val="0"/>
              <w:sz w:val="22"/>
              <w:szCs w:val="22"/>
              <w14:ligatures w14:val="none"/>
            </w:rPr>
          </w:pPr>
          <w:hyperlink w:anchor="_Toc384570735" w:history="1">
            <w:r w:rsidR="00101045" w:rsidRPr="00101045">
              <w:rPr>
                <w:rStyle w:val="Hyperlink"/>
                <w:rFonts w:ascii="Times New Roman" w:hAnsi="Times New Roman" w:cs="Times New Roman"/>
                <w:noProof/>
                <w:u w:val="none"/>
                <w:lang w:val="lt-LT"/>
              </w:rPr>
              <w:t>1.4. KREDITO UNIJŲ VEIKLOS RIZIKINGUMAS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_Toc384570735 \h </w:instrText>
            </w:r>
            <w:r w:rsidR="00101045" w:rsidRPr="00101045">
              <w:rPr>
                <w:noProof/>
                <w:webHidden/>
              </w:rPr>
            </w:r>
            <w:r w:rsidR="00101045" w:rsidRPr="00101045">
              <w:rPr>
                <w:noProof/>
                <w:webHidden/>
              </w:rPr>
              <w:fldChar w:fldCharType="separate"/>
            </w:r>
            <w:r w:rsidR="004804FA">
              <w:rPr>
                <w:noProof/>
                <w:webHidden/>
              </w:rPr>
              <w:t>19</w:t>
            </w:r>
            <w:r w:rsidR="00101045" w:rsidRPr="00101045">
              <w:rPr>
                <w:noProof/>
                <w:webHidden/>
              </w:rPr>
              <w:fldChar w:fldCharType="end"/>
            </w:r>
          </w:hyperlink>
        </w:p>
        <w:p w:rsidR="00101045" w:rsidRPr="00101045" w:rsidRDefault="00F20243">
          <w:pPr>
            <w:pStyle w:val="TOC1"/>
            <w:tabs>
              <w:tab w:val="left" w:pos="440"/>
              <w:tab w:val="right" w:leader="dot" w:pos="9350"/>
            </w:tabs>
            <w:rPr>
              <w:rFonts w:eastAsiaTheme="minorEastAsia"/>
              <w:b w:val="0"/>
              <w:bCs w:val="0"/>
              <w:caps w:val="0"/>
              <w:noProof/>
              <w:kern w:val="0"/>
              <w:sz w:val="22"/>
              <w:szCs w:val="22"/>
              <w14:ligatures w14:val="none"/>
            </w:rPr>
          </w:pPr>
          <w:hyperlink w:anchor="_Toc384570738" w:history="1">
            <w:r w:rsidR="00101045" w:rsidRPr="00101045">
              <w:rPr>
                <w:rStyle w:val="Hyperlink"/>
                <w:rFonts w:ascii="Times New Roman" w:hAnsi="Times New Roman" w:cs="Times New Roman"/>
                <w:noProof/>
                <w:u w:val="none"/>
              </w:rPr>
              <w:t>2.</w:t>
            </w:r>
            <w:r w:rsidR="00101045">
              <w:rPr>
                <w:rFonts w:eastAsiaTheme="minorEastAsia"/>
                <w:b w:val="0"/>
                <w:bCs w:val="0"/>
                <w:caps w:val="0"/>
                <w:noProof/>
                <w:kern w:val="0"/>
                <w:sz w:val="22"/>
                <w:szCs w:val="22"/>
                <w14:ligatures w14:val="none"/>
              </w:rPr>
              <w:t xml:space="preserve"> </w:t>
            </w:r>
            <w:r w:rsidR="00101045" w:rsidRPr="00101045">
              <w:rPr>
                <w:rStyle w:val="Hyperlink"/>
                <w:rFonts w:ascii="Times New Roman" w:hAnsi="Times New Roman" w:cs="Times New Roman"/>
                <w:noProof/>
                <w:u w:val="none"/>
              </w:rPr>
              <w:t>PASIRINKTO MODELIO TAIKYMO KREDITO UNIJŲ VEIKLOS RIZIKINGUMUI VERTINTI PAGRINDIMAS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_Toc384570738 \h </w:instrText>
            </w:r>
            <w:r w:rsidR="00101045" w:rsidRPr="00101045">
              <w:rPr>
                <w:noProof/>
                <w:webHidden/>
              </w:rPr>
            </w:r>
            <w:r w:rsidR="00101045" w:rsidRPr="00101045">
              <w:rPr>
                <w:noProof/>
                <w:webHidden/>
              </w:rPr>
              <w:fldChar w:fldCharType="separate"/>
            </w:r>
            <w:r w:rsidR="004804FA">
              <w:rPr>
                <w:noProof/>
                <w:webHidden/>
              </w:rPr>
              <w:t>25</w:t>
            </w:r>
            <w:r w:rsidR="00101045" w:rsidRPr="00101045">
              <w:rPr>
                <w:noProof/>
                <w:webHidden/>
              </w:rPr>
              <w:fldChar w:fldCharType="end"/>
            </w:r>
          </w:hyperlink>
        </w:p>
        <w:p w:rsidR="00101045" w:rsidRPr="00101045" w:rsidRDefault="00F20243">
          <w:pPr>
            <w:pStyle w:val="TOC2"/>
            <w:tabs>
              <w:tab w:val="right" w:leader="dot" w:pos="9350"/>
            </w:tabs>
            <w:rPr>
              <w:rFonts w:eastAsiaTheme="minorEastAsia"/>
              <w:smallCaps w:val="0"/>
              <w:noProof/>
              <w:kern w:val="0"/>
              <w:sz w:val="22"/>
              <w:szCs w:val="22"/>
              <w14:ligatures w14:val="none"/>
            </w:rPr>
          </w:pPr>
          <w:hyperlink w:anchor="_Toc384570739" w:history="1">
            <w:r w:rsidR="00101045" w:rsidRPr="00101045">
              <w:rPr>
                <w:rStyle w:val="Hyperlink"/>
                <w:rFonts w:ascii="Times New Roman" w:hAnsi="Times New Roman" w:cs="Times New Roman"/>
                <w:noProof/>
                <w:u w:val="none"/>
                <w:lang w:val="lt-LT"/>
              </w:rPr>
              <w:t>2.1. BANKROTO PROGNOZAVIMO MODELIAI</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_Toc384570739 \h </w:instrText>
            </w:r>
            <w:r w:rsidR="00101045" w:rsidRPr="00101045">
              <w:rPr>
                <w:noProof/>
                <w:webHidden/>
              </w:rPr>
            </w:r>
            <w:r w:rsidR="00101045" w:rsidRPr="00101045">
              <w:rPr>
                <w:noProof/>
                <w:webHidden/>
              </w:rPr>
              <w:fldChar w:fldCharType="separate"/>
            </w:r>
            <w:r w:rsidR="004804FA">
              <w:rPr>
                <w:noProof/>
                <w:webHidden/>
              </w:rPr>
              <w:t>25</w:t>
            </w:r>
            <w:r w:rsidR="00101045" w:rsidRPr="00101045">
              <w:rPr>
                <w:noProof/>
                <w:webHidden/>
              </w:rPr>
              <w:fldChar w:fldCharType="end"/>
            </w:r>
          </w:hyperlink>
        </w:p>
        <w:p w:rsidR="00101045" w:rsidRPr="00101045" w:rsidRDefault="00F20243">
          <w:pPr>
            <w:pStyle w:val="TOC2"/>
            <w:tabs>
              <w:tab w:val="right" w:leader="dot" w:pos="9350"/>
            </w:tabs>
            <w:rPr>
              <w:rFonts w:eastAsiaTheme="minorEastAsia"/>
              <w:smallCaps w:val="0"/>
              <w:noProof/>
              <w:kern w:val="0"/>
              <w:sz w:val="22"/>
              <w:szCs w:val="22"/>
              <w14:ligatures w14:val="none"/>
            </w:rPr>
          </w:pPr>
          <w:hyperlink w:anchor="_Toc384570740" w:history="1">
            <w:r w:rsidR="00101045" w:rsidRPr="00101045">
              <w:rPr>
                <w:rStyle w:val="Hyperlink"/>
                <w:rFonts w:ascii="Times New Roman" w:hAnsi="Times New Roman" w:cs="Times New Roman"/>
                <w:noProof/>
                <w:u w:val="none"/>
                <w:lang w:val="lt-LT"/>
              </w:rPr>
              <w:t>2.2. IŠLIKIMO ANALIZĖ</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_Toc384570740 \h </w:instrText>
            </w:r>
            <w:r w:rsidR="00101045" w:rsidRPr="00101045">
              <w:rPr>
                <w:noProof/>
                <w:webHidden/>
              </w:rPr>
            </w:r>
            <w:r w:rsidR="00101045" w:rsidRPr="00101045">
              <w:rPr>
                <w:noProof/>
                <w:webHidden/>
              </w:rPr>
              <w:fldChar w:fldCharType="separate"/>
            </w:r>
            <w:r w:rsidR="004804FA">
              <w:rPr>
                <w:noProof/>
                <w:webHidden/>
              </w:rPr>
              <w:t>29</w:t>
            </w:r>
            <w:r w:rsidR="00101045" w:rsidRPr="00101045">
              <w:rPr>
                <w:noProof/>
                <w:webHidden/>
              </w:rPr>
              <w:fldChar w:fldCharType="end"/>
            </w:r>
          </w:hyperlink>
        </w:p>
        <w:p w:rsidR="00101045" w:rsidRPr="00101045" w:rsidRDefault="00F20243">
          <w:pPr>
            <w:pStyle w:val="TOC2"/>
            <w:tabs>
              <w:tab w:val="right" w:leader="dot" w:pos="9350"/>
            </w:tabs>
            <w:rPr>
              <w:rFonts w:eastAsiaTheme="minorEastAsia"/>
              <w:smallCaps w:val="0"/>
              <w:noProof/>
              <w:kern w:val="0"/>
              <w:sz w:val="22"/>
              <w:szCs w:val="22"/>
              <w14:ligatures w14:val="none"/>
            </w:rPr>
          </w:pPr>
          <w:hyperlink w:anchor="_Toc384570741" w:history="1">
            <w:r w:rsidR="00101045" w:rsidRPr="00101045">
              <w:rPr>
                <w:rStyle w:val="Hyperlink"/>
                <w:rFonts w:ascii="Times New Roman" w:hAnsi="Times New Roman" w:cs="Times New Roman"/>
                <w:noProof/>
                <w:u w:val="none"/>
                <w:lang w:val="lt-LT"/>
              </w:rPr>
              <w:t>2.3. KOKSO PROPORCINGOSIOS RIZIKOS MODELYJE NAUDOJAMŲ RODIKLIŲ ATRANKA</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_Toc384570741 \h </w:instrText>
            </w:r>
            <w:r w:rsidR="00101045" w:rsidRPr="00101045">
              <w:rPr>
                <w:noProof/>
                <w:webHidden/>
              </w:rPr>
            </w:r>
            <w:r w:rsidR="00101045" w:rsidRPr="00101045">
              <w:rPr>
                <w:noProof/>
                <w:webHidden/>
              </w:rPr>
              <w:fldChar w:fldCharType="separate"/>
            </w:r>
            <w:r w:rsidR="004804FA">
              <w:rPr>
                <w:noProof/>
                <w:webHidden/>
              </w:rPr>
              <w:t>35</w:t>
            </w:r>
            <w:r w:rsidR="00101045" w:rsidRPr="00101045">
              <w:rPr>
                <w:noProof/>
                <w:webHidden/>
              </w:rPr>
              <w:fldChar w:fldCharType="end"/>
            </w:r>
          </w:hyperlink>
        </w:p>
        <w:p w:rsidR="00101045" w:rsidRPr="00101045" w:rsidRDefault="00F20243">
          <w:pPr>
            <w:pStyle w:val="TOC1"/>
            <w:tabs>
              <w:tab w:val="right" w:leader="dot" w:pos="9350"/>
            </w:tabs>
            <w:rPr>
              <w:rFonts w:eastAsiaTheme="minorEastAsia"/>
              <w:b w:val="0"/>
              <w:bCs w:val="0"/>
              <w:caps w:val="0"/>
              <w:noProof/>
              <w:kern w:val="0"/>
              <w:sz w:val="22"/>
              <w:szCs w:val="22"/>
              <w14:ligatures w14:val="none"/>
            </w:rPr>
          </w:pPr>
          <w:hyperlink w:anchor="_Toc384570744" w:history="1">
            <w:r w:rsidR="00101045" w:rsidRPr="00101045">
              <w:rPr>
                <w:rStyle w:val="Hyperlink"/>
                <w:rFonts w:ascii="Times New Roman" w:hAnsi="Times New Roman" w:cs="Times New Roman"/>
                <w:noProof/>
                <w:u w:val="none"/>
              </w:rPr>
              <w:t>3. KREDITO UNIJŲ VEIKLOS RIZIKINGUMO VERTINIMO MODELIS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_Toc384570744 \h </w:instrText>
            </w:r>
            <w:r w:rsidR="00101045" w:rsidRPr="00101045">
              <w:rPr>
                <w:noProof/>
                <w:webHidden/>
              </w:rPr>
            </w:r>
            <w:r w:rsidR="00101045" w:rsidRPr="00101045">
              <w:rPr>
                <w:noProof/>
                <w:webHidden/>
              </w:rPr>
              <w:fldChar w:fldCharType="separate"/>
            </w:r>
            <w:r w:rsidR="004804FA">
              <w:rPr>
                <w:noProof/>
                <w:webHidden/>
              </w:rPr>
              <w:t>43</w:t>
            </w:r>
            <w:r w:rsidR="00101045" w:rsidRPr="00101045">
              <w:rPr>
                <w:noProof/>
                <w:webHidden/>
              </w:rPr>
              <w:fldChar w:fldCharType="end"/>
            </w:r>
          </w:hyperlink>
        </w:p>
        <w:p w:rsidR="00101045" w:rsidRPr="00101045" w:rsidRDefault="00F20243">
          <w:pPr>
            <w:pStyle w:val="TOC2"/>
            <w:tabs>
              <w:tab w:val="right" w:leader="dot" w:pos="9350"/>
            </w:tabs>
            <w:rPr>
              <w:rFonts w:eastAsiaTheme="minorEastAsia"/>
              <w:smallCaps w:val="0"/>
              <w:noProof/>
              <w:kern w:val="0"/>
              <w:sz w:val="22"/>
              <w:szCs w:val="22"/>
              <w14:ligatures w14:val="none"/>
            </w:rPr>
          </w:pPr>
          <w:hyperlink w:anchor="_Toc384570745" w:history="1">
            <w:r w:rsidR="00101045" w:rsidRPr="00101045">
              <w:rPr>
                <w:rStyle w:val="Hyperlink"/>
                <w:rFonts w:ascii="Times New Roman" w:hAnsi="Times New Roman" w:cs="Times New Roman"/>
                <w:noProof/>
                <w:u w:val="none"/>
                <w:lang w:val="lt-LT"/>
              </w:rPr>
              <w:t>3.1. RODIKLIŲ ANALIZĖ</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_Toc384570745 \h </w:instrText>
            </w:r>
            <w:r w:rsidR="00101045" w:rsidRPr="00101045">
              <w:rPr>
                <w:noProof/>
                <w:webHidden/>
              </w:rPr>
            </w:r>
            <w:r w:rsidR="00101045" w:rsidRPr="00101045">
              <w:rPr>
                <w:noProof/>
                <w:webHidden/>
              </w:rPr>
              <w:fldChar w:fldCharType="separate"/>
            </w:r>
            <w:r w:rsidR="004804FA">
              <w:rPr>
                <w:noProof/>
                <w:webHidden/>
              </w:rPr>
              <w:t>43</w:t>
            </w:r>
            <w:r w:rsidR="00101045" w:rsidRPr="00101045">
              <w:rPr>
                <w:noProof/>
                <w:webHidden/>
              </w:rPr>
              <w:fldChar w:fldCharType="end"/>
            </w:r>
          </w:hyperlink>
        </w:p>
        <w:p w:rsidR="00101045" w:rsidRPr="00101045" w:rsidRDefault="00F20243">
          <w:pPr>
            <w:pStyle w:val="TOC2"/>
            <w:tabs>
              <w:tab w:val="left" w:pos="880"/>
              <w:tab w:val="right" w:leader="dot" w:pos="9350"/>
            </w:tabs>
            <w:rPr>
              <w:rFonts w:eastAsiaTheme="minorEastAsia"/>
              <w:smallCaps w:val="0"/>
              <w:noProof/>
              <w:kern w:val="0"/>
              <w:sz w:val="22"/>
              <w:szCs w:val="22"/>
              <w14:ligatures w14:val="none"/>
            </w:rPr>
          </w:pPr>
          <w:hyperlink w:anchor="_Toc384570753" w:history="1">
            <w:r w:rsidR="00101045" w:rsidRPr="00101045">
              <w:rPr>
                <w:rStyle w:val="Hyperlink"/>
                <w:rFonts w:ascii="Times New Roman" w:hAnsi="Times New Roman" w:cs="Times New Roman"/>
                <w:noProof/>
                <w:u w:val="none"/>
                <w:lang w:val="lt-LT"/>
              </w:rPr>
              <w:t>3.2.IŠLIKIMO ANALIZĖS TAIKYMAS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_Toc384570753 \h </w:instrText>
            </w:r>
            <w:r w:rsidR="00101045" w:rsidRPr="00101045">
              <w:rPr>
                <w:noProof/>
                <w:webHidden/>
              </w:rPr>
            </w:r>
            <w:r w:rsidR="00101045" w:rsidRPr="00101045">
              <w:rPr>
                <w:noProof/>
                <w:webHidden/>
              </w:rPr>
              <w:fldChar w:fldCharType="separate"/>
            </w:r>
            <w:r w:rsidR="004804FA">
              <w:rPr>
                <w:noProof/>
                <w:webHidden/>
              </w:rPr>
              <w:t>47</w:t>
            </w:r>
            <w:r w:rsidR="00101045" w:rsidRPr="00101045">
              <w:rPr>
                <w:noProof/>
                <w:webHidden/>
              </w:rPr>
              <w:fldChar w:fldCharType="end"/>
            </w:r>
          </w:hyperlink>
        </w:p>
        <w:p w:rsidR="00101045" w:rsidRPr="00101045" w:rsidRDefault="00F20243">
          <w:pPr>
            <w:pStyle w:val="TOC2"/>
            <w:tabs>
              <w:tab w:val="left" w:pos="880"/>
              <w:tab w:val="right" w:leader="dot" w:pos="9350"/>
            </w:tabs>
            <w:rPr>
              <w:rFonts w:eastAsiaTheme="minorEastAsia"/>
              <w:smallCaps w:val="0"/>
              <w:noProof/>
              <w:kern w:val="0"/>
              <w:sz w:val="22"/>
              <w:szCs w:val="22"/>
              <w14:ligatures w14:val="none"/>
            </w:rPr>
          </w:pPr>
          <w:hyperlink w:anchor="_Toc384570763" w:history="1">
            <w:r w:rsidR="00101045" w:rsidRPr="00101045">
              <w:rPr>
                <w:rStyle w:val="Hyperlink"/>
                <w:rFonts w:ascii="Times New Roman" w:hAnsi="Times New Roman" w:cs="Times New Roman"/>
                <w:noProof/>
                <w:u w:val="none"/>
                <w:lang w:val="lt-LT"/>
              </w:rPr>
              <w:t>3.3.KOKSO PROPORCINGOSIOS RIZIKOS MODELIS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_Toc384570763 \h </w:instrText>
            </w:r>
            <w:r w:rsidR="00101045" w:rsidRPr="00101045">
              <w:rPr>
                <w:noProof/>
                <w:webHidden/>
              </w:rPr>
            </w:r>
            <w:r w:rsidR="00101045" w:rsidRPr="00101045">
              <w:rPr>
                <w:noProof/>
                <w:webHidden/>
              </w:rPr>
              <w:fldChar w:fldCharType="separate"/>
            </w:r>
            <w:r w:rsidR="004804FA">
              <w:rPr>
                <w:noProof/>
                <w:webHidden/>
              </w:rPr>
              <w:t>52</w:t>
            </w:r>
            <w:r w:rsidR="00101045" w:rsidRPr="00101045">
              <w:rPr>
                <w:noProof/>
                <w:webHidden/>
              </w:rPr>
              <w:fldChar w:fldCharType="end"/>
            </w:r>
          </w:hyperlink>
        </w:p>
        <w:p w:rsidR="00101045" w:rsidRPr="00101045" w:rsidRDefault="00F20243">
          <w:pPr>
            <w:pStyle w:val="TOC1"/>
            <w:tabs>
              <w:tab w:val="right" w:leader="dot" w:pos="9350"/>
            </w:tabs>
            <w:rPr>
              <w:rFonts w:eastAsiaTheme="minorEastAsia"/>
              <w:b w:val="0"/>
              <w:bCs w:val="0"/>
              <w:caps w:val="0"/>
              <w:noProof/>
              <w:kern w:val="0"/>
              <w:sz w:val="22"/>
              <w:szCs w:val="22"/>
              <w14:ligatures w14:val="none"/>
            </w:rPr>
          </w:pPr>
          <w:hyperlink w:anchor="_Toc384570766" w:history="1">
            <w:r w:rsidR="00101045" w:rsidRPr="00101045">
              <w:rPr>
                <w:rStyle w:val="Hyperlink"/>
                <w:rFonts w:ascii="Times New Roman" w:hAnsi="Times New Roman" w:cs="Times New Roman"/>
                <w:noProof/>
                <w:u w:val="none"/>
              </w:rPr>
              <w:t>IŠVADOS IR PASIŪLYMAI</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_Toc384570766 \h </w:instrText>
            </w:r>
            <w:r w:rsidR="00101045" w:rsidRPr="00101045">
              <w:rPr>
                <w:noProof/>
                <w:webHidden/>
              </w:rPr>
            </w:r>
            <w:r w:rsidR="00101045" w:rsidRPr="00101045">
              <w:rPr>
                <w:noProof/>
                <w:webHidden/>
              </w:rPr>
              <w:fldChar w:fldCharType="separate"/>
            </w:r>
            <w:r w:rsidR="004804FA">
              <w:rPr>
                <w:noProof/>
                <w:webHidden/>
              </w:rPr>
              <w:t>57</w:t>
            </w:r>
            <w:r w:rsidR="00101045" w:rsidRPr="00101045">
              <w:rPr>
                <w:noProof/>
                <w:webHidden/>
              </w:rPr>
              <w:fldChar w:fldCharType="end"/>
            </w:r>
          </w:hyperlink>
        </w:p>
        <w:p w:rsidR="00101045" w:rsidRPr="00101045" w:rsidRDefault="00F20243">
          <w:pPr>
            <w:pStyle w:val="TOC1"/>
            <w:tabs>
              <w:tab w:val="right" w:leader="dot" w:pos="9350"/>
            </w:tabs>
            <w:rPr>
              <w:rFonts w:eastAsiaTheme="minorEastAsia"/>
              <w:b w:val="0"/>
              <w:bCs w:val="0"/>
              <w:caps w:val="0"/>
              <w:noProof/>
              <w:kern w:val="0"/>
              <w:sz w:val="22"/>
              <w:szCs w:val="22"/>
              <w14:ligatures w14:val="none"/>
            </w:rPr>
          </w:pPr>
          <w:hyperlink w:anchor="_Toc384570767" w:history="1">
            <w:r w:rsidR="00101045" w:rsidRPr="00101045">
              <w:rPr>
                <w:rStyle w:val="Hyperlink"/>
                <w:rFonts w:ascii="Times New Roman" w:hAnsi="Times New Roman" w:cs="Times New Roman"/>
                <w:noProof/>
                <w:u w:val="none"/>
              </w:rPr>
              <w:t>LITERATŪROS SĄRAŠAS</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_Toc384570767 \h </w:instrText>
            </w:r>
            <w:r w:rsidR="00101045" w:rsidRPr="00101045">
              <w:rPr>
                <w:noProof/>
                <w:webHidden/>
              </w:rPr>
            </w:r>
            <w:r w:rsidR="00101045" w:rsidRPr="00101045">
              <w:rPr>
                <w:noProof/>
                <w:webHidden/>
              </w:rPr>
              <w:fldChar w:fldCharType="separate"/>
            </w:r>
            <w:r w:rsidR="004804FA">
              <w:rPr>
                <w:noProof/>
                <w:webHidden/>
              </w:rPr>
              <w:t>59</w:t>
            </w:r>
            <w:r w:rsidR="00101045" w:rsidRPr="00101045">
              <w:rPr>
                <w:noProof/>
                <w:webHidden/>
              </w:rPr>
              <w:fldChar w:fldCharType="end"/>
            </w:r>
          </w:hyperlink>
        </w:p>
        <w:p w:rsidR="00101045" w:rsidRPr="00101045" w:rsidRDefault="00F20243">
          <w:pPr>
            <w:pStyle w:val="TOC1"/>
            <w:tabs>
              <w:tab w:val="right" w:leader="dot" w:pos="9350"/>
            </w:tabs>
            <w:rPr>
              <w:rFonts w:eastAsiaTheme="minorEastAsia"/>
              <w:b w:val="0"/>
              <w:bCs w:val="0"/>
              <w:caps w:val="0"/>
              <w:noProof/>
              <w:kern w:val="0"/>
              <w:sz w:val="22"/>
              <w:szCs w:val="22"/>
              <w14:ligatures w14:val="none"/>
            </w:rPr>
          </w:pPr>
          <w:hyperlink w:anchor="_Toc384570768" w:history="1">
            <w:r w:rsidR="00101045" w:rsidRPr="00101045">
              <w:rPr>
                <w:rStyle w:val="Hyperlink"/>
                <w:rFonts w:ascii="Times New Roman" w:hAnsi="Times New Roman" w:cs="Times New Roman"/>
                <w:noProof/>
                <w:u w:val="none"/>
              </w:rPr>
              <w:t>ANOTACIJA</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_Toc384570768 \h </w:instrText>
            </w:r>
            <w:r w:rsidR="00101045" w:rsidRPr="00101045">
              <w:rPr>
                <w:noProof/>
                <w:webHidden/>
              </w:rPr>
            </w:r>
            <w:r w:rsidR="00101045" w:rsidRPr="00101045">
              <w:rPr>
                <w:noProof/>
                <w:webHidden/>
              </w:rPr>
              <w:fldChar w:fldCharType="separate"/>
            </w:r>
            <w:r w:rsidR="004804FA">
              <w:rPr>
                <w:noProof/>
                <w:webHidden/>
              </w:rPr>
              <w:t>63</w:t>
            </w:r>
            <w:r w:rsidR="00101045" w:rsidRPr="00101045">
              <w:rPr>
                <w:noProof/>
                <w:webHidden/>
              </w:rPr>
              <w:fldChar w:fldCharType="end"/>
            </w:r>
          </w:hyperlink>
        </w:p>
        <w:p w:rsidR="00101045" w:rsidRPr="00101045" w:rsidRDefault="00F20243">
          <w:pPr>
            <w:pStyle w:val="TOC1"/>
            <w:tabs>
              <w:tab w:val="right" w:leader="dot" w:pos="9350"/>
            </w:tabs>
            <w:rPr>
              <w:rFonts w:eastAsiaTheme="minorEastAsia"/>
              <w:b w:val="0"/>
              <w:bCs w:val="0"/>
              <w:caps w:val="0"/>
              <w:noProof/>
              <w:kern w:val="0"/>
              <w:sz w:val="22"/>
              <w:szCs w:val="22"/>
              <w14:ligatures w14:val="none"/>
            </w:rPr>
          </w:pPr>
          <w:hyperlink w:anchor="_Toc384570769" w:history="1">
            <w:r w:rsidR="00101045" w:rsidRPr="00101045">
              <w:rPr>
                <w:rStyle w:val="Hyperlink"/>
                <w:rFonts w:ascii="Times New Roman" w:hAnsi="Times New Roman" w:cs="Times New Roman"/>
                <w:noProof/>
                <w:u w:val="none"/>
              </w:rPr>
              <w:t>SANTRAUKA</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_Toc384570769 \h </w:instrText>
            </w:r>
            <w:r w:rsidR="00101045" w:rsidRPr="00101045">
              <w:rPr>
                <w:noProof/>
                <w:webHidden/>
              </w:rPr>
            </w:r>
            <w:r w:rsidR="00101045" w:rsidRPr="00101045">
              <w:rPr>
                <w:noProof/>
                <w:webHidden/>
              </w:rPr>
              <w:fldChar w:fldCharType="separate"/>
            </w:r>
            <w:r w:rsidR="004804FA">
              <w:rPr>
                <w:noProof/>
                <w:webHidden/>
              </w:rPr>
              <w:t>65</w:t>
            </w:r>
            <w:r w:rsidR="00101045" w:rsidRPr="00101045">
              <w:rPr>
                <w:noProof/>
                <w:webHidden/>
              </w:rPr>
              <w:fldChar w:fldCharType="end"/>
            </w:r>
          </w:hyperlink>
        </w:p>
        <w:p w:rsidR="00101045" w:rsidRPr="00101045" w:rsidRDefault="00F20243">
          <w:pPr>
            <w:pStyle w:val="TOC1"/>
            <w:tabs>
              <w:tab w:val="right" w:leader="dot" w:pos="9350"/>
            </w:tabs>
            <w:rPr>
              <w:rFonts w:eastAsiaTheme="minorEastAsia"/>
              <w:b w:val="0"/>
              <w:bCs w:val="0"/>
              <w:caps w:val="0"/>
              <w:noProof/>
              <w:kern w:val="0"/>
              <w:sz w:val="22"/>
              <w:szCs w:val="22"/>
              <w14:ligatures w14:val="none"/>
            </w:rPr>
          </w:pPr>
          <w:hyperlink w:anchor="_Toc384570770" w:history="1">
            <w:r w:rsidR="00101045" w:rsidRPr="00101045">
              <w:rPr>
                <w:rStyle w:val="Hyperlink"/>
                <w:rFonts w:ascii="Times New Roman" w:hAnsi="Times New Roman" w:cs="Times New Roman"/>
                <w:noProof/>
                <w:u w:val="none"/>
              </w:rPr>
              <w:t>PRIEDAI</w:t>
            </w:r>
            <w:r w:rsidR="00101045" w:rsidRPr="00101045">
              <w:rPr>
                <w:noProof/>
                <w:webHidden/>
              </w:rPr>
              <w:tab/>
            </w:r>
            <w:r w:rsidR="00101045" w:rsidRPr="00101045">
              <w:rPr>
                <w:noProof/>
                <w:webHidden/>
              </w:rPr>
              <w:fldChar w:fldCharType="begin"/>
            </w:r>
            <w:r w:rsidR="00101045" w:rsidRPr="00101045">
              <w:rPr>
                <w:noProof/>
                <w:webHidden/>
              </w:rPr>
              <w:instrText xml:space="preserve"> PAGEREF _Toc384570770 \h </w:instrText>
            </w:r>
            <w:r w:rsidR="00101045" w:rsidRPr="00101045">
              <w:rPr>
                <w:noProof/>
                <w:webHidden/>
              </w:rPr>
            </w:r>
            <w:r w:rsidR="00101045" w:rsidRPr="00101045">
              <w:rPr>
                <w:noProof/>
                <w:webHidden/>
              </w:rPr>
              <w:fldChar w:fldCharType="separate"/>
            </w:r>
            <w:r w:rsidR="004804FA">
              <w:rPr>
                <w:noProof/>
                <w:webHidden/>
              </w:rPr>
              <w:t>67</w:t>
            </w:r>
            <w:r w:rsidR="00101045" w:rsidRPr="00101045">
              <w:rPr>
                <w:noProof/>
                <w:webHidden/>
              </w:rPr>
              <w:fldChar w:fldCharType="end"/>
            </w:r>
          </w:hyperlink>
        </w:p>
        <w:p w:rsidR="00734657" w:rsidRDefault="00734657">
          <w:r>
            <w:rPr>
              <w:b/>
              <w:bCs/>
              <w:noProof/>
            </w:rPr>
            <w:fldChar w:fldCharType="end"/>
          </w:r>
        </w:p>
      </w:sdtContent>
    </w:sdt>
    <w:p w:rsidR="00307E50" w:rsidRDefault="00307E50" w:rsidP="00467CC9">
      <w:pPr>
        <w:jc w:val="center"/>
        <w:rPr>
          <w:rFonts w:ascii="Times New Roman" w:hAnsi="Times New Roman" w:cs="Times New Roman"/>
          <w:b/>
          <w:sz w:val="24"/>
          <w:szCs w:val="24"/>
          <w:lang w:val="lt-LT"/>
        </w:rPr>
      </w:pPr>
    </w:p>
    <w:p w:rsidR="00307E50" w:rsidRDefault="00307E50" w:rsidP="00467CC9">
      <w:pPr>
        <w:jc w:val="center"/>
        <w:rPr>
          <w:rFonts w:ascii="Times New Roman" w:hAnsi="Times New Roman" w:cs="Times New Roman"/>
          <w:b/>
          <w:sz w:val="24"/>
          <w:szCs w:val="24"/>
          <w:lang w:val="lt-LT"/>
        </w:rPr>
      </w:pPr>
    </w:p>
    <w:p w:rsidR="00307E50" w:rsidRDefault="00307E50" w:rsidP="00467CC9">
      <w:pPr>
        <w:jc w:val="center"/>
        <w:rPr>
          <w:rFonts w:ascii="Times New Roman" w:hAnsi="Times New Roman" w:cs="Times New Roman"/>
          <w:b/>
          <w:sz w:val="24"/>
          <w:szCs w:val="24"/>
          <w:lang w:val="lt-LT"/>
        </w:rPr>
      </w:pPr>
    </w:p>
    <w:p w:rsidR="009A79A3" w:rsidRDefault="009A79A3" w:rsidP="00A2704E">
      <w:pPr>
        <w:rPr>
          <w:rFonts w:ascii="Times New Roman" w:hAnsi="Times New Roman" w:cs="Times New Roman"/>
          <w:b/>
          <w:sz w:val="24"/>
          <w:szCs w:val="24"/>
          <w:lang w:val="lt-LT"/>
        </w:rPr>
      </w:pPr>
    </w:p>
    <w:p w:rsidR="00A2704E" w:rsidRPr="000D37F1" w:rsidRDefault="00A2704E" w:rsidP="00A2704E">
      <w:pPr>
        <w:rPr>
          <w:rFonts w:ascii="Times New Roman" w:hAnsi="Times New Roman" w:cs="Times New Roman"/>
          <w:b/>
          <w:sz w:val="28"/>
          <w:szCs w:val="28"/>
          <w:lang w:val="lt-LT"/>
        </w:rPr>
      </w:pPr>
    </w:p>
    <w:p w:rsidR="009A79A3" w:rsidRDefault="009A79A3" w:rsidP="00467CC9">
      <w:pPr>
        <w:jc w:val="center"/>
        <w:rPr>
          <w:rFonts w:ascii="Times New Roman" w:hAnsi="Times New Roman" w:cs="Times New Roman"/>
          <w:b/>
          <w:sz w:val="28"/>
          <w:szCs w:val="28"/>
          <w:lang w:val="lt-LT"/>
        </w:rPr>
      </w:pPr>
    </w:p>
    <w:p w:rsidR="005D2C7E" w:rsidRDefault="005D2C7E" w:rsidP="00467CC9">
      <w:pPr>
        <w:jc w:val="center"/>
        <w:rPr>
          <w:rFonts w:ascii="Times New Roman" w:hAnsi="Times New Roman" w:cs="Times New Roman"/>
          <w:b/>
          <w:sz w:val="28"/>
          <w:szCs w:val="28"/>
          <w:lang w:val="lt-LT"/>
        </w:rPr>
      </w:pPr>
    </w:p>
    <w:p w:rsidR="005D2C7E" w:rsidRDefault="005D2C7E" w:rsidP="00467CC9">
      <w:pPr>
        <w:jc w:val="center"/>
        <w:rPr>
          <w:rFonts w:ascii="Times New Roman" w:hAnsi="Times New Roman" w:cs="Times New Roman"/>
          <w:b/>
          <w:sz w:val="28"/>
          <w:szCs w:val="28"/>
          <w:lang w:val="lt-LT"/>
        </w:rPr>
      </w:pPr>
    </w:p>
    <w:p w:rsidR="004462A5" w:rsidRPr="000D37F1" w:rsidRDefault="004462A5" w:rsidP="00467CC9">
      <w:pPr>
        <w:jc w:val="center"/>
        <w:rPr>
          <w:rFonts w:ascii="Times New Roman" w:hAnsi="Times New Roman" w:cs="Times New Roman"/>
          <w:b/>
          <w:sz w:val="28"/>
          <w:szCs w:val="28"/>
          <w:lang w:val="lt-LT"/>
        </w:rPr>
      </w:pPr>
    </w:p>
    <w:p w:rsidR="00734657" w:rsidRPr="005D2C7E" w:rsidRDefault="005D2C7E" w:rsidP="005D2C7E">
      <w:pPr>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PRIEDAI</w:t>
      </w:r>
    </w:p>
    <w:sdt>
      <w:sdtPr>
        <w:rPr>
          <w:b w:val="0"/>
          <w:bCs w:val="0"/>
          <w:caps w:val="0"/>
          <w:sz w:val="22"/>
          <w:szCs w:val="22"/>
        </w:rPr>
        <w:id w:val="1704211037"/>
        <w:docPartObj>
          <w:docPartGallery w:val="Table of Contents"/>
          <w:docPartUnique/>
        </w:docPartObj>
      </w:sdtPr>
      <w:sdtEndPr>
        <w:rPr>
          <w:noProof/>
          <w:sz w:val="24"/>
          <w:szCs w:val="24"/>
        </w:rPr>
      </w:sdtEndPr>
      <w:sdtContent>
        <w:p w:rsidR="006F3D25" w:rsidRPr="006F3D25" w:rsidRDefault="00734657" w:rsidP="006F3D25">
          <w:pPr>
            <w:pStyle w:val="TOC1"/>
            <w:tabs>
              <w:tab w:val="right" w:leader="dot" w:pos="9350"/>
            </w:tabs>
            <w:rPr>
              <w:rFonts w:eastAsiaTheme="minorEastAsia"/>
              <w:smallCaps/>
              <w:noProof/>
              <w:kern w:val="0"/>
              <w:sz w:val="22"/>
              <w:szCs w:val="22"/>
              <w14:ligatures w14:val="none"/>
            </w:rPr>
          </w:pPr>
          <w:r w:rsidRPr="006F3D25">
            <w:rPr>
              <w:sz w:val="24"/>
              <w:szCs w:val="24"/>
            </w:rPr>
            <w:fldChar w:fldCharType="begin"/>
          </w:r>
          <w:r w:rsidRPr="006F3D25">
            <w:rPr>
              <w:sz w:val="24"/>
              <w:szCs w:val="24"/>
            </w:rPr>
            <w:instrText xml:space="preserve"> TOC \o "1-3" \h \z \u </w:instrText>
          </w:r>
          <w:r w:rsidRPr="006F3D25">
            <w:rPr>
              <w:sz w:val="24"/>
              <w:szCs w:val="24"/>
            </w:rPr>
            <w:fldChar w:fldCharType="separate"/>
          </w:r>
        </w:p>
        <w:p w:rsidR="006F3D25" w:rsidRPr="006F3D25" w:rsidRDefault="00F20243">
          <w:pPr>
            <w:pStyle w:val="TOC3"/>
            <w:tabs>
              <w:tab w:val="right" w:leader="dot" w:pos="9350"/>
            </w:tabs>
            <w:rPr>
              <w:rFonts w:eastAsiaTheme="minorEastAsia"/>
              <w:i w:val="0"/>
              <w:iCs w:val="0"/>
              <w:noProof/>
              <w:kern w:val="0"/>
              <w:sz w:val="22"/>
              <w:szCs w:val="22"/>
              <w14:ligatures w14:val="none"/>
            </w:rPr>
          </w:pPr>
          <w:hyperlink w:anchor="_Toc384567334" w:history="1">
            <w:r w:rsidR="006F3D25" w:rsidRPr="006F3D25">
              <w:rPr>
                <w:rStyle w:val="Hyperlink"/>
                <w:rFonts w:ascii="Times New Roman" w:hAnsi="Times New Roman" w:cs="Times New Roman"/>
                <w:i w:val="0"/>
                <w:noProof/>
                <w:lang w:val="lt-LT"/>
              </w:rPr>
              <w:t xml:space="preserve">1 priedas. Lietuvos kredito unijų bendri finansiniai duomenys 2009 – 2013 m. (tūkst.  </w:t>
            </w:r>
            <w:r w:rsidR="006F3D25" w:rsidRPr="006F3D25">
              <w:rPr>
                <w:rStyle w:val="Hyperlink"/>
                <w:rFonts w:ascii="Times New Roman" w:hAnsi="Times New Roman" w:cs="Times New Roman"/>
                <w:i w:val="0"/>
                <w:noProof/>
              </w:rPr>
              <w:t>Lt)</w:t>
            </w:r>
            <w:r w:rsidR="006F3D25" w:rsidRPr="006F3D25">
              <w:rPr>
                <w:i w:val="0"/>
                <w:noProof/>
                <w:webHidden/>
              </w:rPr>
              <w:tab/>
            </w:r>
            <w:r w:rsidR="006F3D25" w:rsidRPr="006F3D25">
              <w:rPr>
                <w:i w:val="0"/>
                <w:noProof/>
                <w:webHidden/>
              </w:rPr>
              <w:fldChar w:fldCharType="begin"/>
            </w:r>
            <w:r w:rsidR="006F3D25" w:rsidRPr="006F3D25">
              <w:rPr>
                <w:i w:val="0"/>
                <w:noProof/>
                <w:webHidden/>
              </w:rPr>
              <w:instrText xml:space="preserve"> PAGEREF _Toc384567334 \h </w:instrText>
            </w:r>
            <w:r w:rsidR="006F3D25" w:rsidRPr="006F3D25">
              <w:rPr>
                <w:i w:val="0"/>
                <w:noProof/>
                <w:webHidden/>
              </w:rPr>
            </w:r>
            <w:r w:rsidR="006F3D25" w:rsidRPr="006F3D25">
              <w:rPr>
                <w:i w:val="0"/>
                <w:noProof/>
                <w:webHidden/>
              </w:rPr>
              <w:fldChar w:fldCharType="separate"/>
            </w:r>
            <w:r w:rsidR="004804FA">
              <w:rPr>
                <w:i w:val="0"/>
                <w:noProof/>
                <w:webHidden/>
              </w:rPr>
              <w:t>68</w:t>
            </w:r>
            <w:r w:rsidR="006F3D25" w:rsidRPr="006F3D25">
              <w:rPr>
                <w:i w:val="0"/>
                <w:noProof/>
                <w:webHidden/>
              </w:rPr>
              <w:fldChar w:fldCharType="end"/>
            </w:r>
          </w:hyperlink>
        </w:p>
        <w:p w:rsidR="006F3D25" w:rsidRPr="006F3D25" w:rsidRDefault="00F20243">
          <w:pPr>
            <w:pStyle w:val="TOC3"/>
            <w:tabs>
              <w:tab w:val="right" w:leader="dot" w:pos="9350"/>
            </w:tabs>
            <w:rPr>
              <w:rFonts w:eastAsiaTheme="minorEastAsia"/>
              <w:i w:val="0"/>
              <w:iCs w:val="0"/>
              <w:noProof/>
              <w:kern w:val="0"/>
              <w:sz w:val="22"/>
              <w:szCs w:val="22"/>
              <w14:ligatures w14:val="none"/>
            </w:rPr>
          </w:pPr>
          <w:hyperlink w:anchor="_Toc384567335" w:history="1">
            <w:r w:rsidR="006F3D25" w:rsidRPr="006F3D25">
              <w:rPr>
                <w:rStyle w:val="Hyperlink"/>
                <w:rFonts w:ascii="Times New Roman" w:hAnsi="Times New Roman" w:cs="Times New Roman"/>
                <w:i w:val="0"/>
                <w:noProof/>
              </w:rPr>
              <w:t>2 priedas. Finansinių rodiklių statistinės charakteristikos</w:t>
            </w:r>
            <w:r w:rsidR="006F3D25" w:rsidRPr="006F3D25">
              <w:rPr>
                <w:i w:val="0"/>
                <w:noProof/>
                <w:webHidden/>
              </w:rPr>
              <w:tab/>
            </w:r>
            <w:r w:rsidR="006F3D25" w:rsidRPr="006F3D25">
              <w:rPr>
                <w:i w:val="0"/>
                <w:noProof/>
                <w:webHidden/>
              </w:rPr>
              <w:fldChar w:fldCharType="begin"/>
            </w:r>
            <w:r w:rsidR="006F3D25" w:rsidRPr="006F3D25">
              <w:rPr>
                <w:i w:val="0"/>
                <w:noProof/>
                <w:webHidden/>
              </w:rPr>
              <w:instrText xml:space="preserve"> PAGEREF _Toc384567335 \h </w:instrText>
            </w:r>
            <w:r w:rsidR="006F3D25" w:rsidRPr="006F3D25">
              <w:rPr>
                <w:i w:val="0"/>
                <w:noProof/>
                <w:webHidden/>
              </w:rPr>
            </w:r>
            <w:r w:rsidR="006F3D25" w:rsidRPr="006F3D25">
              <w:rPr>
                <w:i w:val="0"/>
                <w:noProof/>
                <w:webHidden/>
              </w:rPr>
              <w:fldChar w:fldCharType="separate"/>
            </w:r>
            <w:r w:rsidR="004804FA">
              <w:rPr>
                <w:i w:val="0"/>
                <w:noProof/>
                <w:webHidden/>
              </w:rPr>
              <w:t>72</w:t>
            </w:r>
            <w:r w:rsidR="006F3D25" w:rsidRPr="006F3D25">
              <w:rPr>
                <w:i w:val="0"/>
                <w:noProof/>
                <w:webHidden/>
              </w:rPr>
              <w:fldChar w:fldCharType="end"/>
            </w:r>
          </w:hyperlink>
        </w:p>
        <w:p w:rsidR="006F3D25" w:rsidRPr="006F3D25" w:rsidRDefault="00F20243">
          <w:pPr>
            <w:pStyle w:val="TOC3"/>
            <w:tabs>
              <w:tab w:val="right" w:leader="dot" w:pos="9350"/>
            </w:tabs>
            <w:rPr>
              <w:rFonts w:eastAsiaTheme="minorEastAsia"/>
              <w:i w:val="0"/>
              <w:iCs w:val="0"/>
              <w:noProof/>
              <w:kern w:val="0"/>
              <w:sz w:val="22"/>
              <w:szCs w:val="22"/>
              <w14:ligatures w14:val="none"/>
            </w:rPr>
          </w:pPr>
          <w:hyperlink w:anchor="_Toc384567336" w:history="1">
            <w:r w:rsidR="006F3D25" w:rsidRPr="006F3D25">
              <w:rPr>
                <w:rStyle w:val="Hyperlink"/>
                <w:rFonts w:ascii="Times New Roman" w:hAnsi="Times New Roman" w:cs="Times New Roman"/>
                <w:i w:val="0"/>
                <w:noProof/>
              </w:rPr>
              <w:t>3 priedas. Finansinių rodiklių sugrupavimas pagal kvartiles</w:t>
            </w:r>
            <w:r w:rsidR="006F3D25" w:rsidRPr="006F3D25">
              <w:rPr>
                <w:i w:val="0"/>
                <w:noProof/>
                <w:webHidden/>
              </w:rPr>
              <w:tab/>
            </w:r>
            <w:r w:rsidR="006F3D25" w:rsidRPr="006F3D25">
              <w:rPr>
                <w:i w:val="0"/>
                <w:noProof/>
                <w:webHidden/>
              </w:rPr>
              <w:fldChar w:fldCharType="begin"/>
            </w:r>
            <w:r w:rsidR="006F3D25" w:rsidRPr="006F3D25">
              <w:rPr>
                <w:i w:val="0"/>
                <w:noProof/>
                <w:webHidden/>
              </w:rPr>
              <w:instrText xml:space="preserve"> PAGEREF _Toc384567336 \h </w:instrText>
            </w:r>
            <w:r w:rsidR="006F3D25" w:rsidRPr="006F3D25">
              <w:rPr>
                <w:i w:val="0"/>
                <w:noProof/>
                <w:webHidden/>
              </w:rPr>
            </w:r>
            <w:r w:rsidR="006F3D25" w:rsidRPr="006F3D25">
              <w:rPr>
                <w:i w:val="0"/>
                <w:noProof/>
                <w:webHidden/>
              </w:rPr>
              <w:fldChar w:fldCharType="separate"/>
            </w:r>
            <w:r w:rsidR="004804FA">
              <w:rPr>
                <w:i w:val="0"/>
                <w:noProof/>
                <w:webHidden/>
              </w:rPr>
              <w:t>73</w:t>
            </w:r>
            <w:r w:rsidR="006F3D25" w:rsidRPr="006F3D25">
              <w:rPr>
                <w:i w:val="0"/>
                <w:noProof/>
                <w:webHidden/>
              </w:rPr>
              <w:fldChar w:fldCharType="end"/>
            </w:r>
          </w:hyperlink>
        </w:p>
        <w:p w:rsidR="006F3D25" w:rsidRPr="006F3D25" w:rsidRDefault="00F20243">
          <w:pPr>
            <w:pStyle w:val="TOC3"/>
            <w:tabs>
              <w:tab w:val="right" w:leader="dot" w:pos="9350"/>
            </w:tabs>
            <w:rPr>
              <w:rFonts w:eastAsiaTheme="minorEastAsia"/>
              <w:i w:val="0"/>
              <w:iCs w:val="0"/>
              <w:noProof/>
              <w:kern w:val="0"/>
              <w:sz w:val="22"/>
              <w:szCs w:val="22"/>
              <w14:ligatures w14:val="none"/>
            </w:rPr>
          </w:pPr>
          <w:hyperlink w:anchor="_Toc384567337" w:history="1">
            <w:r w:rsidR="006F3D25" w:rsidRPr="006F3D25">
              <w:rPr>
                <w:rStyle w:val="Hyperlink"/>
                <w:rFonts w:ascii="Times New Roman" w:hAnsi="Times New Roman" w:cs="Times New Roman"/>
                <w:i w:val="0"/>
                <w:noProof/>
                <w:lang w:val="lt-LT"/>
              </w:rPr>
              <w:t>4 priedas. LML finansinių rodiklių grafikai modelio tinkamumui nustatyti</w:t>
            </w:r>
            <w:r w:rsidR="006F3D25" w:rsidRPr="006F3D25">
              <w:rPr>
                <w:i w:val="0"/>
                <w:noProof/>
                <w:webHidden/>
              </w:rPr>
              <w:tab/>
            </w:r>
            <w:r w:rsidR="006F3D25" w:rsidRPr="006F3D25">
              <w:rPr>
                <w:i w:val="0"/>
                <w:noProof/>
                <w:webHidden/>
              </w:rPr>
              <w:fldChar w:fldCharType="begin"/>
            </w:r>
            <w:r w:rsidR="006F3D25" w:rsidRPr="006F3D25">
              <w:rPr>
                <w:i w:val="0"/>
                <w:noProof/>
                <w:webHidden/>
              </w:rPr>
              <w:instrText xml:space="preserve"> PAGEREF _Toc384567337 \h </w:instrText>
            </w:r>
            <w:r w:rsidR="006F3D25" w:rsidRPr="006F3D25">
              <w:rPr>
                <w:i w:val="0"/>
                <w:noProof/>
                <w:webHidden/>
              </w:rPr>
            </w:r>
            <w:r w:rsidR="006F3D25" w:rsidRPr="006F3D25">
              <w:rPr>
                <w:i w:val="0"/>
                <w:noProof/>
                <w:webHidden/>
              </w:rPr>
              <w:fldChar w:fldCharType="separate"/>
            </w:r>
            <w:r w:rsidR="004804FA">
              <w:rPr>
                <w:i w:val="0"/>
                <w:noProof/>
                <w:webHidden/>
              </w:rPr>
              <w:t>74</w:t>
            </w:r>
            <w:r w:rsidR="006F3D25" w:rsidRPr="006F3D25">
              <w:rPr>
                <w:i w:val="0"/>
                <w:noProof/>
                <w:webHidden/>
              </w:rPr>
              <w:fldChar w:fldCharType="end"/>
            </w:r>
          </w:hyperlink>
        </w:p>
        <w:p w:rsidR="006F3D25" w:rsidRPr="006F3D25" w:rsidRDefault="00F20243">
          <w:pPr>
            <w:pStyle w:val="TOC3"/>
            <w:tabs>
              <w:tab w:val="right" w:leader="dot" w:pos="9350"/>
            </w:tabs>
            <w:rPr>
              <w:rFonts w:eastAsiaTheme="minorEastAsia"/>
              <w:i w:val="0"/>
              <w:iCs w:val="0"/>
              <w:noProof/>
              <w:kern w:val="0"/>
              <w:sz w:val="22"/>
              <w:szCs w:val="22"/>
              <w14:ligatures w14:val="none"/>
            </w:rPr>
          </w:pPr>
          <w:hyperlink w:anchor="_Toc384567338" w:history="1">
            <w:r w:rsidR="006F3D25" w:rsidRPr="006F3D25">
              <w:rPr>
                <w:rStyle w:val="Hyperlink"/>
                <w:rFonts w:ascii="Times New Roman" w:hAnsi="Times New Roman" w:cs="Times New Roman"/>
                <w:i w:val="0"/>
                <w:noProof/>
                <w:lang w:val="lt-LT"/>
              </w:rPr>
              <w:t>5 priedas. Altman Z funkcijos kredito unijoms apskaičiavimas</w:t>
            </w:r>
            <w:r w:rsidR="006F3D25" w:rsidRPr="006F3D25">
              <w:rPr>
                <w:i w:val="0"/>
                <w:noProof/>
                <w:webHidden/>
              </w:rPr>
              <w:tab/>
            </w:r>
            <w:r w:rsidR="006F3D25" w:rsidRPr="006F3D25">
              <w:rPr>
                <w:i w:val="0"/>
                <w:noProof/>
                <w:webHidden/>
              </w:rPr>
              <w:fldChar w:fldCharType="begin"/>
            </w:r>
            <w:r w:rsidR="006F3D25" w:rsidRPr="006F3D25">
              <w:rPr>
                <w:i w:val="0"/>
                <w:noProof/>
                <w:webHidden/>
              </w:rPr>
              <w:instrText xml:space="preserve"> PAGEREF _Toc384567338 \h </w:instrText>
            </w:r>
            <w:r w:rsidR="006F3D25" w:rsidRPr="006F3D25">
              <w:rPr>
                <w:i w:val="0"/>
                <w:noProof/>
                <w:webHidden/>
              </w:rPr>
            </w:r>
            <w:r w:rsidR="006F3D25" w:rsidRPr="006F3D25">
              <w:rPr>
                <w:i w:val="0"/>
                <w:noProof/>
                <w:webHidden/>
              </w:rPr>
              <w:fldChar w:fldCharType="separate"/>
            </w:r>
            <w:r w:rsidR="004804FA">
              <w:rPr>
                <w:i w:val="0"/>
                <w:noProof/>
                <w:webHidden/>
              </w:rPr>
              <w:t>76</w:t>
            </w:r>
            <w:r w:rsidR="006F3D25" w:rsidRPr="006F3D25">
              <w:rPr>
                <w:i w:val="0"/>
                <w:noProof/>
                <w:webHidden/>
              </w:rPr>
              <w:fldChar w:fldCharType="end"/>
            </w:r>
          </w:hyperlink>
        </w:p>
        <w:p w:rsidR="006F3D25" w:rsidRPr="006F3D25" w:rsidRDefault="00F20243">
          <w:pPr>
            <w:pStyle w:val="TOC3"/>
            <w:tabs>
              <w:tab w:val="right" w:leader="dot" w:pos="9350"/>
            </w:tabs>
            <w:rPr>
              <w:rFonts w:eastAsiaTheme="minorEastAsia"/>
              <w:i w:val="0"/>
              <w:iCs w:val="0"/>
              <w:noProof/>
              <w:kern w:val="0"/>
              <w:sz w:val="22"/>
              <w:szCs w:val="22"/>
              <w14:ligatures w14:val="none"/>
            </w:rPr>
          </w:pPr>
          <w:hyperlink w:anchor="_Toc384567339" w:history="1">
            <w:r w:rsidR="006F3D25" w:rsidRPr="006F3D25">
              <w:rPr>
                <w:rStyle w:val="Hyperlink"/>
                <w:rFonts w:ascii="Times New Roman" w:hAnsi="Times New Roman" w:cs="Times New Roman"/>
                <w:i w:val="0"/>
                <w:noProof/>
                <w:lang w:val="lt-LT"/>
              </w:rPr>
              <w:t>6 priedas. Finansiniai rodikliai, naudoti kredito įstaigų  ir įmonių bankroto grėsmei prognozuoti</w:t>
            </w:r>
            <w:r w:rsidR="006F3D25" w:rsidRPr="006F3D25">
              <w:rPr>
                <w:i w:val="0"/>
                <w:noProof/>
                <w:webHidden/>
              </w:rPr>
              <w:tab/>
            </w:r>
            <w:r w:rsidR="006F3D25" w:rsidRPr="006F3D25">
              <w:rPr>
                <w:i w:val="0"/>
                <w:noProof/>
                <w:webHidden/>
              </w:rPr>
              <w:fldChar w:fldCharType="begin"/>
            </w:r>
            <w:r w:rsidR="006F3D25" w:rsidRPr="006F3D25">
              <w:rPr>
                <w:i w:val="0"/>
                <w:noProof/>
                <w:webHidden/>
              </w:rPr>
              <w:instrText xml:space="preserve"> PAGEREF _Toc384567339 \h </w:instrText>
            </w:r>
            <w:r w:rsidR="006F3D25" w:rsidRPr="006F3D25">
              <w:rPr>
                <w:i w:val="0"/>
                <w:noProof/>
                <w:webHidden/>
              </w:rPr>
            </w:r>
            <w:r w:rsidR="006F3D25" w:rsidRPr="006F3D25">
              <w:rPr>
                <w:i w:val="0"/>
                <w:noProof/>
                <w:webHidden/>
              </w:rPr>
              <w:fldChar w:fldCharType="separate"/>
            </w:r>
            <w:r w:rsidR="004804FA">
              <w:rPr>
                <w:i w:val="0"/>
                <w:noProof/>
                <w:webHidden/>
              </w:rPr>
              <w:t>81</w:t>
            </w:r>
            <w:r w:rsidR="006F3D25" w:rsidRPr="006F3D25">
              <w:rPr>
                <w:i w:val="0"/>
                <w:noProof/>
                <w:webHidden/>
              </w:rPr>
              <w:fldChar w:fldCharType="end"/>
            </w:r>
          </w:hyperlink>
        </w:p>
        <w:p w:rsidR="005735AE" w:rsidRPr="005D2C7E" w:rsidRDefault="00734657" w:rsidP="00734657">
          <w:pPr>
            <w:jc w:val="center"/>
            <w:rPr>
              <w:rFonts w:ascii="Times New Roman" w:hAnsi="Times New Roman" w:cs="Times New Roman"/>
              <w:b/>
              <w:sz w:val="24"/>
              <w:szCs w:val="24"/>
              <w:lang w:val="lt-LT"/>
            </w:rPr>
          </w:pPr>
          <w:r w:rsidRPr="006F3D25">
            <w:rPr>
              <w:b/>
              <w:bCs/>
              <w:noProof/>
              <w:sz w:val="24"/>
              <w:szCs w:val="24"/>
            </w:rPr>
            <w:fldChar w:fldCharType="end"/>
          </w:r>
        </w:p>
      </w:sdtContent>
    </w:sdt>
    <w:p w:rsidR="004462A5" w:rsidRDefault="004462A5" w:rsidP="00734657">
      <w:pPr>
        <w:pStyle w:val="TOC1"/>
        <w:tabs>
          <w:tab w:val="right" w:leader="dot" w:pos="9350"/>
        </w:tabs>
        <w:rPr>
          <w:rFonts w:eastAsiaTheme="minorEastAsia"/>
          <w:b w:val="0"/>
          <w:bCs w:val="0"/>
          <w:caps w:val="0"/>
          <w:noProof/>
          <w:kern w:val="0"/>
          <w:sz w:val="22"/>
          <w:szCs w:val="22"/>
          <w14:ligatures w14:val="none"/>
        </w:rPr>
      </w:pPr>
      <w:r>
        <w:rPr>
          <w:rFonts w:ascii="Times New Roman" w:hAnsi="Times New Roman" w:cs="Times New Roman"/>
          <w:b w:val="0"/>
          <w:sz w:val="28"/>
          <w:szCs w:val="28"/>
          <w:lang w:val="lt-LT"/>
        </w:rPr>
        <w:fldChar w:fldCharType="begin"/>
      </w:r>
      <w:r>
        <w:rPr>
          <w:rFonts w:ascii="Times New Roman" w:hAnsi="Times New Roman" w:cs="Times New Roman"/>
          <w:b w:val="0"/>
          <w:sz w:val="28"/>
          <w:szCs w:val="28"/>
          <w:lang w:val="lt-LT"/>
        </w:rPr>
        <w:instrText xml:space="preserve"> TOC \o "1-1" \h \z \u </w:instrText>
      </w:r>
      <w:r>
        <w:rPr>
          <w:rFonts w:ascii="Times New Roman" w:hAnsi="Times New Roman" w:cs="Times New Roman"/>
          <w:b w:val="0"/>
          <w:sz w:val="28"/>
          <w:szCs w:val="28"/>
          <w:lang w:val="lt-LT"/>
        </w:rPr>
        <w:fldChar w:fldCharType="separate"/>
      </w:r>
    </w:p>
    <w:p w:rsidR="005735AE" w:rsidRPr="000D37F1" w:rsidRDefault="004462A5" w:rsidP="00467CC9">
      <w:pPr>
        <w:jc w:val="center"/>
        <w:rPr>
          <w:rFonts w:ascii="Times New Roman" w:hAnsi="Times New Roman" w:cs="Times New Roman"/>
          <w:b/>
          <w:sz w:val="28"/>
          <w:szCs w:val="28"/>
          <w:lang w:val="lt-LT"/>
        </w:rPr>
      </w:pPr>
      <w:r>
        <w:rPr>
          <w:rFonts w:ascii="Times New Roman" w:hAnsi="Times New Roman" w:cs="Times New Roman"/>
          <w:b/>
          <w:sz w:val="28"/>
          <w:szCs w:val="28"/>
          <w:lang w:val="lt-LT"/>
        </w:rPr>
        <w:fldChar w:fldCharType="end"/>
      </w: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Default="005735AE" w:rsidP="005D2C7E">
      <w:pPr>
        <w:rPr>
          <w:rFonts w:ascii="Times New Roman" w:hAnsi="Times New Roman" w:cs="Times New Roman"/>
          <w:b/>
          <w:sz w:val="28"/>
          <w:szCs w:val="28"/>
          <w:lang w:val="lt-LT"/>
        </w:rPr>
      </w:pPr>
    </w:p>
    <w:p w:rsidR="005D2C7E" w:rsidRPr="000D37F1" w:rsidRDefault="005D2C7E" w:rsidP="005D2C7E">
      <w:pP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734657" w:rsidRPr="005D2C7E" w:rsidRDefault="005D2C7E" w:rsidP="005D2C7E">
      <w:pPr>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LENTELĖS</w:t>
      </w:r>
    </w:p>
    <w:sdt>
      <w:sdtPr>
        <w:rPr>
          <w:rFonts w:asciiTheme="minorHAnsi" w:eastAsiaTheme="minorHAnsi" w:hAnsiTheme="minorHAnsi" w:cstheme="minorBidi"/>
          <w:b w:val="0"/>
          <w:bCs w:val="0"/>
          <w:color w:val="auto"/>
          <w:kern w:val="2"/>
          <w:sz w:val="22"/>
          <w:szCs w:val="22"/>
          <w:lang w:eastAsia="en-US"/>
          <w14:ligatures w14:val="standard"/>
        </w:rPr>
        <w:id w:val="415285158"/>
        <w:docPartObj>
          <w:docPartGallery w:val="Table of Contents"/>
          <w:docPartUnique/>
        </w:docPartObj>
      </w:sdtPr>
      <w:sdtEndPr>
        <w:rPr>
          <w:noProof/>
        </w:rPr>
      </w:sdtEndPr>
      <w:sdtContent>
        <w:p w:rsidR="00734657" w:rsidRPr="005D2C7E" w:rsidRDefault="00734657" w:rsidP="005D2C7E">
          <w:pPr>
            <w:pStyle w:val="TOCHeading"/>
            <w:rPr>
              <w:b w:val="0"/>
              <w:noProof/>
            </w:rPr>
          </w:pPr>
          <w:r w:rsidRPr="005D2C7E">
            <w:rPr>
              <w:b w:val="0"/>
            </w:rPr>
            <w:fldChar w:fldCharType="begin"/>
          </w:r>
          <w:r w:rsidRPr="005D2C7E">
            <w:rPr>
              <w:b w:val="0"/>
            </w:rPr>
            <w:instrText xml:space="preserve"> TOC \o "1-3" \h \z \u </w:instrText>
          </w:r>
          <w:r w:rsidRPr="005D2C7E">
            <w:rPr>
              <w:b w:val="0"/>
            </w:rPr>
            <w:fldChar w:fldCharType="separate"/>
          </w:r>
        </w:p>
        <w:p w:rsidR="00734657" w:rsidRPr="005D2C7E" w:rsidRDefault="00F20243" w:rsidP="005D2C7E">
          <w:pPr>
            <w:pStyle w:val="TOC1"/>
            <w:tabs>
              <w:tab w:val="right" w:leader="dot" w:pos="9350"/>
            </w:tabs>
            <w:rPr>
              <w:rFonts w:eastAsiaTheme="minorEastAsia"/>
              <w:b w:val="0"/>
              <w:bCs w:val="0"/>
              <w:caps w:val="0"/>
              <w:noProof/>
              <w:kern w:val="0"/>
              <w:sz w:val="22"/>
              <w:szCs w:val="22"/>
              <w14:ligatures w14:val="none"/>
            </w:rPr>
          </w:pPr>
          <w:hyperlink w:anchor="_Toc383784084" w:history="1">
            <w:r w:rsidR="00734657" w:rsidRPr="005D2C7E">
              <w:rPr>
                <w:rStyle w:val="Hyperlink"/>
                <w:rFonts w:ascii="Times New Roman" w:hAnsi="Times New Roman" w:cs="Times New Roman"/>
                <w:b w:val="0"/>
                <w:noProof/>
              </w:rPr>
              <w:t>1 lentelė. Kredito unijų ir komercinių bankų veiklos riziką ribojančių normatyvų palyginimas</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_Toc383784084 \h </w:instrText>
            </w:r>
            <w:r w:rsidR="00734657" w:rsidRPr="005D2C7E">
              <w:rPr>
                <w:b w:val="0"/>
                <w:noProof/>
                <w:webHidden/>
              </w:rPr>
            </w:r>
            <w:r w:rsidR="00734657" w:rsidRPr="005D2C7E">
              <w:rPr>
                <w:b w:val="0"/>
                <w:noProof/>
                <w:webHidden/>
              </w:rPr>
              <w:fldChar w:fldCharType="separate"/>
            </w:r>
            <w:r w:rsidR="004804FA">
              <w:rPr>
                <w:b w:val="0"/>
                <w:noProof/>
                <w:webHidden/>
              </w:rPr>
              <w:t>12</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093" w:history="1">
            <w:r w:rsidR="005D2C7E" w:rsidRPr="005D2C7E">
              <w:rPr>
                <w:rStyle w:val="Hyperlink"/>
                <w:rFonts w:ascii="Times New Roman" w:hAnsi="Times New Roman" w:cs="Times New Roman"/>
                <w:b w:val="0"/>
                <w:noProof/>
              </w:rPr>
              <w:t>2</w:t>
            </w:r>
            <w:r w:rsidR="00734657" w:rsidRPr="005D2C7E">
              <w:rPr>
                <w:rStyle w:val="Hyperlink"/>
                <w:rFonts w:ascii="Times New Roman" w:hAnsi="Times New Roman" w:cs="Times New Roman"/>
                <w:b w:val="0"/>
                <w:noProof/>
              </w:rPr>
              <w:t xml:space="preserve"> Lentelė. Finansiniai rodikliai</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_Toc383784093 \h </w:instrText>
            </w:r>
            <w:r w:rsidR="00734657" w:rsidRPr="005D2C7E">
              <w:rPr>
                <w:b w:val="0"/>
                <w:noProof/>
                <w:webHidden/>
              </w:rPr>
            </w:r>
            <w:r w:rsidR="00734657" w:rsidRPr="005D2C7E">
              <w:rPr>
                <w:b w:val="0"/>
                <w:noProof/>
                <w:webHidden/>
              </w:rPr>
              <w:fldChar w:fldCharType="separate"/>
            </w:r>
            <w:r w:rsidR="004804FA">
              <w:rPr>
                <w:b w:val="0"/>
                <w:noProof/>
                <w:webHidden/>
              </w:rPr>
              <w:t>35</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094" w:history="1">
            <w:r w:rsidR="005D2C7E" w:rsidRPr="005D2C7E">
              <w:rPr>
                <w:rStyle w:val="Hyperlink"/>
                <w:rFonts w:ascii="Times New Roman" w:hAnsi="Times New Roman" w:cs="Times New Roman"/>
                <w:b w:val="0"/>
                <w:noProof/>
              </w:rPr>
              <w:t>3</w:t>
            </w:r>
            <w:r w:rsidR="00734657" w:rsidRPr="005D2C7E">
              <w:rPr>
                <w:rStyle w:val="Hyperlink"/>
                <w:rFonts w:ascii="Times New Roman" w:hAnsi="Times New Roman" w:cs="Times New Roman"/>
                <w:b w:val="0"/>
                <w:noProof/>
              </w:rPr>
              <w:t xml:space="preserve"> Lentelė. Paskolų skirstymas į rizikos grupes</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_Toc383784094 \h </w:instrText>
            </w:r>
            <w:r w:rsidR="00734657" w:rsidRPr="005D2C7E">
              <w:rPr>
                <w:b w:val="0"/>
                <w:noProof/>
                <w:webHidden/>
              </w:rPr>
            </w:r>
            <w:r w:rsidR="00734657" w:rsidRPr="005D2C7E">
              <w:rPr>
                <w:b w:val="0"/>
                <w:noProof/>
                <w:webHidden/>
              </w:rPr>
              <w:fldChar w:fldCharType="separate"/>
            </w:r>
            <w:r w:rsidR="004804FA">
              <w:rPr>
                <w:b w:val="0"/>
                <w:noProof/>
                <w:webHidden/>
              </w:rPr>
              <w:t>38</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5" w:history="1">
            <w:r w:rsidR="005D2C7E" w:rsidRPr="005D2C7E">
              <w:rPr>
                <w:rStyle w:val="Hyperlink"/>
                <w:rFonts w:ascii="Times New Roman" w:hAnsi="Times New Roman" w:cs="Times New Roman"/>
                <w:b w:val="0"/>
                <w:noProof/>
              </w:rPr>
              <w:t>4</w:t>
            </w:r>
            <w:r w:rsidR="00734657" w:rsidRPr="005D2C7E">
              <w:rPr>
                <w:rStyle w:val="Hyperlink"/>
                <w:rFonts w:ascii="Times New Roman" w:hAnsi="Times New Roman" w:cs="Times New Roman"/>
                <w:b w:val="0"/>
                <w:noProof/>
              </w:rPr>
              <w:t xml:space="preserve"> Lentelė. Kredito unijų pagal veiklos apribojimą, išlikimo lentelės (2011-2013m.)</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_Toc383784105 \h </w:instrText>
            </w:r>
            <w:r w:rsidR="00734657" w:rsidRPr="005D2C7E">
              <w:rPr>
                <w:b w:val="0"/>
                <w:noProof/>
                <w:webHidden/>
              </w:rPr>
            </w:r>
            <w:r w:rsidR="00734657" w:rsidRPr="005D2C7E">
              <w:rPr>
                <w:b w:val="0"/>
                <w:noProof/>
                <w:webHidden/>
              </w:rPr>
              <w:fldChar w:fldCharType="separate"/>
            </w:r>
            <w:r w:rsidR="004804FA">
              <w:rPr>
                <w:b w:val="0"/>
                <w:noProof/>
                <w:webHidden/>
              </w:rPr>
              <w:t>48</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7" w:history="1">
            <w:r w:rsidR="005D2C7E" w:rsidRPr="005D2C7E">
              <w:rPr>
                <w:rStyle w:val="Hyperlink"/>
                <w:rFonts w:ascii="Times New Roman" w:hAnsi="Times New Roman" w:cs="Times New Roman"/>
                <w:b w:val="0"/>
                <w:noProof/>
              </w:rPr>
              <w:t>5</w:t>
            </w:r>
            <w:r w:rsidR="00734657" w:rsidRPr="005D2C7E">
              <w:rPr>
                <w:rStyle w:val="Hyperlink"/>
                <w:rFonts w:ascii="Times New Roman" w:hAnsi="Times New Roman" w:cs="Times New Roman"/>
                <w:b w:val="0"/>
                <w:noProof/>
              </w:rPr>
              <w:t xml:space="preserve"> Lentelė. Kredito unijų išlikimo funkcijų palyginimas (priklausymas CKU)</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_Toc383784107 \h </w:instrText>
            </w:r>
            <w:r w:rsidR="00734657" w:rsidRPr="005D2C7E">
              <w:rPr>
                <w:b w:val="0"/>
                <w:noProof/>
                <w:webHidden/>
              </w:rPr>
            </w:r>
            <w:r w:rsidR="00734657" w:rsidRPr="005D2C7E">
              <w:rPr>
                <w:b w:val="0"/>
                <w:noProof/>
                <w:webHidden/>
              </w:rPr>
              <w:fldChar w:fldCharType="separate"/>
            </w:r>
            <w:r w:rsidR="004804FA">
              <w:rPr>
                <w:b w:val="0"/>
                <w:noProof/>
                <w:webHidden/>
              </w:rPr>
              <w:t>49</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9" w:history="1">
            <w:r w:rsidR="005D2C7E" w:rsidRPr="005D2C7E">
              <w:rPr>
                <w:rStyle w:val="Hyperlink"/>
                <w:rFonts w:ascii="Times New Roman" w:hAnsi="Times New Roman" w:cs="Times New Roman"/>
                <w:b w:val="0"/>
                <w:noProof/>
              </w:rPr>
              <w:t>6</w:t>
            </w:r>
            <w:r w:rsidR="00734657" w:rsidRPr="005D2C7E">
              <w:rPr>
                <w:rStyle w:val="Hyperlink"/>
                <w:rFonts w:ascii="Times New Roman" w:hAnsi="Times New Roman" w:cs="Times New Roman"/>
                <w:b w:val="0"/>
                <w:noProof/>
              </w:rPr>
              <w:t xml:space="preserve"> Lentelė. Kredito unijų išlikimo funkcijų palyginimas (pagal veiklos vietą)</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_Toc383784109 \h </w:instrText>
            </w:r>
            <w:r w:rsidR="00734657" w:rsidRPr="005D2C7E">
              <w:rPr>
                <w:b w:val="0"/>
                <w:noProof/>
                <w:webHidden/>
              </w:rPr>
            </w:r>
            <w:r w:rsidR="00734657" w:rsidRPr="005D2C7E">
              <w:rPr>
                <w:b w:val="0"/>
                <w:noProof/>
                <w:webHidden/>
              </w:rPr>
              <w:fldChar w:fldCharType="separate"/>
            </w:r>
            <w:r w:rsidR="004804FA">
              <w:rPr>
                <w:b w:val="0"/>
                <w:noProof/>
                <w:webHidden/>
              </w:rPr>
              <w:t>50</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11" w:history="1">
            <w:r w:rsidR="005D2C7E" w:rsidRPr="005D2C7E">
              <w:rPr>
                <w:rStyle w:val="Hyperlink"/>
                <w:rFonts w:ascii="Times New Roman" w:hAnsi="Times New Roman" w:cs="Times New Roman"/>
                <w:b w:val="0"/>
                <w:noProof/>
              </w:rPr>
              <w:t>7</w:t>
            </w:r>
            <w:r w:rsidR="00734657" w:rsidRPr="005D2C7E">
              <w:rPr>
                <w:rStyle w:val="Hyperlink"/>
                <w:rFonts w:ascii="Times New Roman" w:hAnsi="Times New Roman" w:cs="Times New Roman"/>
                <w:b w:val="0"/>
                <w:noProof/>
              </w:rPr>
              <w:t xml:space="preserve"> Lentelė. Kredito unijų išlikimo funkcijų palyginimas (veiklos trukmė)</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_Toc383784111 \h </w:instrText>
            </w:r>
            <w:r w:rsidR="00734657" w:rsidRPr="005D2C7E">
              <w:rPr>
                <w:b w:val="0"/>
                <w:noProof/>
                <w:webHidden/>
              </w:rPr>
            </w:r>
            <w:r w:rsidR="00734657" w:rsidRPr="005D2C7E">
              <w:rPr>
                <w:b w:val="0"/>
                <w:noProof/>
                <w:webHidden/>
              </w:rPr>
              <w:fldChar w:fldCharType="separate"/>
            </w:r>
            <w:r w:rsidR="004804FA">
              <w:rPr>
                <w:b w:val="0"/>
                <w:noProof/>
                <w:webHidden/>
              </w:rPr>
              <w:t>51</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12" w:history="1">
            <w:r w:rsidR="00734657" w:rsidRPr="005D2C7E">
              <w:rPr>
                <w:rStyle w:val="Hyperlink"/>
                <w:rFonts w:ascii="Times New Roman" w:hAnsi="Times New Roman" w:cs="Times New Roman"/>
                <w:b w:val="0"/>
                <w:noProof/>
              </w:rPr>
              <w:t>8 Lentelė. Vilkoksono testas finansiniams rodikliams (2011-2012 m.)</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_Toc383784112 \h </w:instrText>
            </w:r>
            <w:r w:rsidR="00734657" w:rsidRPr="005D2C7E">
              <w:rPr>
                <w:b w:val="0"/>
                <w:noProof/>
                <w:webHidden/>
              </w:rPr>
            </w:r>
            <w:r w:rsidR="00734657" w:rsidRPr="005D2C7E">
              <w:rPr>
                <w:b w:val="0"/>
                <w:noProof/>
                <w:webHidden/>
              </w:rPr>
              <w:fldChar w:fldCharType="separate"/>
            </w:r>
            <w:r w:rsidR="004804FA">
              <w:rPr>
                <w:b w:val="0"/>
                <w:noProof/>
                <w:webHidden/>
              </w:rPr>
              <w:t>51</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13" w:history="1">
            <w:r w:rsidR="00734657" w:rsidRPr="005D2C7E">
              <w:rPr>
                <w:rStyle w:val="Hyperlink"/>
                <w:rFonts w:ascii="Times New Roman" w:hAnsi="Times New Roman" w:cs="Times New Roman"/>
                <w:b w:val="0"/>
                <w:noProof/>
              </w:rPr>
              <w:t>9 Lentelė. Frydmano testas finansiniams rodikliams (2011-2013 m.)</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_Toc383784113 \h </w:instrText>
            </w:r>
            <w:r w:rsidR="00734657" w:rsidRPr="005D2C7E">
              <w:rPr>
                <w:b w:val="0"/>
                <w:noProof/>
                <w:webHidden/>
              </w:rPr>
            </w:r>
            <w:r w:rsidR="00734657" w:rsidRPr="005D2C7E">
              <w:rPr>
                <w:b w:val="0"/>
                <w:noProof/>
                <w:webHidden/>
              </w:rPr>
              <w:fldChar w:fldCharType="separate"/>
            </w:r>
            <w:r w:rsidR="004804FA">
              <w:rPr>
                <w:b w:val="0"/>
                <w:noProof/>
                <w:webHidden/>
              </w:rPr>
              <w:t>52</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15" w:history="1">
            <w:r w:rsidR="00734657" w:rsidRPr="005D2C7E">
              <w:rPr>
                <w:rStyle w:val="Hyperlink"/>
                <w:rFonts w:ascii="Times New Roman" w:hAnsi="Times New Roman" w:cs="Times New Roman"/>
                <w:b w:val="0"/>
                <w:noProof/>
              </w:rPr>
              <w:t>10 Lentelė. Kokso regresijos lygties parametrų ir santykinės rizikos koeficientų įverčiai</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_Toc383784115 \h </w:instrText>
            </w:r>
            <w:r w:rsidR="00734657" w:rsidRPr="005D2C7E">
              <w:rPr>
                <w:b w:val="0"/>
                <w:noProof/>
                <w:webHidden/>
              </w:rPr>
            </w:r>
            <w:r w:rsidR="00734657" w:rsidRPr="005D2C7E">
              <w:rPr>
                <w:b w:val="0"/>
                <w:noProof/>
                <w:webHidden/>
              </w:rPr>
              <w:fldChar w:fldCharType="separate"/>
            </w:r>
            <w:r w:rsidR="004804FA">
              <w:rPr>
                <w:b w:val="0"/>
                <w:noProof/>
                <w:webHidden/>
              </w:rPr>
              <w:t>53</w:t>
            </w:r>
            <w:r w:rsidR="00734657" w:rsidRPr="005D2C7E">
              <w:rPr>
                <w:b w:val="0"/>
                <w:noProof/>
                <w:webHidden/>
              </w:rPr>
              <w:fldChar w:fldCharType="end"/>
            </w:r>
          </w:hyperlink>
        </w:p>
        <w:p w:rsidR="00734657" w:rsidRPr="005D2C7E"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16" w:history="1">
            <w:r w:rsidR="00734657" w:rsidRPr="005D2C7E">
              <w:rPr>
                <w:rStyle w:val="Hyperlink"/>
                <w:rFonts w:ascii="Times New Roman" w:hAnsi="Times New Roman" w:cs="Times New Roman"/>
                <w:b w:val="0"/>
                <w:noProof/>
              </w:rPr>
              <w:t>11 lentelė. Rodiklių ir rizikos kitimas</w:t>
            </w:r>
            <w:r w:rsidR="00734657" w:rsidRPr="005D2C7E">
              <w:rPr>
                <w:b w:val="0"/>
                <w:noProof/>
                <w:webHidden/>
              </w:rPr>
              <w:tab/>
            </w:r>
            <w:r w:rsidR="00734657" w:rsidRPr="005D2C7E">
              <w:rPr>
                <w:b w:val="0"/>
                <w:noProof/>
                <w:webHidden/>
              </w:rPr>
              <w:fldChar w:fldCharType="begin"/>
            </w:r>
            <w:r w:rsidR="00734657" w:rsidRPr="005D2C7E">
              <w:rPr>
                <w:b w:val="0"/>
                <w:noProof/>
                <w:webHidden/>
              </w:rPr>
              <w:instrText xml:space="preserve"> PAGEREF _Toc383784116 \h </w:instrText>
            </w:r>
            <w:r w:rsidR="00734657" w:rsidRPr="005D2C7E">
              <w:rPr>
                <w:b w:val="0"/>
                <w:noProof/>
                <w:webHidden/>
              </w:rPr>
            </w:r>
            <w:r w:rsidR="00734657" w:rsidRPr="005D2C7E">
              <w:rPr>
                <w:b w:val="0"/>
                <w:noProof/>
                <w:webHidden/>
              </w:rPr>
              <w:fldChar w:fldCharType="separate"/>
            </w:r>
            <w:r w:rsidR="004804FA">
              <w:rPr>
                <w:b w:val="0"/>
                <w:noProof/>
                <w:webHidden/>
              </w:rPr>
              <w:t>55</w:t>
            </w:r>
            <w:r w:rsidR="00734657" w:rsidRPr="005D2C7E">
              <w:rPr>
                <w:b w:val="0"/>
                <w:noProof/>
                <w:webHidden/>
              </w:rPr>
              <w:fldChar w:fldCharType="end"/>
            </w:r>
          </w:hyperlink>
        </w:p>
        <w:p w:rsidR="005735AE" w:rsidRPr="005D2C7E" w:rsidRDefault="00734657" w:rsidP="00734657">
          <w:pPr>
            <w:jc w:val="center"/>
            <w:rPr>
              <w:rFonts w:ascii="Times New Roman" w:hAnsi="Times New Roman" w:cs="Times New Roman"/>
              <w:sz w:val="28"/>
              <w:szCs w:val="28"/>
              <w:lang w:val="lt-LT"/>
            </w:rPr>
          </w:pPr>
          <w:r w:rsidRPr="005D2C7E">
            <w:rPr>
              <w:bCs/>
              <w:noProof/>
            </w:rPr>
            <w:fldChar w:fldCharType="end"/>
          </w:r>
        </w:p>
      </w:sdtContent>
    </w:sdt>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5735AE" w:rsidRPr="000D37F1" w:rsidRDefault="005735AE" w:rsidP="00467CC9">
      <w:pPr>
        <w:jc w:val="center"/>
        <w:rPr>
          <w:rFonts w:ascii="Times New Roman" w:hAnsi="Times New Roman" w:cs="Times New Roman"/>
          <w:b/>
          <w:sz w:val="28"/>
          <w:szCs w:val="28"/>
          <w:lang w:val="lt-LT"/>
        </w:rPr>
      </w:pPr>
    </w:p>
    <w:p w:rsidR="007450AF" w:rsidRPr="000D37F1" w:rsidRDefault="007450AF" w:rsidP="007450AF">
      <w:pPr>
        <w:rPr>
          <w:rFonts w:ascii="Times New Roman" w:hAnsi="Times New Roman" w:cs="Times New Roman"/>
          <w:b/>
          <w:sz w:val="28"/>
          <w:szCs w:val="28"/>
          <w:lang w:val="lt-LT"/>
        </w:rPr>
      </w:pPr>
    </w:p>
    <w:p w:rsidR="00734657" w:rsidRPr="001641F2" w:rsidRDefault="007450AF" w:rsidP="001641F2">
      <w:pPr>
        <w:jc w:val="center"/>
        <w:rPr>
          <w:rFonts w:ascii="Times New Roman" w:hAnsi="Times New Roman" w:cs="Times New Roman"/>
          <w:b/>
          <w:sz w:val="28"/>
          <w:szCs w:val="28"/>
          <w:lang w:val="lt-LT"/>
        </w:rPr>
      </w:pPr>
      <w:r w:rsidRPr="000D37F1">
        <w:rPr>
          <w:rFonts w:ascii="Times New Roman" w:hAnsi="Times New Roman" w:cs="Times New Roman"/>
          <w:b/>
          <w:sz w:val="28"/>
          <w:szCs w:val="28"/>
          <w:lang w:val="lt-LT"/>
        </w:rPr>
        <w:lastRenderedPageBreak/>
        <w:t>PAVEIKSLAI</w:t>
      </w:r>
    </w:p>
    <w:sdt>
      <w:sdtPr>
        <w:rPr>
          <w:rFonts w:asciiTheme="minorHAnsi" w:eastAsiaTheme="minorHAnsi" w:hAnsiTheme="minorHAnsi" w:cstheme="minorBidi"/>
          <w:b w:val="0"/>
          <w:bCs w:val="0"/>
          <w:color w:val="auto"/>
          <w:kern w:val="2"/>
          <w:sz w:val="22"/>
          <w:szCs w:val="22"/>
          <w:lang w:eastAsia="en-US"/>
          <w14:ligatures w14:val="standard"/>
        </w:rPr>
        <w:id w:val="930471056"/>
        <w:docPartObj>
          <w:docPartGallery w:val="Table of Contents"/>
          <w:docPartUnique/>
        </w:docPartObj>
      </w:sdtPr>
      <w:sdtEndPr>
        <w:rPr>
          <w:noProof/>
        </w:rPr>
      </w:sdtEndPr>
      <w:sdtContent>
        <w:p w:rsidR="00734657" w:rsidRPr="005D2C7E" w:rsidRDefault="00734657" w:rsidP="005D2C7E">
          <w:pPr>
            <w:pStyle w:val="TOCHeading"/>
            <w:rPr>
              <w:noProof/>
            </w:rPr>
          </w:pPr>
          <w:r>
            <w:fldChar w:fldCharType="begin"/>
          </w:r>
          <w:r>
            <w:instrText xml:space="preserve"> TOC \o "1-3" \h \z \u </w:instrText>
          </w:r>
          <w:r>
            <w:fldChar w:fldCharType="separate"/>
          </w:r>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087" w:history="1">
            <w:r w:rsidR="00734657" w:rsidRPr="001641F2">
              <w:rPr>
                <w:rStyle w:val="Hyperlink"/>
                <w:rFonts w:ascii="Times New Roman" w:hAnsi="Times New Roman" w:cs="Times New Roman"/>
                <w:b w:val="0"/>
                <w:noProof/>
              </w:rPr>
              <w:t>1 pav. Kredito unijų ir narių skaičiaus pokytis lyginant s</w:t>
            </w:r>
            <w:r w:rsidR="004021BB">
              <w:rPr>
                <w:rStyle w:val="Hyperlink"/>
                <w:rFonts w:ascii="Times New Roman" w:hAnsi="Times New Roman" w:cs="Times New Roman"/>
                <w:b w:val="0"/>
                <w:noProof/>
              </w:rPr>
              <w:t>u praėjusiu laikotarpiu, % (2001</w:t>
            </w:r>
            <w:r w:rsidR="00734657" w:rsidRPr="001641F2">
              <w:rPr>
                <w:rStyle w:val="Hyperlink"/>
                <w:rFonts w:ascii="Times New Roman" w:hAnsi="Times New Roman" w:cs="Times New Roman"/>
                <w:b w:val="0"/>
                <w:noProof/>
              </w:rPr>
              <w:t>-2013m.)</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_Toc383784087 \h </w:instrText>
            </w:r>
            <w:r w:rsidR="00734657" w:rsidRPr="001641F2">
              <w:rPr>
                <w:b w:val="0"/>
                <w:noProof/>
                <w:webHidden/>
              </w:rPr>
            </w:r>
            <w:r w:rsidR="00734657" w:rsidRPr="001641F2">
              <w:rPr>
                <w:b w:val="0"/>
                <w:noProof/>
                <w:webHidden/>
              </w:rPr>
              <w:fldChar w:fldCharType="separate"/>
            </w:r>
            <w:r w:rsidR="004804FA">
              <w:rPr>
                <w:b w:val="0"/>
                <w:noProof/>
                <w:webHidden/>
              </w:rPr>
              <w:t>20</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088" w:history="1">
            <w:r w:rsidR="00734657" w:rsidRPr="001641F2">
              <w:rPr>
                <w:rStyle w:val="Hyperlink"/>
                <w:rFonts w:ascii="Times New Roman" w:hAnsi="Times New Roman" w:cs="Times New Roman"/>
                <w:b w:val="0"/>
                <w:noProof/>
              </w:rPr>
              <w:t>2 pav. Kredito unijų indėlių ir suteiktų paskolų ir investicijų į vertybinius popierius palyginimas, tūkst. Lt (2009-2013 m.)</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_Toc383784088 \h </w:instrText>
            </w:r>
            <w:r w:rsidR="00734657" w:rsidRPr="001641F2">
              <w:rPr>
                <w:b w:val="0"/>
                <w:noProof/>
                <w:webHidden/>
              </w:rPr>
            </w:r>
            <w:r w:rsidR="00734657" w:rsidRPr="001641F2">
              <w:rPr>
                <w:b w:val="0"/>
                <w:noProof/>
                <w:webHidden/>
              </w:rPr>
              <w:fldChar w:fldCharType="separate"/>
            </w:r>
            <w:r w:rsidR="004804FA">
              <w:rPr>
                <w:b w:val="0"/>
                <w:noProof/>
                <w:webHidden/>
              </w:rPr>
              <w:t>21</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097" w:history="1">
            <w:r w:rsidR="00734657" w:rsidRPr="001641F2">
              <w:rPr>
                <w:rStyle w:val="Hyperlink"/>
                <w:rFonts w:ascii="Times New Roman" w:hAnsi="Times New Roman" w:cs="Times New Roman"/>
                <w:b w:val="0"/>
                <w:noProof/>
              </w:rPr>
              <w:t>3 pav. ROA (kairėje) ir ROE (dešinėje) rodiklių vidurkiai</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_Toc383784097 \h </w:instrText>
            </w:r>
            <w:r w:rsidR="00734657" w:rsidRPr="001641F2">
              <w:rPr>
                <w:b w:val="0"/>
                <w:noProof/>
                <w:webHidden/>
              </w:rPr>
            </w:r>
            <w:r w:rsidR="00734657" w:rsidRPr="001641F2">
              <w:rPr>
                <w:b w:val="0"/>
                <w:noProof/>
                <w:webHidden/>
              </w:rPr>
              <w:fldChar w:fldCharType="separate"/>
            </w:r>
            <w:r w:rsidR="004804FA">
              <w:rPr>
                <w:b w:val="0"/>
                <w:noProof/>
                <w:webHidden/>
              </w:rPr>
              <w:t>43</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098" w:history="1">
            <w:r w:rsidR="00734657" w:rsidRPr="001641F2">
              <w:rPr>
                <w:rStyle w:val="Hyperlink"/>
                <w:rFonts w:ascii="Times New Roman" w:hAnsi="Times New Roman" w:cs="Times New Roman"/>
                <w:b w:val="0"/>
                <w:noProof/>
              </w:rPr>
              <w:t>4 pav. Kapitalo pakankamumo (kairėje) ir apyvartinio kapitalo ir turto santykio (dešinėje) rodiklių vidurkiai</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_Toc383784098 \h </w:instrText>
            </w:r>
            <w:r w:rsidR="00734657" w:rsidRPr="001641F2">
              <w:rPr>
                <w:b w:val="0"/>
                <w:noProof/>
                <w:webHidden/>
              </w:rPr>
            </w:r>
            <w:r w:rsidR="00734657" w:rsidRPr="001641F2">
              <w:rPr>
                <w:b w:val="0"/>
                <w:noProof/>
                <w:webHidden/>
              </w:rPr>
              <w:fldChar w:fldCharType="separate"/>
            </w:r>
            <w:r w:rsidR="004804FA">
              <w:rPr>
                <w:b w:val="0"/>
                <w:noProof/>
                <w:webHidden/>
              </w:rPr>
              <w:t>43</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099" w:history="1">
            <w:r w:rsidR="00734657" w:rsidRPr="001641F2">
              <w:rPr>
                <w:rStyle w:val="Hyperlink"/>
                <w:rFonts w:ascii="Times New Roman" w:hAnsi="Times New Roman" w:cs="Times New Roman"/>
                <w:b w:val="0"/>
                <w:noProof/>
              </w:rPr>
              <w:t>5 pav. Investicijų į vertybinius popierius ir turto santykis</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_Toc383784099 \h </w:instrText>
            </w:r>
            <w:r w:rsidR="00734657" w:rsidRPr="001641F2">
              <w:rPr>
                <w:b w:val="0"/>
                <w:noProof/>
                <w:webHidden/>
              </w:rPr>
            </w:r>
            <w:r w:rsidR="00734657" w:rsidRPr="001641F2">
              <w:rPr>
                <w:b w:val="0"/>
                <w:noProof/>
                <w:webHidden/>
              </w:rPr>
              <w:fldChar w:fldCharType="separate"/>
            </w:r>
            <w:r w:rsidR="004804FA">
              <w:rPr>
                <w:b w:val="0"/>
                <w:noProof/>
                <w:webHidden/>
              </w:rPr>
              <w:t>44</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0" w:history="1">
            <w:r w:rsidR="00734657" w:rsidRPr="001641F2">
              <w:rPr>
                <w:rStyle w:val="Hyperlink"/>
                <w:rFonts w:ascii="Times New Roman" w:hAnsi="Times New Roman" w:cs="Times New Roman"/>
                <w:b w:val="0"/>
                <w:noProof/>
              </w:rPr>
              <w:t>6 pav. Bendrųjų ir administracinių sąnaudų dalis visose sąnaudose</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_Toc383784100 \h </w:instrText>
            </w:r>
            <w:r w:rsidR="00734657" w:rsidRPr="001641F2">
              <w:rPr>
                <w:b w:val="0"/>
                <w:noProof/>
                <w:webHidden/>
              </w:rPr>
            </w:r>
            <w:r w:rsidR="00734657" w:rsidRPr="001641F2">
              <w:rPr>
                <w:b w:val="0"/>
                <w:noProof/>
                <w:webHidden/>
              </w:rPr>
              <w:fldChar w:fldCharType="separate"/>
            </w:r>
            <w:r w:rsidR="004804FA">
              <w:rPr>
                <w:b w:val="0"/>
                <w:noProof/>
                <w:webHidden/>
              </w:rPr>
              <w:t>45</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1" w:history="1">
            <w:r w:rsidR="00734657" w:rsidRPr="001641F2">
              <w:rPr>
                <w:rStyle w:val="Hyperlink"/>
                <w:rFonts w:ascii="Times New Roman" w:hAnsi="Times New Roman" w:cs="Times New Roman"/>
                <w:b w:val="0"/>
                <w:noProof/>
              </w:rPr>
              <w:t>7 pav. Kredito unijų turtas (tūkst. Lt)</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_Toc383784101 \h </w:instrText>
            </w:r>
            <w:r w:rsidR="00734657" w:rsidRPr="001641F2">
              <w:rPr>
                <w:b w:val="0"/>
                <w:noProof/>
                <w:webHidden/>
              </w:rPr>
            </w:r>
            <w:r w:rsidR="00734657" w:rsidRPr="001641F2">
              <w:rPr>
                <w:b w:val="0"/>
                <w:noProof/>
                <w:webHidden/>
              </w:rPr>
              <w:fldChar w:fldCharType="separate"/>
            </w:r>
            <w:r w:rsidR="004804FA">
              <w:rPr>
                <w:b w:val="0"/>
                <w:noProof/>
                <w:webHidden/>
              </w:rPr>
              <w:t>45</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2" w:history="1">
            <w:r w:rsidR="00734657" w:rsidRPr="001641F2">
              <w:rPr>
                <w:rStyle w:val="Hyperlink"/>
                <w:rFonts w:ascii="Times New Roman" w:hAnsi="Times New Roman" w:cs="Times New Roman"/>
                <w:b w:val="0"/>
                <w:noProof/>
              </w:rPr>
              <w:t>8 pav. Kredito unijų pagal LB taikytas poveikio priemones pasiskirstymas</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_Toc383784102 \h </w:instrText>
            </w:r>
            <w:r w:rsidR="00734657" w:rsidRPr="001641F2">
              <w:rPr>
                <w:b w:val="0"/>
                <w:noProof/>
                <w:webHidden/>
              </w:rPr>
            </w:r>
            <w:r w:rsidR="00734657" w:rsidRPr="001641F2">
              <w:rPr>
                <w:b w:val="0"/>
                <w:noProof/>
                <w:webHidden/>
              </w:rPr>
              <w:fldChar w:fldCharType="separate"/>
            </w:r>
            <w:r w:rsidR="004804FA">
              <w:rPr>
                <w:b w:val="0"/>
                <w:noProof/>
                <w:webHidden/>
              </w:rPr>
              <w:t>46</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3" w:history="1">
            <w:r w:rsidR="00734657" w:rsidRPr="001641F2">
              <w:rPr>
                <w:rStyle w:val="Hyperlink"/>
                <w:rFonts w:ascii="Times New Roman" w:hAnsi="Times New Roman" w:cs="Times New Roman"/>
                <w:b w:val="0"/>
                <w:noProof/>
              </w:rPr>
              <w:t>9 pav. Kredito unijų pasiskirstymas pagal nefinansinius kriterijus</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_Toc383784103 \h </w:instrText>
            </w:r>
            <w:r w:rsidR="00734657" w:rsidRPr="001641F2">
              <w:rPr>
                <w:b w:val="0"/>
                <w:noProof/>
                <w:webHidden/>
              </w:rPr>
            </w:r>
            <w:r w:rsidR="00734657" w:rsidRPr="001641F2">
              <w:rPr>
                <w:b w:val="0"/>
                <w:noProof/>
                <w:webHidden/>
              </w:rPr>
              <w:fldChar w:fldCharType="separate"/>
            </w:r>
            <w:r w:rsidR="004804FA">
              <w:rPr>
                <w:b w:val="0"/>
                <w:noProof/>
                <w:webHidden/>
              </w:rPr>
              <w:t>46</w:t>
            </w:r>
            <w:r w:rsidR="00734657" w:rsidRPr="001641F2">
              <w:rPr>
                <w:b w:val="0"/>
                <w:noProof/>
                <w:webHidden/>
              </w:rPr>
              <w:fldChar w:fldCharType="end"/>
            </w:r>
          </w:hyperlink>
        </w:p>
        <w:p w:rsidR="00734657" w:rsidRPr="001641F2" w:rsidRDefault="001641F2" w:rsidP="00734657">
          <w:pPr>
            <w:pStyle w:val="TOC1"/>
            <w:tabs>
              <w:tab w:val="right" w:leader="dot" w:pos="9350"/>
            </w:tabs>
            <w:rPr>
              <w:rFonts w:eastAsiaTheme="minorEastAsia"/>
              <w:b w:val="0"/>
              <w:bCs w:val="0"/>
              <w:caps w:val="0"/>
              <w:noProof/>
              <w:kern w:val="0"/>
              <w:sz w:val="22"/>
              <w:szCs w:val="22"/>
              <w14:ligatures w14:val="none"/>
            </w:rPr>
          </w:pPr>
          <w:r w:rsidRPr="001641F2">
            <w:rPr>
              <w:rStyle w:val="Hyperlink"/>
              <w:rFonts w:ascii="Times New Roman" w:hAnsi="Times New Roman" w:cs="Times New Roman"/>
              <w:b w:val="0"/>
              <w:noProof/>
              <w:color w:val="auto"/>
              <w:u w:val="none"/>
            </w:rPr>
            <w:t xml:space="preserve">10 </w:t>
          </w:r>
          <w:hyperlink w:anchor="_Toc383784106" w:history="1">
            <w:r w:rsidR="00734657" w:rsidRPr="001641F2">
              <w:rPr>
                <w:rStyle w:val="Hyperlink"/>
                <w:rFonts w:ascii="Times New Roman" w:hAnsi="Times New Roman" w:cs="Times New Roman"/>
                <w:b w:val="0"/>
                <w:noProof/>
              </w:rPr>
              <w:t>pav. Kredito unijų, priklausančių ir nepriklausančių Centrinės kredito unijos tinklui sukauptųjų išlikimo funkcijų grafikai</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_Toc383784106 \h </w:instrText>
            </w:r>
            <w:r w:rsidR="00734657" w:rsidRPr="001641F2">
              <w:rPr>
                <w:b w:val="0"/>
                <w:noProof/>
                <w:webHidden/>
              </w:rPr>
            </w:r>
            <w:r w:rsidR="00734657" w:rsidRPr="001641F2">
              <w:rPr>
                <w:b w:val="0"/>
                <w:noProof/>
                <w:webHidden/>
              </w:rPr>
              <w:fldChar w:fldCharType="separate"/>
            </w:r>
            <w:r w:rsidR="004804FA">
              <w:rPr>
                <w:b w:val="0"/>
                <w:noProof/>
                <w:webHidden/>
              </w:rPr>
              <w:t>48</w:t>
            </w:r>
            <w:r w:rsidR="00734657" w:rsidRPr="001641F2">
              <w:rPr>
                <w:b w:val="0"/>
                <w:noProof/>
                <w:webHidden/>
              </w:rPr>
              <w:fldChar w:fldCharType="end"/>
            </w:r>
          </w:hyperlink>
        </w:p>
        <w:p w:rsidR="00734657" w:rsidRPr="001641F2" w:rsidRDefault="00F20243" w:rsidP="00734657">
          <w:pPr>
            <w:pStyle w:val="TOC1"/>
            <w:tabs>
              <w:tab w:val="right" w:leader="dot" w:pos="9350"/>
            </w:tabs>
            <w:rPr>
              <w:rFonts w:eastAsiaTheme="minorEastAsia"/>
              <w:b w:val="0"/>
              <w:bCs w:val="0"/>
              <w:caps w:val="0"/>
              <w:noProof/>
              <w:kern w:val="0"/>
              <w:sz w:val="22"/>
              <w:szCs w:val="22"/>
              <w14:ligatures w14:val="none"/>
            </w:rPr>
          </w:pPr>
          <w:hyperlink w:anchor="_Toc383784108" w:history="1">
            <w:r w:rsidR="00734657" w:rsidRPr="001641F2">
              <w:rPr>
                <w:rStyle w:val="Hyperlink"/>
                <w:rFonts w:ascii="Times New Roman" w:hAnsi="Times New Roman" w:cs="Times New Roman"/>
                <w:b w:val="0"/>
                <w:noProof/>
              </w:rPr>
              <w:t>11 pav. Kredito unijų, sugrupuotų pagal veiklos vietą, sukauptųjų išlikimo funkcijų grafikas</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_Toc383784108 \h </w:instrText>
            </w:r>
            <w:r w:rsidR="00734657" w:rsidRPr="001641F2">
              <w:rPr>
                <w:b w:val="0"/>
                <w:noProof/>
                <w:webHidden/>
              </w:rPr>
            </w:r>
            <w:r w:rsidR="00734657" w:rsidRPr="001641F2">
              <w:rPr>
                <w:b w:val="0"/>
                <w:noProof/>
                <w:webHidden/>
              </w:rPr>
              <w:fldChar w:fldCharType="separate"/>
            </w:r>
            <w:r w:rsidR="004804FA">
              <w:rPr>
                <w:b w:val="0"/>
                <w:noProof/>
                <w:webHidden/>
              </w:rPr>
              <w:t>49</w:t>
            </w:r>
            <w:r w:rsidR="00734657" w:rsidRPr="001641F2">
              <w:rPr>
                <w:b w:val="0"/>
                <w:noProof/>
                <w:webHidden/>
              </w:rPr>
              <w:fldChar w:fldCharType="end"/>
            </w:r>
          </w:hyperlink>
        </w:p>
        <w:p w:rsidR="00734657" w:rsidRPr="001641F2" w:rsidRDefault="001641F2" w:rsidP="00734657">
          <w:pPr>
            <w:pStyle w:val="TOC1"/>
            <w:tabs>
              <w:tab w:val="right" w:leader="dot" w:pos="9350"/>
            </w:tabs>
            <w:rPr>
              <w:rFonts w:eastAsiaTheme="minorEastAsia"/>
              <w:b w:val="0"/>
              <w:bCs w:val="0"/>
              <w:caps w:val="0"/>
              <w:noProof/>
              <w:kern w:val="0"/>
              <w:sz w:val="22"/>
              <w:szCs w:val="22"/>
              <w14:ligatures w14:val="none"/>
            </w:rPr>
          </w:pPr>
          <w:r w:rsidRPr="001641F2">
            <w:rPr>
              <w:rStyle w:val="Hyperlink"/>
              <w:rFonts w:ascii="Times New Roman" w:hAnsi="Times New Roman" w:cs="Times New Roman"/>
              <w:b w:val="0"/>
              <w:noProof/>
              <w:color w:val="auto"/>
              <w:u w:val="none"/>
            </w:rPr>
            <w:t>12</w:t>
          </w:r>
          <w:r w:rsidRPr="001641F2">
            <w:rPr>
              <w:rStyle w:val="Hyperlink"/>
              <w:b w:val="0"/>
              <w:noProof/>
            </w:rPr>
            <w:t xml:space="preserve"> </w:t>
          </w:r>
          <w:hyperlink w:anchor="_Toc383784110" w:history="1">
            <w:r w:rsidR="00734657" w:rsidRPr="001641F2">
              <w:rPr>
                <w:rStyle w:val="Hyperlink"/>
                <w:rFonts w:ascii="Times New Roman" w:hAnsi="Times New Roman" w:cs="Times New Roman"/>
                <w:b w:val="0"/>
                <w:noProof/>
              </w:rPr>
              <w:t>pav. Kredito unijų, sugrupuotų pagal veiklos trukmę, sukauptųjų išlikimo funkcijų grafikas</w:t>
            </w:r>
            <w:r w:rsidR="00734657" w:rsidRPr="001641F2">
              <w:rPr>
                <w:b w:val="0"/>
                <w:noProof/>
                <w:webHidden/>
              </w:rPr>
              <w:tab/>
            </w:r>
            <w:r w:rsidR="00734657" w:rsidRPr="001641F2">
              <w:rPr>
                <w:b w:val="0"/>
                <w:noProof/>
                <w:webHidden/>
              </w:rPr>
              <w:fldChar w:fldCharType="begin"/>
            </w:r>
            <w:r w:rsidR="00734657" w:rsidRPr="001641F2">
              <w:rPr>
                <w:b w:val="0"/>
                <w:noProof/>
                <w:webHidden/>
              </w:rPr>
              <w:instrText xml:space="preserve"> PAGEREF _Toc383784110 \h </w:instrText>
            </w:r>
            <w:r w:rsidR="00734657" w:rsidRPr="001641F2">
              <w:rPr>
                <w:b w:val="0"/>
                <w:noProof/>
                <w:webHidden/>
              </w:rPr>
            </w:r>
            <w:r w:rsidR="00734657" w:rsidRPr="001641F2">
              <w:rPr>
                <w:b w:val="0"/>
                <w:noProof/>
                <w:webHidden/>
              </w:rPr>
              <w:fldChar w:fldCharType="separate"/>
            </w:r>
            <w:r w:rsidR="004804FA">
              <w:rPr>
                <w:b w:val="0"/>
                <w:noProof/>
                <w:webHidden/>
              </w:rPr>
              <w:t>50</w:t>
            </w:r>
            <w:r w:rsidR="00734657" w:rsidRPr="001641F2">
              <w:rPr>
                <w:b w:val="0"/>
                <w:noProof/>
                <w:webHidden/>
              </w:rPr>
              <w:fldChar w:fldCharType="end"/>
            </w:r>
          </w:hyperlink>
        </w:p>
        <w:p w:rsidR="003A3A04" w:rsidRPr="000D37F1" w:rsidRDefault="00734657" w:rsidP="001641F2">
          <w:pPr>
            <w:rPr>
              <w:rFonts w:ascii="Times New Roman" w:hAnsi="Times New Roman" w:cs="Times New Roman"/>
              <w:b/>
              <w:sz w:val="28"/>
              <w:szCs w:val="28"/>
              <w:lang w:val="lt-LT"/>
            </w:rPr>
          </w:pPr>
          <w:r>
            <w:rPr>
              <w:b/>
              <w:bCs/>
              <w:noProof/>
            </w:rPr>
            <w:fldChar w:fldCharType="end"/>
          </w:r>
        </w:p>
      </w:sdtContent>
    </w:sdt>
    <w:p w:rsidR="007450AF" w:rsidRDefault="007450AF" w:rsidP="001641F2">
      <w:pPr>
        <w:rPr>
          <w:rFonts w:ascii="Times New Roman" w:hAnsi="Times New Roman" w:cs="Times New Roman"/>
          <w:b/>
          <w:sz w:val="28"/>
          <w:szCs w:val="28"/>
          <w:lang w:val="lt-LT"/>
        </w:rPr>
      </w:pPr>
    </w:p>
    <w:p w:rsidR="001641F2" w:rsidRDefault="001641F2" w:rsidP="001641F2">
      <w:pPr>
        <w:rPr>
          <w:rFonts w:ascii="Times New Roman" w:hAnsi="Times New Roman" w:cs="Times New Roman"/>
          <w:b/>
          <w:sz w:val="28"/>
          <w:szCs w:val="28"/>
          <w:lang w:val="lt-LT"/>
        </w:rPr>
      </w:pPr>
    </w:p>
    <w:p w:rsidR="007450AF" w:rsidRDefault="007450AF" w:rsidP="00467CC9">
      <w:pPr>
        <w:jc w:val="center"/>
        <w:rPr>
          <w:rFonts w:ascii="Times New Roman" w:hAnsi="Times New Roman" w:cs="Times New Roman"/>
          <w:b/>
          <w:sz w:val="28"/>
          <w:szCs w:val="28"/>
          <w:lang w:val="lt-LT"/>
        </w:rPr>
      </w:pPr>
    </w:p>
    <w:p w:rsidR="007450AF" w:rsidRDefault="007450AF" w:rsidP="00467CC9">
      <w:pPr>
        <w:jc w:val="center"/>
        <w:rPr>
          <w:rFonts w:ascii="Times New Roman" w:hAnsi="Times New Roman" w:cs="Times New Roman"/>
          <w:b/>
          <w:sz w:val="28"/>
          <w:szCs w:val="28"/>
          <w:lang w:val="lt-LT"/>
        </w:rPr>
      </w:pPr>
    </w:p>
    <w:p w:rsidR="007450AF" w:rsidRDefault="007450AF" w:rsidP="00467CC9">
      <w:pPr>
        <w:jc w:val="center"/>
        <w:rPr>
          <w:rFonts w:ascii="Times New Roman" w:hAnsi="Times New Roman" w:cs="Times New Roman"/>
          <w:b/>
          <w:sz w:val="28"/>
          <w:szCs w:val="28"/>
          <w:lang w:val="lt-LT"/>
        </w:rPr>
      </w:pPr>
    </w:p>
    <w:p w:rsidR="007450AF" w:rsidRDefault="007450AF" w:rsidP="00467CC9">
      <w:pPr>
        <w:jc w:val="center"/>
        <w:rPr>
          <w:rFonts w:ascii="Times New Roman" w:hAnsi="Times New Roman" w:cs="Times New Roman"/>
          <w:b/>
          <w:sz w:val="28"/>
          <w:szCs w:val="28"/>
          <w:lang w:val="lt-LT"/>
        </w:rPr>
      </w:pPr>
    </w:p>
    <w:p w:rsidR="00307E50" w:rsidRDefault="00307E50" w:rsidP="00467CC9">
      <w:pPr>
        <w:jc w:val="center"/>
        <w:rPr>
          <w:rFonts w:ascii="Times New Roman" w:hAnsi="Times New Roman" w:cs="Times New Roman"/>
          <w:b/>
          <w:sz w:val="28"/>
          <w:szCs w:val="28"/>
          <w:lang w:val="lt-LT"/>
        </w:rPr>
      </w:pPr>
    </w:p>
    <w:p w:rsidR="007450AF" w:rsidRDefault="007450AF" w:rsidP="00467CC9">
      <w:pPr>
        <w:jc w:val="center"/>
        <w:rPr>
          <w:rFonts w:ascii="Times New Roman" w:hAnsi="Times New Roman" w:cs="Times New Roman"/>
          <w:b/>
          <w:sz w:val="28"/>
          <w:szCs w:val="28"/>
          <w:lang w:val="lt-LT"/>
        </w:rPr>
      </w:pPr>
    </w:p>
    <w:p w:rsidR="007450AF" w:rsidRPr="000D37F1" w:rsidRDefault="007450AF" w:rsidP="000F03BC">
      <w:pPr>
        <w:rPr>
          <w:rFonts w:ascii="Times New Roman" w:hAnsi="Times New Roman" w:cs="Times New Roman"/>
          <w:b/>
          <w:sz w:val="28"/>
          <w:szCs w:val="28"/>
          <w:lang w:val="lt-LT"/>
        </w:rPr>
      </w:pPr>
    </w:p>
    <w:p w:rsidR="00467CC9" w:rsidRPr="00450C32" w:rsidRDefault="00467CC9" w:rsidP="00450C32">
      <w:pPr>
        <w:pStyle w:val="Heading1"/>
        <w:jc w:val="center"/>
        <w:rPr>
          <w:rFonts w:ascii="Times New Roman" w:hAnsi="Times New Roman" w:cs="Times New Roman"/>
          <w:sz w:val="28"/>
          <w:szCs w:val="28"/>
        </w:rPr>
      </w:pPr>
      <w:bookmarkStart w:id="0" w:name="_Toc383782863"/>
      <w:bookmarkStart w:id="1" w:name="_Toc383783625"/>
      <w:bookmarkStart w:id="2" w:name="_Toc384567292"/>
      <w:bookmarkStart w:id="3" w:name="_Toc384570729"/>
      <w:r w:rsidRPr="00450C32">
        <w:rPr>
          <w:rFonts w:ascii="Times New Roman" w:hAnsi="Times New Roman" w:cs="Times New Roman"/>
          <w:sz w:val="28"/>
          <w:szCs w:val="28"/>
        </w:rPr>
        <w:lastRenderedPageBreak/>
        <w:t>ĮVADAS</w:t>
      </w:r>
      <w:bookmarkEnd w:id="0"/>
      <w:bookmarkEnd w:id="1"/>
      <w:bookmarkEnd w:id="2"/>
      <w:bookmarkEnd w:id="3"/>
    </w:p>
    <w:p w:rsidR="00CD1FF2" w:rsidRPr="000D37F1" w:rsidRDefault="00CD1FF2" w:rsidP="00CD1FF2">
      <w:pPr>
        <w:rPr>
          <w:rFonts w:ascii="Times New Roman" w:hAnsi="Times New Roman" w:cs="Times New Roman"/>
          <w:b/>
          <w:sz w:val="24"/>
          <w:szCs w:val="24"/>
          <w:lang w:val="lt-LT"/>
        </w:rPr>
      </w:pPr>
    </w:p>
    <w:p w:rsidR="005E36FE" w:rsidRPr="000D37F1" w:rsidRDefault="00FD5555" w:rsidP="00467CC9">
      <w:pPr>
        <w:spacing w:before="120" w:after="120" w:line="360" w:lineRule="auto"/>
        <w:ind w:left="57" w:right="57" w:firstLine="56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Kredito ir mokėjimų rinka yra </w:t>
      </w:r>
      <w:r w:rsidR="004021BB">
        <w:rPr>
          <w:rFonts w:ascii="Times New Roman" w:hAnsi="Times New Roman" w:cs="Times New Roman"/>
          <w:sz w:val="24"/>
          <w:szCs w:val="24"/>
          <w:lang w:val="lt-LT"/>
        </w:rPr>
        <w:t xml:space="preserve">neatsiejama nuo  šiuolaikinės visuomenės bei </w:t>
      </w:r>
      <w:r w:rsidRPr="000D37F1">
        <w:rPr>
          <w:rFonts w:ascii="Times New Roman" w:hAnsi="Times New Roman" w:cs="Times New Roman"/>
          <w:sz w:val="24"/>
          <w:szCs w:val="24"/>
          <w:lang w:val="lt-LT"/>
        </w:rPr>
        <w:t>svarbi kiekvienos valstybės ekonomikai ir jos augimui</w:t>
      </w:r>
      <w:r w:rsidR="004021BB">
        <w:rPr>
          <w:rFonts w:ascii="Times New Roman" w:hAnsi="Times New Roman" w:cs="Times New Roman"/>
          <w:sz w:val="24"/>
          <w:szCs w:val="24"/>
          <w:lang w:val="lt-LT"/>
        </w:rPr>
        <w:t>. Pastaraisiais metais, šios rinkos stabilumo klausimai pelnė ypatingą visuomenės dėmesį.</w:t>
      </w:r>
      <w:r w:rsidRPr="000D37F1">
        <w:rPr>
          <w:rFonts w:ascii="Times New Roman" w:hAnsi="Times New Roman" w:cs="Times New Roman"/>
          <w:sz w:val="24"/>
          <w:szCs w:val="24"/>
          <w:lang w:val="lt-LT"/>
        </w:rPr>
        <w:t xml:space="preserve"> Kredito įstaigų bankrotas paveikia ne tik buvusius darbuotojus ar indėlininkus, tačiau taip pat didina nepasitikėjimą visa bankininkystės sistema. </w:t>
      </w:r>
      <w:r w:rsidR="003A3A04" w:rsidRPr="000D37F1">
        <w:rPr>
          <w:rFonts w:ascii="Times New Roman" w:hAnsi="Times New Roman" w:cs="Times New Roman"/>
          <w:sz w:val="24"/>
          <w:szCs w:val="24"/>
          <w:lang w:val="lt-LT"/>
        </w:rPr>
        <w:t xml:space="preserve">Lietuvoje </w:t>
      </w:r>
      <w:r w:rsidRPr="000D37F1">
        <w:rPr>
          <w:rFonts w:ascii="Times New Roman" w:hAnsi="Times New Roman" w:cs="Times New Roman"/>
          <w:sz w:val="24"/>
          <w:szCs w:val="24"/>
          <w:lang w:val="lt-LT"/>
        </w:rPr>
        <w:t xml:space="preserve">kredito ir mokėjimų </w:t>
      </w:r>
      <w:r w:rsidR="00572C3B" w:rsidRPr="000D37F1">
        <w:rPr>
          <w:rFonts w:ascii="Times New Roman" w:hAnsi="Times New Roman" w:cs="Times New Roman"/>
          <w:sz w:val="24"/>
          <w:szCs w:val="24"/>
          <w:lang w:val="lt-LT"/>
        </w:rPr>
        <w:t xml:space="preserve">rinkos dalyviai yra bankai, kredito unijos, užsienio bankų kontroliuojamos finansų įmonės, vartojimo kreditų davėjai ir tarpininkai bei  kt. </w:t>
      </w:r>
      <w:r w:rsidR="00317BFF" w:rsidRPr="000D37F1">
        <w:rPr>
          <w:rFonts w:ascii="Times New Roman" w:hAnsi="Times New Roman" w:cs="Times New Roman"/>
          <w:sz w:val="24"/>
          <w:szCs w:val="24"/>
          <w:lang w:val="lt-LT"/>
        </w:rPr>
        <w:t xml:space="preserve">Kredito unijos  yra finansinės institucijos, veikiančios toje pačioje rinkoje kaip ir komerciniai bankai, jos taip pat atlieka tam tikrą vaidmenį ekonomikoje, tenkina žmonių poreikius būtiniausios finansinėms paslaugoms bei kuria naujas darbo vietas. </w:t>
      </w:r>
      <w:r w:rsidR="005E36FE" w:rsidRPr="000D37F1">
        <w:rPr>
          <w:rFonts w:ascii="Times New Roman" w:hAnsi="Times New Roman" w:cs="Times New Roman"/>
          <w:sz w:val="24"/>
          <w:szCs w:val="24"/>
          <w:lang w:val="lt-LT"/>
        </w:rPr>
        <w:t>Lietuvo</w:t>
      </w:r>
      <w:r w:rsidR="0033781F" w:rsidRPr="000D37F1">
        <w:rPr>
          <w:rFonts w:ascii="Times New Roman" w:hAnsi="Times New Roman" w:cs="Times New Roman"/>
          <w:sz w:val="24"/>
          <w:szCs w:val="24"/>
          <w:lang w:val="lt-LT"/>
        </w:rPr>
        <w:t>s banko duomenimis, 2014</w:t>
      </w:r>
      <w:r w:rsidR="005E36FE" w:rsidRPr="000D37F1">
        <w:rPr>
          <w:rFonts w:ascii="Times New Roman" w:hAnsi="Times New Roman" w:cs="Times New Roman"/>
          <w:sz w:val="24"/>
          <w:szCs w:val="24"/>
          <w:lang w:val="lt-LT"/>
        </w:rPr>
        <w:t>m. s</w:t>
      </w:r>
      <w:r w:rsidR="0033781F" w:rsidRPr="000D37F1">
        <w:rPr>
          <w:rFonts w:ascii="Times New Roman" w:hAnsi="Times New Roman" w:cs="Times New Roman"/>
          <w:sz w:val="24"/>
          <w:szCs w:val="24"/>
          <w:lang w:val="lt-LT"/>
        </w:rPr>
        <w:t>ausio</w:t>
      </w:r>
      <w:r w:rsidR="005E36FE" w:rsidRPr="000D37F1">
        <w:rPr>
          <w:rFonts w:ascii="Times New Roman" w:hAnsi="Times New Roman" w:cs="Times New Roman"/>
          <w:sz w:val="24"/>
          <w:szCs w:val="24"/>
          <w:lang w:val="lt-LT"/>
        </w:rPr>
        <w:t xml:space="preserve"> 1 d. Lietuvoje veikė 75 kredito unijos (iš jų 63 priklausė Lietuvos centrinei kredito unijai ir 12  dirbo savarankiškai), vienijančios 147,7 tūkst. narių</w:t>
      </w:r>
      <w:r w:rsidR="009334D2" w:rsidRPr="000D37F1">
        <w:rPr>
          <w:rFonts w:ascii="Times New Roman" w:hAnsi="Times New Roman" w:cs="Times New Roman"/>
          <w:sz w:val="24"/>
          <w:szCs w:val="24"/>
          <w:lang w:val="lt-LT"/>
        </w:rPr>
        <w:t>, kredito unijų turtas sudarė 2,7 proc. veikiančių bankų sistemos turto.</w:t>
      </w:r>
    </w:p>
    <w:p w:rsidR="00991835" w:rsidRPr="000D37F1" w:rsidRDefault="00991835" w:rsidP="009D7999">
      <w:pPr>
        <w:spacing w:before="120" w:after="120" w:line="360" w:lineRule="auto"/>
        <w:ind w:left="57" w:right="57" w:firstLine="56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Kredito unijos yra bendruomeniniais pagrindais įkurtos finansų įstaigos, teikiančios savitarpio paskolas, tačiau, kaip teigiama Lietuvos banko parengtoje kredito unijų ir Lietuvos centrinės kredito unijos veiklos apžvalgoje, kai kurios kredito unijos tolsta nuo klasikinio kredito unijų veiklos modelio ir renkasi agresyvią veiklos strategiją, paprastai tokių kredito kooperat</w:t>
      </w:r>
      <w:r w:rsidR="009D0191" w:rsidRPr="000D37F1">
        <w:rPr>
          <w:rFonts w:ascii="Times New Roman" w:hAnsi="Times New Roman" w:cs="Times New Roman"/>
          <w:sz w:val="24"/>
          <w:szCs w:val="24"/>
          <w:lang w:val="lt-LT"/>
        </w:rPr>
        <w:t>yv</w:t>
      </w:r>
      <w:r w:rsidRPr="000D37F1">
        <w:rPr>
          <w:rFonts w:ascii="Times New Roman" w:hAnsi="Times New Roman" w:cs="Times New Roman"/>
          <w:sz w:val="24"/>
          <w:szCs w:val="24"/>
          <w:lang w:val="lt-LT"/>
        </w:rPr>
        <w:t>ų nariai nedalyvauja jų valdyme ir neprisideda prie įstai</w:t>
      </w:r>
      <w:r w:rsidR="00150B9B" w:rsidRPr="000D37F1">
        <w:rPr>
          <w:rFonts w:ascii="Times New Roman" w:hAnsi="Times New Roman" w:cs="Times New Roman"/>
          <w:sz w:val="24"/>
          <w:szCs w:val="24"/>
          <w:lang w:val="lt-LT"/>
        </w:rPr>
        <w:t>gos finansinės būklės gerinimo. Kredito unijos, turėdamos ribotas galimybes plėsti siūlomų paslaugų spektrą, indėlininkams yra patrauklios dėl siūlomų dides</w:t>
      </w:r>
      <w:r w:rsidR="0019094E" w:rsidRPr="000D37F1">
        <w:rPr>
          <w:rFonts w:ascii="Times New Roman" w:hAnsi="Times New Roman" w:cs="Times New Roman"/>
          <w:sz w:val="24"/>
          <w:szCs w:val="24"/>
          <w:lang w:val="lt-LT"/>
        </w:rPr>
        <w:t>n</w:t>
      </w:r>
      <w:r w:rsidR="00150B9B" w:rsidRPr="000D37F1">
        <w:rPr>
          <w:rFonts w:ascii="Times New Roman" w:hAnsi="Times New Roman" w:cs="Times New Roman"/>
          <w:sz w:val="24"/>
          <w:szCs w:val="24"/>
          <w:lang w:val="lt-LT"/>
        </w:rPr>
        <w:t xml:space="preserve">ių nei bankų palūkanų normų. </w:t>
      </w:r>
      <w:r w:rsidR="00F32B93" w:rsidRPr="000D37F1">
        <w:rPr>
          <w:rFonts w:ascii="Times New Roman" w:hAnsi="Times New Roman" w:cs="Times New Roman"/>
          <w:sz w:val="24"/>
          <w:szCs w:val="24"/>
          <w:lang w:val="lt-LT"/>
        </w:rPr>
        <w:t xml:space="preserve"> Ankstesniais metais (iki 2013 m.) kredito unijos bankrotas buvo retas reiškinys, tačiau 2013 metais bankrutavo trys kredito unijos ir 2014 metais  dar viena kredito unija.</w:t>
      </w:r>
      <w:r w:rsidR="00F32B93" w:rsidRPr="000D37F1">
        <w:rPr>
          <w:rFonts w:ascii="Times New Roman" w:hAnsi="Times New Roman" w:cs="Times New Roman"/>
          <w:bCs/>
          <w:sz w:val="24"/>
          <w:szCs w:val="24"/>
          <w:lang w:val="lt-LT"/>
        </w:rPr>
        <w:t xml:space="preserve"> Anot </w:t>
      </w:r>
      <w:r w:rsidR="00F32B93" w:rsidRPr="000D37F1">
        <w:rPr>
          <w:rFonts w:ascii="Times New Roman" w:hAnsi="Times New Roman" w:cs="Times New Roman"/>
          <w:sz w:val="24"/>
          <w:szCs w:val="24"/>
          <w:lang w:val="lt-LT"/>
        </w:rPr>
        <w:t xml:space="preserve">M. J. </w:t>
      </w:r>
      <w:proofErr w:type="spellStart"/>
      <w:r w:rsidR="00F32B93" w:rsidRPr="000D37F1">
        <w:rPr>
          <w:rFonts w:ascii="Times New Roman" w:hAnsi="Times New Roman" w:cs="Times New Roman"/>
          <w:sz w:val="24"/>
          <w:szCs w:val="24"/>
          <w:lang w:val="lt-LT"/>
        </w:rPr>
        <w:t>Braga</w:t>
      </w:r>
      <w:proofErr w:type="spellEnd"/>
      <w:r w:rsidR="00F32B93" w:rsidRPr="000D37F1">
        <w:rPr>
          <w:rFonts w:ascii="Times New Roman" w:hAnsi="Times New Roman" w:cs="Times New Roman"/>
          <w:sz w:val="24"/>
          <w:szCs w:val="24"/>
          <w:lang w:val="lt-LT"/>
        </w:rPr>
        <w:t xml:space="preserve"> ir </w:t>
      </w:r>
      <w:proofErr w:type="spellStart"/>
      <w:r w:rsidR="00F32B93" w:rsidRPr="000D37F1">
        <w:rPr>
          <w:rFonts w:ascii="Times New Roman" w:hAnsi="Times New Roman" w:cs="Times New Roman"/>
          <w:sz w:val="24"/>
          <w:szCs w:val="24"/>
          <w:lang w:val="lt-LT"/>
        </w:rPr>
        <w:t>kt</w:t>
      </w:r>
      <w:proofErr w:type="spellEnd"/>
      <w:r w:rsidR="00F32B93" w:rsidRPr="000D37F1">
        <w:rPr>
          <w:rFonts w:ascii="Times New Roman" w:hAnsi="Times New Roman" w:cs="Times New Roman"/>
          <w:sz w:val="24"/>
          <w:szCs w:val="24"/>
          <w:lang w:val="lt-LT"/>
        </w:rPr>
        <w:t>. (2006), kredito unijų nemokumo problemos atsiranda pradėjus sparčiai plėstis kredito unijų tinklui ir nevaldant kylančios rizikos.</w:t>
      </w:r>
      <w:r w:rsidR="003A3A04" w:rsidRPr="000D37F1">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Dėl padidėjusios kredito unijų veiklos rizikos, Lietuvos bankas sugriežtino kredito unijoms veiklos riziką ribojančius normatyvus</w:t>
      </w:r>
      <w:r w:rsidR="00FD5555" w:rsidRPr="000D37F1">
        <w:rPr>
          <w:rFonts w:ascii="Times New Roman" w:hAnsi="Times New Roman" w:cs="Times New Roman"/>
          <w:sz w:val="24"/>
          <w:szCs w:val="24"/>
          <w:lang w:val="lt-LT"/>
        </w:rPr>
        <w:t>.</w:t>
      </w:r>
      <w:r w:rsidR="00B9045D" w:rsidRPr="000D37F1">
        <w:rPr>
          <w:rFonts w:ascii="Times New Roman" w:hAnsi="Times New Roman" w:cs="Times New Roman"/>
          <w:sz w:val="24"/>
          <w:szCs w:val="24"/>
          <w:lang w:val="lt-LT"/>
        </w:rPr>
        <w:t xml:space="preserve"> </w:t>
      </w:r>
      <w:r w:rsidR="003A3A04" w:rsidRPr="000D37F1">
        <w:rPr>
          <w:rFonts w:ascii="Times New Roman" w:hAnsi="Times New Roman" w:cs="Times New Roman"/>
          <w:sz w:val="24"/>
          <w:szCs w:val="24"/>
          <w:lang w:val="lt-LT"/>
        </w:rPr>
        <w:t>Taigi s</w:t>
      </w:r>
      <w:r w:rsidR="00B9045D" w:rsidRPr="000D37F1">
        <w:rPr>
          <w:rFonts w:ascii="Times New Roman" w:hAnsi="Times New Roman" w:cs="Times New Roman"/>
          <w:sz w:val="24"/>
          <w:szCs w:val="24"/>
          <w:lang w:val="lt-LT"/>
        </w:rPr>
        <w:t xml:space="preserve">ėkmingas rizikos </w:t>
      </w:r>
      <w:r w:rsidR="006D5303" w:rsidRPr="000D37F1">
        <w:rPr>
          <w:rFonts w:ascii="Times New Roman" w:hAnsi="Times New Roman" w:cs="Times New Roman"/>
          <w:sz w:val="24"/>
          <w:szCs w:val="24"/>
          <w:lang w:val="lt-LT"/>
        </w:rPr>
        <w:t xml:space="preserve">identifikavimas ir </w:t>
      </w:r>
      <w:r w:rsidR="00B9045D" w:rsidRPr="000D37F1">
        <w:rPr>
          <w:rFonts w:ascii="Times New Roman" w:hAnsi="Times New Roman" w:cs="Times New Roman"/>
          <w:sz w:val="24"/>
          <w:szCs w:val="24"/>
          <w:lang w:val="lt-LT"/>
        </w:rPr>
        <w:t>valdymas ta</w:t>
      </w:r>
      <w:r w:rsidR="006D5303" w:rsidRPr="000D37F1">
        <w:rPr>
          <w:rFonts w:ascii="Times New Roman" w:hAnsi="Times New Roman" w:cs="Times New Roman"/>
          <w:sz w:val="24"/>
          <w:szCs w:val="24"/>
          <w:lang w:val="lt-LT"/>
        </w:rPr>
        <w:t xml:space="preserve">ptų </w:t>
      </w:r>
      <w:r w:rsidR="00B9045D" w:rsidRPr="000D37F1">
        <w:rPr>
          <w:rFonts w:ascii="Times New Roman" w:hAnsi="Times New Roman" w:cs="Times New Roman"/>
          <w:sz w:val="24"/>
          <w:szCs w:val="24"/>
          <w:lang w:val="lt-LT"/>
        </w:rPr>
        <w:t>kiekvienos</w:t>
      </w:r>
      <w:r w:rsidR="006D5303" w:rsidRPr="000D37F1">
        <w:rPr>
          <w:rFonts w:ascii="Times New Roman" w:hAnsi="Times New Roman" w:cs="Times New Roman"/>
          <w:sz w:val="24"/>
          <w:szCs w:val="24"/>
          <w:lang w:val="lt-LT"/>
        </w:rPr>
        <w:t xml:space="preserve"> kredito unijos</w:t>
      </w:r>
      <w:r w:rsidR="00B9045D" w:rsidRPr="000D37F1">
        <w:rPr>
          <w:rFonts w:ascii="Times New Roman" w:hAnsi="Times New Roman" w:cs="Times New Roman"/>
          <w:sz w:val="24"/>
          <w:szCs w:val="24"/>
          <w:lang w:val="lt-LT"/>
        </w:rPr>
        <w:t xml:space="preserve"> veiklos sėkmės garantu.</w:t>
      </w:r>
    </w:p>
    <w:p w:rsidR="009D7999" w:rsidRPr="000D37F1" w:rsidRDefault="006D5303" w:rsidP="00D31E02">
      <w:pPr>
        <w:spacing w:before="120" w:after="120" w:line="360" w:lineRule="auto"/>
        <w:ind w:left="57" w:right="57" w:firstLine="56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Visgi padidėjusi veiklos riz</w:t>
      </w:r>
      <w:r w:rsidR="00C24BB3">
        <w:rPr>
          <w:rFonts w:ascii="Times New Roman" w:hAnsi="Times New Roman" w:cs="Times New Roman"/>
          <w:sz w:val="24"/>
          <w:szCs w:val="24"/>
          <w:lang w:val="lt-LT"/>
        </w:rPr>
        <w:t>ika yra nesenai atsiradusi probl</w:t>
      </w:r>
      <w:r w:rsidRPr="000D37F1">
        <w:rPr>
          <w:rFonts w:ascii="Times New Roman" w:hAnsi="Times New Roman" w:cs="Times New Roman"/>
          <w:sz w:val="24"/>
          <w:szCs w:val="24"/>
          <w:lang w:val="lt-LT"/>
        </w:rPr>
        <w:t xml:space="preserve">ema, kaip ir </w:t>
      </w:r>
      <w:r w:rsidR="008106A4" w:rsidRPr="000D37F1">
        <w:rPr>
          <w:rFonts w:ascii="Times New Roman" w:hAnsi="Times New Roman" w:cs="Times New Roman"/>
          <w:sz w:val="24"/>
          <w:szCs w:val="24"/>
          <w:lang w:val="lt-LT"/>
        </w:rPr>
        <w:t>Li</w:t>
      </w:r>
      <w:r w:rsidRPr="000D37F1">
        <w:rPr>
          <w:rFonts w:ascii="Times New Roman" w:hAnsi="Times New Roman" w:cs="Times New Roman"/>
          <w:sz w:val="24"/>
          <w:szCs w:val="24"/>
          <w:lang w:val="lt-LT"/>
        </w:rPr>
        <w:t>etuvoje kredito unijų bankrotas. M</w:t>
      </w:r>
      <w:r w:rsidR="008106A4" w:rsidRPr="000D37F1">
        <w:rPr>
          <w:rFonts w:ascii="Times New Roman" w:hAnsi="Times New Roman" w:cs="Times New Roman"/>
          <w:sz w:val="24"/>
          <w:szCs w:val="24"/>
          <w:lang w:val="lt-LT"/>
        </w:rPr>
        <w:t>enkų pajėgumų  ir nuostolingos kredito unijos</w:t>
      </w:r>
      <w:r w:rsidRPr="000D37F1">
        <w:rPr>
          <w:rFonts w:ascii="Times New Roman" w:hAnsi="Times New Roman" w:cs="Times New Roman"/>
          <w:sz w:val="24"/>
          <w:szCs w:val="24"/>
          <w:lang w:val="lt-LT"/>
        </w:rPr>
        <w:t xml:space="preserve"> anksčiau</w:t>
      </w:r>
      <w:r w:rsidR="008106A4" w:rsidRPr="000D37F1">
        <w:rPr>
          <w:rFonts w:ascii="Times New Roman" w:hAnsi="Times New Roman" w:cs="Times New Roman"/>
          <w:sz w:val="24"/>
          <w:szCs w:val="24"/>
          <w:lang w:val="lt-LT"/>
        </w:rPr>
        <w:t xml:space="preserve"> būdavo prijungiamos prie didesniųjų, taip išsaugant indėlininkų lėšas ir kredito unijų prestižą. </w:t>
      </w:r>
      <w:r w:rsidRPr="000D37F1">
        <w:rPr>
          <w:rFonts w:ascii="Times New Roman" w:hAnsi="Times New Roman" w:cs="Times New Roman"/>
          <w:sz w:val="24"/>
          <w:szCs w:val="24"/>
          <w:lang w:val="lt-LT"/>
        </w:rPr>
        <w:t xml:space="preserve">2013-2014 m. bankrutavę kredito unijos buvo vienos didžiausių savo sektoriuje, todėl šio principo taikyti </w:t>
      </w:r>
      <w:r w:rsidRPr="000D37F1">
        <w:rPr>
          <w:rFonts w:ascii="Times New Roman" w:hAnsi="Times New Roman" w:cs="Times New Roman"/>
          <w:sz w:val="24"/>
          <w:szCs w:val="24"/>
          <w:lang w:val="lt-LT"/>
        </w:rPr>
        <w:lastRenderedPageBreak/>
        <w:t>tiesiog neįmanoma</w:t>
      </w:r>
      <w:r w:rsidR="0028787C" w:rsidRPr="000D37F1">
        <w:rPr>
          <w:rFonts w:ascii="Times New Roman" w:hAnsi="Times New Roman" w:cs="Times New Roman"/>
          <w:sz w:val="24"/>
          <w:szCs w:val="24"/>
          <w:lang w:val="lt-LT"/>
        </w:rPr>
        <w:t xml:space="preserve">. </w:t>
      </w:r>
      <w:r w:rsidR="00467CC9" w:rsidRPr="000D37F1">
        <w:rPr>
          <w:rFonts w:ascii="Times New Roman" w:hAnsi="Times New Roman" w:cs="Times New Roman"/>
          <w:sz w:val="24"/>
          <w:szCs w:val="24"/>
          <w:lang w:val="lt-LT"/>
        </w:rPr>
        <w:t>Tam, kad būtų išvengta bankroto</w:t>
      </w:r>
      <w:r w:rsidR="00907438" w:rsidRPr="000D37F1">
        <w:rPr>
          <w:rFonts w:ascii="Times New Roman" w:hAnsi="Times New Roman" w:cs="Times New Roman"/>
          <w:sz w:val="24"/>
          <w:szCs w:val="24"/>
          <w:lang w:val="lt-LT"/>
        </w:rPr>
        <w:t>, būtina</w:t>
      </w:r>
      <w:r w:rsidR="00FD5555" w:rsidRPr="000D37F1">
        <w:rPr>
          <w:rFonts w:ascii="Times New Roman" w:hAnsi="Times New Roman" w:cs="Times New Roman"/>
          <w:sz w:val="24"/>
          <w:szCs w:val="24"/>
          <w:lang w:val="lt-LT"/>
        </w:rPr>
        <w:t xml:space="preserve"> kuo anksčiau identifikuot</w:t>
      </w:r>
      <w:r w:rsidR="00907438" w:rsidRPr="000D37F1">
        <w:rPr>
          <w:rFonts w:ascii="Times New Roman" w:hAnsi="Times New Roman" w:cs="Times New Roman"/>
          <w:sz w:val="24"/>
          <w:szCs w:val="24"/>
          <w:lang w:val="lt-LT"/>
        </w:rPr>
        <w:t>i kylančius trikdžius, taip pat</w:t>
      </w:r>
      <w:r w:rsidR="0028787C" w:rsidRPr="000D37F1">
        <w:rPr>
          <w:rFonts w:ascii="Times New Roman" w:hAnsi="Times New Roman" w:cs="Times New Roman"/>
          <w:sz w:val="24"/>
          <w:szCs w:val="24"/>
          <w:lang w:val="lt-LT"/>
        </w:rPr>
        <w:t xml:space="preserve"> </w:t>
      </w:r>
      <w:r w:rsidR="00FD5555" w:rsidRPr="000D37F1">
        <w:rPr>
          <w:rFonts w:ascii="Times New Roman" w:hAnsi="Times New Roman" w:cs="Times New Roman"/>
          <w:sz w:val="24"/>
          <w:szCs w:val="24"/>
          <w:lang w:val="lt-LT"/>
        </w:rPr>
        <w:t xml:space="preserve">nustatyti padidėjusią riziką lemiančius veiksnius bei </w:t>
      </w:r>
      <w:r w:rsidR="009D7999" w:rsidRPr="000D37F1">
        <w:rPr>
          <w:rFonts w:ascii="Times New Roman" w:hAnsi="Times New Roman" w:cs="Times New Roman"/>
          <w:sz w:val="24"/>
          <w:szCs w:val="24"/>
          <w:lang w:val="lt-LT"/>
        </w:rPr>
        <w:t>įver</w:t>
      </w:r>
      <w:r w:rsidR="00FD5555" w:rsidRPr="000D37F1">
        <w:rPr>
          <w:rFonts w:ascii="Times New Roman" w:hAnsi="Times New Roman" w:cs="Times New Roman"/>
          <w:sz w:val="24"/>
          <w:szCs w:val="24"/>
          <w:lang w:val="lt-LT"/>
        </w:rPr>
        <w:t>tinti kredito unijų rizikingumą. Toki</w:t>
      </w:r>
      <w:r w:rsidR="00907438" w:rsidRPr="000D37F1">
        <w:rPr>
          <w:rFonts w:ascii="Times New Roman" w:hAnsi="Times New Roman" w:cs="Times New Roman"/>
          <w:sz w:val="24"/>
          <w:szCs w:val="24"/>
          <w:lang w:val="lt-LT"/>
        </w:rPr>
        <w:t>e</w:t>
      </w:r>
      <w:r w:rsidR="00FD5555" w:rsidRPr="000D37F1">
        <w:rPr>
          <w:rFonts w:ascii="Times New Roman" w:hAnsi="Times New Roman" w:cs="Times New Roman"/>
          <w:sz w:val="24"/>
          <w:szCs w:val="24"/>
          <w:lang w:val="lt-LT"/>
        </w:rPr>
        <w:t xml:space="preserve"> vertinimai y</w:t>
      </w:r>
      <w:r w:rsidR="0028787C" w:rsidRPr="000D37F1">
        <w:rPr>
          <w:rFonts w:ascii="Times New Roman" w:hAnsi="Times New Roman" w:cs="Times New Roman"/>
          <w:sz w:val="24"/>
          <w:szCs w:val="24"/>
          <w:lang w:val="lt-LT"/>
        </w:rPr>
        <w:t>patingai aktualūs</w:t>
      </w:r>
      <w:r w:rsidR="009D7999" w:rsidRPr="000D37F1">
        <w:rPr>
          <w:rFonts w:ascii="Times New Roman" w:hAnsi="Times New Roman" w:cs="Times New Roman"/>
          <w:sz w:val="24"/>
          <w:szCs w:val="24"/>
          <w:lang w:val="lt-LT"/>
        </w:rPr>
        <w:t xml:space="preserve"> potencialiems kredito unijų nariams, </w:t>
      </w:r>
      <w:r w:rsidR="00FD5555" w:rsidRPr="000D37F1">
        <w:rPr>
          <w:rFonts w:ascii="Times New Roman" w:hAnsi="Times New Roman" w:cs="Times New Roman"/>
          <w:sz w:val="24"/>
          <w:szCs w:val="24"/>
          <w:lang w:val="lt-LT"/>
        </w:rPr>
        <w:t>nes</w:t>
      </w:r>
      <w:r w:rsidR="009D7999" w:rsidRPr="000D37F1">
        <w:rPr>
          <w:rFonts w:ascii="Times New Roman" w:hAnsi="Times New Roman" w:cs="Times New Roman"/>
          <w:sz w:val="24"/>
          <w:szCs w:val="24"/>
          <w:lang w:val="lt-LT"/>
        </w:rPr>
        <w:t xml:space="preserve"> jie įsigydami privalomąjį kredito unijų</w:t>
      </w:r>
      <w:r w:rsidR="0028787C" w:rsidRPr="000D37F1">
        <w:rPr>
          <w:rFonts w:ascii="Times New Roman" w:hAnsi="Times New Roman" w:cs="Times New Roman"/>
          <w:sz w:val="24"/>
          <w:szCs w:val="24"/>
          <w:lang w:val="lt-LT"/>
        </w:rPr>
        <w:t xml:space="preserve"> </w:t>
      </w:r>
      <w:r w:rsidR="009D7999" w:rsidRPr="000D37F1">
        <w:rPr>
          <w:rFonts w:ascii="Times New Roman" w:hAnsi="Times New Roman" w:cs="Times New Roman"/>
          <w:sz w:val="24"/>
          <w:szCs w:val="24"/>
          <w:lang w:val="lt-LT"/>
        </w:rPr>
        <w:t xml:space="preserve">pajų, tampa </w:t>
      </w:r>
      <w:r w:rsidR="00FD5555" w:rsidRPr="000D37F1">
        <w:rPr>
          <w:rFonts w:ascii="Times New Roman" w:hAnsi="Times New Roman" w:cs="Times New Roman"/>
          <w:sz w:val="24"/>
          <w:szCs w:val="24"/>
          <w:lang w:val="lt-LT"/>
        </w:rPr>
        <w:t xml:space="preserve">kredito unijos </w:t>
      </w:r>
      <w:r w:rsidR="009D7999" w:rsidRPr="000D37F1">
        <w:rPr>
          <w:rFonts w:ascii="Times New Roman" w:hAnsi="Times New Roman" w:cs="Times New Roman"/>
          <w:sz w:val="24"/>
          <w:szCs w:val="24"/>
          <w:lang w:val="lt-LT"/>
        </w:rPr>
        <w:t xml:space="preserve">akcininkais. </w:t>
      </w:r>
    </w:p>
    <w:p w:rsidR="00D31E02" w:rsidRPr="000D37F1" w:rsidRDefault="00D31E02" w:rsidP="00D31E02">
      <w:pPr>
        <w:spacing w:before="120" w:after="120" w:line="360" w:lineRule="auto"/>
        <w:ind w:left="57" w:right="57" w:firstLine="567"/>
        <w:jc w:val="both"/>
        <w:rPr>
          <w:rFonts w:ascii="Times New Roman" w:hAnsi="Times New Roman" w:cs="Times New Roman"/>
          <w:color w:val="000000" w:themeColor="text1"/>
          <w:sz w:val="24"/>
          <w:szCs w:val="24"/>
          <w:lang w:val="lt-LT"/>
        </w:rPr>
      </w:pPr>
      <w:r w:rsidRPr="000D37F1">
        <w:rPr>
          <w:rFonts w:ascii="Times New Roman" w:hAnsi="Times New Roman" w:cs="Times New Roman"/>
          <w:b/>
          <w:color w:val="000000" w:themeColor="text1"/>
          <w:sz w:val="24"/>
          <w:szCs w:val="24"/>
          <w:lang w:val="lt-LT"/>
        </w:rPr>
        <w:t>Tyrimo problema</w:t>
      </w:r>
      <w:r w:rsidRPr="000D37F1">
        <w:rPr>
          <w:rFonts w:ascii="Times New Roman" w:hAnsi="Times New Roman" w:cs="Times New Roman"/>
          <w:color w:val="000000" w:themeColor="text1"/>
          <w:sz w:val="24"/>
          <w:szCs w:val="24"/>
          <w:lang w:val="lt-LT"/>
        </w:rPr>
        <w:t xml:space="preserve"> – </w:t>
      </w:r>
      <w:r w:rsidRPr="000D37F1">
        <w:rPr>
          <w:rFonts w:ascii="Times New Roman" w:hAnsi="Times New Roman" w:cs="Times New Roman"/>
          <w:color w:val="222222"/>
          <w:sz w:val="24"/>
          <w:szCs w:val="24"/>
          <w:shd w:val="clear" w:color="auto" w:fill="FFFFFF"/>
          <w:lang w:val="lt-LT"/>
        </w:rPr>
        <w:t>kaip tinkamai įvertinti  kredito unijų rizikingumą?</w:t>
      </w:r>
    </w:p>
    <w:p w:rsidR="004B2A7F" w:rsidRPr="000D37F1" w:rsidRDefault="004B2A7F" w:rsidP="004B2A7F">
      <w:pPr>
        <w:spacing w:before="120" w:after="120" w:line="360" w:lineRule="auto"/>
        <w:ind w:left="57" w:right="57" w:firstLine="567"/>
        <w:jc w:val="both"/>
        <w:rPr>
          <w:rFonts w:ascii="Times New Roman" w:hAnsi="Times New Roman" w:cs="Times New Roman"/>
          <w:sz w:val="24"/>
          <w:szCs w:val="24"/>
          <w:lang w:val="lt-LT"/>
        </w:rPr>
      </w:pPr>
      <w:r w:rsidRPr="000D37F1">
        <w:rPr>
          <w:rFonts w:ascii="Times New Roman" w:hAnsi="Times New Roman" w:cs="Times New Roman"/>
          <w:b/>
          <w:sz w:val="24"/>
          <w:szCs w:val="24"/>
          <w:lang w:val="lt-LT"/>
        </w:rPr>
        <w:t>Tyrimo objektas</w:t>
      </w:r>
      <w:r w:rsidRPr="000D37F1">
        <w:rPr>
          <w:rFonts w:ascii="Times New Roman" w:hAnsi="Times New Roman" w:cs="Times New Roman"/>
          <w:sz w:val="24"/>
          <w:szCs w:val="24"/>
          <w:lang w:val="lt-LT"/>
        </w:rPr>
        <w:t xml:space="preserve"> – kredito unijų veiklos rizikingumas</w:t>
      </w:r>
      <w:r w:rsidR="0028787C" w:rsidRPr="000D37F1">
        <w:rPr>
          <w:rFonts w:ascii="Times New Roman" w:hAnsi="Times New Roman" w:cs="Times New Roman"/>
          <w:sz w:val="24"/>
          <w:szCs w:val="24"/>
          <w:lang w:val="lt-LT"/>
        </w:rPr>
        <w:t>;</w:t>
      </w:r>
    </w:p>
    <w:p w:rsidR="00D31E02" w:rsidRPr="000D37F1" w:rsidRDefault="00D31E02" w:rsidP="00312427">
      <w:pPr>
        <w:spacing w:before="120" w:after="120" w:line="360" w:lineRule="auto"/>
        <w:ind w:left="57" w:right="57" w:firstLine="567"/>
        <w:jc w:val="both"/>
        <w:rPr>
          <w:rFonts w:ascii="Times New Roman" w:hAnsi="Times New Roman" w:cs="Times New Roman"/>
          <w:sz w:val="24"/>
          <w:szCs w:val="24"/>
          <w:lang w:val="lt-LT"/>
        </w:rPr>
      </w:pPr>
      <w:r w:rsidRPr="000D37F1">
        <w:rPr>
          <w:rFonts w:ascii="Times New Roman" w:hAnsi="Times New Roman" w:cs="Times New Roman"/>
          <w:b/>
          <w:sz w:val="24"/>
          <w:szCs w:val="24"/>
          <w:lang w:val="lt-LT"/>
        </w:rPr>
        <w:t>Tyrimo tikslas</w:t>
      </w:r>
      <w:r w:rsidR="00FD5555" w:rsidRPr="000D37F1">
        <w:rPr>
          <w:rFonts w:ascii="Times New Roman" w:hAnsi="Times New Roman" w:cs="Times New Roman"/>
          <w:sz w:val="24"/>
          <w:szCs w:val="24"/>
          <w:lang w:val="lt-LT"/>
        </w:rPr>
        <w:t xml:space="preserve"> remiantis</w:t>
      </w:r>
      <w:r w:rsidR="0028787C" w:rsidRPr="000D37F1">
        <w:rPr>
          <w:rFonts w:ascii="Times New Roman" w:hAnsi="Times New Roman" w:cs="Times New Roman"/>
          <w:sz w:val="24"/>
          <w:szCs w:val="24"/>
          <w:lang w:val="lt-LT"/>
        </w:rPr>
        <w:t xml:space="preserve"> ekonometriniais metodais,</w:t>
      </w:r>
      <w:r w:rsidR="00FD5555" w:rsidRPr="000D37F1">
        <w:rPr>
          <w:rFonts w:ascii="Times New Roman" w:hAnsi="Times New Roman" w:cs="Times New Roman"/>
          <w:sz w:val="24"/>
          <w:szCs w:val="24"/>
          <w:lang w:val="lt-LT"/>
        </w:rPr>
        <w:t xml:space="preserve"> kredito unijų</w:t>
      </w:r>
      <w:r w:rsidRPr="000D37F1">
        <w:rPr>
          <w:rFonts w:ascii="Times New Roman" w:hAnsi="Times New Roman" w:cs="Times New Roman"/>
          <w:sz w:val="24"/>
          <w:szCs w:val="24"/>
          <w:lang w:val="lt-LT"/>
        </w:rPr>
        <w:t xml:space="preserve"> finansiniais duomenimis bei </w:t>
      </w:r>
      <w:r w:rsidR="00FD5555" w:rsidRPr="000D37F1">
        <w:rPr>
          <w:rFonts w:ascii="Times New Roman" w:hAnsi="Times New Roman" w:cs="Times New Roman"/>
          <w:sz w:val="24"/>
          <w:szCs w:val="24"/>
          <w:lang w:val="lt-LT"/>
        </w:rPr>
        <w:t>Lietuvos Banko</w:t>
      </w:r>
      <w:r w:rsidR="00907438" w:rsidRPr="000D37F1">
        <w:rPr>
          <w:rFonts w:ascii="Times New Roman" w:hAnsi="Times New Roman" w:cs="Times New Roman"/>
          <w:sz w:val="24"/>
          <w:szCs w:val="24"/>
          <w:lang w:val="lt-LT"/>
        </w:rPr>
        <w:t xml:space="preserve"> pateikiama informacija sudaryti</w:t>
      </w:r>
      <w:r w:rsidR="00FD5555" w:rsidRPr="000D37F1">
        <w:rPr>
          <w:rFonts w:ascii="Times New Roman" w:hAnsi="Times New Roman" w:cs="Times New Roman"/>
          <w:sz w:val="24"/>
          <w:szCs w:val="24"/>
          <w:lang w:val="lt-LT"/>
        </w:rPr>
        <w:t xml:space="preserve"> modelį, skirtą</w:t>
      </w:r>
      <w:r w:rsidRPr="000D37F1">
        <w:rPr>
          <w:rFonts w:ascii="Times New Roman" w:hAnsi="Times New Roman" w:cs="Times New Roman"/>
          <w:sz w:val="24"/>
          <w:szCs w:val="24"/>
          <w:lang w:val="lt-LT"/>
        </w:rPr>
        <w:t xml:space="preserve"> įvertinti </w:t>
      </w:r>
      <w:r w:rsidR="004F7BDC" w:rsidRPr="000D37F1">
        <w:rPr>
          <w:rFonts w:ascii="Times New Roman" w:hAnsi="Times New Roman" w:cs="Times New Roman"/>
          <w:sz w:val="24"/>
          <w:szCs w:val="24"/>
          <w:lang w:val="lt-LT"/>
        </w:rPr>
        <w:t>kredito unijos rizikingumą</w:t>
      </w:r>
    </w:p>
    <w:p w:rsidR="009D0191" w:rsidRPr="000D37F1" w:rsidRDefault="009D0191" w:rsidP="009D0191">
      <w:pPr>
        <w:spacing w:line="360" w:lineRule="auto"/>
        <w:ind w:firstLine="720"/>
        <w:jc w:val="both"/>
        <w:rPr>
          <w:rFonts w:ascii="Times New Roman" w:hAnsi="Times New Roman" w:cs="Times New Roman"/>
          <w:b/>
          <w:sz w:val="24"/>
          <w:szCs w:val="24"/>
          <w:lang w:val="lt-LT"/>
        </w:rPr>
      </w:pPr>
      <w:r w:rsidRPr="000D37F1">
        <w:rPr>
          <w:rFonts w:ascii="Times New Roman" w:hAnsi="Times New Roman" w:cs="Times New Roman"/>
          <w:b/>
          <w:sz w:val="24"/>
          <w:szCs w:val="24"/>
          <w:lang w:val="lt-LT"/>
        </w:rPr>
        <w:t>Tyrimo uždaviniai:</w:t>
      </w:r>
    </w:p>
    <w:p w:rsidR="009D0191" w:rsidRPr="000D37F1" w:rsidRDefault="009D0191" w:rsidP="009D0191">
      <w:pPr>
        <w:pStyle w:val="ListParagraph"/>
        <w:numPr>
          <w:ilvl w:val="0"/>
          <w:numId w:val="6"/>
        </w:numPr>
        <w:spacing w:after="0"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Atlikti </w:t>
      </w:r>
      <w:r w:rsidR="00957E47">
        <w:rPr>
          <w:rFonts w:ascii="Times New Roman" w:hAnsi="Times New Roman" w:cs="Times New Roman"/>
          <w:sz w:val="24"/>
          <w:szCs w:val="24"/>
          <w:lang w:val="lt-LT"/>
        </w:rPr>
        <w:t xml:space="preserve">teisės aktų, </w:t>
      </w:r>
      <w:r w:rsidRPr="000D37F1">
        <w:rPr>
          <w:rFonts w:ascii="Times New Roman" w:hAnsi="Times New Roman" w:cs="Times New Roman"/>
          <w:sz w:val="24"/>
          <w:szCs w:val="24"/>
          <w:lang w:val="lt-LT"/>
        </w:rPr>
        <w:t>Lietuvos ir užsienio autorių mokslinės literatūros analizę</w:t>
      </w:r>
      <w:r w:rsidR="00957E47">
        <w:rPr>
          <w:rFonts w:ascii="Times New Roman" w:hAnsi="Times New Roman" w:cs="Times New Roman"/>
          <w:sz w:val="24"/>
          <w:szCs w:val="24"/>
          <w:lang w:val="lt-LT"/>
        </w:rPr>
        <w:t xml:space="preserve"> kredito unijų rizikingumo vertinimo tema</w:t>
      </w:r>
      <w:r w:rsidRPr="000D37F1">
        <w:rPr>
          <w:rFonts w:ascii="Times New Roman" w:hAnsi="Times New Roman" w:cs="Times New Roman"/>
          <w:sz w:val="24"/>
          <w:szCs w:val="24"/>
          <w:lang w:val="lt-LT"/>
        </w:rPr>
        <w:t>;</w:t>
      </w:r>
    </w:p>
    <w:p w:rsidR="009D0191" w:rsidRPr="000D37F1" w:rsidRDefault="009D0191" w:rsidP="009D0191">
      <w:pPr>
        <w:pStyle w:val="ListParagraph"/>
        <w:numPr>
          <w:ilvl w:val="0"/>
          <w:numId w:val="6"/>
        </w:numPr>
        <w:spacing w:after="0"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Remiantis literatūros analize </w:t>
      </w:r>
      <w:r w:rsidR="009D7999" w:rsidRPr="000D37F1">
        <w:rPr>
          <w:rFonts w:ascii="Times New Roman" w:hAnsi="Times New Roman" w:cs="Times New Roman"/>
          <w:sz w:val="24"/>
          <w:szCs w:val="24"/>
          <w:lang w:val="lt-LT"/>
        </w:rPr>
        <w:t>atrinkti</w:t>
      </w:r>
      <w:r w:rsidR="0028787C" w:rsidRPr="000D37F1">
        <w:rPr>
          <w:rFonts w:ascii="Times New Roman" w:hAnsi="Times New Roman" w:cs="Times New Roman"/>
          <w:sz w:val="24"/>
          <w:szCs w:val="24"/>
          <w:lang w:val="lt-LT"/>
        </w:rPr>
        <w:t xml:space="preserve"> </w:t>
      </w:r>
      <w:r w:rsidR="009D7999" w:rsidRPr="000D37F1">
        <w:rPr>
          <w:rFonts w:ascii="Times New Roman" w:hAnsi="Times New Roman" w:cs="Times New Roman"/>
          <w:sz w:val="24"/>
          <w:szCs w:val="24"/>
          <w:lang w:val="lt-LT"/>
        </w:rPr>
        <w:t>tinkamiausius metodus</w:t>
      </w:r>
      <w:r w:rsidR="0028787C" w:rsidRPr="000D37F1">
        <w:rPr>
          <w:rFonts w:ascii="Times New Roman" w:hAnsi="Times New Roman" w:cs="Times New Roman"/>
          <w:sz w:val="24"/>
          <w:szCs w:val="24"/>
          <w:lang w:val="lt-LT"/>
        </w:rPr>
        <w:t xml:space="preserve"> </w:t>
      </w:r>
      <w:r w:rsidR="009D7999" w:rsidRPr="000D37F1">
        <w:rPr>
          <w:rFonts w:ascii="Times New Roman" w:hAnsi="Times New Roman" w:cs="Times New Roman"/>
          <w:sz w:val="24"/>
          <w:szCs w:val="24"/>
          <w:lang w:val="lt-LT"/>
        </w:rPr>
        <w:t>kredito unijų rizik</w:t>
      </w:r>
      <w:r w:rsidR="004F7BDC" w:rsidRPr="000D37F1">
        <w:rPr>
          <w:rFonts w:ascii="Times New Roman" w:hAnsi="Times New Roman" w:cs="Times New Roman"/>
          <w:sz w:val="24"/>
          <w:szCs w:val="24"/>
          <w:lang w:val="lt-LT"/>
        </w:rPr>
        <w:t>ingumui</w:t>
      </w:r>
      <w:r w:rsidR="009D7999" w:rsidRPr="000D37F1">
        <w:rPr>
          <w:rFonts w:ascii="Times New Roman" w:hAnsi="Times New Roman" w:cs="Times New Roman"/>
          <w:sz w:val="24"/>
          <w:szCs w:val="24"/>
          <w:lang w:val="lt-LT"/>
        </w:rPr>
        <w:t xml:space="preserve"> įvertinti</w:t>
      </w:r>
      <w:r w:rsidRPr="000D37F1">
        <w:rPr>
          <w:rFonts w:ascii="Times New Roman" w:hAnsi="Times New Roman" w:cs="Times New Roman"/>
          <w:sz w:val="24"/>
          <w:szCs w:val="24"/>
          <w:lang w:val="lt-LT"/>
        </w:rPr>
        <w:t>;</w:t>
      </w:r>
    </w:p>
    <w:p w:rsidR="009D0191" w:rsidRPr="000D37F1" w:rsidRDefault="004F7BDC" w:rsidP="00377B04">
      <w:pPr>
        <w:pStyle w:val="ListParagraph"/>
        <w:numPr>
          <w:ilvl w:val="0"/>
          <w:numId w:val="6"/>
        </w:numPr>
        <w:spacing w:after="0"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Sudaryti kredito unijų rizikingumo vertinimo modelį.</w:t>
      </w:r>
    </w:p>
    <w:p w:rsidR="00D31E02" w:rsidRPr="000D37F1" w:rsidRDefault="00D31E02" w:rsidP="00312427">
      <w:pPr>
        <w:spacing w:before="120" w:after="120" w:line="360" w:lineRule="auto"/>
        <w:ind w:left="57" w:right="57" w:firstLine="567"/>
        <w:jc w:val="both"/>
        <w:rPr>
          <w:rFonts w:ascii="Times New Roman" w:hAnsi="Times New Roman" w:cs="Times New Roman"/>
          <w:sz w:val="24"/>
          <w:szCs w:val="24"/>
          <w:lang w:val="lt-LT"/>
        </w:rPr>
      </w:pPr>
      <w:r w:rsidRPr="000D37F1">
        <w:rPr>
          <w:rFonts w:ascii="Times New Roman" w:hAnsi="Times New Roman" w:cs="Times New Roman"/>
          <w:b/>
          <w:sz w:val="24"/>
          <w:szCs w:val="24"/>
          <w:lang w:val="lt-LT"/>
        </w:rPr>
        <w:t>Hipotezė</w:t>
      </w:r>
      <w:r w:rsidRPr="000D37F1">
        <w:rPr>
          <w:rFonts w:ascii="Times New Roman" w:hAnsi="Times New Roman" w:cs="Times New Roman"/>
          <w:sz w:val="24"/>
          <w:szCs w:val="24"/>
          <w:lang w:val="lt-LT"/>
        </w:rPr>
        <w:t xml:space="preserve"> – </w:t>
      </w:r>
      <w:r w:rsidR="009D7999" w:rsidRPr="000D37F1">
        <w:rPr>
          <w:rFonts w:ascii="Times New Roman" w:hAnsi="Times New Roman" w:cs="Times New Roman"/>
          <w:sz w:val="24"/>
          <w:szCs w:val="24"/>
          <w:lang w:val="lt-LT"/>
        </w:rPr>
        <w:t xml:space="preserve">kredito unijų </w:t>
      </w:r>
      <w:r w:rsidR="00377B04" w:rsidRPr="000D37F1">
        <w:rPr>
          <w:rFonts w:ascii="Times New Roman" w:hAnsi="Times New Roman" w:cs="Times New Roman"/>
          <w:sz w:val="24"/>
          <w:szCs w:val="24"/>
          <w:lang w:val="lt-LT"/>
        </w:rPr>
        <w:t>rizikingumą objektyviai įvertina</w:t>
      </w:r>
      <w:r w:rsidR="0028787C" w:rsidRPr="000D37F1">
        <w:rPr>
          <w:rFonts w:ascii="Times New Roman" w:hAnsi="Times New Roman" w:cs="Times New Roman"/>
          <w:sz w:val="24"/>
          <w:szCs w:val="24"/>
          <w:lang w:val="lt-LT"/>
        </w:rPr>
        <w:t xml:space="preserve"> </w:t>
      </w:r>
      <w:r w:rsidR="0019094E" w:rsidRPr="000D37F1">
        <w:rPr>
          <w:rFonts w:ascii="Times New Roman" w:hAnsi="Times New Roman" w:cs="Times New Roman"/>
          <w:sz w:val="24"/>
          <w:szCs w:val="24"/>
          <w:lang w:val="lt-LT"/>
        </w:rPr>
        <w:t>Kokso</w:t>
      </w:r>
      <w:r w:rsidR="0028787C" w:rsidRPr="000D37F1">
        <w:rPr>
          <w:rFonts w:ascii="Times New Roman" w:hAnsi="Times New Roman" w:cs="Times New Roman"/>
          <w:sz w:val="24"/>
          <w:szCs w:val="24"/>
          <w:lang w:val="lt-LT"/>
        </w:rPr>
        <w:t xml:space="preserve"> proporcingosios </w:t>
      </w:r>
      <w:r w:rsidR="009D7999" w:rsidRPr="000D37F1">
        <w:rPr>
          <w:rFonts w:ascii="Times New Roman" w:hAnsi="Times New Roman" w:cs="Times New Roman"/>
          <w:sz w:val="24"/>
          <w:szCs w:val="24"/>
          <w:lang w:val="lt-LT"/>
        </w:rPr>
        <w:t>rizikos modelis.</w:t>
      </w:r>
    </w:p>
    <w:p w:rsidR="004B2A7F" w:rsidRPr="000D37F1" w:rsidRDefault="004B2A7F" w:rsidP="004B2A7F">
      <w:pPr>
        <w:rPr>
          <w:rFonts w:ascii="Times New Roman" w:hAnsi="Times New Roman" w:cs="Times New Roman"/>
          <w:b/>
          <w:sz w:val="24"/>
          <w:szCs w:val="24"/>
          <w:lang w:val="lt-LT"/>
        </w:rPr>
      </w:pPr>
      <w:r w:rsidRPr="000D37F1">
        <w:rPr>
          <w:rFonts w:ascii="Times New Roman" w:hAnsi="Times New Roman" w:cs="Times New Roman"/>
          <w:b/>
          <w:sz w:val="24"/>
          <w:szCs w:val="24"/>
          <w:lang w:val="lt-LT"/>
        </w:rPr>
        <w:t>Tyrimo metodai</w:t>
      </w:r>
    </w:p>
    <w:p w:rsidR="00D31E02" w:rsidRPr="000D37F1" w:rsidRDefault="004A598D" w:rsidP="004A598D">
      <w:pPr>
        <w:pStyle w:val="ListParagraph"/>
        <w:numPr>
          <w:ilvl w:val="0"/>
          <w:numId w:val="16"/>
        </w:numPr>
        <w:spacing w:before="120" w:after="120" w:line="360" w:lineRule="auto"/>
        <w:ind w:right="5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mokslinės literatūros analizė</w:t>
      </w:r>
    </w:p>
    <w:p w:rsidR="004A598D" w:rsidRPr="000D37F1" w:rsidRDefault="004A598D" w:rsidP="004A598D">
      <w:pPr>
        <w:pStyle w:val="ListParagraph"/>
        <w:numPr>
          <w:ilvl w:val="0"/>
          <w:numId w:val="16"/>
        </w:numPr>
        <w:spacing w:before="120" w:after="120" w:line="360" w:lineRule="auto"/>
        <w:ind w:right="5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aprašomasis metodas</w:t>
      </w:r>
    </w:p>
    <w:p w:rsidR="004A598D" w:rsidRPr="000D37F1" w:rsidRDefault="004A598D" w:rsidP="004A598D">
      <w:pPr>
        <w:pStyle w:val="ListParagraph"/>
        <w:numPr>
          <w:ilvl w:val="0"/>
          <w:numId w:val="16"/>
        </w:numPr>
        <w:spacing w:before="120" w:after="120" w:line="360" w:lineRule="auto"/>
        <w:ind w:right="5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statistinių ir finansinių duomenų analizė</w:t>
      </w:r>
    </w:p>
    <w:p w:rsidR="004A598D" w:rsidRPr="000D37F1" w:rsidRDefault="004A598D" w:rsidP="004A598D">
      <w:pPr>
        <w:pStyle w:val="ListParagraph"/>
        <w:numPr>
          <w:ilvl w:val="0"/>
          <w:numId w:val="16"/>
        </w:numPr>
        <w:spacing w:before="120" w:after="120" w:line="360" w:lineRule="auto"/>
        <w:ind w:right="5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lyginamoji analizė</w:t>
      </w:r>
    </w:p>
    <w:p w:rsidR="004A598D" w:rsidRPr="000D37F1" w:rsidRDefault="004A598D" w:rsidP="004A598D">
      <w:pPr>
        <w:pStyle w:val="ListParagraph"/>
        <w:numPr>
          <w:ilvl w:val="0"/>
          <w:numId w:val="16"/>
        </w:numPr>
        <w:spacing w:before="120" w:after="120" w:line="360" w:lineRule="auto"/>
        <w:ind w:right="57"/>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išlikimo analizė (Kokso proporcingosios rizikos modelis).</w:t>
      </w:r>
    </w:p>
    <w:p w:rsidR="00467CC9" w:rsidRPr="000D37F1" w:rsidRDefault="003C71AB" w:rsidP="00A6030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Duomenys apdoroti taikant SPSS </w:t>
      </w:r>
      <w:proofErr w:type="spellStart"/>
      <w:r w:rsidRPr="000D37F1">
        <w:rPr>
          <w:rFonts w:ascii="Times New Roman" w:hAnsi="Times New Roman" w:cs="Times New Roman"/>
          <w:sz w:val="24"/>
          <w:szCs w:val="24"/>
          <w:lang w:val="lt-LT"/>
        </w:rPr>
        <w:t>Statistics</w:t>
      </w:r>
      <w:proofErr w:type="spellEnd"/>
      <w:r w:rsidRPr="000D37F1">
        <w:rPr>
          <w:rFonts w:ascii="Times New Roman" w:hAnsi="Times New Roman" w:cs="Times New Roman"/>
          <w:sz w:val="24"/>
          <w:szCs w:val="24"/>
          <w:lang w:val="lt-LT"/>
        </w:rPr>
        <w:t xml:space="preserve"> 17.0 programų </w:t>
      </w:r>
      <w:r w:rsidR="00141F2D" w:rsidRPr="000D37F1">
        <w:rPr>
          <w:rFonts w:ascii="Times New Roman" w:hAnsi="Times New Roman" w:cs="Times New Roman"/>
          <w:sz w:val="24"/>
          <w:szCs w:val="24"/>
          <w:lang w:val="lt-LT"/>
        </w:rPr>
        <w:t xml:space="preserve"> paketą.</w:t>
      </w:r>
    </w:p>
    <w:p w:rsidR="008106A4" w:rsidRDefault="001111B8" w:rsidP="001111B8">
      <w:pPr>
        <w:spacing w:line="360" w:lineRule="auto"/>
        <w:jc w:val="both"/>
        <w:rPr>
          <w:rFonts w:ascii="Times New Roman" w:eastAsia="Times New Roman" w:hAnsi="Times New Roman" w:cs="Times New Roman"/>
          <w:color w:val="222222"/>
          <w:kern w:val="0"/>
          <w:sz w:val="24"/>
          <w:szCs w:val="24"/>
          <w:lang w:val="lt-LT"/>
        </w:rPr>
      </w:pPr>
      <w:r w:rsidRPr="001111B8">
        <w:rPr>
          <w:rFonts w:ascii="Times New Roman" w:eastAsia="Times New Roman" w:hAnsi="Times New Roman" w:cs="Times New Roman"/>
          <w:b/>
          <w:color w:val="222222"/>
          <w:kern w:val="0"/>
          <w:sz w:val="24"/>
          <w:szCs w:val="24"/>
          <w:lang w:val="lt-LT"/>
        </w:rPr>
        <w:t>Darbo struktūra</w:t>
      </w:r>
      <w:r>
        <w:rPr>
          <w:rFonts w:ascii="Times New Roman" w:eastAsia="Times New Roman" w:hAnsi="Times New Roman" w:cs="Times New Roman"/>
          <w:b/>
          <w:color w:val="222222"/>
          <w:kern w:val="0"/>
          <w:sz w:val="24"/>
          <w:szCs w:val="24"/>
          <w:lang w:val="lt-LT"/>
        </w:rPr>
        <w:t xml:space="preserve">: </w:t>
      </w:r>
      <w:r>
        <w:rPr>
          <w:rFonts w:ascii="Times New Roman" w:eastAsia="Times New Roman" w:hAnsi="Times New Roman" w:cs="Times New Roman"/>
          <w:color w:val="222222"/>
          <w:kern w:val="0"/>
          <w:sz w:val="24"/>
          <w:szCs w:val="24"/>
          <w:lang w:val="lt-LT"/>
        </w:rPr>
        <w:t>d</w:t>
      </w:r>
      <w:r w:rsidR="00377ACA">
        <w:rPr>
          <w:rFonts w:ascii="Times New Roman" w:eastAsia="Times New Roman" w:hAnsi="Times New Roman" w:cs="Times New Roman"/>
          <w:color w:val="222222"/>
          <w:kern w:val="0"/>
          <w:sz w:val="24"/>
          <w:szCs w:val="24"/>
          <w:lang w:val="lt-LT"/>
        </w:rPr>
        <w:t xml:space="preserve">arbą sudaro </w:t>
      </w:r>
      <w:r w:rsidR="00266693">
        <w:rPr>
          <w:rFonts w:ascii="Times New Roman" w:eastAsia="Times New Roman" w:hAnsi="Times New Roman" w:cs="Times New Roman"/>
          <w:color w:val="222222"/>
          <w:kern w:val="0"/>
          <w:sz w:val="24"/>
          <w:szCs w:val="24"/>
          <w:lang w:val="lt-LT"/>
        </w:rPr>
        <w:t xml:space="preserve">6 </w:t>
      </w:r>
      <w:r w:rsidR="00A6030C" w:rsidRPr="000D37F1">
        <w:rPr>
          <w:rFonts w:ascii="Times New Roman" w:eastAsia="Times New Roman" w:hAnsi="Times New Roman" w:cs="Times New Roman"/>
          <w:color w:val="222222"/>
          <w:kern w:val="0"/>
          <w:sz w:val="24"/>
          <w:szCs w:val="24"/>
          <w:lang w:val="lt-LT"/>
        </w:rPr>
        <w:t xml:space="preserve">dalys: įvadas, </w:t>
      </w:r>
      <w:r w:rsidR="00452FCA">
        <w:rPr>
          <w:rFonts w:ascii="Times New Roman" w:eastAsia="Times New Roman" w:hAnsi="Times New Roman" w:cs="Times New Roman"/>
          <w:color w:val="222222"/>
          <w:kern w:val="0"/>
          <w:sz w:val="24"/>
          <w:szCs w:val="24"/>
          <w:lang w:val="lt-LT"/>
        </w:rPr>
        <w:t>kredito unijų veiklos teoriniai aspektai</w:t>
      </w:r>
      <w:r w:rsidR="00A6030C" w:rsidRPr="000D37F1">
        <w:rPr>
          <w:rFonts w:ascii="Times New Roman" w:eastAsia="Times New Roman" w:hAnsi="Times New Roman" w:cs="Times New Roman"/>
          <w:color w:val="222222"/>
          <w:kern w:val="0"/>
          <w:sz w:val="24"/>
          <w:szCs w:val="24"/>
          <w:lang w:val="lt-LT"/>
        </w:rPr>
        <w:t xml:space="preserve">, </w:t>
      </w:r>
      <w:r w:rsidR="00452FCA">
        <w:rPr>
          <w:rFonts w:ascii="Times New Roman" w:eastAsia="Times New Roman" w:hAnsi="Times New Roman" w:cs="Times New Roman"/>
          <w:color w:val="222222"/>
          <w:kern w:val="0"/>
          <w:sz w:val="24"/>
          <w:szCs w:val="24"/>
          <w:lang w:val="lt-LT"/>
        </w:rPr>
        <w:t>pasirinkto modelio taikymo kredito unijų veiklos rizikingumui vertinti pagrindimas</w:t>
      </w:r>
      <w:r w:rsidR="00A6030C" w:rsidRPr="000D37F1">
        <w:rPr>
          <w:rFonts w:ascii="Times New Roman" w:eastAsia="Times New Roman" w:hAnsi="Times New Roman" w:cs="Times New Roman"/>
          <w:color w:val="222222"/>
          <w:kern w:val="0"/>
          <w:sz w:val="24"/>
          <w:szCs w:val="24"/>
          <w:lang w:val="lt-LT"/>
        </w:rPr>
        <w:t>,</w:t>
      </w:r>
      <w:r w:rsidR="00452FCA">
        <w:rPr>
          <w:rFonts w:ascii="Times New Roman" w:eastAsia="Times New Roman" w:hAnsi="Times New Roman" w:cs="Times New Roman"/>
          <w:color w:val="222222"/>
          <w:kern w:val="0"/>
          <w:sz w:val="24"/>
          <w:szCs w:val="24"/>
          <w:lang w:val="lt-LT"/>
        </w:rPr>
        <w:t xml:space="preserve"> kredito unijų veiklos rizikingumo vertinimo modelis</w:t>
      </w:r>
      <w:r w:rsidR="00A6030C" w:rsidRPr="000D37F1">
        <w:rPr>
          <w:rFonts w:ascii="Times New Roman" w:eastAsia="Times New Roman" w:hAnsi="Times New Roman" w:cs="Times New Roman"/>
          <w:color w:val="222222"/>
          <w:kern w:val="0"/>
          <w:sz w:val="24"/>
          <w:szCs w:val="24"/>
          <w:lang w:val="lt-LT"/>
        </w:rPr>
        <w:t>,  išvados ir siūlymai, literatūros sąrašas.</w:t>
      </w:r>
    </w:p>
    <w:p w:rsidR="007450AF" w:rsidRPr="000D37F1" w:rsidRDefault="007450AF" w:rsidP="00A6030C">
      <w:pPr>
        <w:spacing w:line="360" w:lineRule="auto"/>
        <w:ind w:firstLine="720"/>
        <w:jc w:val="both"/>
        <w:rPr>
          <w:rFonts w:ascii="Times New Roman" w:hAnsi="Times New Roman" w:cs="Times New Roman"/>
          <w:sz w:val="24"/>
          <w:szCs w:val="24"/>
          <w:lang w:val="lt-LT"/>
        </w:rPr>
      </w:pPr>
    </w:p>
    <w:p w:rsidR="0091149C" w:rsidRPr="00450C32" w:rsidRDefault="002F401D" w:rsidP="00A2704E">
      <w:pPr>
        <w:pStyle w:val="Heading1"/>
        <w:numPr>
          <w:ilvl w:val="0"/>
          <w:numId w:val="35"/>
        </w:numPr>
        <w:jc w:val="center"/>
        <w:rPr>
          <w:rFonts w:ascii="Times New Roman" w:hAnsi="Times New Roman" w:cs="Times New Roman"/>
          <w:sz w:val="28"/>
          <w:szCs w:val="28"/>
        </w:rPr>
      </w:pPr>
      <w:bookmarkStart w:id="4" w:name="_Toc383782864"/>
      <w:bookmarkStart w:id="5" w:name="_Toc383783626"/>
      <w:bookmarkStart w:id="6" w:name="_Toc384567293"/>
      <w:bookmarkStart w:id="7" w:name="_Toc384570730"/>
      <w:r w:rsidRPr="00450C32">
        <w:rPr>
          <w:rFonts w:ascii="Times New Roman" w:hAnsi="Times New Roman" w:cs="Times New Roman"/>
          <w:sz w:val="28"/>
          <w:szCs w:val="28"/>
        </w:rPr>
        <w:lastRenderedPageBreak/>
        <w:t>KRED</w:t>
      </w:r>
      <w:r w:rsidR="00377B04" w:rsidRPr="00450C32">
        <w:rPr>
          <w:rFonts w:ascii="Times New Roman" w:hAnsi="Times New Roman" w:cs="Times New Roman"/>
          <w:sz w:val="28"/>
          <w:szCs w:val="28"/>
        </w:rPr>
        <w:t>ITO UNIJŲ VEIKLOS TEORINIAI</w:t>
      </w:r>
      <w:r w:rsidRPr="00450C32">
        <w:rPr>
          <w:rFonts w:ascii="Times New Roman" w:hAnsi="Times New Roman" w:cs="Times New Roman"/>
          <w:sz w:val="28"/>
          <w:szCs w:val="28"/>
        </w:rPr>
        <w:t xml:space="preserve"> ASPEKTAI</w:t>
      </w:r>
      <w:bookmarkEnd w:id="4"/>
      <w:bookmarkEnd w:id="5"/>
      <w:bookmarkEnd w:id="6"/>
      <w:bookmarkEnd w:id="7"/>
    </w:p>
    <w:p w:rsidR="002F401D" w:rsidRPr="000D37F1" w:rsidRDefault="002F401D" w:rsidP="002F401D">
      <w:pPr>
        <w:rPr>
          <w:rFonts w:ascii="Times New Roman" w:hAnsi="Times New Roman" w:cs="Times New Roman"/>
          <w:b/>
          <w:sz w:val="28"/>
          <w:szCs w:val="28"/>
          <w:lang w:val="lt-LT"/>
        </w:rPr>
      </w:pPr>
      <w:bookmarkStart w:id="8" w:name="_Toc292111143"/>
    </w:p>
    <w:p w:rsidR="005C03CE" w:rsidRPr="000D37F1" w:rsidRDefault="004F7BDC" w:rsidP="00C616E9">
      <w:pPr>
        <w:spacing w:line="360" w:lineRule="auto"/>
        <w:ind w:firstLine="567"/>
        <w:jc w:val="both"/>
        <w:rPr>
          <w:rFonts w:ascii="Times New Roman" w:hAnsi="Times New Roman" w:cs="Times New Roman"/>
          <w:lang w:val="lt-LT"/>
        </w:rPr>
      </w:pPr>
      <w:r w:rsidRPr="000D37F1">
        <w:rPr>
          <w:rFonts w:ascii="Times New Roman" w:hAnsi="Times New Roman" w:cs="Times New Roman"/>
          <w:sz w:val="24"/>
          <w:szCs w:val="24"/>
          <w:lang w:val="lt-LT"/>
        </w:rPr>
        <w:t>Šioje dalyje</w:t>
      </w:r>
      <w:r w:rsidR="00A6030C" w:rsidRPr="000D37F1">
        <w:rPr>
          <w:rFonts w:ascii="Times New Roman" w:hAnsi="Times New Roman" w:cs="Times New Roman"/>
          <w:sz w:val="24"/>
          <w:szCs w:val="24"/>
          <w:lang w:val="lt-LT"/>
        </w:rPr>
        <w:t xml:space="preserve"> </w:t>
      </w:r>
      <w:r w:rsidR="00B474A6" w:rsidRPr="000D37F1">
        <w:rPr>
          <w:rFonts w:ascii="Times New Roman" w:hAnsi="Times New Roman" w:cs="Times New Roman"/>
          <w:sz w:val="24"/>
          <w:szCs w:val="24"/>
          <w:lang w:val="lt-LT"/>
        </w:rPr>
        <w:t xml:space="preserve">aptariama kredito unijų specifika, dabartinė kredito </w:t>
      </w:r>
      <w:r w:rsidR="00377B04" w:rsidRPr="000D37F1">
        <w:rPr>
          <w:rFonts w:ascii="Times New Roman" w:hAnsi="Times New Roman" w:cs="Times New Roman"/>
          <w:sz w:val="24"/>
          <w:szCs w:val="24"/>
          <w:lang w:val="lt-LT"/>
        </w:rPr>
        <w:t xml:space="preserve">unijų </w:t>
      </w:r>
      <w:r w:rsidR="00B474A6" w:rsidRPr="000D37F1">
        <w:rPr>
          <w:rFonts w:ascii="Times New Roman" w:hAnsi="Times New Roman" w:cs="Times New Roman"/>
          <w:sz w:val="24"/>
          <w:szCs w:val="24"/>
          <w:lang w:val="lt-LT"/>
        </w:rPr>
        <w:t>rinkos situacija</w:t>
      </w:r>
      <w:r w:rsidR="005C03CE" w:rsidRPr="000D37F1">
        <w:rPr>
          <w:rFonts w:ascii="Times New Roman" w:hAnsi="Times New Roman" w:cs="Times New Roman"/>
          <w:sz w:val="24"/>
          <w:szCs w:val="24"/>
          <w:lang w:val="lt-LT"/>
        </w:rPr>
        <w:t xml:space="preserve">, plėtros perspektyvos </w:t>
      </w:r>
      <w:r w:rsidR="00B474A6" w:rsidRPr="000D37F1">
        <w:rPr>
          <w:rFonts w:ascii="Times New Roman" w:hAnsi="Times New Roman" w:cs="Times New Roman"/>
          <w:sz w:val="24"/>
          <w:szCs w:val="24"/>
          <w:lang w:val="lt-LT"/>
        </w:rPr>
        <w:t>Lietuvoje</w:t>
      </w:r>
      <w:r w:rsidR="005C03CE" w:rsidRPr="000D37F1">
        <w:rPr>
          <w:rFonts w:ascii="Times New Roman" w:hAnsi="Times New Roman" w:cs="Times New Roman"/>
          <w:sz w:val="24"/>
          <w:szCs w:val="24"/>
          <w:lang w:val="lt-LT"/>
        </w:rPr>
        <w:t>,</w:t>
      </w:r>
      <w:r w:rsidR="00A6030C" w:rsidRPr="000D37F1">
        <w:rPr>
          <w:rFonts w:ascii="Times New Roman" w:hAnsi="Times New Roman" w:cs="Times New Roman"/>
          <w:sz w:val="24"/>
          <w:szCs w:val="24"/>
          <w:lang w:val="lt-LT"/>
        </w:rPr>
        <w:t xml:space="preserve"> </w:t>
      </w:r>
      <w:r w:rsidR="00B474A6" w:rsidRPr="000D37F1">
        <w:rPr>
          <w:rFonts w:ascii="Times New Roman" w:hAnsi="Times New Roman" w:cs="Times New Roman"/>
          <w:sz w:val="24"/>
          <w:szCs w:val="24"/>
          <w:lang w:val="lt-LT"/>
        </w:rPr>
        <w:t>kredito unijoms taikomi veiklos riziką ribojantys normatyvai</w:t>
      </w:r>
      <w:r w:rsidR="00A6030C" w:rsidRPr="000D37F1">
        <w:rPr>
          <w:rFonts w:ascii="Times New Roman" w:hAnsi="Times New Roman" w:cs="Times New Roman"/>
          <w:sz w:val="24"/>
          <w:szCs w:val="24"/>
          <w:lang w:val="lt-LT"/>
        </w:rPr>
        <w:t>.</w:t>
      </w:r>
      <w:r w:rsidR="00C616E9" w:rsidRPr="000D37F1">
        <w:rPr>
          <w:rFonts w:ascii="Times New Roman" w:hAnsi="Times New Roman" w:cs="Times New Roman"/>
          <w:sz w:val="24"/>
          <w:szCs w:val="24"/>
          <w:lang w:val="lt-LT"/>
        </w:rPr>
        <w:t xml:space="preserve"> </w:t>
      </w:r>
      <w:r w:rsidR="00907438" w:rsidRPr="000D37F1">
        <w:rPr>
          <w:rFonts w:ascii="Times New Roman" w:hAnsi="Times New Roman" w:cs="Times New Roman"/>
          <w:sz w:val="24"/>
          <w:szCs w:val="24"/>
          <w:lang w:val="lt-LT"/>
        </w:rPr>
        <w:t xml:space="preserve">Taip pat </w:t>
      </w:r>
      <w:r w:rsidR="00886F18" w:rsidRPr="000D37F1">
        <w:rPr>
          <w:rFonts w:ascii="Times New Roman" w:hAnsi="Times New Roman" w:cs="Times New Roman"/>
          <w:sz w:val="24"/>
          <w:szCs w:val="24"/>
          <w:lang w:val="lt-LT"/>
        </w:rPr>
        <w:t xml:space="preserve">įvertinami kredito unijų raidos ypatumai, pagrindžiamas kredito unijų veiklos rizikingumo vertinimo poreikis </w:t>
      </w:r>
      <w:r w:rsidRPr="000D37F1">
        <w:rPr>
          <w:rFonts w:ascii="Times New Roman" w:hAnsi="Times New Roman" w:cs="Times New Roman"/>
          <w:sz w:val="24"/>
          <w:szCs w:val="24"/>
          <w:lang w:val="lt-LT"/>
        </w:rPr>
        <w:t>bei</w:t>
      </w:r>
      <w:r w:rsidR="00886F18" w:rsidRPr="000D37F1">
        <w:rPr>
          <w:rFonts w:ascii="Times New Roman" w:hAnsi="Times New Roman" w:cs="Times New Roman"/>
          <w:sz w:val="24"/>
          <w:szCs w:val="24"/>
          <w:lang w:val="lt-LT"/>
        </w:rPr>
        <w:t xml:space="preserve"> analizuojami</w:t>
      </w:r>
      <w:r w:rsidRPr="000D37F1">
        <w:rPr>
          <w:rFonts w:ascii="Times New Roman" w:hAnsi="Times New Roman" w:cs="Times New Roman"/>
          <w:sz w:val="24"/>
          <w:szCs w:val="24"/>
          <w:lang w:val="lt-LT"/>
        </w:rPr>
        <w:t xml:space="preserve"> moksliniai straipsniai, kuriuose </w:t>
      </w:r>
      <w:r w:rsidR="00886F18" w:rsidRPr="000D37F1">
        <w:rPr>
          <w:rFonts w:ascii="Times New Roman" w:hAnsi="Times New Roman" w:cs="Times New Roman"/>
          <w:sz w:val="24"/>
          <w:szCs w:val="24"/>
          <w:lang w:val="lt-LT"/>
        </w:rPr>
        <w:t>nagrinėjama ši tema.</w:t>
      </w:r>
    </w:p>
    <w:bookmarkEnd w:id="8"/>
    <w:p w:rsidR="00EB25E1" w:rsidRPr="00450C32" w:rsidRDefault="00A2704E" w:rsidP="00A2704E">
      <w:pPr>
        <w:pStyle w:val="Heading2"/>
        <w:numPr>
          <w:ilvl w:val="1"/>
          <w:numId w:val="36"/>
        </w:numPr>
        <w:jc w:val="center"/>
        <w:rPr>
          <w:rFonts w:ascii="Times New Roman" w:hAnsi="Times New Roman" w:cs="Times New Roman"/>
          <w:sz w:val="24"/>
          <w:szCs w:val="24"/>
          <w:lang w:val="lt-LT"/>
        </w:rPr>
      </w:pPr>
      <w:r>
        <w:rPr>
          <w:rFonts w:ascii="Times New Roman" w:hAnsi="Times New Roman" w:cs="Times New Roman"/>
          <w:color w:val="auto"/>
          <w:sz w:val="24"/>
          <w:szCs w:val="24"/>
          <w:lang w:val="lt-LT"/>
        </w:rPr>
        <w:t xml:space="preserve"> </w:t>
      </w:r>
      <w:bookmarkStart w:id="9" w:name="_Toc383782865"/>
      <w:bookmarkStart w:id="10" w:name="_Toc384567294"/>
      <w:bookmarkStart w:id="11" w:name="_Toc384570731"/>
      <w:r w:rsidR="007B0965" w:rsidRPr="00450C32">
        <w:rPr>
          <w:rFonts w:ascii="Times New Roman" w:hAnsi="Times New Roman" w:cs="Times New Roman"/>
          <w:color w:val="auto"/>
          <w:sz w:val="24"/>
          <w:szCs w:val="24"/>
          <w:lang w:val="lt-LT"/>
        </w:rPr>
        <w:t>KREDITO UNIJŲ KONSEPCIJA</w:t>
      </w:r>
      <w:bookmarkEnd w:id="9"/>
      <w:bookmarkEnd w:id="10"/>
      <w:bookmarkEnd w:id="11"/>
    </w:p>
    <w:p w:rsidR="00981B62" w:rsidRPr="000D37F1" w:rsidRDefault="00981B62" w:rsidP="00B474A6">
      <w:pPr>
        <w:jc w:val="center"/>
        <w:rPr>
          <w:rFonts w:ascii="Times New Roman" w:hAnsi="Times New Roman" w:cs="Times New Roman"/>
          <w:b/>
          <w:sz w:val="28"/>
          <w:szCs w:val="28"/>
          <w:lang w:val="lt-LT"/>
        </w:rPr>
      </w:pPr>
    </w:p>
    <w:p w:rsidR="00F2748A" w:rsidRPr="000D37F1" w:rsidRDefault="00981B62" w:rsidP="00981B62">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Kiekviena kredito unija skirtingai nuo komercinio banko yra atskira, autono</w:t>
      </w:r>
      <w:r w:rsidR="005C03CE" w:rsidRPr="000D37F1">
        <w:rPr>
          <w:rFonts w:ascii="Times New Roman" w:hAnsi="Times New Roman" w:cs="Times New Roman"/>
          <w:sz w:val="24"/>
          <w:szCs w:val="24"/>
          <w:lang w:val="lt-LT"/>
        </w:rPr>
        <w:t xml:space="preserve">miškai savo narių valdoma </w:t>
      </w:r>
      <w:r w:rsidR="00F2748A" w:rsidRPr="000D37F1">
        <w:rPr>
          <w:rFonts w:ascii="Times New Roman" w:hAnsi="Times New Roman" w:cs="Times New Roman"/>
          <w:sz w:val="24"/>
          <w:szCs w:val="24"/>
          <w:lang w:val="lt-LT"/>
        </w:rPr>
        <w:t>organizacija</w:t>
      </w:r>
      <w:r w:rsidR="005C03CE" w:rsidRPr="000D37F1">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Mokslinėje literatūroje kredito unija dažnai apibūdinama kaip kooperatinis bankas, pagrįsta</w:t>
      </w:r>
      <w:r w:rsidR="0068264F" w:rsidRPr="000D37F1">
        <w:rPr>
          <w:rFonts w:ascii="Times New Roman" w:hAnsi="Times New Roman" w:cs="Times New Roman"/>
          <w:sz w:val="24"/>
          <w:szCs w:val="24"/>
          <w:lang w:val="lt-LT"/>
        </w:rPr>
        <w:t xml:space="preserve">s demokratijos principais bei </w:t>
      </w:r>
      <w:r w:rsidRPr="000D37F1">
        <w:rPr>
          <w:rFonts w:ascii="Times New Roman" w:hAnsi="Times New Roman" w:cs="Times New Roman"/>
          <w:sz w:val="24"/>
          <w:szCs w:val="24"/>
          <w:lang w:val="lt-LT"/>
        </w:rPr>
        <w:t xml:space="preserve">siekiantis </w:t>
      </w:r>
      <w:r w:rsidR="0068264F" w:rsidRPr="000D37F1">
        <w:rPr>
          <w:rFonts w:ascii="Times New Roman" w:hAnsi="Times New Roman" w:cs="Times New Roman"/>
          <w:sz w:val="24"/>
          <w:szCs w:val="24"/>
          <w:lang w:val="lt-LT"/>
        </w:rPr>
        <w:t xml:space="preserve">ne </w:t>
      </w:r>
      <w:r w:rsidRPr="000D37F1">
        <w:rPr>
          <w:rFonts w:ascii="Times New Roman" w:hAnsi="Times New Roman" w:cs="Times New Roman"/>
          <w:sz w:val="24"/>
          <w:szCs w:val="24"/>
          <w:lang w:val="lt-LT"/>
        </w:rPr>
        <w:t>pelno, tačiau savitarpio pagalbos.</w:t>
      </w:r>
      <w:r w:rsidR="00A6030C" w:rsidRPr="000D37F1">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Kredito unijų valdyme dalyvauja kredito unijos nariai, išpirktas privalomasis pajus suteikia kredito unijos nariui balso teisę visuotiniuose narių susirinkimuose.</w:t>
      </w:r>
      <w:r w:rsidR="00BF5CE3" w:rsidRPr="000D37F1">
        <w:rPr>
          <w:rFonts w:ascii="Times New Roman" w:hAnsi="Times New Roman" w:cs="Times New Roman"/>
          <w:sz w:val="24"/>
          <w:szCs w:val="24"/>
          <w:lang w:val="lt-LT"/>
        </w:rPr>
        <w:t xml:space="preserve"> LR Kredito unijų įstatyme pajus apibrėžiamas kaip vertybinis popierius, patvirtinantis asmens dalyvavimą kredito unijos kapitale.</w:t>
      </w:r>
      <w:r w:rsidR="00A6030C" w:rsidRPr="000D37F1">
        <w:rPr>
          <w:rFonts w:ascii="Times New Roman" w:hAnsi="Times New Roman" w:cs="Times New Roman"/>
          <w:sz w:val="24"/>
          <w:szCs w:val="24"/>
          <w:lang w:val="lt-LT"/>
        </w:rPr>
        <w:t xml:space="preserve"> </w:t>
      </w:r>
      <w:r w:rsidR="0033781F" w:rsidRPr="000D37F1">
        <w:rPr>
          <w:rFonts w:ascii="Times New Roman" w:hAnsi="Times New Roman" w:cs="Times New Roman"/>
          <w:sz w:val="24"/>
          <w:szCs w:val="24"/>
          <w:lang w:val="lt-LT"/>
        </w:rPr>
        <w:t>Lietuvos kredito unijų sistema sudaro</w:t>
      </w:r>
      <w:r w:rsidR="0068264F" w:rsidRPr="000D37F1">
        <w:rPr>
          <w:rFonts w:ascii="Times New Roman" w:hAnsi="Times New Roman" w:cs="Times New Roman"/>
          <w:sz w:val="24"/>
          <w:szCs w:val="24"/>
          <w:lang w:val="lt-LT"/>
        </w:rPr>
        <w:t>:</w:t>
      </w:r>
      <w:r w:rsidR="0033781F" w:rsidRPr="000D37F1">
        <w:rPr>
          <w:rFonts w:ascii="Times New Roman" w:hAnsi="Times New Roman" w:cs="Times New Roman"/>
          <w:sz w:val="24"/>
          <w:szCs w:val="24"/>
          <w:lang w:val="lt-LT"/>
        </w:rPr>
        <w:t xml:space="preserve"> Centrinė kredito unija, </w:t>
      </w:r>
      <w:r w:rsidR="000E772A" w:rsidRPr="000D37F1">
        <w:rPr>
          <w:rFonts w:ascii="Times New Roman" w:hAnsi="Times New Roman" w:cs="Times New Roman"/>
          <w:sz w:val="24"/>
          <w:szCs w:val="24"/>
          <w:lang w:val="lt-LT"/>
        </w:rPr>
        <w:t xml:space="preserve">63 </w:t>
      </w:r>
      <w:r w:rsidR="0033781F" w:rsidRPr="000D37F1">
        <w:rPr>
          <w:rFonts w:ascii="Times New Roman" w:hAnsi="Times New Roman" w:cs="Times New Roman"/>
          <w:sz w:val="24"/>
          <w:szCs w:val="24"/>
          <w:lang w:val="lt-LT"/>
        </w:rPr>
        <w:t>jai priklausančios kredito unijos ir 12 savarankiškai veikiančių kredito unijų</w:t>
      </w:r>
      <w:r w:rsidR="00F2748A" w:rsidRPr="000D37F1">
        <w:rPr>
          <w:rFonts w:ascii="Times New Roman" w:hAnsi="Times New Roman" w:cs="Times New Roman"/>
          <w:sz w:val="24"/>
          <w:szCs w:val="24"/>
          <w:lang w:val="lt-LT"/>
        </w:rPr>
        <w:t>. Kredito unijų nariais gali būti tiek fiziniai, tiek juridiniai asmenys, Lietuvoje didžiąją kredito unijų dalį sudaro žemdirbiai, profesinių sąjungų atstovai, smulkios ir vidutinės įmonės. Kredito unijos yra alternatyva tiems asmenims, kuri</w:t>
      </w:r>
      <w:r w:rsidR="0068264F" w:rsidRPr="000D37F1">
        <w:rPr>
          <w:rFonts w:ascii="Times New Roman" w:hAnsi="Times New Roman" w:cs="Times New Roman"/>
          <w:sz w:val="24"/>
          <w:szCs w:val="24"/>
          <w:lang w:val="lt-LT"/>
        </w:rPr>
        <w:t>ems</w:t>
      </w:r>
      <w:r w:rsidR="00F2748A" w:rsidRPr="000D37F1">
        <w:rPr>
          <w:rFonts w:ascii="Times New Roman" w:hAnsi="Times New Roman" w:cs="Times New Roman"/>
          <w:sz w:val="24"/>
          <w:szCs w:val="24"/>
          <w:lang w:val="lt-LT"/>
        </w:rPr>
        <w:t xml:space="preserve"> naudojimasis komercinių bankų paslaugomis yra ribotas, pvz.: žemdirbiai, negaunantys pastovių pajamų ar atlyginimo už samdomą darbą, turi ribotas galimybės pasiskolinti iš komercinio banko.</w:t>
      </w:r>
    </w:p>
    <w:p w:rsidR="00523881" w:rsidRPr="000D37F1" w:rsidRDefault="0085075D" w:rsidP="0090204D">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Pasaulinės kredito unijų tarybos duomenimis, </w:t>
      </w:r>
      <w:r w:rsidR="00F2748A" w:rsidRPr="000D37F1">
        <w:rPr>
          <w:rFonts w:ascii="Times New Roman" w:hAnsi="Times New Roman" w:cs="Times New Roman"/>
          <w:sz w:val="24"/>
          <w:szCs w:val="24"/>
          <w:lang w:val="lt-LT"/>
        </w:rPr>
        <w:t>2012 m. pabaigoje kredito unijos veikė 101 pasaulio valstyb</w:t>
      </w:r>
      <w:r w:rsidRPr="000D37F1">
        <w:rPr>
          <w:rFonts w:ascii="Times New Roman" w:hAnsi="Times New Roman" w:cs="Times New Roman"/>
          <w:sz w:val="24"/>
          <w:szCs w:val="24"/>
          <w:lang w:val="lt-LT"/>
        </w:rPr>
        <w:t>ėje ir vienijo daugiau nei 200 mln. narių. Visgi skirtingose šalyse kredito unijos vystosi nevienodai, kaip teigia</w:t>
      </w:r>
      <w:r w:rsidR="00436FB7" w:rsidRPr="000D37F1">
        <w:rPr>
          <w:rFonts w:ascii="Times New Roman" w:hAnsi="Times New Roman" w:cs="Times New Roman"/>
          <w:sz w:val="24"/>
          <w:szCs w:val="24"/>
          <w:lang w:val="lt-LT"/>
        </w:rPr>
        <w:t xml:space="preserve"> </w:t>
      </w:r>
      <w:proofErr w:type="spellStart"/>
      <w:r w:rsidR="0068264F" w:rsidRPr="000D37F1">
        <w:rPr>
          <w:rFonts w:ascii="Times New Roman" w:hAnsi="Times New Roman" w:cs="Times New Roman"/>
          <w:sz w:val="24"/>
          <w:szCs w:val="24"/>
          <w:lang w:val="lt-LT"/>
        </w:rPr>
        <w:t>McKillop</w:t>
      </w:r>
      <w:proofErr w:type="spellEnd"/>
      <w:r w:rsidR="0068264F" w:rsidRPr="000D37F1">
        <w:rPr>
          <w:rFonts w:ascii="Times New Roman" w:hAnsi="Times New Roman" w:cs="Times New Roman"/>
          <w:sz w:val="24"/>
          <w:szCs w:val="24"/>
          <w:lang w:val="lt-LT"/>
        </w:rPr>
        <w:t xml:space="preserve"> ir </w:t>
      </w:r>
      <w:proofErr w:type="spellStart"/>
      <w:r w:rsidR="0068264F" w:rsidRPr="000D37F1">
        <w:rPr>
          <w:rFonts w:ascii="Times New Roman" w:hAnsi="Times New Roman" w:cs="Times New Roman"/>
          <w:sz w:val="24"/>
          <w:szCs w:val="24"/>
          <w:lang w:val="lt-LT"/>
        </w:rPr>
        <w:t>kt</w:t>
      </w:r>
      <w:proofErr w:type="spellEnd"/>
      <w:r w:rsidR="0068264F" w:rsidRPr="000D37F1">
        <w:rPr>
          <w:rFonts w:ascii="Times New Roman" w:hAnsi="Times New Roman" w:cs="Times New Roman"/>
          <w:sz w:val="24"/>
          <w:szCs w:val="24"/>
          <w:lang w:val="lt-LT"/>
        </w:rPr>
        <w:t xml:space="preserve"> autoriai (2011). P</w:t>
      </w:r>
      <w:r w:rsidR="00F2748A" w:rsidRPr="000D37F1">
        <w:rPr>
          <w:rFonts w:ascii="Times New Roman" w:hAnsi="Times New Roman" w:cs="Times New Roman"/>
          <w:sz w:val="24"/>
          <w:szCs w:val="24"/>
          <w:lang w:val="lt-LT"/>
        </w:rPr>
        <w:t>agrindiniai veiksniai lemiantys netolygią kredito unijų plėtrą pasaulyje yra valstybės reguliavimas, ekonominis šalies išsivystymas, geografiniai ypatumai, tradicijos bei visuomenės požiūris į kredito unijas.</w:t>
      </w:r>
      <w:r w:rsidR="00833893">
        <w:rPr>
          <w:rFonts w:ascii="Times New Roman" w:hAnsi="Times New Roman" w:cs="Times New Roman"/>
          <w:sz w:val="24"/>
          <w:szCs w:val="24"/>
          <w:lang w:val="lt-LT"/>
        </w:rPr>
        <w:t xml:space="preserve"> </w:t>
      </w:r>
      <w:r w:rsidR="00CC21C7" w:rsidRPr="000D37F1">
        <w:rPr>
          <w:rFonts w:ascii="Times New Roman" w:hAnsi="Times New Roman" w:cs="Times New Roman"/>
          <w:sz w:val="24"/>
          <w:szCs w:val="24"/>
          <w:lang w:val="lt-LT"/>
        </w:rPr>
        <w:t xml:space="preserve">Anot </w:t>
      </w:r>
      <w:r w:rsidR="004205FB" w:rsidRPr="000D37F1">
        <w:rPr>
          <w:rFonts w:ascii="Times New Roman" w:hAnsi="Times New Roman" w:cs="Times New Roman"/>
          <w:sz w:val="24"/>
          <w:szCs w:val="24"/>
          <w:lang w:val="lt-LT"/>
        </w:rPr>
        <w:t xml:space="preserve">M. J. </w:t>
      </w:r>
      <w:proofErr w:type="spellStart"/>
      <w:r w:rsidR="004205FB" w:rsidRPr="000D37F1">
        <w:rPr>
          <w:rFonts w:ascii="Times New Roman" w:hAnsi="Times New Roman" w:cs="Times New Roman"/>
          <w:sz w:val="24"/>
          <w:szCs w:val="24"/>
          <w:lang w:val="lt-LT"/>
        </w:rPr>
        <w:t>Braga</w:t>
      </w:r>
      <w:proofErr w:type="spellEnd"/>
      <w:r w:rsidR="004205FB" w:rsidRPr="000D37F1">
        <w:rPr>
          <w:rFonts w:ascii="Times New Roman" w:hAnsi="Times New Roman" w:cs="Times New Roman"/>
          <w:sz w:val="24"/>
          <w:szCs w:val="24"/>
          <w:lang w:val="lt-LT"/>
        </w:rPr>
        <w:t xml:space="preserve"> ir </w:t>
      </w:r>
      <w:proofErr w:type="spellStart"/>
      <w:r w:rsidR="004205FB" w:rsidRPr="000D37F1">
        <w:rPr>
          <w:rFonts w:ascii="Times New Roman" w:hAnsi="Times New Roman" w:cs="Times New Roman"/>
          <w:sz w:val="24"/>
          <w:szCs w:val="24"/>
          <w:lang w:val="lt-LT"/>
        </w:rPr>
        <w:t>kt</w:t>
      </w:r>
      <w:proofErr w:type="spellEnd"/>
      <w:r w:rsidR="004205FB" w:rsidRPr="000D37F1">
        <w:rPr>
          <w:rFonts w:ascii="Times New Roman" w:hAnsi="Times New Roman" w:cs="Times New Roman"/>
          <w:sz w:val="24"/>
          <w:szCs w:val="24"/>
          <w:lang w:val="lt-LT"/>
        </w:rPr>
        <w:t>. (2006)</w:t>
      </w:r>
      <w:r w:rsidRPr="000D37F1">
        <w:rPr>
          <w:rFonts w:ascii="Times New Roman" w:hAnsi="Times New Roman" w:cs="Times New Roman"/>
          <w:sz w:val="24"/>
          <w:szCs w:val="24"/>
          <w:lang w:val="lt-LT"/>
        </w:rPr>
        <w:t xml:space="preserve">, </w:t>
      </w:r>
      <w:r w:rsidR="00CC21C7" w:rsidRPr="000D37F1">
        <w:rPr>
          <w:rFonts w:ascii="Times New Roman" w:hAnsi="Times New Roman" w:cs="Times New Roman"/>
          <w:sz w:val="24"/>
          <w:szCs w:val="24"/>
          <w:lang w:val="lt-LT"/>
        </w:rPr>
        <w:t xml:space="preserve">kredito unijų kūrimą lemia tai, kad komerciniai bankai taiko dideles palūkanų normas ir maržas, kas yra nepakeliama mažoms įmonėms ir žemesnes pajamas gaunantiems namų ūkiams. Šiek tiek panaši situacija yra ir Lietuvoje, kredito unijų nariai </w:t>
      </w:r>
      <w:r w:rsidR="00CC21C7" w:rsidRPr="000D37F1">
        <w:rPr>
          <w:rFonts w:ascii="Times New Roman" w:hAnsi="Times New Roman" w:cs="Times New Roman"/>
          <w:sz w:val="24"/>
          <w:szCs w:val="24"/>
          <w:lang w:val="lt-LT"/>
        </w:rPr>
        <w:lastRenderedPageBreak/>
        <w:t xml:space="preserve">paprastai būna tam tikros visuomenės grupės, kurias komerciniai bankai laiko rizikingomis dėl nepastovių arba dėl </w:t>
      </w:r>
      <w:r w:rsidRPr="000D37F1">
        <w:rPr>
          <w:rFonts w:ascii="Times New Roman" w:hAnsi="Times New Roman" w:cs="Times New Roman"/>
          <w:sz w:val="24"/>
          <w:szCs w:val="24"/>
          <w:lang w:val="lt-LT"/>
        </w:rPr>
        <w:t xml:space="preserve">mažų pajamų. Taigi </w:t>
      </w:r>
      <w:r w:rsidR="00CC21C7" w:rsidRPr="000D37F1">
        <w:rPr>
          <w:rFonts w:ascii="Times New Roman" w:hAnsi="Times New Roman" w:cs="Times New Roman"/>
          <w:sz w:val="24"/>
          <w:szCs w:val="24"/>
          <w:lang w:val="lt-LT"/>
        </w:rPr>
        <w:t>kredito unijos yra alternatyva komerciniams bankams ir užpildo mažiau pelningą rinkos dalį.</w:t>
      </w:r>
    </w:p>
    <w:p w:rsidR="00D04905" w:rsidRPr="000D37F1" w:rsidRDefault="00D04905" w:rsidP="00501B2F">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Reikšmingus tyrimus kredito unijų vystymosi klausimais yra atlikę D. </w:t>
      </w:r>
      <w:proofErr w:type="spellStart"/>
      <w:r w:rsidRPr="000D37F1">
        <w:rPr>
          <w:rFonts w:ascii="Times New Roman" w:hAnsi="Times New Roman" w:cs="Times New Roman"/>
          <w:sz w:val="24"/>
          <w:szCs w:val="24"/>
          <w:lang w:val="lt-LT"/>
        </w:rPr>
        <w:t>McKillop</w:t>
      </w:r>
      <w:proofErr w:type="spellEnd"/>
      <w:r w:rsidRPr="000D37F1">
        <w:rPr>
          <w:rFonts w:ascii="Times New Roman" w:hAnsi="Times New Roman" w:cs="Times New Roman"/>
          <w:sz w:val="24"/>
          <w:szCs w:val="24"/>
          <w:lang w:val="lt-LT"/>
        </w:rPr>
        <w:t xml:space="preserve">, P. </w:t>
      </w:r>
      <w:proofErr w:type="spellStart"/>
      <w:r w:rsidRPr="000D37F1">
        <w:rPr>
          <w:rFonts w:ascii="Times New Roman" w:hAnsi="Times New Roman" w:cs="Times New Roman"/>
          <w:sz w:val="24"/>
          <w:szCs w:val="24"/>
          <w:lang w:val="lt-LT"/>
        </w:rPr>
        <w:t>Goth</w:t>
      </w:r>
      <w:proofErr w:type="spellEnd"/>
      <w:r w:rsidRPr="000D37F1">
        <w:rPr>
          <w:rFonts w:ascii="Times New Roman" w:hAnsi="Times New Roman" w:cs="Times New Roman"/>
          <w:sz w:val="24"/>
          <w:szCs w:val="24"/>
          <w:lang w:val="lt-LT"/>
        </w:rPr>
        <w:t xml:space="preserve">, D. </w:t>
      </w:r>
      <w:proofErr w:type="spellStart"/>
      <w:r w:rsidRPr="000D37F1">
        <w:rPr>
          <w:rFonts w:ascii="Times New Roman" w:hAnsi="Times New Roman" w:cs="Times New Roman"/>
          <w:sz w:val="24"/>
          <w:szCs w:val="24"/>
          <w:lang w:val="lt-LT"/>
        </w:rPr>
        <w:t>Kaupelytė</w:t>
      </w:r>
      <w:proofErr w:type="spellEnd"/>
      <w:r w:rsidRPr="000D37F1">
        <w:rPr>
          <w:rFonts w:ascii="Times New Roman" w:hAnsi="Times New Roman" w:cs="Times New Roman"/>
          <w:sz w:val="24"/>
          <w:szCs w:val="24"/>
          <w:lang w:val="lt-LT"/>
        </w:rPr>
        <w:t xml:space="preserve">, J. </w:t>
      </w:r>
      <w:proofErr w:type="spellStart"/>
      <w:r w:rsidRPr="000D37F1">
        <w:rPr>
          <w:rFonts w:ascii="Times New Roman" w:hAnsi="Times New Roman" w:cs="Times New Roman"/>
          <w:sz w:val="24"/>
          <w:szCs w:val="24"/>
          <w:lang w:val="lt-LT"/>
        </w:rPr>
        <w:t>Igarytė</w:t>
      </w:r>
      <w:proofErr w:type="spellEnd"/>
      <w:r w:rsidRPr="000D37F1">
        <w:rPr>
          <w:rFonts w:ascii="Times New Roman" w:hAnsi="Times New Roman" w:cs="Times New Roman"/>
          <w:sz w:val="24"/>
          <w:szCs w:val="24"/>
          <w:lang w:val="lt-LT"/>
        </w:rPr>
        <w:t xml:space="preserve">, V. </w:t>
      </w:r>
      <w:proofErr w:type="spellStart"/>
      <w:r w:rsidRPr="000D37F1">
        <w:rPr>
          <w:rFonts w:ascii="Times New Roman" w:hAnsi="Times New Roman" w:cs="Times New Roman"/>
          <w:sz w:val="24"/>
          <w:szCs w:val="24"/>
          <w:lang w:val="lt-LT"/>
        </w:rPr>
        <w:t>Kėdaitis</w:t>
      </w:r>
      <w:proofErr w:type="spellEnd"/>
      <w:r w:rsidRPr="000D37F1">
        <w:rPr>
          <w:rFonts w:ascii="Times New Roman" w:hAnsi="Times New Roman" w:cs="Times New Roman"/>
          <w:sz w:val="24"/>
          <w:szCs w:val="24"/>
          <w:lang w:val="lt-LT"/>
        </w:rPr>
        <w:t xml:space="preserve">  bei </w:t>
      </w:r>
      <w:proofErr w:type="spellStart"/>
      <w:r w:rsidRPr="000D37F1">
        <w:rPr>
          <w:rFonts w:ascii="Times New Roman" w:hAnsi="Times New Roman" w:cs="Times New Roman"/>
          <w:sz w:val="24"/>
          <w:szCs w:val="24"/>
          <w:lang w:val="lt-LT"/>
        </w:rPr>
        <w:t>kt</w:t>
      </w:r>
      <w:proofErr w:type="spellEnd"/>
      <w:r w:rsidRPr="000D37F1">
        <w:rPr>
          <w:rFonts w:ascii="Times New Roman" w:hAnsi="Times New Roman" w:cs="Times New Roman"/>
          <w:sz w:val="24"/>
          <w:szCs w:val="24"/>
          <w:lang w:val="lt-LT"/>
        </w:rPr>
        <w:t>., jie daugiausia orientuojasi į kredito unijų veiklos perspektyvas, tendencijas, tam tikrus kredito unijų ypatumus ir pan. Lietuvos autoriai tiria analizuojamu laikotarpiu aktualias problemas, tokias kaip pasikeitęs Lietuvos Banko reguliavimas, kredito rizikos valdymas, rizikingumo vertinimas ir kt.</w:t>
      </w:r>
      <w:r w:rsidR="00501B2F" w:rsidRPr="000D37F1">
        <w:rPr>
          <w:rFonts w:ascii="Times New Roman" w:hAnsi="Times New Roman" w:cs="Times New Roman"/>
          <w:sz w:val="24"/>
          <w:szCs w:val="24"/>
          <w:lang w:val="lt-LT"/>
        </w:rPr>
        <w:t xml:space="preserve"> Užsienio autorių darbuose dažniausiai orientuojamasi į tam tikros šalies ar regiono kredito unijų analizę bei vertinimą, nes dažniausiai yra esminių skirtumų tarp šių kredito įstaigų, kurie atsiranda dėl tradicijų, valstybės reguliavimo ir teisės aktų palankumo kredito unijų plėtrai bei visuomenės požiūrio.</w:t>
      </w:r>
    </w:p>
    <w:p w:rsidR="00AB21F2" w:rsidRPr="000D37F1" w:rsidRDefault="00AB21F2" w:rsidP="00DC3240">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Kai kuriose valstybėse kredito unijų veikla prasidėjo XIX amžiuje, o pirmosios kredito unijos Lietuvoje įkurtos 1995 metais. Taigi v</w:t>
      </w:r>
      <w:r w:rsidR="00EB44F7" w:rsidRPr="000D37F1">
        <w:rPr>
          <w:rFonts w:ascii="Times New Roman" w:hAnsi="Times New Roman" w:cs="Times New Roman"/>
          <w:sz w:val="24"/>
          <w:szCs w:val="24"/>
          <w:lang w:val="lt-LT"/>
        </w:rPr>
        <w:t xml:space="preserve">ertinant pasauliniu mastu, kredito unijų tinklas Lietuvoje </w:t>
      </w:r>
      <w:r w:rsidR="00436FB7" w:rsidRPr="000D37F1">
        <w:rPr>
          <w:rFonts w:ascii="Times New Roman" w:hAnsi="Times New Roman" w:cs="Times New Roman"/>
          <w:sz w:val="24"/>
          <w:szCs w:val="24"/>
          <w:lang w:val="lt-LT"/>
        </w:rPr>
        <w:t xml:space="preserve">nėra brandus </w:t>
      </w:r>
      <w:r w:rsidR="003832D2">
        <w:rPr>
          <w:rFonts w:ascii="Times New Roman" w:hAnsi="Times New Roman" w:cs="Times New Roman"/>
          <w:sz w:val="24"/>
          <w:szCs w:val="24"/>
          <w:lang w:val="lt-LT"/>
        </w:rPr>
        <w:t>ar</w:t>
      </w:r>
      <w:r w:rsidR="00436FB7" w:rsidRPr="000D37F1">
        <w:rPr>
          <w:rFonts w:ascii="Times New Roman" w:hAnsi="Times New Roman" w:cs="Times New Roman"/>
          <w:sz w:val="24"/>
          <w:szCs w:val="24"/>
          <w:lang w:val="lt-LT"/>
        </w:rPr>
        <w:t xml:space="preserve"> turintis ilgas tradicijas, darbo metodus ir pan</w:t>
      </w:r>
      <w:r w:rsidR="003832D2">
        <w:rPr>
          <w:rFonts w:ascii="Times New Roman" w:hAnsi="Times New Roman" w:cs="Times New Roman"/>
          <w:sz w:val="24"/>
          <w:szCs w:val="24"/>
          <w:lang w:val="lt-LT"/>
        </w:rPr>
        <w:t>. A</w:t>
      </w:r>
      <w:r w:rsidR="00EB44F7" w:rsidRPr="000D37F1">
        <w:rPr>
          <w:rFonts w:ascii="Times New Roman" w:hAnsi="Times New Roman" w:cs="Times New Roman"/>
          <w:sz w:val="24"/>
          <w:szCs w:val="24"/>
          <w:lang w:val="lt-LT"/>
        </w:rPr>
        <w:t xml:space="preserve">utoriai </w:t>
      </w:r>
      <w:r w:rsidR="00523881" w:rsidRPr="000D37F1">
        <w:rPr>
          <w:rFonts w:ascii="Times New Roman" w:hAnsi="Times New Roman" w:cs="Times New Roman"/>
          <w:sz w:val="24"/>
          <w:szCs w:val="24"/>
          <w:lang w:val="lt-LT"/>
        </w:rPr>
        <w:t xml:space="preserve">D. </w:t>
      </w:r>
      <w:proofErr w:type="spellStart"/>
      <w:r w:rsidR="00523881" w:rsidRPr="000D37F1">
        <w:rPr>
          <w:rFonts w:ascii="Times New Roman" w:hAnsi="Times New Roman" w:cs="Times New Roman"/>
          <w:sz w:val="24"/>
          <w:szCs w:val="24"/>
          <w:lang w:val="lt-LT"/>
        </w:rPr>
        <w:t>Mc</w:t>
      </w:r>
      <w:r w:rsidR="00436FB7" w:rsidRPr="000D37F1">
        <w:rPr>
          <w:rFonts w:ascii="Times New Roman" w:hAnsi="Times New Roman" w:cs="Times New Roman"/>
          <w:sz w:val="24"/>
          <w:szCs w:val="24"/>
          <w:lang w:val="lt-LT"/>
        </w:rPr>
        <w:t>Killop</w:t>
      </w:r>
      <w:proofErr w:type="spellEnd"/>
      <w:r w:rsidR="00436FB7" w:rsidRPr="000D37F1">
        <w:rPr>
          <w:rFonts w:ascii="Times New Roman" w:hAnsi="Times New Roman" w:cs="Times New Roman"/>
          <w:sz w:val="24"/>
          <w:szCs w:val="24"/>
          <w:lang w:val="lt-LT"/>
        </w:rPr>
        <w:t xml:space="preserve"> ir J. O.S. </w:t>
      </w:r>
      <w:proofErr w:type="spellStart"/>
      <w:r w:rsidR="00436FB7" w:rsidRPr="000D37F1">
        <w:rPr>
          <w:rFonts w:ascii="Times New Roman" w:hAnsi="Times New Roman" w:cs="Times New Roman"/>
          <w:sz w:val="24"/>
          <w:szCs w:val="24"/>
          <w:lang w:val="lt-LT"/>
        </w:rPr>
        <w:t>Wilson</w:t>
      </w:r>
      <w:proofErr w:type="spellEnd"/>
      <w:r w:rsidR="00436FB7" w:rsidRPr="000D37F1">
        <w:rPr>
          <w:rFonts w:ascii="Times New Roman" w:hAnsi="Times New Roman" w:cs="Times New Roman"/>
          <w:sz w:val="24"/>
          <w:szCs w:val="24"/>
          <w:lang w:val="lt-LT"/>
        </w:rPr>
        <w:t xml:space="preserve"> (2011</w:t>
      </w:r>
      <w:r w:rsidR="00523881" w:rsidRPr="000D37F1">
        <w:rPr>
          <w:rFonts w:ascii="Times New Roman" w:hAnsi="Times New Roman" w:cs="Times New Roman"/>
          <w:sz w:val="24"/>
          <w:szCs w:val="24"/>
          <w:lang w:val="lt-LT"/>
        </w:rPr>
        <w:t>)</w:t>
      </w:r>
      <w:r w:rsidR="00EB44F7" w:rsidRPr="000D37F1">
        <w:rPr>
          <w:rFonts w:ascii="Times New Roman" w:hAnsi="Times New Roman" w:cs="Times New Roman"/>
          <w:sz w:val="24"/>
          <w:szCs w:val="24"/>
          <w:lang w:val="lt-LT"/>
        </w:rPr>
        <w:t xml:space="preserve">, kurie yra atlikę daug tyrimų kredito unijų tema, </w:t>
      </w:r>
      <w:r w:rsidR="003832D2">
        <w:rPr>
          <w:rFonts w:ascii="Times New Roman" w:hAnsi="Times New Roman" w:cs="Times New Roman"/>
          <w:sz w:val="24"/>
          <w:szCs w:val="24"/>
          <w:lang w:val="lt-LT"/>
        </w:rPr>
        <w:t>kredito unijas</w:t>
      </w:r>
      <w:r w:rsidR="00523881" w:rsidRPr="000D37F1">
        <w:rPr>
          <w:rFonts w:ascii="Times New Roman" w:hAnsi="Times New Roman" w:cs="Times New Roman"/>
          <w:sz w:val="24"/>
          <w:szCs w:val="24"/>
          <w:lang w:val="lt-LT"/>
        </w:rPr>
        <w:t xml:space="preserve"> skirsto į tris grupes pagal išsivystym</w:t>
      </w:r>
      <w:r w:rsidR="004F7BDC" w:rsidRPr="000D37F1">
        <w:rPr>
          <w:rFonts w:ascii="Times New Roman" w:hAnsi="Times New Roman" w:cs="Times New Roman"/>
          <w:sz w:val="24"/>
          <w:szCs w:val="24"/>
          <w:lang w:val="lt-LT"/>
        </w:rPr>
        <w:t>o lygį</w:t>
      </w:r>
      <w:r w:rsidR="00523881" w:rsidRPr="000D37F1">
        <w:rPr>
          <w:rFonts w:ascii="Times New Roman" w:hAnsi="Times New Roman" w:cs="Times New Roman"/>
          <w:sz w:val="24"/>
          <w:szCs w:val="24"/>
          <w:lang w:val="lt-LT"/>
        </w:rPr>
        <w:t>: bran</w:t>
      </w:r>
      <w:r w:rsidR="00EB44F7" w:rsidRPr="000D37F1">
        <w:rPr>
          <w:rFonts w:ascii="Times New Roman" w:hAnsi="Times New Roman" w:cs="Times New Roman"/>
          <w:sz w:val="24"/>
          <w:szCs w:val="24"/>
          <w:lang w:val="lt-LT"/>
        </w:rPr>
        <w:t xml:space="preserve">da, pereinamasis laikotarpis ir </w:t>
      </w:r>
      <w:r w:rsidR="00523881" w:rsidRPr="000D37F1">
        <w:rPr>
          <w:rFonts w:ascii="Times New Roman" w:hAnsi="Times New Roman" w:cs="Times New Roman"/>
          <w:sz w:val="24"/>
          <w:szCs w:val="24"/>
          <w:lang w:val="lt-LT"/>
        </w:rPr>
        <w:t>kūrimosi etapas</w:t>
      </w:r>
      <w:r w:rsidR="003832D2">
        <w:rPr>
          <w:rFonts w:ascii="Times New Roman" w:hAnsi="Times New Roman" w:cs="Times New Roman"/>
          <w:sz w:val="24"/>
          <w:szCs w:val="24"/>
          <w:lang w:val="lt-LT"/>
        </w:rPr>
        <w:t xml:space="preserve"> ir </w:t>
      </w:r>
      <w:r w:rsidRPr="000D37F1">
        <w:rPr>
          <w:rFonts w:ascii="Times New Roman" w:hAnsi="Times New Roman" w:cs="Times New Roman"/>
          <w:sz w:val="24"/>
          <w:szCs w:val="24"/>
          <w:lang w:val="lt-LT"/>
        </w:rPr>
        <w:t xml:space="preserve"> </w:t>
      </w:r>
      <w:r w:rsidR="00523881" w:rsidRPr="000D37F1">
        <w:rPr>
          <w:rFonts w:ascii="Times New Roman" w:hAnsi="Times New Roman" w:cs="Times New Roman"/>
          <w:sz w:val="24"/>
          <w:szCs w:val="24"/>
          <w:lang w:val="lt-LT"/>
        </w:rPr>
        <w:t>Lietuvos kredito unijų judėjimą priskiria pereinamajam laikotarpiui</w:t>
      </w:r>
      <w:r w:rsidR="0081033F" w:rsidRPr="000D37F1">
        <w:rPr>
          <w:rFonts w:ascii="Times New Roman" w:hAnsi="Times New Roman" w:cs="Times New Roman"/>
          <w:sz w:val="24"/>
          <w:szCs w:val="24"/>
          <w:lang w:val="lt-LT"/>
        </w:rPr>
        <w:t xml:space="preserve">. Anot J. </w:t>
      </w:r>
      <w:proofErr w:type="spellStart"/>
      <w:r w:rsidR="0081033F" w:rsidRPr="000D37F1">
        <w:rPr>
          <w:rFonts w:ascii="Times New Roman" w:hAnsi="Times New Roman" w:cs="Times New Roman"/>
          <w:sz w:val="24"/>
          <w:szCs w:val="24"/>
          <w:lang w:val="lt-LT"/>
        </w:rPr>
        <w:t>Igarytės</w:t>
      </w:r>
      <w:proofErr w:type="spellEnd"/>
      <w:r w:rsidR="0081033F" w:rsidRPr="000D37F1">
        <w:rPr>
          <w:rFonts w:ascii="Times New Roman" w:hAnsi="Times New Roman" w:cs="Times New Roman"/>
          <w:sz w:val="24"/>
          <w:szCs w:val="24"/>
          <w:lang w:val="lt-LT"/>
        </w:rPr>
        <w:t xml:space="preserve"> ir J, Ramanausko (</w:t>
      </w:r>
      <w:r w:rsidR="00981B62" w:rsidRPr="000D37F1">
        <w:rPr>
          <w:rFonts w:ascii="Times New Roman" w:hAnsi="Times New Roman" w:cs="Times New Roman"/>
          <w:sz w:val="24"/>
          <w:szCs w:val="24"/>
          <w:lang w:val="lt-LT"/>
        </w:rPr>
        <w:t xml:space="preserve">2011), </w:t>
      </w:r>
      <w:r w:rsidRPr="000D37F1">
        <w:rPr>
          <w:rFonts w:ascii="Times New Roman" w:hAnsi="Times New Roman" w:cs="Times New Roman"/>
          <w:sz w:val="24"/>
          <w:szCs w:val="24"/>
          <w:lang w:val="lt-LT"/>
        </w:rPr>
        <w:t>Lietuvos kredito unijų perėjimą</w:t>
      </w:r>
      <w:r w:rsidR="003832D2">
        <w:rPr>
          <w:rFonts w:ascii="Times New Roman" w:hAnsi="Times New Roman" w:cs="Times New Roman"/>
          <w:sz w:val="24"/>
          <w:szCs w:val="24"/>
          <w:lang w:val="lt-LT"/>
        </w:rPr>
        <w:t xml:space="preserve"> iš kūrimosi </w:t>
      </w:r>
      <w:r w:rsidRPr="000D37F1">
        <w:rPr>
          <w:rFonts w:ascii="Times New Roman" w:hAnsi="Times New Roman" w:cs="Times New Roman"/>
          <w:sz w:val="24"/>
          <w:szCs w:val="24"/>
          <w:lang w:val="lt-LT"/>
        </w:rPr>
        <w:t xml:space="preserve"> į kitą etapą</w:t>
      </w:r>
      <w:r w:rsidR="00833893">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lėmė </w:t>
      </w:r>
      <w:r w:rsidR="0081033F" w:rsidRPr="000D37F1">
        <w:rPr>
          <w:rFonts w:ascii="Times New Roman" w:hAnsi="Times New Roman" w:cs="Times New Roman"/>
          <w:sz w:val="24"/>
          <w:szCs w:val="24"/>
          <w:lang w:val="lt-LT"/>
        </w:rPr>
        <w:t>pastaraisiais metais pastebimas kredito unijų stambėjimas</w:t>
      </w:r>
      <w:r w:rsidR="003832D2">
        <w:rPr>
          <w:rFonts w:ascii="Times New Roman" w:hAnsi="Times New Roman" w:cs="Times New Roman"/>
          <w:sz w:val="24"/>
          <w:szCs w:val="24"/>
          <w:lang w:val="lt-LT"/>
        </w:rPr>
        <w:t xml:space="preserve"> (kredito unijų skaičius auga lėčiau nei narių skaičius)</w:t>
      </w:r>
      <w:r w:rsidR="0081033F" w:rsidRPr="000D37F1">
        <w:rPr>
          <w:rFonts w:ascii="Times New Roman" w:hAnsi="Times New Roman" w:cs="Times New Roman"/>
          <w:sz w:val="24"/>
          <w:szCs w:val="24"/>
          <w:lang w:val="lt-LT"/>
        </w:rPr>
        <w:t>, nariams teikiamas didesnis diversifikuotų paslaugų spektras, kredito unijos įgyja vis didesnę įtaką šalies ekonomikoje, keičiamas įstatyminis reguliavimas, išplečiamos narystės sąlygos ir kt.</w:t>
      </w:r>
      <w:r w:rsidR="00981B62" w:rsidRPr="000D37F1">
        <w:rPr>
          <w:rFonts w:ascii="Times New Roman" w:hAnsi="Times New Roman" w:cs="Times New Roman"/>
          <w:sz w:val="24"/>
          <w:szCs w:val="24"/>
          <w:lang w:val="lt-LT"/>
        </w:rPr>
        <w:t xml:space="preserve"> D. </w:t>
      </w:r>
      <w:proofErr w:type="spellStart"/>
      <w:r w:rsidR="00981B62" w:rsidRPr="000D37F1">
        <w:rPr>
          <w:rFonts w:ascii="Times New Roman" w:hAnsi="Times New Roman" w:cs="Times New Roman"/>
          <w:sz w:val="24"/>
          <w:szCs w:val="24"/>
          <w:lang w:val="lt-LT"/>
        </w:rPr>
        <w:t>McKillop</w:t>
      </w:r>
      <w:proofErr w:type="spellEnd"/>
      <w:r w:rsidR="00981B62" w:rsidRPr="000D37F1">
        <w:rPr>
          <w:rFonts w:ascii="Times New Roman" w:hAnsi="Times New Roman" w:cs="Times New Roman"/>
          <w:sz w:val="24"/>
          <w:szCs w:val="24"/>
          <w:lang w:val="lt-LT"/>
        </w:rPr>
        <w:t xml:space="preserve"> ir J. O.S. </w:t>
      </w:r>
      <w:proofErr w:type="spellStart"/>
      <w:r w:rsidR="00981B62" w:rsidRPr="000D37F1">
        <w:rPr>
          <w:rFonts w:ascii="Times New Roman" w:hAnsi="Times New Roman" w:cs="Times New Roman"/>
          <w:sz w:val="24"/>
          <w:szCs w:val="24"/>
          <w:lang w:val="lt-LT"/>
        </w:rPr>
        <w:t>Wilson</w:t>
      </w:r>
      <w:proofErr w:type="spellEnd"/>
      <w:r w:rsidR="00981B62" w:rsidRPr="000D37F1">
        <w:rPr>
          <w:rFonts w:ascii="Times New Roman" w:hAnsi="Times New Roman" w:cs="Times New Roman"/>
          <w:sz w:val="24"/>
          <w:szCs w:val="24"/>
          <w:lang w:val="lt-LT"/>
        </w:rPr>
        <w:t xml:space="preserve"> (2011)</w:t>
      </w:r>
      <w:r w:rsidR="00523881" w:rsidRPr="000D37F1">
        <w:rPr>
          <w:rFonts w:ascii="Times New Roman" w:hAnsi="Times New Roman" w:cs="Times New Roman"/>
          <w:sz w:val="24"/>
          <w:szCs w:val="24"/>
          <w:lang w:val="lt-LT"/>
        </w:rPr>
        <w:t xml:space="preserve"> Lietuvos kredito unijų įsiskverbimą </w:t>
      </w:r>
      <w:r w:rsidRPr="000D37F1">
        <w:rPr>
          <w:rFonts w:ascii="Times New Roman" w:hAnsi="Times New Roman" w:cs="Times New Roman"/>
          <w:sz w:val="24"/>
          <w:szCs w:val="24"/>
          <w:lang w:val="lt-LT"/>
        </w:rPr>
        <w:t>sugretina</w:t>
      </w:r>
      <w:r w:rsidR="00523881" w:rsidRPr="000D37F1">
        <w:rPr>
          <w:rFonts w:ascii="Times New Roman" w:hAnsi="Times New Roman" w:cs="Times New Roman"/>
          <w:sz w:val="24"/>
          <w:szCs w:val="24"/>
          <w:lang w:val="lt-LT"/>
        </w:rPr>
        <w:t xml:space="preserve"> Didžiosios Britanijos kr</w:t>
      </w:r>
      <w:r w:rsidR="00981B62" w:rsidRPr="000D37F1">
        <w:rPr>
          <w:rFonts w:ascii="Times New Roman" w:hAnsi="Times New Roman" w:cs="Times New Roman"/>
          <w:sz w:val="24"/>
          <w:szCs w:val="24"/>
          <w:lang w:val="lt-LT"/>
        </w:rPr>
        <w:t xml:space="preserve">edito unijų įsiskverbimo lygiui, kurį </w:t>
      </w:r>
      <w:r w:rsidR="00B33AB1" w:rsidRPr="000D37F1">
        <w:rPr>
          <w:rFonts w:ascii="Times New Roman" w:hAnsi="Times New Roman" w:cs="Times New Roman"/>
          <w:sz w:val="24"/>
          <w:szCs w:val="24"/>
          <w:lang w:val="lt-LT"/>
        </w:rPr>
        <w:t>šie autoriai skaičiuoja bendrą šalies kredito unijų skaičių dalindami iš ekonomi</w:t>
      </w:r>
      <w:r w:rsidR="00981B62" w:rsidRPr="000D37F1">
        <w:rPr>
          <w:rFonts w:ascii="Times New Roman" w:hAnsi="Times New Roman" w:cs="Times New Roman"/>
          <w:sz w:val="24"/>
          <w:szCs w:val="24"/>
          <w:lang w:val="lt-LT"/>
        </w:rPr>
        <w:t xml:space="preserve">škai </w:t>
      </w:r>
      <w:r w:rsidR="00B33AB1" w:rsidRPr="000D37F1">
        <w:rPr>
          <w:rFonts w:ascii="Times New Roman" w:hAnsi="Times New Roman" w:cs="Times New Roman"/>
          <w:sz w:val="24"/>
          <w:szCs w:val="24"/>
          <w:lang w:val="lt-LT"/>
        </w:rPr>
        <w:t>aktyvios populiacijos (galinčių</w:t>
      </w:r>
      <w:r w:rsidR="00981B62" w:rsidRPr="000D37F1">
        <w:rPr>
          <w:rFonts w:ascii="Times New Roman" w:hAnsi="Times New Roman" w:cs="Times New Roman"/>
          <w:sz w:val="24"/>
          <w:szCs w:val="24"/>
          <w:lang w:val="lt-LT"/>
        </w:rPr>
        <w:t>jų</w:t>
      </w:r>
      <w:r w:rsidR="00B33AB1" w:rsidRPr="000D37F1">
        <w:rPr>
          <w:rFonts w:ascii="Times New Roman" w:hAnsi="Times New Roman" w:cs="Times New Roman"/>
          <w:sz w:val="24"/>
          <w:szCs w:val="24"/>
          <w:lang w:val="lt-LT"/>
        </w:rPr>
        <w:t xml:space="preserve"> būti kredito unijų klientais).</w:t>
      </w:r>
    </w:p>
    <w:p w:rsidR="00501B2F" w:rsidRDefault="00892B19" w:rsidP="000F03B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Atsižvelgiant į tai, kuriame vystymosi etape yra kredito unijos, keičiasi tam tikri kredito unijų reguliavimo ir patiriamos rizikos aspektai, vystymosi lygis nustatomas visos valstybės mastu. </w:t>
      </w:r>
      <w:r w:rsidR="00A8534A" w:rsidRPr="000D37F1">
        <w:rPr>
          <w:rFonts w:ascii="Times New Roman" w:hAnsi="Times New Roman" w:cs="Times New Roman"/>
          <w:sz w:val="24"/>
          <w:szCs w:val="24"/>
          <w:lang w:val="lt-LT"/>
        </w:rPr>
        <w:t xml:space="preserve">Anot K. </w:t>
      </w:r>
      <w:proofErr w:type="spellStart"/>
      <w:r w:rsidR="00A8534A" w:rsidRPr="000D37F1">
        <w:rPr>
          <w:rFonts w:ascii="Times New Roman" w:hAnsi="Times New Roman" w:cs="Times New Roman"/>
          <w:sz w:val="24"/>
          <w:szCs w:val="24"/>
          <w:lang w:val="lt-LT"/>
        </w:rPr>
        <w:t>Levišauskaitės</w:t>
      </w:r>
      <w:proofErr w:type="spellEnd"/>
      <w:r w:rsidR="00A8534A" w:rsidRPr="000D37F1">
        <w:rPr>
          <w:rFonts w:ascii="Times New Roman" w:hAnsi="Times New Roman" w:cs="Times New Roman"/>
          <w:sz w:val="24"/>
          <w:szCs w:val="24"/>
          <w:lang w:val="lt-LT"/>
        </w:rPr>
        <w:t xml:space="preserve"> ir D. </w:t>
      </w:r>
      <w:proofErr w:type="spellStart"/>
      <w:r w:rsidR="00A8534A" w:rsidRPr="000D37F1">
        <w:rPr>
          <w:rFonts w:ascii="Times New Roman" w:hAnsi="Times New Roman" w:cs="Times New Roman"/>
          <w:sz w:val="24"/>
          <w:szCs w:val="24"/>
          <w:lang w:val="lt-LT"/>
        </w:rPr>
        <w:t>Kaupelytės</w:t>
      </w:r>
      <w:proofErr w:type="spellEnd"/>
      <w:r w:rsidR="00A8534A" w:rsidRPr="000D37F1">
        <w:rPr>
          <w:rFonts w:ascii="Times New Roman" w:hAnsi="Times New Roman" w:cs="Times New Roman"/>
          <w:sz w:val="24"/>
          <w:szCs w:val="24"/>
          <w:lang w:val="lt-LT"/>
        </w:rPr>
        <w:t xml:space="preserve"> (2005), rizikos valdymo reguliavimas ir ypatumai kredito unijose priklauso nuo to, kuriame išsivystymo lygyje yra kredito unijos, </w:t>
      </w:r>
      <w:r w:rsidR="00981B62" w:rsidRPr="000D37F1">
        <w:rPr>
          <w:rFonts w:ascii="Times New Roman" w:hAnsi="Times New Roman" w:cs="Times New Roman"/>
          <w:sz w:val="24"/>
          <w:szCs w:val="24"/>
          <w:lang w:val="lt-LT"/>
        </w:rPr>
        <w:t>o</w:t>
      </w:r>
      <w:r w:rsidR="00A8534A" w:rsidRPr="000D37F1">
        <w:rPr>
          <w:rFonts w:ascii="Times New Roman" w:hAnsi="Times New Roman" w:cs="Times New Roman"/>
          <w:sz w:val="24"/>
          <w:szCs w:val="24"/>
          <w:lang w:val="lt-LT"/>
        </w:rPr>
        <w:t xml:space="preserve"> kredito unijai vystantis (pereinant į kitus etapas) jos rizikingumas turėtų mažėti</w:t>
      </w:r>
      <w:r w:rsidRPr="000D37F1">
        <w:rPr>
          <w:rFonts w:ascii="Times New Roman" w:hAnsi="Times New Roman" w:cs="Times New Roman"/>
          <w:sz w:val="24"/>
          <w:szCs w:val="24"/>
          <w:lang w:val="lt-LT"/>
        </w:rPr>
        <w:t xml:space="preserve">. Pasak autorių, </w:t>
      </w:r>
      <w:r w:rsidRPr="000D37F1">
        <w:rPr>
          <w:rFonts w:ascii="Times New Roman" w:hAnsi="Times New Roman" w:cs="Times New Roman"/>
          <w:sz w:val="24"/>
          <w:szCs w:val="24"/>
          <w:lang w:val="lt-LT"/>
        </w:rPr>
        <w:lastRenderedPageBreak/>
        <w:t>b</w:t>
      </w:r>
      <w:r w:rsidR="00981B62" w:rsidRPr="000D37F1">
        <w:rPr>
          <w:rFonts w:ascii="Times New Roman" w:hAnsi="Times New Roman" w:cs="Times New Roman"/>
          <w:sz w:val="24"/>
          <w:szCs w:val="24"/>
          <w:lang w:val="lt-LT"/>
        </w:rPr>
        <w:t>randos</w:t>
      </w:r>
      <w:r w:rsidR="00317BFF" w:rsidRPr="000D37F1">
        <w:rPr>
          <w:rFonts w:ascii="Times New Roman" w:hAnsi="Times New Roman" w:cs="Times New Roman"/>
          <w:sz w:val="24"/>
          <w:szCs w:val="24"/>
          <w:lang w:val="lt-LT"/>
        </w:rPr>
        <w:t xml:space="preserve"> etape esančių kredito unijų veikla Europos bankų sistemoje yra reguliuojama pagal tas pačias taisykles kaip ir jų konkurentai – komerciniai bankai, tačiau </w:t>
      </w:r>
      <w:r w:rsidRPr="000D37F1">
        <w:rPr>
          <w:rFonts w:ascii="Times New Roman" w:hAnsi="Times New Roman" w:cs="Times New Roman"/>
          <w:sz w:val="24"/>
          <w:szCs w:val="24"/>
          <w:lang w:val="lt-LT"/>
        </w:rPr>
        <w:t>žemesniame išsivystymo lygyje esančių valstybių, kaip ir Lietuvos atveju</w:t>
      </w:r>
      <w:r w:rsidR="00317BFF" w:rsidRPr="000D37F1">
        <w:rPr>
          <w:rFonts w:ascii="Times New Roman" w:hAnsi="Times New Roman" w:cs="Times New Roman"/>
          <w:sz w:val="24"/>
          <w:szCs w:val="24"/>
          <w:lang w:val="lt-LT"/>
        </w:rPr>
        <w:t xml:space="preserve">, </w:t>
      </w:r>
      <w:r w:rsidR="00981B62" w:rsidRPr="000D37F1">
        <w:rPr>
          <w:rFonts w:ascii="Times New Roman" w:hAnsi="Times New Roman" w:cs="Times New Roman"/>
          <w:sz w:val="24"/>
          <w:szCs w:val="24"/>
          <w:lang w:val="lt-LT"/>
        </w:rPr>
        <w:t>kredito unijoms yra</w:t>
      </w:r>
      <w:r w:rsidRPr="000D37F1">
        <w:rPr>
          <w:rFonts w:ascii="Times New Roman" w:hAnsi="Times New Roman" w:cs="Times New Roman"/>
          <w:sz w:val="24"/>
          <w:szCs w:val="24"/>
          <w:lang w:val="lt-LT"/>
        </w:rPr>
        <w:t xml:space="preserve"> taikomi skirtingi reikalavimai, nes kredito unijos yra ženkliai mažesnės už pastarąsias kredito įstaigas.</w:t>
      </w:r>
    </w:p>
    <w:p w:rsidR="000F03BC" w:rsidRDefault="00266693" w:rsidP="000F03BC">
      <w:pPr>
        <w:spacing w:line="360" w:lineRule="auto"/>
        <w:ind w:firstLine="720"/>
        <w:jc w:val="both"/>
        <w:rPr>
          <w:rFonts w:ascii="Times New Roman" w:hAnsi="Times New Roman" w:cs="Times New Roman"/>
          <w:sz w:val="24"/>
          <w:szCs w:val="24"/>
          <w:lang w:val="lt-LT"/>
        </w:rPr>
      </w:pPr>
      <w:r w:rsidRPr="00BA23C0">
        <w:rPr>
          <w:rFonts w:ascii="Times New Roman" w:hAnsi="Times New Roman" w:cs="Times New Roman"/>
          <w:sz w:val="24"/>
          <w:szCs w:val="24"/>
          <w:lang w:val="lt-LT"/>
        </w:rPr>
        <w:t>Apibendrinant šį poskyrį galima</w:t>
      </w:r>
      <w:r w:rsidR="003832D2">
        <w:rPr>
          <w:rFonts w:ascii="Times New Roman" w:hAnsi="Times New Roman" w:cs="Times New Roman"/>
          <w:sz w:val="24"/>
          <w:szCs w:val="24"/>
          <w:lang w:val="lt-LT"/>
        </w:rPr>
        <w:t xml:space="preserve"> teigti</w:t>
      </w:r>
      <w:r w:rsidR="00BA23C0">
        <w:rPr>
          <w:rFonts w:ascii="Times New Roman" w:hAnsi="Times New Roman" w:cs="Times New Roman"/>
          <w:sz w:val="24"/>
          <w:szCs w:val="24"/>
          <w:lang w:val="lt-LT"/>
        </w:rPr>
        <w:t xml:space="preserve">, </w:t>
      </w:r>
      <w:r w:rsidR="00994277">
        <w:rPr>
          <w:rFonts w:ascii="Times New Roman" w:hAnsi="Times New Roman" w:cs="Times New Roman"/>
          <w:sz w:val="24"/>
          <w:szCs w:val="24"/>
          <w:lang w:val="lt-LT"/>
        </w:rPr>
        <w:t>a</w:t>
      </w:r>
      <w:r w:rsidRPr="00BA23C0">
        <w:rPr>
          <w:rFonts w:ascii="Times New Roman" w:hAnsi="Times New Roman" w:cs="Times New Roman"/>
          <w:sz w:val="24"/>
          <w:szCs w:val="24"/>
          <w:lang w:val="lt-LT"/>
        </w:rPr>
        <w:t>utoriai</w:t>
      </w:r>
      <w:r w:rsidR="00BA23C0">
        <w:rPr>
          <w:rFonts w:ascii="Times New Roman" w:hAnsi="Times New Roman" w:cs="Times New Roman"/>
          <w:sz w:val="24"/>
          <w:szCs w:val="24"/>
          <w:lang w:val="lt-LT"/>
        </w:rPr>
        <w:t>, analizavę kredito unijų veikl</w:t>
      </w:r>
      <w:r w:rsidR="00994277">
        <w:rPr>
          <w:rFonts w:ascii="Times New Roman" w:hAnsi="Times New Roman" w:cs="Times New Roman"/>
          <w:sz w:val="24"/>
          <w:szCs w:val="24"/>
          <w:lang w:val="lt-LT"/>
        </w:rPr>
        <w:t>ą</w:t>
      </w:r>
      <w:r w:rsidR="00BA23C0">
        <w:rPr>
          <w:rFonts w:ascii="Times New Roman" w:hAnsi="Times New Roman" w:cs="Times New Roman"/>
          <w:sz w:val="24"/>
          <w:szCs w:val="24"/>
          <w:lang w:val="lt-LT"/>
        </w:rPr>
        <w:t xml:space="preserve"> sutaria, </w:t>
      </w:r>
      <w:r w:rsidRPr="00BA23C0">
        <w:rPr>
          <w:rFonts w:ascii="Times New Roman" w:hAnsi="Times New Roman" w:cs="Times New Roman"/>
          <w:sz w:val="24"/>
          <w:szCs w:val="24"/>
          <w:lang w:val="lt-LT"/>
        </w:rPr>
        <w:t xml:space="preserve">kad kredito unijų </w:t>
      </w:r>
      <w:r w:rsidR="00BA23C0">
        <w:rPr>
          <w:rFonts w:ascii="Times New Roman" w:hAnsi="Times New Roman" w:cs="Times New Roman"/>
          <w:sz w:val="24"/>
          <w:szCs w:val="24"/>
          <w:lang w:val="lt-LT"/>
        </w:rPr>
        <w:t>veiklos rizika</w:t>
      </w:r>
      <w:r w:rsidRPr="00BA23C0">
        <w:rPr>
          <w:rFonts w:ascii="Times New Roman" w:hAnsi="Times New Roman" w:cs="Times New Roman"/>
          <w:sz w:val="24"/>
          <w:szCs w:val="24"/>
          <w:lang w:val="lt-LT"/>
        </w:rPr>
        <w:t xml:space="preserve"> priklauso nuo to, kuriame išsivystymo lygyje yra  šalies kredito unijų sistema.</w:t>
      </w:r>
      <w:r>
        <w:rPr>
          <w:rFonts w:ascii="Times New Roman" w:hAnsi="Times New Roman" w:cs="Times New Roman"/>
          <w:sz w:val="24"/>
          <w:szCs w:val="24"/>
          <w:lang w:val="lt-LT"/>
        </w:rPr>
        <w:t xml:space="preserve"> </w:t>
      </w:r>
      <w:r w:rsidR="00994277">
        <w:rPr>
          <w:rFonts w:ascii="Times New Roman" w:hAnsi="Times New Roman" w:cs="Times New Roman"/>
          <w:sz w:val="24"/>
          <w:szCs w:val="24"/>
          <w:lang w:val="lt-LT"/>
        </w:rPr>
        <w:t>Kredito unijų sistemai vystantis susiduriama su kitomis rizikos rūšimis, tačiau veiklos rizikingumas turėtų mažėti.</w:t>
      </w:r>
    </w:p>
    <w:p w:rsidR="00892B19" w:rsidRPr="00450C32" w:rsidRDefault="001E58B0" w:rsidP="00A2704E">
      <w:pPr>
        <w:pStyle w:val="Heading2"/>
        <w:numPr>
          <w:ilvl w:val="1"/>
          <w:numId w:val="36"/>
        </w:numPr>
        <w:jc w:val="center"/>
        <w:rPr>
          <w:rFonts w:ascii="Times New Roman" w:hAnsi="Times New Roman" w:cs="Times New Roman"/>
          <w:color w:val="auto"/>
          <w:sz w:val="24"/>
          <w:szCs w:val="24"/>
          <w:lang w:val="lt-LT"/>
        </w:rPr>
      </w:pPr>
      <w:bookmarkStart w:id="12" w:name="_Toc383782866"/>
      <w:r>
        <w:rPr>
          <w:rFonts w:ascii="Times New Roman" w:hAnsi="Times New Roman" w:cs="Times New Roman"/>
          <w:color w:val="auto"/>
          <w:sz w:val="24"/>
          <w:szCs w:val="24"/>
          <w:lang w:val="lt-LT"/>
        </w:rPr>
        <w:t xml:space="preserve"> </w:t>
      </w:r>
      <w:bookmarkStart w:id="13" w:name="_Toc384567295"/>
      <w:bookmarkStart w:id="14" w:name="_Toc384570732"/>
      <w:r w:rsidR="007B0965" w:rsidRPr="00450C32">
        <w:rPr>
          <w:rFonts w:ascii="Times New Roman" w:hAnsi="Times New Roman" w:cs="Times New Roman"/>
          <w:color w:val="auto"/>
          <w:sz w:val="24"/>
          <w:szCs w:val="24"/>
          <w:lang w:val="lt-LT"/>
        </w:rPr>
        <w:t xml:space="preserve">KREDITO UNIJŲ </w:t>
      </w:r>
      <w:r>
        <w:rPr>
          <w:rFonts w:ascii="Times New Roman" w:hAnsi="Times New Roman" w:cs="Times New Roman"/>
          <w:color w:val="auto"/>
          <w:sz w:val="24"/>
          <w:szCs w:val="24"/>
          <w:lang w:val="lt-LT"/>
        </w:rPr>
        <w:t xml:space="preserve">IR KOMERCINIŲ BANKŲ </w:t>
      </w:r>
      <w:r w:rsidR="007B0965" w:rsidRPr="00450C32">
        <w:rPr>
          <w:rFonts w:ascii="Times New Roman" w:hAnsi="Times New Roman" w:cs="Times New Roman"/>
          <w:color w:val="auto"/>
          <w:sz w:val="24"/>
          <w:szCs w:val="24"/>
          <w:lang w:val="lt-LT"/>
        </w:rPr>
        <w:t>VEIKLOS REGLAMENTAVIM</w:t>
      </w:r>
      <w:bookmarkEnd w:id="12"/>
      <w:r>
        <w:rPr>
          <w:rFonts w:ascii="Times New Roman" w:hAnsi="Times New Roman" w:cs="Times New Roman"/>
          <w:color w:val="auto"/>
          <w:sz w:val="24"/>
          <w:szCs w:val="24"/>
          <w:lang w:val="lt-LT"/>
        </w:rPr>
        <w:t>O PALYGINIMAS</w:t>
      </w:r>
      <w:bookmarkEnd w:id="13"/>
      <w:bookmarkEnd w:id="14"/>
    </w:p>
    <w:p w:rsidR="00145A9F" w:rsidRPr="000D37F1" w:rsidRDefault="00145A9F" w:rsidP="00145A9F">
      <w:pPr>
        <w:pStyle w:val="ListParagraph"/>
        <w:spacing w:line="360" w:lineRule="auto"/>
        <w:ind w:left="1080"/>
        <w:rPr>
          <w:rFonts w:ascii="Times New Roman" w:hAnsi="Times New Roman" w:cs="Times New Roman"/>
          <w:b/>
          <w:bCs/>
          <w:sz w:val="24"/>
          <w:szCs w:val="24"/>
          <w:lang w:val="lt-LT"/>
        </w:rPr>
      </w:pPr>
    </w:p>
    <w:p w:rsidR="00501B2F" w:rsidRPr="000D37F1" w:rsidRDefault="00BF4A50" w:rsidP="00D65E54">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bCs/>
          <w:sz w:val="24"/>
          <w:szCs w:val="24"/>
          <w:lang w:val="lt-LT"/>
        </w:rPr>
        <w:t xml:space="preserve">Kredito įstaigų </w:t>
      </w:r>
      <w:r w:rsidR="00FF3787" w:rsidRPr="000D37F1">
        <w:rPr>
          <w:rFonts w:ascii="Times New Roman" w:hAnsi="Times New Roman" w:cs="Times New Roman"/>
          <w:bCs/>
          <w:sz w:val="24"/>
          <w:szCs w:val="24"/>
          <w:lang w:val="lt-LT"/>
        </w:rPr>
        <w:t>veikla yra svarbi šalies ekonomikos augimui, taip pat tiesiogiai susijusi su didžiąja visuomenės dalimi</w:t>
      </w:r>
      <w:r w:rsidR="00D1783E" w:rsidRPr="000D37F1">
        <w:rPr>
          <w:rFonts w:ascii="Times New Roman" w:hAnsi="Times New Roman" w:cs="Times New Roman"/>
          <w:bCs/>
          <w:sz w:val="24"/>
          <w:szCs w:val="24"/>
          <w:lang w:val="lt-LT"/>
        </w:rPr>
        <w:t>, todėl taikomi tam tikri specialūs reikalavimai bei reglamentuojama jų veikla.</w:t>
      </w:r>
      <w:r w:rsidR="001E58B0">
        <w:rPr>
          <w:rFonts w:ascii="Times New Roman" w:hAnsi="Times New Roman" w:cs="Times New Roman"/>
          <w:bCs/>
          <w:sz w:val="24"/>
          <w:szCs w:val="24"/>
          <w:lang w:val="lt-LT"/>
        </w:rPr>
        <w:t xml:space="preserve"> Lietuvoje licencines finansines paslaugas teikiančių finansų įstaigų </w:t>
      </w:r>
      <w:r w:rsidR="00451DAA">
        <w:rPr>
          <w:rFonts w:ascii="Times New Roman" w:hAnsi="Times New Roman" w:cs="Times New Roman"/>
          <w:bCs/>
          <w:sz w:val="24"/>
          <w:szCs w:val="24"/>
          <w:lang w:val="lt-LT"/>
        </w:rPr>
        <w:t xml:space="preserve">bendri </w:t>
      </w:r>
      <w:r w:rsidR="001E58B0">
        <w:rPr>
          <w:rFonts w:ascii="Times New Roman" w:hAnsi="Times New Roman" w:cs="Times New Roman"/>
          <w:bCs/>
          <w:sz w:val="24"/>
          <w:szCs w:val="24"/>
          <w:lang w:val="lt-LT"/>
        </w:rPr>
        <w:t>veikl</w:t>
      </w:r>
      <w:r w:rsidR="00451DAA">
        <w:rPr>
          <w:rFonts w:ascii="Times New Roman" w:hAnsi="Times New Roman" w:cs="Times New Roman"/>
          <w:bCs/>
          <w:sz w:val="24"/>
          <w:szCs w:val="24"/>
          <w:lang w:val="lt-LT"/>
        </w:rPr>
        <w:t xml:space="preserve">os ypatumai, </w:t>
      </w:r>
      <w:r w:rsidR="001E58B0">
        <w:rPr>
          <w:rFonts w:ascii="Times New Roman" w:hAnsi="Times New Roman" w:cs="Times New Roman"/>
          <w:bCs/>
          <w:sz w:val="24"/>
          <w:szCs w:val="24"/>
          <w:lang w:val="lt-LT"/>
        </w:rPr>
        <w:t>priežiūros sąlygos bei tvarka nustatyti LR finansų įstaigų įstatyme</w:t>
      </w:r>
      <w:r w:rsidR="00451DAA">
        <w:rPr>
          <w:rStyle w:val="FootnoteReference"/>
          <w:rFonts w:ascii="Times New Roman" w:hAnsi="Times New Roman" w:cs="Times New Roman"/>
          <w:bCs/>
          <w:sz w:val="24"/>
          <w:szCs w:val="24"/>
          <w:lang w:val="lt-LT"/>
        </w:rPr>
        <w:footnoteReference w:id="1"/>
      </w:r>
      <w:r w:rsidR="001E58B0">
        <w:rPr>
          <w:rFonts w:ascii="Times New Roman" w:hAnsi="Times New Roman" w:cs="Times New Roman"/>
          <w:bCs/>
          <w:sz w:val="24"/>
          <w:szCs w:val="24"/>
          <w:lang w:val="lt-LT"/>
        </w:rPr>
        <w:t>, pastarasis taikomas tiek komerciniams bankams, tiek kredito unijoms.</w:t>
      </w:r>
      <w:r w:rsidR="00451DAA">
        <w:rPr>
          <w:rFonts w:ascii="Times New Roman" w:hAnsi="Times New Roman" w:cs="Times New Roman"/>
          <w:bCs/>
          <w:sz w:val="24"/>
          <w:szCs w:val="24"/>
          <w:lang w:val="lt-LT"/>
        </w:rPr>
        <w:t xml:space="preserve"> Visgi p</w:t>
      </w:r>
      <w:r w:rsidR="00893EA0" w:rsidRPr="000D37F1">
        <w:rPr>
          <w:rFonts w:ascii="Times New Roman" w:hAnsi="Times New Roman" w:cs="Times New Roman"/>
          <w:sz w:val="24"/>
          <w:szCs w:val="24"/>
          <w:lang w:val="lt-LT"/>
        </w:rPr>
        <w:t>agrindinis Lietuvos kredito unijų veiklą reglamentuojantis teisės aktas yra LR Kredito unijų įstatymas</w:t>
      </w:r>
      <w:r w:rsidR="00AA6F3F">
        <w:rPr>
          <w:rStyle w:val="FootnoteReference"/>
          <w:rFonts w:ascii="Times New Roman" w:hAnsi="Times New Roman" w:cs="Times New Roman"/>
          <w:sz w:val="24"/>
          <w:szCs w:val="24"/>
          <w:lang w:val="lt-LT"/>
        </w:rPr>
        <w:footnoteReference w:id="2"/>
      </w:r>
      <w:r w:rsidR="00893EA0" w:rsidRPr="000D37F1">
        <w:rPr>
          <w:rFonts w:ascii="Times New Roman" w:hAnsi="Times New Roman" w:cs="Times New Roman"/>
          <w:sz w:val="24"/>
          <w:szCs w:val="24"/>
          <w:lang w:val="lt-LT"/>
        </w:rPr>
        <w:t xml:space="preserve">, šiame įstatyme nustatoma kredito unijų ir jų padalinių steigimo, licencijavimo, veiklos, pabaigos ir priežiūros tvarka, siekiant, kad kredito unijų sistema būtų stabili, patikima, veiksminga ir saugi. </w:t>
      </w:r>
      <w:r w:rsidR="002C2B0E" w:rsidRPr="000D37F1">
        <w:rPr>
          <w:rFonts w:ascii="Times New Roman" w:hAnsi="Times New Roman" w:cs="Times New Roman"/>
          <w:sz w:val="24"/>
          <w:szCs w:val="24"/>
          <w:lang w:val="lt-LT"/>
        </w:rPr>
        <w:t xml:space="preserve">Kadangi kredito unijos yra finansinės institucijos, tai susiduriama su veiklos rizika plačiąja prasme, </w:t>
      </w:r>
      <w:r w:rsidR="00893EA0" w:rsidRPr="000D37F1">
        <w:rPr>
          <w:rFonts w:ascii="Times New Roman" w:hAnsi="Times New Roman" w:cs="Times New Roman"/>
          <w:sz w:val="24"/>
          <w:szCs w:val="24"/>
          <w:lang w:val="lt-LT"/>
        </w:rPr>
        <w:t>kurią būtina kontroliuoti, tad</w:t>
      </w:r>
      <w:r w:rsidR="002C2B0E" w:rsidRPr="000D37F1">
        <w:rPr>
          <w:rFonts w:ascii="Times New Roman" w:hAnsi="Times New Roman" w:cs="Times New Roman"/>
          <w:sz w:val="24"/>
          <w:szCs w:val="24"/>
          <w:lang w:val="lt-LT"/>
        </w:rPr>
        <w:t xml:space="preserve"> kredito unijų veiklą prižiūri ir tikrina Lietuvos Bankas.</w:t>
      </w:r>
    </w:p>
    <w:p w:rsidR="00D65E54" w:rsidRPr="000D37F1" w:rsidRDefault="00893EA0" w:rsidP="00D65E54">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Pagal LR kredito unijų įstatymą visose kredito unijose, kurių turtas viršija 10 milijonų litų ribą, privalo būti atliekamas nepriklausomas auditas. Jeigu ši riba nėra viršijama – privalo būti renkama revizijos komisija (revizorius). Be šio reikalavimo taip pat k</w:t>
      </w:r>
      <w:r w:rsidR="002C2B0E" w:rsidRPr="000D37F1">
        <w:rPr>
          <w:rFonts w:ascii="Times New Roman" w:hAnsi="Times New Roman" w:cs="Times New Roman"/>
          <w:sz w:val="24"/>
          <w:szCs w:val="24"/>
          <w:lang w:val="lt-LT"/>
        </w:rPr>
        <w:t>iekvienais metais kredito unijos yra audituojamos Lietuvos Banko, teikiamos išvados b</w:t>
      </w:r>
      <w:r w:rsidRPr="000D37F1">
        <w:rPr>
          <w:rFonts w:ascii="Times New Roman" w:hAnsi="Times New Roman" w:cs="Times New Roman"/>
          <w:sz w:val="24"/>
          <w:szCs w:val="24"/>
          <w:lang w:val="lt-LT"/>
        </w:rPr>
        <w:t>ei veiklos gerinimo pasiūlymai</w:t>
      </w:r>
      <w:r w:rsidR="00D1783E" w:rsidRPr="000D37F1">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Lietuvos bankas </w:t>
      </w:r>
      <w:r w:rsidR="000D18B5">
        <w:rPr>
          <w:rFonts w:ascii="Times New Roman" w:hAnsi="Times New Roman" w:cs="Times New Roman"/>
          <w:sz w:val="24"/>
          <w:szCs w:val="24"/>
          <w:lang w:val="lt-LT"/>
        </w:rPr>
        <w:t xml:space="preserve">ne tik nustato veiklos riziką ribojančių normatyvų dydžius bei apskaičiavimo metodiką, bet ir kontroliuoja </w:t>
      </w:r>
      <w:r w:rsidRPr="000D37F1">
        <w:rPr>
          <w:rFonts w:ascii="Times New Roman" w:hAnsi="Times New Roman" w:cs="Times New Roman"/>
          <w:sz w:val="24"/>
          <w:szCs w:val="24"/>
          <w:lang w:val="lt-LT"/>
        </w:rPr>
        <w:t>veiklos riziką rib</w:t>
      </w:r>
      <w:r w:rsidR="000D18B5">
        <w:rPr>
          <w:rFonts w:ascii="Times New Roman" w:hAnsi="Times New Roman" w:cs="Times New Roman"/>
          <w:sz w:val="24"/>
          <w:szCs w:val="24"/>
          <w:lang w:val="lt-LT"/>
        </w:rPr>
        <w:t>ojančių normatyvų įgyvendinimą.</w:t>
      </w:r>
      <w:r w:rsidR="00BA5683">
        <w:rPr>
          <w:rFonts w:ascii="Times New Roman" w:hAnsi="Times New Roman" w:cs="Times New Roman"/>
          <w:sz w:val="24"/>
          <w:szCs w:val="24"/>
          <w:lang w:val="lt-LT"/>
        </w:rPr>
        <w:t xml:space="preserve"> </w:t>
      </w:r>
      <w:r w:rsidR="000D18B5">
        <w:rPr>
          <w:rFonts w:ascii="Times New Roman" w:hAnsi="Times New Roman" w:cs="Times New Roman"/>
          <w:sz w:val="24"/>
          <w:szCs w:val="24"/>
          <w:lang w:val="lt-LT"/>
        </w:rPr>
        <w:lastRenderedPageBreak/>
        <w:t>Taip pat pagal LR Kredito unijų įstatymą, turi teisę nustatyti kredito unijai individualius normatyvų dydžius.</w:t>
      </w:r>
    </w:p>
    <w:p w:rsidR="00A11BF1" w:rsidRPr="000D37F1" w:rsidRDefault="00333086" w:rsidP="00D65E54">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Lietuvos banko n</w:t>
      </w:r>
      <w:r w:rsidR="00A11BF1" w:rsidRPr="000D37F1">
        <w:rPr>
          <w:rFonts w:ascii="Times New Roman" w:hAnsi="Times New Roman" w:cs="Times New Roman"/>
          <w:sz w:val="24"/>
          <w:szCs w:val="24"/>
          <w:lang w:val="lt-LT"/>
        </w:rPr>
        <w:t xml:space="preserve">ustatyti šie </w:t>
      </w:r>
      <w:r w:rsidR="00D1783E" w:rsidRPr="000D37F1">
        <w:rPr>
          <w:rFonts w:ascii="Times New Roman" w:hAnsi="Times New Roman" w:cs="Times New Roman"/>
          <w:sz w:val="24"/>
          <w:szCs w:val="24"/>
          <w:lang w:val="lt-LT"/>
        </w:rPr>
        <w:t xml:space="preserve">kredito unijų </w:t>
      </w:r>
      <w:r w:rsidR="00A11BF1" w:rsidRPr="000D37F1">
        <w:rPr>
          <w:rFonts w:ascii="Times New Roman" w:hAnsi="Times New Roman" w:cs="Times New Roman"/>
          <w:sz w:val="24"/>
          <w:szCs w:val="24"/>
          <w:lang w:val="lt-LT"/>
        </w:rPr>
        <w:t>veiklos riziką ribojantys normatyvai:</w:t>
      </w:r>
    </w:p>
    <w:p w:rsidR="00501B2F" w:rsidRPr="000D37F1" w:rsidRDefault="00A11BF1" w:rsidP="00501B2F">
      <w:pPr>
        <w:pStyle w:val="ListParagraph"/>
        <w:numPr>
          <w:ilvl w:val="0"/>
          <w:numId w:val="17"/>
        </w:numPr>
        <w:spacing w:line="360" w:lineRule="auto"/>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Kapitalo pakankamumo</w:t>
      </w:r>
      <w:r w:rsidRPr="000D37F1">
        <w:rPr>
          <w:rFonts w:ascii="Times New Roman" w:hAnsi="Times New Roman" w:cs="Times New Roman"/>
          <w:sz w:val="24"/>
          <w:szCs w:val="24"/>
          <w:lang w:val="lt-LT"/>
        </w:rPr>
        <w:t xml:space="preserve"> –</w:t>
      </w:r>
      <w:r w:rsidR="001111B8">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perskaičiuoto kapitalo ir turto (aktyvų) bei nebalansinių įsipareigojimų (turinčių požymių, kas bus įvykdyti) santykis;</w:t>
      </w:r>
    </w:p>
    <w:p w:rsidR="00501B2F" w:rsidRPr="000D37F1" w:rsidRDefault="00A11BF1" w:rsidP="00501B2F">
      <w:pPr>
        <w:pStyle w:val="ListParagraph"/>
        <w:numPr>
          <w:ilvl w:val="0"/>
          <w:numId w:val="17"/>
        </w:numPr>
        <w:spacing w:line="360" w:lineRule="auto"/>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Likvidumo</w:t>
      </w:r>
      <w:r w:rsidRPr="000D37F1">
        <w:rPr>
          <w:rFonts w:ascii="Times New Roman" w:hAnsi="Times New Roman" w:cs="Times New Roman"/>
          <w:sz w:val="24"/>
          <w:szCs w:val="24"/>
          <w:lang w:val="lt-LT"/>
        </w:rPr>
        <w:t xml:space="preserve"> –</w:t>
      </w:r>
      <w:r w:rsidR="00AA6F3F">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likvidžiojo turto santykis su kredito unijos </w:t>
      </w:r>
      <w:r w:rsidR="0019094E" w:rsidRPr="000D37F1">
        <w:rPr>
          <w:rFonts w:ascii="Times New Roman" w:hAnsi="Times New Roman" w:cs="Times New Roman"/>
          <w:sz w:val="24"/>
          <w:szCs w:val="24"/>
          <w:lang w:val="lt-LT"/>
        </w:rPr>
        <w:t>einamaisiais</w:t>
      </w:r>
      <w:r w:rsidRPr="000D37F1">
        <w:rPr>
          <w:rFonts w:ascii="Times New Roman" w:hAnsi="Times New Roman" w:cs="Times New Roman"/>
          <w:sz w:val="24"/>
          <w:szCs w:val="24"/>
          <w:lang w:val="lt-LT"/>
        </w:rPr>
        <w:t xml:space="preserve"> įsipareigojimais;</w:t>
      </w:r>
    </w:p>
    <w:p w:rsidR="00501B2F" w:rsidRPr="000D37F1" w:rsidRDefault="00A11BF1" w:rsidP="00501B2F">
      <w:pPr>
        <w:pStyle w:val="ListParagraph"/>
        <w:numPr>
          <w:ilvl w:val="0"/>
          <w:numId w:val="17"/>
        </w:numPr>
        <w:spacing w:line="360" w:lineRule="auto"/>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Didžiausios atvirosios pozicijos užsienio valiuta</w:t>
      </w:r>
      <w:r w:rsidRPr="000D37F1">
        <w:rPr>
          <w:rFonts w:ascii="Times New Roman" w:hAnsi="Times New Roman" w:cs="Times New Roman"/>
          <w:sz w:val="24"/>
          <w:szCs w:val="24"/>
          <w:lang w:val="lt-LT"/>
        </w:rPr>
        <w:t xml:space="preserve"> – bendrosios atvirosios valiutos pozicijos (išskyrus eurus) ir kredito unijos perskaičiuot</w:t>
      </w:r>
      <w:r w:rsidR="008D452F" w:rsidRPr="000D37F1">
        <w:rPr>
          <w:rFonts w:ascii="Times New Roman" w:hAnsi="Times New Roman" w:cs="Times New Roman"/>
          <w:sz w:val="24"/>
          <w:szCs w:val="24"/>
          <w:lang w:val="lt-LT"/>
        </w:rPr>
        <w:t>as</w:t>
      </w:r>
      <w:r w:rsidRPr="000D37F1">
        <w:rPr>
          <w:rFonts w:ascii="Times New Roman" w:hAnsi="Times New Roman" w:cs="Times New Roman"/>
          <w:sz w:val="24"/>
          <w:szCs w:val="24"/>
          <w:lang w:val="lt-LT"/>
        </w:rPr>
        <w:t xml:space="preserve"> kapitalo santykis</w:t>
      </w:r>
      <w:r w:rsidR="00DC28D5" w:rsidRPr="000D37F1">
        <w:rPr>
          <w:rFonts w:ascii="Times New Roman" w:hAnsi="Times New Roman" w:cs="Times New Roman"/>
          <w:sz w:val="24"/>
          <w:szCs w:val="24"/>
          <w:lang w:val="lt-LT"/>
        </w:rPr>
        <w:t>;</w:t>
      </w:r>
    </w:p>
    <w:p w:rsidR="00501B2F" w:rsidRPr="000D37F1" w:rsidRDefault="00A11BF1" w:rsidP="00501B2F">
      <w:pPr>
        <w:pStyle w:val="ListParagraph"/>
        <w:numPr>
          <w:ilvl w:val="0"/>
          <w:numId w:val="17"/>
        </w:numPr>
        <w:spacing w:line="360" w:lineRule="auto"/>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Didžiausios paskolos sumos vienam skolininkui</w:t>
      </w:r>
      <w:r w:rsidR="00DC28D5" w:rsidRPr="000D37F1">
        <w:rPr>
          <w:rFonts w:ascii="Times New Roman" w:hAnsi="Times New Roman" w:cs="Times New Roman"/>
          <w:sz w:val="24"/>
          <w:szCs w:val="24"/>
          <w:lang w:val="lt-LT"/>
        </w:rPr>
        <w:t xml:space="preserve"> – paskolos suma vienam skolininkui neturi viršyti mažesniojo iš numatytų dydžių.</w:t>
      </w:r>
    </w:p>
    <w:p w:rsidR="002C2B0E" w:rsidRDefault="00DC28D5" w:rsidP="00501B2F">
      <w:pPr>
        <w:pStyle w:val="ListParagraph"/>
        <w:numPr>
          <w:ilvl w:val="0"/>
          <w:numId w:val="17"/>
        </w:numPr>
        <w:spacing w:line="360" w:lineRule="auto"/>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Padengimo likvidžiuoju turtu rodiklis</w:t>
      </w:r>
      <w:r w:rsidRPr="000D37F1">
        <w:rPr>
          <w:rFonts w:ascii="Times New Roman" w:hAnsi="Times New Roman" w:cs="Times New Roman"/>
          <w:sz w:val="24"/>
          <w:szCs w:val="24"/>
          <w:lang w:val="lt-LT"/>
        </w:rPr>
        <w:t xml:space="preserve"> –auk</w:t>
      </w:r>
      <w:r w:rsidR="00DE103E" w:rsidRPr="000D37F1">
        <w:rPr>
          <w:rFonts w:ascii="Times New Roman" w:hAnsi="Times New Roman" w:cs="Times New Roman"/>
          <w:sz w:val="24"/>
          <w:szCs w:val="24"/>
          <w:lang w:val="lt-LT"/>
        </w:rPr>
        <w:t>š</w:t>
      </w:r>
      <w:r w:rsidRPr="000D37F1">
        <w:rPr>
          <w:rFonts w:ascii="Times New Roman" w:hAnsi="Times New Roman" w:cs="Times New Roman"/>
          <w:sz w:val="24"/>
          <w:szCs w:val="24"/>
          <w:lang w:val="lt-LT"/>
        </w:rPr>
        <w:t>tos kokybės likvidžiojo turto ir grynojo netenkamo pinigų srauto santykis.</w:t>
      </w:r>
    </w:p>
    <w:p w:rsidR="000F03BC" w:rsidRPr="00734657" w:rsidRDefault="00893EA0" w:rsidP="00734657">
      <w:pPr>
        <w:pStyle w:val="Heading1"/>
        <w:jc w:val="center"/>
        <w:rPr>
          <w:rFonts w:ascii="Times New Roman" w:hAnsi="Times New Roman" w:cs="Times New Roman"/>
          <w:sz w:val="24"/>
          <w:szCs w:val="24"/>
        </w:rPr>
      </w:pPr>
      <w:bookmarkStart w:id="15" w:name="_Toc292110746"/>
      <w:bookmarkStart w:id="16" w:name="_Toc292111145"/>
      <w:bookmarkStart w:id="17" w:name="_Toc383782867"/>
      <w:bookmarkStart w:id="18" w:name="_Toc383782940"/>
      <w:bookmarkStart w:id="19" w:name="_Toc383783627"/>
      <w:bookmarkStart w:id="20" w:name="_Toc383784084"/>
      <w:bookmarkStart w:id="21" w:name="_Toc384567296"/>
      <w:bookmarkStart w:id="22" w:name="_Toc384570733"/>
      <w:r w:rsidRPr="00734657">
        <w:rPr>
          <w:rFonts w:ascii="Times New Roman" w:hAnsi="Times New Roman" w:cs="Times New Roman"/>
          <w:sz w:val="24"/>
          <w:szCs w:val="24"/>
        </w:rPr>
        <w:t>1</w:t>
      </w:r>
      <w:r w:rsidR="002C2B0E" w:rsidRPr="00734657">
        <w:rPr>
          <w:rFonts w:ascii="Times New Roman" w:hAnsi="Times New Roman" w:cs="Times New Roman"/>
          <w:sz w:val="24"/>
          <w:szCs w:val="24"/>
        </w:rPr>
        <w:t xml:space="preserve"> lentelė. Kredito unijų ir komercinių bankų veiklos riziką ribojančių normatyvų palyginimas</w:t>
      </w:r>
      <w:bookmarkEnd w:id="15"/>
      <w:bookmarkEnd w:id="16"/>
      <w:bookmarkEnd w:id="17"/>
      <w:bookmarkEnd w:id="18"/>
      <w:bookmarkEnd w:id="19"/>
      <w:bookmarkEnd w:id="20"/>
      <w:bookmarkEnd w:id="21"/>
      <w:bookmarkEnd w:id="22"/>
    </w:p>
    <w:tbl>
      <w:tblPr>
        <w:tblStyle w:val="TableGrid"/>
        <w:tblW w:w="10173" w:type="dxa"/>
        <w:tblLook w:val="01E0" w:firstRow="1" w:lastRow="1" w:firstColumn="1" w:lastColumn="1" w:noHBand="0" w:noVBand="0"/>
      </w:tblPr>
      <w:tblGrid>
        <w:gridCol w:w="396"/>
        <w:gridCol w:w="1697"/>
        <w:gridCol w:w="4536"/>
        <w:gridCol w:w="3544"/>
      </w:tblGrid>
      <w:tr w:rsidR="002C2B0E" w:rsidRPr="000D37F1" w:rsidTr="000F03BC">
        <w:trPr>
          <w:trHeight w:val="647"/>
        </w:trPr>
        <w:tc>
          <w:tcPr>
            <w:tcW w:w="396" w:type="dxa"/>
            <w:vAlign w:val="center"/>
          </w:tcPr>
          <w:p w:rsidR="002C2B0E" w:rsidRPr="000D37F1" w:rsidRDefault="002C2B0E" w:rsidP="006543D9">
            <w:pPr>
              <w:spacing w:line="360" w:lineRule="auto"/>
              <w:rPr>
                <w:b/>
                <w:bCs/>
                <w:i/>
                <w:iCs/>
                <w:sz w:val="24"/>
                <w:szCs w:val="24"/>
                <w:lang w:val="lt-LT"/>
              </w:rPr>
            </w:pPr>
          </w:p>
          <w:p w:rsidR="002C2B0E" w:rsidRPr="000D37F1" w:rsidRDefault="002C2B0E" w:rsidP="006543D9">
            <w:pPr>
              <w:spacing w:line="360" w:lineRule="auto"/>
              <w:rPr>
                <w:b/>
                <w:bCs/>
                <w:i/>
                <w:iCs/>
                <w:sz w:val="24"/>
                <w:szCs w:val="24"/>
                <w:lang w:val="lt-LT"/>
              </w:rPr>
            </w:pPr>
          </w:p>
        </w:tc>
        <w:tc>
          <w:tcPr>
            <w:tcW w:w="1697" w:type="dxa"/>
            <w:vAlign w:val="bottom"/>
          </w:tcPr>
          <w:p w:rsidR="002C2B0E" w:rsidRPr="000D37F1" w:rsidRDefault="008A1D24" w:rsidP="00FD55AC">
            <w:pPr>
              <w:spacing w:line="360" w:lineRule="auto"/>
              <w:jc w:val="center"/>
              <w:rPr>
                <w:b/>
                <w:bCs/>
                <w:i/>
                <w:iCs/>
                <w:lang w:val="lt-LT"/>
              </w:rPr>
            </w:pPr>
            <w:r w:rsidRPr="000D37F1">
              <w:rPr>
                <w:b/>
                <w:bCs/>
                <w:i/>
                <w:iCs/>
                <w:lang w:val="lt-LT"/>
              </w:rPr>
              <w:t>Veiklos r</w:t>
            </w:r>
            <w:r w:rsidR="002C2B0E" w:rsidRPr="000D37F1">
              <w:rPr>
                <w:b/>
                <w:bCs/>
                <w:i/>
                <w:iCs/>
                <w:lang w:val="lt-LT"/>
              </w:rPr>
              <w:t>iziką ribojantys reikalavimai</w:t>
            </w:r>
          </w:p>
        </w:tc>
        <w:tc>
          <w:tcPr>
            <w:tcW w:w="4536" w:type="dxa"/>
            <w:vAlign w:val="bottom"/>
          </w:tcPr>
          <w:p w:rsidR="002C2B0E" w:rsidRPr="000D37F1" w:rsidRDefault="002C2B0E" w:rsidP="00FD55AC">
            <w:pPr>
              <w:spacing w:line="360" w:lineRule="auto"/>
              <w:jc w:val="center"/>
              <w:rPr>
                <w:b/>
                <w:bCs/>
                <w:i/>
                <w:iCs/>
                <w:lang w:val="lt-LT"/>
              </w:rPr>
            </w:pPr>
            <w:r w:rsidRPr="000D37F1">
              <w:rPr>
                <w:b/>
                <w:bCs/>
                <w:i/>
                <w:iCs/>
                <w:lang w:val="lt-LT"/>
              </w:rPr>
              <w:t>Kredito unijos</w:t>
            </w:r>
          </w:p>
          <w:p w:rsidR="002C2B0E" w:rsidRPr="000D37F1" w:rsidRDefault="002C2B0E" w:rsidP="00FD55AC">
            <w:pPr>
              <w:spacing w:line="360" w:lineRule="auto"/>
              <w:jc w:val="center"/>
              <w:rPr>
                <w:b/>
                <w:bCs/>
                <w:i/>
                <w:iCs/>
                <w:lang w:val="lt-LT"/>
              </w:rPr>
            </w:pPr>
          </w:p>
        </w:tc>
        <w:tc>
          <w:tcPr>
            <w:tcW w:w="3544" w:type="dxa"/>
            <w:vAlign w:val="bottom"/>
          </w:tcPr>
          <w:p w:rsidR="002C2B0E" w:rsidRPr="000D37F1" w:rsidRDefault="002C2B0E" w:rsidP="00FD55AC">
            <w:pPr>
              <w:spacing w:line="360" w:lineRule="auto"/>
              <w:jc w:val="center"/>
              <w:rPr>
                <w:b/>
                <w:bCs/>
                <w:i/>
                <w:iCs/>
                <w:lang w:val="lt-LT"/>
              </w:rPr>
            </w:pPr>
            <w:r w:rsidRPr="000D37F1">
              <w:rPr>
                <w:b/>
                <w:bCs/>
                <w:i/>
                <w:iCs/>
                <w:lang w:val="lt-LT"/>
              </w:rPr>
              <w:t>Komerciniai bankai</w:t>
            </w:r>
          </w:p>
          <w:p w:rsidR="002C2B0E" w:rsidRPr="000D37F1" w:rsidRDefault="002C2B0E" w:rsidP="00FD55AC">
            <w:pPr>
              <w:spacing w:line="360" w:lineRule="auto"/>
              <w:jc w:val="center"/>
              <w:rPr>
                <w:b/>
                <w:bCs/>
                <w:i/>
                <w:iCs/>
                <w:lang w:val="lt-LT"/>
              </w:rPr>
            </w:pPr>
          </w:p>
        </w:tc>
      </w:tr>
      <w:tr w:rsidR="002C2B0E" w:rsidRPr="003832D2" w:rsidTr="000F03BC">
        <w:trPr>
          <w:trHeight w:val="2420"/>
        </w:trPr>
        <w:tc>
          <w:tcPr>
            <w:tcW w:w="396" w:type="dxa"/>
          </w:tcPr>
          <w:p w:rsidR="002C2B0E" w:rsidRPr="000D37F1" w:rsidRDefault="002C2B0E" w:rsidP="008A1D24">
            <w:pPr>
              <w:spacing w:line="360" w:lineRule="auto"/>
              <w:rPr>
                <w:sz w:val="24"/>
                <w:szCs w:val="24"/>
                <w:lang w:val="lt-LT"/>
              </w:rPr>
            </w:pPr>
            <w:r w:rsidRPr="000D37F1">
              <w:rPr>
                <w:sz w:val="24"/>
                <w:szCs w:val="24"/>
                <w:lang w:val="lt-LT"/>
              </w:rPr>
              <w:t>1.</w:t>
            </w:r>
          </w:p>
        </w:tc>
        <w:tc>
          <w:tcPr>
            <w:tcW w:w="1697" w:type="dxa"/>
          </w:tcPr>
          <w:p w:rsidR="002C2B0E" w:rsidRPr="000D37F1" w:rsidRDefault="002C2B0E" w:rsidP="008A1D24">
            <w:pPr>
              <w:spacing w:line="360" w:lineRule="auto"/>
              <w:rPr>
                <w:i/>
                <w:iCs/>
                <w:lang w:val="lt-LT"/>
              </w:rPr>
            </w:pPr>
            <w:r w:rsidRPr="000D37F1">
              <w:rPr>
                <w:i/>
                <w:iCs/>
                <w:lang w:val="lt-LT"/>
              </w:rPr>
              <w:t>Kapitalo pakankamumo</w:t>
            </w:r>
          </w:p>
        </w:tc>
        <w:tc>
          <w:tcPr>
            <w:tcW w:w="4536" w:type="dxa"/>
          </w:tcPr>
          <w:p w:rsidR="00532F8D" w:rsidRPr="000D37F1" w:rsidRDefault="00532F8D" w:rsidP="008A1D24">
            <w:pPr>
              <w:pStyle w:val="ListParagraph"/>
              <w:numPr>
                <w:ilvl w:val="0"/>
                <w:numId w:val="7"/>
              </w:numPr>
              <w:spacing w:line="360" w:lineRule="auto"/>
              <w:ind w:left="254" w:hanging="254"/>
              <w:rPr>
                <w:lang w:val="lt-LT"/>
              </w:rPr>
            </w:pPr>
            <w:r w:rsidRPr="000D37F1">
              <w:rPr>
                <w:lang w:val="lt-LT"/>
              </w:rPr>
              <w:t>Kredito unijos, kurių suteiktos paskolos asocijuotiems nariams sudaro iki 20 proc.  visų suteiktų paskolų – ne mažesnis</w:t>
            </w:r>
            <w:r w:rsidR="002C2B0E" w:rsidRPr="000D37F1">
              <w:rPr>
                <w:lang w:val="lt-LT"/>
              </w:rPr>
              <w:t xml:space="preserve"> nei 13 procentų</w:t>
            </w:r>
          </w:p>
          <w:p w:rsidR="00532F8D" w:rsidRPr="000D37F1" w:rsidRDefault="00532F8D" w:rsidP="008A1D24">
            <w:pPr>
              <w:pStyle w:val="ListParagraph"/>
              <w:numPr>
                <w:ilvl w:val="0"/>
                <w:numId w:val="7"/>
              </w:numPr>
              <w:spacing w:line="360" w:lineRule="auto"/>
              <w:ind w:left="254" w:hanging="254"/>
              <w:rPr>
                <w:lang w:val="lt-LT"/>
              </w:rPr>
            </w:pPr>
            <w:r w:rsidRPr="000D37F1">
              <w:rPr>
                <w:lang w:val="lt-LT"/>
              </w:rPr>
              <w:t>20 – 40 proc. – ne mažesnis nei 18 proc.</w:t>
            </w:r>
          </w:p>
          <w:p w:rsidR="00532F8D" w:rsidRPr="000D37F1" w:rsidRDefault="00532F8D" w:rsidP="008A1D24">
            <w:pPr>
              <w:pStyle w:val="ListParagraph"/>
              <w:numPr>
                <w:ilvl w:val="0"/>
                <w:numId w:val="7"/>
              </w:numPr>
              <w:spacing w:line="360" w:lineRule="auto"/>
              <w:ind w:left="254" w:hanging="254"/>
              <w:rPr>
                <w:lang w:val="lt-LT"/>
              </w:rPr>
            </w:pPr>
            <w:r w:rsidRPr="000D37F1">
              <w:rPr>
                <w:lang w:val="lt-LT"/>
              </w:rPr>
              <w:t>Daugiau nei 40 proc. – ne mažesnis negu 25 proc.</w:t>
            </w:r>
          </w:p>
        </w:tc>
        <w:tc>
          <w:tcPr>
            <w:tcW w:w="3544" w:type="dxa"/>
          </w:tcPr>
          <w:p w:rsidR="002C2B0E" w:rsidRPr="000D37F1" w:rsidRDefault="002C2B0E" w:rsidP="008A1D24">
            <w:pPr>
              <w:spacing w:line="360" w:lineRule="auto"/>
              <w:rPr>
                <w:lang w:val="lt-LT"/>
              </w:rPr>
            </w:pPr>
            <w:r w:rsidRPr="000D37F1">
              <w:rPr>
                <w:lang w:val="lt-LT"/>
              </w:rPr>
              <w:t>Skaičiuotino kapitalo ir turto bei nebalansinių įsipareigojimų santykis ne mažesnis nei 8 procentai</w:t>
            </w:r>
          </w:p>
        </w:tc>
      </w:tr>
      <w:tr w:rsidR="002C2B0E" w:rsidRPr="003832D2" w:rsidTr="000F03BC">
        <w:trPr>
          <w:trHeight w:val="4130"/>
        </w:trPr>
        <w:tc>
          <w:tcPr>
            <w:tcW w:w="396" w:type="dxa"/>
          </w:tcPr>
          <w:p w:rsidR="002C2B0E" w:rsidRPr="000D37F1" w:rsidRDefault="002C2B0E" w:rsidP="008A1D24">
            <w:pPr>
              <w:spacing w:line="360" w:lineRule="auto"/>
              <w:rPr>
                <w:sz w:val="24"/>
                <w:szCs w:val="24"/>
                <w:lang w:val="lt-LT"/>
              </w:rPr>
            </w:pPr>
            <w:r w:rsidRPr="000D37F1">
              <w:rPr>
                <w:sz w:val="24"/>
                <w:szCs w:val="24"/>
                <w:lang w:val="lt-LT"/>
              </w:rPr>
              <w:lastRenderedPageBreak/>
              <w:t>2.</w:t>
            </w:r>
          </w:p>
        </w:tc>
        <w:tc>
          <w:tcPr>
            <w:tcW w:w="1697" w:type="dxa"/>
          </w:tcPr>
          <w:p w:rsidR="002C2B0E" w:rsidRPr="000D37F1" w:rsidRDefault="002C2B0E" w:rsidP="008A1D24">
            <w:pPr>
              <w:spacing w:line="360" w:lineRule="auto"/>
              <w:rPr>
                <w:i/>
                <w:iCs/>
                <w:lang w:val="lt-LT"/>
              </w:rPr>
            </w:pPr>
            <w:r w:rsidRPr="000D37F1">
              <w:rPr>
                <w:i/>
                <w:iCs/>
                <w:lang w:val="lt-LT"/>
              </w:rPr>
              <w:t>Likvidumo</w:t>
            </w:r>
          </w:p>
        </w:tc>
        <w:tc>
          <w:tcPr>
            <w:tcW w:w="4536" w:type="dxa"/>
          </w:tcPr>
          <w:p w:rsidR="002C2B0E" w:rsidRPr="000D37F1" w:rsidRDefault="00532F8D" w:rsidP="008A1D24">
            <w:pPr>
              <w:pStyle w:val="ListParagraph"/>
              <w:numPr>
                <w:ilvl w:val="0"/>
                <w:numId w:val="9"/>
              </w:numPr>
              <w:spacing w:line="360" w:lineRule="auto"/>
              <w:ind w:left="252" w:hanging="252"/>
              <w:rPr>
                <w:lang w:val="lt-LT"/>
              </w:rPr>
            </w:pPr>
            <w:r w:rsidRPr="000D37F1">
              <w:rPr>
                <w:lang w:val="lt-LT"/>
              </w:rPr>
              <w:t xml:space="preserve">Turtas neviršija 15 mln. litų arba metinis indėlių augimas </w:t>
            </w:r>
            <w:r w:rsidR="000F03BC">
              <w:rPr>
                <w:lang w:val="lt-LT"/>
              </w:rPr>
              <w:t>&lt;</w:t>
            </w:r>
            <w:r w:rsidRPr="000D37F1">
              <w:rPr>
                <w:lang w:val="lt-LT"/>
              </w:rPr>
              <w:t xml:space="preserve"> 15 proc. – ne mažesnis nei 30 proc.</w:t>
            </w:r>
          </w:p>
          <w:p w:rsidR="00532F8D" w:rsidRPr="000D37F1" w:rsidRDefault="000F03BC" w:rsidP="008A1D24">
            <w:pPr>
              <w:pStyle w:val="ListParagraph"/>
              <w:numPr>
                <w:ilvl w:val="0"/>
                <w:numId w:val="9"/>
              </w:numPr>
              <w:spacing w:line="360" w:lineRule="auto"/>
              <w:ind w:left="252" w:hanging="252"/>
              <w:rPr>
                <w:lang w:val="lt-LT"/>
              </w:rPr>
            </w:pPr>
            <w:r>
              <w:rPr>
                <w:lang w:val="lt-LT"/>
              </w:rPr>
              <w:t xml:space="preserve">Turtas </w:t>
            </w:r>
            <w:r>
              <w:t>&gt;</w:t>
            </w:r>
            <w:r w:rsidR="00532F8D" w:rsidRPr="000D37F1">
              <w:rPr>
                <w:lang w:val="lt-LT"/>
              </w:rPr>
              <w:t>15 mln. litų ir metinis indėlių augimas sudaro  nuo 15 iki 25 proc. – ne mažesnis nei 40 proc.</w:t>
            </w:r>
          </w:p>
          <w:p w:rsidR="00532F8D" w:rsidRPr="000D37F1" w:rsidRDefault="00532F8D" w:rsidP="008A1D24">
            <w:pPr>
              <w:pStyle w:val="ListParagraph"/>
              <w:numPr>
                <w:ilvl w:val="0"/>
                <w:numId w:val="9"/>
              </w:numPr>
              <w:spacing w:line="360" w:lineRule="auto"/>
              <w:ind w:left="252" w:hanging="252"/>
              <w:rPr>
                <w:lang w:val="lt-LT"/>
              </w:rPr>
            </w:pPr>
            <w:r w:rsidRPr="000D37F1">
              <w:rPr>
                <w:lang w:val="lt-LT"/>
              </w:rPr>
              <w:t xml:space="preserve">Turtas </w:t>
            </w:r>
            <w:r w:rsidR="000F03BC">
              <w:rPr>
                <w:lang w:val="lt-LT"/>
              </w:rPr>
              <w:t xml:space="preserve">&gt; </w:t>
            </w:r>
            <w:r w:rsidRPr="000D37F1">
              <w:rPr>
                <w:lang w:val="lt-LT"/>
              </w:rPr>
              <w:t>15 mln. litų ir metinis indėlių augimas sudaro nuo 25 iki 50 proc. – ne mažesnis nei 50 proc.</w:t>
            </w:r>
          </w:p>
          <w:p w:rsidR="00532F8D" w:rsidRPr="000D37F1" w:rsidRDefault="00532F8D" w:rsidP="000F03BC">
            <w:pPr>
              <w:pStyle w:val="ListParagraph"/>
              <w:numPr>
                <w:ilvl w:val="0"/>
                <w:numId w:val="9"/>
              </w:numPr>
              <w:spacing w:line="360" w:lineRule="auto"/>
              <w:ind w:left="252" w:hanging="252"/>
              <w:rPr>
                <w:lang w:val="lt-LT"/>
              </w:rPr>
            </w:pPr>
            <w:r w:rsidRPr="000D37F1">
              <w:rPr>
                <w:lang w:val="lt-LT"/>
              </w:rPr>
              <w:t>Turtas</w:t>
            </w:r>
            <w:r w:rsidR="000F03BC">
              <w:rPr>
                <w:lang w:val="lt-LT"/>
              </w:rPr>
              <w:t xml:space="preserve"> &gt;</w:t>
            </w:r>
            <w:r w:rsidRPr="000D37F1">
              <w:rPr>
                <w:lang w:val="lt-LT"/>
              </w:rPr>
              <w:t xml:space="preserve"> 15 mln. litų ir metinis indėlių augimas </w:t>
            </w:r>
            <w:r w:rsidR="000F03BC">
              <w:rPr>
                <w:lang w:val="lt-LT"/>
              </w:rPr>
              <w:t>&gt;</w:t>
            </w:r>
            <w:r w:rsidRPr="000D37F1">
              <w:rPr>
                <w:lang w:val="lt-LT"/>
              </w:rPr>
              <w:t xml:space="preserve"> 50 proc. – ne mažesnis nei 60 proc.</w:t>
            </w:r>
          </w:p>
        </w:tc>
        <w:tc>
          <w:tcPr>
            <w:tcW w:w="3544" w:type="dxa"/>
          </w:tcPr>
          <w:p w:rsidR="002C2B0E" w:rsidRPr="000D37F1" w:rsidRDefault="002C2B0E" w:rsidP="000F03BC">
            <w:pPr>
              <w:pStyle w:val="NormalWeb"/>
              <w:spacing w:line="360" w:lineRule="auto"/>
              <w:jc w:val="both"/>
              <w:rPr>
                <w:sz w:val="20"/>
                <w:szCs w:val="20"/>
              </w:rPr>
            </w:pPr>
            <w:r w:rsidRPr="000D37F1">
              <w:rPr>
                <w:sz w:val="20"/>
                <w:szCs w:val="20"/>
              </w:rPr>
              <w:t>Likvidžiojo turto ir einamųjų įsipareigojimų santykis nemažesnis negu 30 procentų</w:t>
            </w:r>
          </w:p>
          <w:p w:rsidR="002C2B0E" w:rsidRPr="000D37F1" w:rsidRDefault="002C2B0E" w:rsidP="008A1D24">
            <w:pPr>
              <w:spacing w:line="360" w:lineRule="auto"/>
              <w:rPr>
                <w:lang w:val="lt-LT"/>
              </w:rPr>
            </w:pPr>
          </w:p>
        </w:tc>
      </w:tr>
      <w:tr w:rsidR="002C2B0E" w:rsidRPr="003832D2" w:rsidTr="000F03BC">
        <w:trPr>
          <w:trHeight w:val="2375"/>
        </w:trPr>
        <w:tc>
          <w:tcPr>
            <w:tcW w:w="396" w:type="dxa"/>
          </w:tcPr>
          <w:p w:rsidR="002C2B0E" w:rsidRPr="000D37F1" w:rsidRDefault="002C2B0E" w:rsidP="008A1D24">
            <w:pPr>
              <w:spacing w:line="360" w:lineRule="auto"/>
              <w:rPr>
                <w:sz w:val="24"/>
                <w:szCs w:val="24"/>
                <w:lang w:val="lt-LT"/>
              </w:rPr>
            </w:pPr>
            <w:r w:rsidRPr="000D37F1">
              <w:rPr>
                <w:sz w:val="24"/>
                <w:szCs w:val="24"/>
                <w:lang w:val="lt-LT"/>
              </w:rPr>
              <w:t>3.</w:t>
            </w:r>
          </w:p>
        </w:tc>
        <w:tc>
          <w:tcPr>
            <w:tcW w:w="1697" w:type="dxa"/>
          </w:tcPr>
          <w:p w:rsidR="002C2B0E" w:rsidRPr="000D37F1" w:rsidRDefault="002C2B0E" w:rsidP="008A1D24">
            <w:pPr>
              <w:spacing w:line="360" w:lineRule="auto"/>
              <w:rPr>
                <w:i/>
                <w:iCs/>
                <w:lang w:val="lt-LT"/>
              </w:rPr>
            </w:pPr>
            <w:r w:rsidRPr="000D37F1">
              <w:rPr>
                <w:i/>
                <w:iCs/>
                <w:lang w:val="lt-LT"/>
              </w:rPr>
              <w:t>Didžiausios atviros pozicijos užsienio valiuta</w:t>
            </w:r>
          </w:p>
        </w:tc>
        <w:tc>
          <w:tcPr>
            <w:tcW w:w="4536" w:type="dxa"/>
          </w:tcPr>
          <w:p w:rsidR="00A11BF1" w:rsidRPr="000D37F1" w:rsidRDefault="002C2B0E" w:rsidP="008A1D24">
            <w:pPr>
              <w:numPr>
                <w:ilvl w:val="0"/>
                <w:numId w:val="3"/>
              </w:numPr>
              <w:tabs>
                <w:tab w:val="clear" w:pos="720"/>
              </w:tabs>
              <w:spacing w:line="360" w:lineRule="auto"/>
              <w:ind w:left="252" w:hanging="342"/>
              <w:rPr>
                <w:lang w:val="lt-LT"/>
              </w:rPr>
            </w:pPr>
            <w:r w:rsidRPr="000D37F1">
              <w:rPr>
                <w:lang w:val="lt-LT"/>
              </w:rPr>
              <w:t>santykis ne didesnis kaip 25 procentai;</w:t>
            </w:r>
          </w:p>
          <w:p w:rsidR="002C2B0E" w:rsidRPr="000D37F1" w:rsidRDefault="002C2B0E" w:rsidP="008A1D24">
            <w:pPr>
              <w:numPr>
                <w:ilvl w:val="0"/>
                <w:numId w:val="3"/>
              </w:numPr>
              <w:tabs>
                <w:tab w:val="clear" w:pos="720"/>
              </w:tabs>
              <w:spacing w:line="360" w:lineRule="auto"/>
              <w:ind w:left="252" w:hanging="342"/>
              <w:rPr>
                <w:lang w:val="lt-LT"/>
              </w:rPr>
            </w:pPr>
            <w:r w:rsidRPr="000D37F1">
              <w:rPr>
                <w:lang w:val="lt-LT"/>
              </w:rPr>
              <w:t xml:space="preserve">Vienos valiutos (išskyrus eurus) </w:t>
            </w:r>
            <w:r w:rsidR="00DC28D5" w:rsidRPr="000D37F1">
              <w:rPr>
                <w:lang w:val="lt-LT"/>
              </w:rPr>
              <w:t xml:space="preserve">- </w:t>
            </w:r>
            <w:r w:rsidRPr="000D37F1">
              <w:rPr>
                <w:lang w:val="lt-LT"/>
              </w:rPr>
              <w:t>ne didesnis kaip 15 procentų</w:t>
            </w:r>
          </w:p>
        </w:tc>
        <w:tc>
          <w:tcPr>
            <w:tcW w:w="3544" w:type="dxa"/>
          </w:tcPr>
          <w:p w:rsidR="002C2B0E" w:rsidRPr="000D37F1" w:rsidRDefault="002C2B0E" w:rsidP="007B0965">
            <w:pPr>
              <w:pStyle w:val="ListParagraph"/>
              <w:numPr>
                <w:ilvl w:val="0"/>
                <w:numId w:val="3"/>
              </w:numPr>
              <w:tabs>
                <w:tab w:val="clear" w:pos="720"/>
                <w:tab w:val="num" w:pos="0"/>
              </w:tabs>
              <w:spacing w:line="360" w:lineRule="auto"/>
              <w:ind w:left="252" w:hanging="252"/>
              <w:rPr>
                <w:lang w:val="lt-LT"/>
              </w:rPr>
            </w:pPr>
            <w:r w:rsidRPr="000D37F1">
              <w:rPr>
                <w:lang w:val="lt-LT"/>
              </w:rPr>
              <w:t>Bendrosios atviros valiutos pozicijos (išskyrus eurus) ir kapitalo santykis ne didesnis kaip 25 procentai;</w:t>
            </w:r>
          </w:p>
          <w:p w:rsidR="002C2B0E" w:rsidRPr="000D37F1" w:rsidRDefault="002C2B0E" w:rsidP="007B0965">
            <w:pPr>
              <w:pStyle w:val="ListParagraph"/>
              <w:numPr>
                <w:ilvl w:val="0"/>
                <w:numId w:val="3"/>
              </w:numPr>
              <w:tabs>
                <w:tab w:val="clear" w:pos="720"/>
                <w:tab w:val="num" w:pos="0"/>
              </w:tabs>
              <w:spacing w:line="360" w:lineRule="auto"/>
              <w:ind w:left="252" w:hanging="252"/>
              <w:rPr>
                <w:lang w:val="lt-LT"/>
              </w:rPr>
            </w:pPr>
            <w:r w:rsidRPr="000D37F1">
              <w:rPr>
                <w:lang w:val="lt-LT"/>
              </w:rPr>
              <w:t>Vienos valiutos (išskyrus eurus) ar tauriųjų metalų atviros pozicijos ir kapitalo santykis ne didesnis kaip 15 procentų</w:t>
            </w:r>
          </w:p>
        </w:tc>
      </w:tr>
      <w:tr w:rsidR="002C2B0E" w:rsidRPr="003832D2" w:rsidTr="000F03BC">
        <w:trPr>
          <w:trHeight w:val="1997"/>
        </w:trPr>
        <w:tc>
          <w:tcPr>
            <w:tcW w:w="396" w:type="dxa"/>
          </w:tcPr>
          <w:p w:rsidR="002C2B0E" w:rsidRPr="000D37F1" w:rsidRDefault="002C2B0E" w:rsidP="008A1D24">
            <w:pPr>
              <w:spacing w:line="360" w:lineRule="auto"/>
              <w:rPr>
                <w:sz w:val="24"/>
                <w:szCs w:val="24"/>
                <w:lang w:val="lt-LT"/>
              </w:rPr>
            </w:pPr>
            <w:r w:rsidRPr="000D37F1">
              <w:rPr>
                <w:sz w:val="24"/>
                <w:szCs w:val="24"/>
                <w:lang w:val="lt-LT"/>
              </w:rPr>
              <w:t>4.</w:t>
            </w:r>
          </w:p>
        </w:tc>
        <w:tc>
          <w:tcPr>
            <w:tcW w:w="1697" w:type="dxa"/>
          </w:tcPr>
          <w:p w:rsidR="002C2B0E" w:rsidRPr="000D37F1" w:rsidRDefault="002C2B0E" w:rsidP="008A1D24">
            <w:pPr>
              <w:spacing w:line="360" w:lineRule="auto"/>
              <w:rPr>
                <w:i/>
                <w:iCs/>
                <w:lang w:val="lt-LT"/>
              </w:rPr>
            </w:pPr>
            <w:r w:rsidRPr="000D37F1">
              <w:rPr>
                <w:i/>
                <w:iCs/>
                <w:lang w:val="lt-LT"/>
              </w:rPr>
              <w:t>Didžiausios paskolos sumos vienam skolininkui</w:t>
            </w:r>
          </w:p>
        </w:tc>
        <w:tc>
          <w:tcPr>
            <w:tcW w:w="4536" w:type="dxa"/>
          </w:tcPr>
          <w:p w:rsidR="00A11BF1" w:rsidRPr="000D37F1" w:rsidRDefault="002C2B0E" w:rsidP="008A1D24">
            <w:pPr>
              <w:pStyle w:val="ListParagraph"/>
              <w:numPr>
                <w:ilvl w:val="0"/>
                <w:numId w:val="10"/>
              </w:numPr>
              <w:spacing w:line="360" w:lineRule="auto"/>
              <w:ind w:left="252" w:hanging="252"/>
              <w:rPr>
                <w:lang w:val="lt-LT"/>
              </w:rPr>
            </w:pPr>
            <w:r w:rsidRPr="000D37F1">
              <w:rPr>
                <w:lang w:val="lt-LT"/>
              </w:rPr>
              <w:t>ne didesnė kaip 25 pr</w:t>
            </w:r>
            <w:r w:rsidR="00DC28D5" w:rsidRPr="000D37F1">
              <w:rPr>
                <w:lang w:val="lt-LT"/>
              </w:rPr>
              <w:t xml:space="preserve">ocentai kredito unijos kapitalo arba </w:t>
            </w:r>
            <w:r w:rsidR="00A11BF1" w:rsidRPr="000D37F1">
              <w:rPr>
                <w:lang w:val="lt-LT"/>
              </w:rPr>
              <w:t>500 000 litų.</w:t>
            </w:r>
          </w:p>
        </w:tc>
        <w:tc>
          <w:tcPr>
            <w:tcW w:w="3544" w:type="dxa"/>
          </w:tcPr>
          <w:p w:rsidR="002C2B0E" w:rsidRPr="000D37F1" w:rsidRDefault="002C2B0E" w:rsidP="008A1D24">
            <w:pPr>
              <w:spacing w:line="360" w:lineRule="auto"/>
              <w:rPr>
                <w:lang w:val="lt-LT"/>
              </w:rPr>
            </w:pPr>
            <w:r w:rsidRPr="000D37F1">
              <w:rPr>
                <w:lang w:val="lt-LT"/>
              </w:rPr>
              <w:t>Paskolos suma vienam skolininkui ne didesnė kaip 25 procentai banko kapitalo</w:t>
            </w:r>
            <w:r w:rsidR="00DE103E" w:rsidRPr="000D37F1">
              <w:rPr>
                <w:lang w:val="lt-LT"/>
              </w:rPr>
              <w:t>;</w:t>
            </w:r>
          </w:p>
          <w:p w:rsidR="002C2B0E" w:rsidRPr="000D37F1" w:rsidRDefault="002C2B0E" w:rsidP="008A1D24">
            <w:pPr>
              <w:spacing w:line="360" w:lineRule="auto"/>
              <w:rPr>
                <w:lang w:val="lt-LT"/>
              </w:rPr>
            </w:pPr>
            <w:r w:rsidRPr="000D37F1">
              <w:rPr>
                <w:lang w:val="lt-LT"/>
              </w:rPr>
              <w:t>Taip pat taikomi normatyvai susiję su paskolomis tarp patronuojamų ir patronuojančių įmonių</w:t>
            </w:r>
          </w:p>
        </w:tc>
      </w:tr>
      <w:tr w:rsidR="002C2B0E" w:rsidRPr="000D37F1" w:rsidTr="000F03BC">
        <w:tc>
          <w:tcPr>
            <w:tcW w:w="396" w:type="dxa"/>
          </w:tcPr>
          <w:p w:rsidR="002C2B0E" w:rsidRPr="000D37F1" w:rsidRDefault="002C2B0E" w:rsidP="008A1D24">
            <w:pPr>
              <w:spacing w:line="360" w:lineRule="auto"/>
              <w:rPr>
                <w:sz w:val="24"/>
                <w:szCs w:val="24"/>
                <w:lang w:val="lt-LT"/>
              </w:rPr>
            </w:pPr>
            <w:r w:rsidRPr="000D37F1">
              <w:rPr>
                <w:sz w:val="24"/>
                <w:szCs w:val="24"/>
                <w:lang w:val="lt-LT"/>
              </w:rPr>
              <w:t>5.</w:t>
            </w:r>
          </w:p>
        </w:tc>
        <w:tc>
          <w:tcPr>
            <w:tcW w:w="1697" w:type="dxa"/>
          </w:tcPr>
          <w:p w:rsidR="002C2B0E" w:rsidRPr="000D37F1" w:rsidRDefault="00A11BF1" w:rsidP="008A1D24">
            <w:pPr>
              <w:spacing w:line="360" w:lineRule="auto"/>
              <w:rPr>
                <w:i/>
                <w:iCs/>
                <w:lang w:val="lt-LT"/>
              </w:rPr>
            </w:pPr>
            <w:r w:rsidRPr="000D37F1">
              <w:rPr>
                <w:i/>
                <w:iCs/>
                <w:lang w:val="lt-LT"/>
              </w:rPr>
              <w:t>Padengimo likvidžiuoju turtu rodiklis</w:t>
            </w:r>
          </w:p>
        </w:tc>
        <w:tc>
          <w:tcPr>
            <w:tcW w:w="4536" w:type="dxa"/>
          </w:tcPr>
          <w:p w:rsidR="002C2B0E" w:rsidRPr="000D37F1" w:rsidRDefault="00DC28D5" w:rsidP="008A1D24">
            <w:pPr>
              <w:spacing w:line="360" w:lineRule="auto"/>
              <w:rPr>
                <w:lang w:val="lt-LT"/>
              </w:rPr>
            </w:pPr>
            <w:r w:rsidRPr="000D37F1">
              <w:rPr>
                <w:lang w:val="lt-LT"/>
              </w:rPr>
              <w:t>N</w:t>
            </w:r>
            <w:r w:rsidR="00A11BF1" w:rsidRPr="000D37F1">
              <w:rPr>
                <w:lang w:val="lt-LT"/>
              </w:rPr>
              <w:t>e mažesnis kaip 100 proc.</w:t>
            </w:r>
          </w:p>
        </w:tc>
        <w:tc>
          <w:tcPr>
            <w:tcW w:w="3544" w:type="dxa"/>
          </w:tcPr>
          <w:p w:rsidR="002C2B0E" w:rsidRPr="000D37F1" w:rsidRDefault="009D311B" w:rsidP="009D311B">
            <w:pPr>
              <w:spacing w:line="360" w:lineRule="auto"/>
              <w:rPr>
                <w:lang w:val="lt-LT"/>
              </w:rPr>
            </w:pPr>
            <w:r w:rsidRPr="000D37F1">
              <w:rPr>
                <w:lang w:val="lt-LT"/>
              </w:rPr>
              <w:t>Atsargos</w:t>
            </w:r>
            <w:r w:rsidR="00833893">
              <w:rPr>
                <w:lang w:val="lt-LT"/>
              </w:rPr>
              <w:t xml:space="preserve"> </w:t>
            </w:r>
            <w:r w:rsidRPr="000D37F1">
              <w:rPr>
                <w:lang w:val="lt-LT"/>
              </w:rPr>
              <w:t>kapitalas</w:t>
            </w:r>
          </w:p>
        </w:tc>
      </w:tr>
    </w:tbl>
    <w:p w:rsidR="008A1D24" w:rsidRPr="000D37F1" w:rsidRDefault="002C2B0E" w:rsidP="002C2B0E">
      <w:pPr>
        <w:pStyle w:val="NormalWeb"/>
        <w:rPr>
          <w:i/>
          <w:iCs/>
        </w:rPr>
      </w:pPr>
      <w:r w:rsidRPr="000D37F1">
        <w:rPr>
          <w:i/>
          <w:iCs/>
        </w:rPr>
        <w:t>Parengta autorė</w:t>
      </w:r>
      <w:r w:rsidR="00D65E54" w:rsidRPr="000D37F1">
        <w:rPr>
          <w:i/>
          <w:iCs/>
        </w:rPr>
        <w:t>s pagal Lietuvos Banko duomenis</w:t>
      </w:r>
    </w:p>
    <w:p w:rsidR="004D43DA" w:rsidRDefault="00D65E54" w:rsidP="00C559E8">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Ne tik kredito unijoms ir komerciniams bankams taikomi skirtingi normatyvai, tačiau ir </w:t>
      </w:r>
      <w:r w:rsidR="00501B2F" w:rsidRPr="000D37F1">
        <w:rPr>
          <w:rFonts w:ascii="Times New Roman" w:hAnsi="Times New Roman" w:cs="Times New Roman"/>
          <w:sz w:val="24"/>
          <w:szCs w:val="24"/>
          <w:lang w:val="lt-LT"/>
        </w:rPr>
        <w:t xml:space="preserve">atskiroms </w:t>
      </w:r>
      <w:r w:rsidRPr="000D37F1">
        <w:rPr>
          <w:rFonts w:ascii="Times New Roman" w:hAnsi="Times New Roman" w:cs="Times New Roman"/>
          <w:sz w:val="24"/>
          <w:szCs w:val="24"/>
          <w:lang w:val="lt-LT"/>
        </w:rPr>
        <w:t xml:space="preserve">kredito </w:t>
      </w:r>
      <w:r w:rsidR="00DE103E" w:rsidRPr="000D37F1">
        <w:rPr>
          <w:rFonts w:ascii="Times New Roman" w:hAnsi="Times New Roman" w:cs="Times New Roman"/>
          <w:sz w:val="24"/>
          <w:szCs w:val="24"/>
          <w:lang w:val="lt-LT"/>
        </w:rPr>
        <w:t xml:space="preserve">unijoms taikomi diversifikuoti </w:t>
      </w:r>
      <w:r w:rsidR="00FD55AC" w:rsidRPr="000D37F1">
        <w:rPr>
          <w:rFonts w:ascii="Times New Roman" w:hAnsi="Times New Roman" w:cs="Times New Roman"/>
          <w:sz w:val="24"/>
          <w:szCs w:val="24"/>
          <w:lang w:val="lt-LT"/>
        </w:rPr>
        <w:t>reikalavimai</w:t>
      </w:r>
      <w:r w:rsidR="008A1D24" w:rsidRPr="000D37F1">
        <w:rPr>
          <w:rFonts w:ascii="Times New Roman" w:hAnsi="Times New Roman" w:cs="Times New Roman"/>
          <w:sz w:val="24"/>
          <w:szCs w:val="24"/>
          <w:lang w:val="lt-LT"/>
        </w:rPr>
        <w:t xml:space="preserve"> (</w:t>
      </w:r>
      <w:r w:rsidR="00333086">
        <w:rPr>
          <w:rFonts w:ascii="Times New Roman" w:hAnsi="Times New Roman" w:cs="Times New Roman"/>
          <w:sz w:val="24"/>
          <w:szCs w:val="24"/>
          <w:lang w:val="lt-LT"/>
        </w:rPr>
        <w:t xml:space="preserve"> žr. 1 lentelę</w:t>
      </w:r>
      <w:r w:rsidR="008A1D24" w:rsidRPr="000D37F1">
        <w:rPr>
          <w:rFonts w:ascii="Times New Roman" w:hAnsi="Times New Roman" w:cs="Times New Roman"/>
          <w:sz w:val="24"/>
          <w:szCs w:val="24"/>
          <w:lang w:val="lt-LT"/>
        </w:rPr>
        <w:t>)</w:t>
      </w:r>
      <w:r w:rsidR="00DE103E" w:rsidRPr="000D37F1">
        <w:rPr>
          <w:rFonts w:ascii="Times New Roman" w:hAnsi="Times New Roman" w:cs="Times New Roman"/>
          <w:sz w:val="24"/>
          <w:szCs w:val="24"/>
          <w:lang w:val="lt-LT"/>
        </w:rPr>
        <w:t xml:space="preserve">, nes </w:t>
      </w:r>
      <w:r w:rsidR="00FD55AC" w:rsidRPr="000D37F1">
        <w:rPr>
          <w:rFonts w:ascii="Times New Roman" w:hAnsi="Times New Roman" w:cs="Times New Roman"/>
          <w:sz w:val="24"/>
          <w:szCs w:val="24"/>
          <w:lang w:val="lt-LT"/>
        </w:rPr>
        <w:t xml:space="preserve">pačios </w:t>
      </w:r>
      <w:r w:rsidR="00DE103E" w:rsidRPr="000D37F1">
        <w:rPr>
          <w:rFonts w:ascii="Times New Roman" w:hAnsi="Times New Roman" w:cs="Times New Roman"/>
          <w:sz w:val="24"/>
          <w:szCs w:val="24"/>
          <w:lang w:val="lt-LT"/>
        </w:rPr>
        <w:t xml:space="preserve">kredito unijos yra skirtingos, vienos orientuotos į tradicinį kooperatyvą, o </w:t>
      </w:r>
      <w:r w:rsidRPr="000D37F1">
        <w:rPr>
          <w:rFonts w:ascii="Times New Roman" w:hAnsi="Times New Roman" w:cs="Times New Roman"/>
          <w:sz w:val="24"/>
          <w:szCs w:val="24"/>
          <w:lang w:val="lt-LT"/>
        </w:rPr>
        <w:t>kitos į spartų augimą</w:t>
      </w:r>
      <w:r w:rsidR="00333086">
        <w:rPr>
          <w:rFonts w:ascii="Times New Roman" w:hAnsi="Times New Roman" w:cs="Times New Roman"/>
          <w:sz w:val="24"/>
          <w:szCs w:val="24"/>
          <w:lang w:val="lt-LT"/>
        </w:rPr>
        <w:t>.</w:t>
      </w:r>
      <w:r w:rsidR="00C559E8" w:rsidRPr="000D37F1">
        <w:rPr>
          <w:rFonts w:ascii="Times New Roman" w:hAnsi="Times New Roman" w:cs="Times New Roman"/>
          <w:sz w:val="24"/>
          <w:szCs w:val="24"/>
          <w:lang w:val="lt-LT"/>
        </w:rPr>
        <w:t xml:space="preserve"> </w:t>
      </w:r>
      <w:r w:rsidR="00DE103E" w:rsidRPr="000D37F1">
        <w:rPr>
          <w:rFonts w:ascii="Times New Roman" w:hAnsi="Times New Roman" w:cs="Times New Roman"/>
          <w:sz w:val="24"/>
          <w:szCs w:val="24"/>
          <w:lang w:val="lt-LT"/>
        </w:rPr>
        <w:t xml:space="preserve">Lyginant </w:t>
      </w:r>
      <w:r w:rsidR="008D452F" w:rsidRPr="000D37F1">
        <w:rPr>
          <w:rFonts w:ascii="Times New Roman" w:hAnsi="Times New Roman" w:cs="Times New Roman"/>
          <w:sz w:val="24"/>
          <w:szCs w:val="24"/>
          <w:lang w:val="lt-LT"/>
        </w:rPr>
        <w:t>veik</w:t>
      </w:r>
      <w:r w:rsidRPr="000D37F1">
        <w:rPr>
          <w:rFonts w:ascii="Times New Roman" w:hAnsi="Times New Roman" w:cs="Times New Roman"/>
          <w:sz w:val="24"/>
          <w:szCs w:val="24"/>
          <w:lang w:val="lt-LT"/>
        </w:rPr>
        <w:t>lo</w:t>
      </w:r>
      <w:r w:rsidR="008D452F" w:rsidRPr="000D37F1">
        <w:rPr>
          <w:rFonts w:ascii="Times New Roman" w:hAnsi="Times New Roman" w:cs="Times New Roman"/>
          <w:sz w:val="24"/>
          <w:szCs w:val="24"/>
          <w:lang w:val="lt-LT"/>
        </w:rPr>
        <w:t>s</w:t>
      </w:r>
      <w:r w:rsidRPr="000D37F1">
        <w:rPr>
          <w:rFonts w:ascii="Times New Roman" w:hAnsi="Times New Roman" w:cs="Times New Roman"/>
          <w:sz w:val="24"/>
          <w:szCs w:val="24"/>
          <w:lang w:val="lt-LT"/>
        </w:rPr>
        <w:t xml:space="preserve"> riziką ribojančius </w:t>
      </w:r>
      <w:r w:rsidR="00DE103E" w:rsidRPr="000D37F1">
        <w:rPr>
          <w:rFonts w:ascii="Times New Roman" w:hAnsi="Times New Roman" w:cs="Times New Roman"/>
          <w:sz w:val="24"/>
          <w:szCs w:val="24"/>
          <w:lang w:val="lt-LT"/>
        </w:rPr>
        <w:t>normatyvus su komerciniais banka</w:t>
      </w:r>
      <w:r w:rsidR="008D452F" w:rsidRPr="000D37F1">
        <w:rPr>
          <w:rFonts w:ascii="Times New Roman" w:hAnsi="Times New Roman" w:cs="Times New Roman"/>
          <w:sz w:val="24"/>
          <w:szCs w:val="24"/>
          <w:lang w:val="lt-LT"/>
        </w:rPr>
        <w:t>i</w:t>
      </w:r>
      <w:r w:rsidR="00DE103E" w:rsidRPr="000D37F1">
        <w:rPr>
          <w:rFonts w:ascii="Times New Roman" w:hAnsi="Times New Roman" w:cs="Times New Roman"/>
          <w:sz w:val="24"/>
          <w:szCs w:val="24"/>
          <w:lang w:val="lt-LT"/>
        </w:rPr>
        <w:t xml:space="preserve">s, didžiausi skirtumai </w:t>
      </w:r>
      <w:r w:rsidR="00880FEA" w:rsidRPr="000D37F1">
        <w:rPr>
          <w:rFonts w:ascii="Times New Roman" w:hAnsi="Times New Roman" w:cs="Times New Roman"/>
          <w:sz w:val="24"/>
          <w:szCs w:val="24"/>
          <w:lang w:val="lt-LT"/>
        </w:rPr>
        <w:t>yra</w:t>
      </w:r>
      <w:r w:rsidR="00833893">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tarp</w:t>
      </w:r>
      <w:r w:rsidR="00833893">
        <w:rPr>
          <w:rFonts w:ascii="Times New Roman" w:hAnsi="Times New Roman" w:cs="Times New Roman"/>
          <w:sz w:val="24"/>
          <w:szCs w:val="24"/>
          <w:lang w:val="lt-LT"/>
        </w:rPr>
        <w:t xml:space="preserve"> </w:t>
      </w:r>
      <w:r w:rsidR="00DE103E" w:rsidRPr="000D37F1">
        <w:rPr>
          <w:rFonts w:ascii="Times New Roman" w:hAnsi="Times New Roman" w:cs="Times New Roman"/>
          <w:sz w:val="24"/>
          <w:szCs w:val="24"/>
          <w:lang w:val="lt-LT"/>
        </w:rPr>
        <w:t>kapitalo pak</w:t>
      </w:r>
      <w:r w:rsidR="00880FEA" w:rsidRPr="000D37F1">
        <w:rPr>
          <w:rFonts w:ascii="Times New Roman" w:hAnsi="Times New Roman" w:cs="Times New Roman"/>
          <w:sz w:val="24"/>
          <w:szCs w:val="24"/>
          <w:lang w:val="lt-LT"/>
        </w:rPr>
        <w:t>a</w:t>
      </w:r>
      <w:r w:rsidR="00333086">
        <w:rPr>
          <w:rFonts w:ascii="Times New Roman" w:hAnsi="Times New Roman" w:cs="Times New Roman"/>
          <w:sz w:val="24"/>
          <w:szCs w:val="24"/>
          <w:lang w:val="lt-LT"/>
        </w:rPr>
        <w:t>nkamumo ir likvidumo normatyvų</w:t>
      </w:r>
      <w:r w:rsidRPr="000D37F1">
        <w:rPr>
          <w:rFonts w:ascii="Times New Roman" w:hAnsi="Times New Roman" w:cs="Times New Roman"/>
          <w:sz w:val="24"/>
          <w:szCs w:val="24"/>
          <w:lang w:val="lt-LT"/>
        </w:rPr>
        <w:t xml:space="preserve">. </w:t>
      </w:r>
      <w:r w:rsidR="00465377">
        <w:rPr>
          <w:rFonts w:ascii="Times New Roman" w:hAnsi="Times New Roman" w:cs="Times New Roman"/>
          <w:sz w:val="24"/>
          <w:szCs w:val="24"/>
          <w:lang w:val="lt-LT"/>
        </w:rPr>
        <w:t>Komerciniams bankams taikomas kapitalo pakankamumo rodiklis yra net 5 proc. mažesnis už minimalų rodiklį taikomą kredito unijoms</w:t>
      </w:r>
      <w:r w:rsidR="004D43DA">
        <w:rPr>
          <w:rFonts w:ascii="Times New Roman" w:hAnsi="Times New Roman" w:cs="Times New Roman"/>
          <w:sz w:val="24"/>
          <w:szCs w:val="24"/>
          <w:lang w:val="lt-LT"/>
        </w:rPr>
        <w:t xml:space="preserve">. </w:t>
      </w:r>
      <w:r w:rsidR="00465377">
        <w:rPr>
          <w:rFonts w:ascii="Times New Roman" w:hAnsi="Times New Roman" w:cs="Times New Roman"/>
          <w:sz w:val="24"/>
          <w:szCs w:val="24"/>
          <w:lang w:val="lt-LT"/>
        </w:rPr>
        <w:t xml:space="preserve"> </w:t>
      </w:r>
      <w:r w:rsidR="004D43DA" w:rsidRPr="000D37F1">
        <w:rPr>
          <w:rFonts w:ascii="Times New Roman" w:hAnsi="Times New Roman" w:cs="Times New Roman"/>
          <w:sz w:val="24"/>
          <w:szCs w:val="24"/>
          <w:lang w:val="lt-LT"/>
        </w:rPr>
        <w:lastRenderedPageBreak/>
        <w:t>Pagrindinė šių skirtumų priežastis – didesnis kredito unijų jautrumas pokyčiams bei skirting</w:t>
      </w:r>
      <w:r w:rsidR="004D43DA">
        <w:rPr>
          <w:rFonts w:ascii="Times New Roman" w:hAnsi="Times New Roman" w:cs="Times New Roman"/>
          <w:sz w:val="24"/>
          <w:szCs w:val="24"/>
          <w:lang w:val="lt-LT"/>
        </w:rPr>
        <w:t>i kredito unijų ir bankų veiklos mastai</w:t>
      </w:r>
      <w:r w:rsidR="004D43DA" w:rsidRPr="000D37F1">
        <w:rPr>
          <w:rFonts w:ascii="Times New Roman" w:hAnsi="Times New Roman" w:cs="Times New Roman"/>
          <w:sz w:val="24"/>
          <w:szCs w:val="24"/>
          <w:lang w:val="lt-LT"/>
        </w:rPr>
        <w:t>.</w:t>
      </w:r>
      <w:r w:rsidR="004D43DA">
        <w:rPr>
          <w:rFonts w:ascii="Times New Roman" w:hAnsi="Times New Roman" w:cs="Times New Roman"/>
          <w:sz w:val="24"/>
          <w:szCs w:val="24"/>
          <w:lang w:val="lt-LT"/>
        </w:rPr>
        <w:t xml:space="preserve"> </w:t>
      </w:r>
      <w:r w:rsidR="00DD365E">
        <w:rPr>
          <w:rFonts w:ascii="Times New Roman" w:hAnsi="Times New Roman" w:cs="Times New Roman"/>
          <w:sz w:val="24"/>
          <w:szCs w:val="24"/>
          <w:lang w:val="lt-LT"/>
        </w:rPr>
        <w:t>Visgi kredito unijoms taikomi ne visi reikalavimai, kurie taikomi komerciniams bankams. Tik n</w:t>
      </w:r>
      <w:r w:rsidR="00DD365E" w:rsidRPr="000D37F1">
        <w:rPr>
          <w:rFonts w:ascii="Times New Roman" w:hAnsi="Times New Roman" w:cs="Times New Roman"/>
          <w:sz w:val="24"/>
          <w:szCs w:val="24"/>
          <w:lang w:val="lt-LT"/>
        </w:rPr>
        <w:t xml:space="preserve">uo </w:t>
      </w:r>
      <w:r w:rsidR="00DD365E">
        <w:rPr>
          <w:rFonts w:ascii="Times New Roman" w:hAnsi="Times New Roman" w:cs="Times New Roman"/>
          <w:sz w:val="24"/>
          <w:szCs w:val="24"/>
          <w:lang w:val="lt-LT"/>
        </w:rPr>
        <w:t xml:space="preserve">2012 metų kredito unijoms įvestas </w:t>
      </w:r>
      <w:r w:rsidR="00DD365E" w:rsidRPr="000D37F1">
        <w:rPr>
          <w:rFonts w:ascii="Times New Roman" w:hAnsi="Times New Roman" w:cs="Times New Roman"/>
          <w:sz w:val="24"/>
          <w:szCs w:val="24"/>
          <w:lang w:val="lt-LT"/>
        </w:rPr>
        <w:t>padengimo likvidžiuoju turtu rodiklis</w:t>
      </w:r>
      <w:r w:rsidR="00DD365E">
        <w:rPr>
          <w:rFonts w:ascii="Times New Roman" w:hAnsi="Times New Roman" w:cs="Times New Roman"/>
          <w:sz w:val="24"/>
          <w:szCs w:val="24"/>
          <w:lang w:val="lt-LT"/>
        </w:rPr>
        <w:t>, tuo tarpu  atsargos kapitalo normatyvas komerciniams bankams įvestas kur kas anksčiau. Padengimo likvidžiuoju turtu rodiklis įvestas, siekiant</w:t>
      </w:r>
      <w:r w:rsidR="00DD365E" w:rsidRPr="000D37F1">
        <w:rPr>
          <w:rFonts w:ascii="Times New Roman" w:hAnsi="Times New Roman" w:cs="Times New Roman"/>
          <w:sz w:val="24"/>
          <w:szCs w:val="24"/>
          <w:lang w:val="lt-LT"/>
        </w:rPr>
        <w:t xml:space="preserve"> užtikrinti, kad kredito unijos visuomet turėtų tam tikrą kiekį aukštos kokybės likvidumo turto, kuris, susidarius nepalankioms aplinkybėms, iš karto galėtų būti paverstas grynaisiais pinigais, taip išvengiant būtinybės n</w:t>
      </w:r>
      <w:r w:rsidR="00DD365E">
        <w:rPr>
          <w:rFonts w:ascii="Times New Roman" w:hAnsi="Times New Roman" w:cs="Times New Roman"/>
          <w:sz w:val="24"/>
          <w:szCs w:val="24"/>
          <w:lang w:val="lt-LT"/>
        </w:rPr>
        <w:t>uostolingai parduoti kitą turtą, taigi kitaip tariant, šis rodiklis taikomas kredito unijų stabilumui išlaikyti.</w:t>
      </w:r>
    </w:p>
    <w:p w:rsidR="00333086" w:rsidRDefault="004D43DA" w:rsidP="00BA3765">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Analizuojant diferencijuotus normatyvus kredito unijoms, matome, jog kapitalo pakankamumo normatyvas</w:t>
      </w:r>
      <w:r w:rsidR="0046537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didėja toms kredito unijoms, kurios asocijuotiems nariams yra suteikę paskolų daugiau nei 20 proc. viso paskolų portfelio. Asocijuotais nariais laikomi juridiniai asmenys, kurie atitinka LR kredito unijų įstatymo 13 str. 2 d.  nustatytus požymius. </w:t>
      </w:r>
      <w:r w:rsidR="0025018A">
        <w:rPr>
          <w:rFonts w:ascii="Times New Roman" w:hAnsi="Times New Roman" w:cs="Times New Roman"/>
          <w:sz w:val="24"/>
          <w:szCs w:val="24"/>
          <w:lang w:val="lt-LT"/>
        </w:rPr>
        <w:t xml:space="preserve">Pastarasis reikalavimas įvestas nuo </w:t>
      </w:r>
      <w:r w:rsidR="0025018A" w:rsidRPr="003832D2">
        <w:rPr>
          <w:rFonts w:ascii="Times New Roman" w:hAnsi="Times New Roman" w:cs="Times New Roman"/>
          <w:sz w:val="24"/>
          <w:szCs w:val="24"/>
          <w:lang w:val="lt-LT"/>
        </w:rPr>
        <w:t xml:space="preserve">2013 m. </w:t>
      </w:r>
      <w:r w:rsidR="0025018A" w:rsidRPr="0025018A">
        <w:rPr>
          <w:rFonts w:ascii="Times New Roman" w:hAnsi="Times New Roman" w:cs="Times New Roman"/>
          <w:sz w:val="24"/>
          <w:szCs w:val="24"/>
          <w:lang w:val="lt-LT"/>
        </w:rPr>
        <w:t>sausio 1 d., iki to laiko galiojo 13 proc. kapitalo pakankamumo rodiklis visoms kredito unijoms, nepriklausomai nuo</w:t>
      </w:r>
      <w:r w:rsidR="0025018A">
        <w:rPr>
          <w:rFonts w:ascii="Times New Roman" w:hAnsi="Times New Roman" w:cs="Times New Roman"/>
          <w:sz w:val="24"/>
          <w:szCs w:val="24"/>
          <w:lang w:val="lt-LT"/>
        </w:rPr>
        <w:t xml:space="preserve"> paskolų dalies asocijuotiems nariams.</w:t>
      </w:r>
      <w:r w:rsidR="0025018A" w:rsidRPr="003832D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Taigi pagal šį normatyvą galime daryti išvadą, jog rizikingesnėmis kredito unijomis laikomos tos kredito unijos, kurios daugiau finansuoja verslą, o ne </w:t>
      </w:r>
      <w:r w:rsidR="00DD365E">
        <w:rPr>
          <w:rFonts w:ascii="Times New Roman" w:hAnsi="Times New Roman" w:cs="Times New Roman"/>
          <w:sz w:val="24"/>
          <w:szCs w:val="24"/>
          <w:lang w:val="lt-LT"/>
        </w:rPr>
        <w:t>fizinius asmenis. Kitas normatyvas  - likvidumas taip pat susietas su atitinkamu rodikliu – indėlių augimu. Kuo</w:t>
      </w:r>
      <w:r>
        <w:rPr>
          <w:rFonts w:ascii="Times New Roman" w:hAnsi="Times New Roman" w:cs="Times New Roman"/>
          <w:sz w:val="24"/>
          <w:szCs w:val="24"/>
          <w:lang w:val="lt-LT"/>
        </w:rPr>
        <w:t xml:space="preserve"> spartesnis kredito unijų metinis indėlių augimas, </w:t>
      </w:r>
      <w:r w:rsidRPr="0025018A">
        <w:rPr>
          <w:rFonts w:ascii="Times New Roman" w:hAnsi="Times New Roman" w:cs="Times New Roman"/>
          <w:sz w:val="24"/>
          <w:szCs w:val="24"/>
          <w:lang w:val="lt-LT"/>
        </w:rPr>
        <w:t>tuo didesni</w:t>
      </w:r>
      <w:r w:rsidR="0025018A" w:rsidRPr="0025018A">
        <w:rPr>
          <w:rFonts w:ascii="Times New Roman" w:hAnsi="Times New Roman" w:cs="Times New Roman"/>
          <w:sz w:val="24"/>
          <w:szCs w:val="24"/>
          <w:lang w:val="lt-LT"/>
        </w:rPr>
        <w:t>s likvidumo normatyvas taikomas. Šis normatyvas su indėlių augimu susietas taip pat nuo 2013 m. sausio 1 d., iki tol buvo taikytas 30 proc. likvidumo normatyvas visoms kredito unijoms.</w:t>
      </w:r>
      <w:r w:rsidR="0025018A">
        <w:rPr>
          <w:rFonts w:ascii="Times New Roman" w:hAnsi="Times New Roman" w:cs="Times New Roman"/>
          <w:sz w:val="24"/>
          <w:szCs w:val="24"/>
          <w:lang w:val="lt-LT"/>
        </w:rPr>
        <w:t xml:space="preserve"> </w:t>
      </w:r>
      <w:r w:rsidR="0025018A" w:rsidRPr="0025018A">
        <w:rPr>
          <w:rFonts w:ascii="Times New Roman" w:hAnsi="Times New Roman" w:cs="Times New Roman"/>
          <w:sz w:val="24"/>
          <w:szCs w:val="24"/>
          <w:lang w:val="lt-LT"/>
        </w:rPr>
        <w:t>Susiejus likvidumo normatyvą su indėlių augimu,</w:t>
      </w:r>
      <w:r w:rsidRPr="0025018A">
        <w:rPr>
          <w:rFonts w:ascii="Times New Roman" w:hAnsi="Times New Roman" w:cs="Times New Roman"/>
          <w:sz w:val="24"/>
          <w:szCs w:val="24"/>
          <w:lang w:val="lt-LT"/>
        </w:rPr>
        <w:t xml:space="preserve"> siekiama apriboti spartų kredito </w:t>
      </w:r>
      <w:r w:rsidR="00DD365E" w:rsidRPr="0025018A">
        <w:rPr>
          <w:rFonts w:ascii="Times New Roman" w:hAnsi="Times New Roman" w:cs="Times New Roman"/>
          <w:sz w:val="24"/>
          <w:szCs w:val="24"/>
          <w:lang w:val="lt-LT"/>
        </w:rPr>
        <w:t>unijų lėšų pritraukimą</w:t>
      </w:r>
      <w:r>
        <w:rPr>
          <w:rFonts w:ascii="Times New Roman" w:hAnsi="Times New Roman" w:cs="Times New Roman"/>
          <w:sz w:val="24"/>
          <w:szCs w:val="24"/>
          <w:lang w:val="lt-LT"/>
        </w:rPr>
        <w:t>.</w:t>
      </w:r>
      <w:r w:rsidR="00DD365E">
        <w:rPr>
          <w:rFonts w:ascii="Times New Roman" w:hAnsi="Times New Roman" w:cs="Times New Roman"/>
          <w:sz w:val="24"/>
          <w:szCs w:val="24"/>
          <w:lang w:val="lt-LT"/>
        </w:rPr>
        <w:t>, o kartu ir netvarią pačių kredito unijų plėtrą.</w:t>
      </w:r>
      <w:r w:rsidR="00BA3765">
        <w:rPr>
          <w:rFonts w:ascii="Times New Roman" w:hAnsi="Times New Roman" w:cs="Times New Roman"/>
          <w:sz w:val="24"/>
          <w:szCs w:val="24"/>
          <w:lang w:val="lt-LT"/>
        </w:rPr>
        <w:t xml:space="preserve"> </w:t>
      </w:r>
    </w:p>
    <w:p w:rsidR="00C559E8" w:rsidRPr="000D37F1" w:rsidRDefault="00DD365E" w:rsidP="00C559E8">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Gretinant kredito unijas su komerciniais bankais, matome skirtumus ne tik normatyvų taikyme, bet ir kituose teisės aktuose. </w:t>
      </w:r>
      <w:r w:rsidR="00333086" w:rsidRPr="000D37F1">
        <w:rPr>
          <w:rFonts w:ascii="Times New Roman" w:hAnsi="Times New Roman" w:cs="Times New Roman"/>
          <w:sz w:val="24"/>
          <w:szCs w:val="24"/>
          <w:lang w:val="lt-LT"/>
        </w:rPr>
        <w:t xml:space="preserve">Pagal LR bankų įstatymą, komerciniam bankui įsteigti reikalingas 5 mln. EUR įstatinis kapitalas, o </w:t>
      </w:r>
      <w:r>
        <w:rPr>
          <w:rFonts w:ascii="Times New Roman" w:hAnsi="Times New Roman" w:cs="Times New Roman"/>
          <w:sz w:val="24"/>
          <w:szCs w:val="24"/>
          <w:lang w:val="lt-LT"/>
        </w:rPr>
        <w:t xml:space="preserve">LR kredito unijų įstatyme nustatytas </w:t>
      </w:r>
      <w:r w:rsidR="00333086" w:rsidRPr="000D37F1">
        <w:rPr>
          <w:rFonts w:ascii="Times New Roman" w:hAnsi="Times New Roman" w:cs="Times New Roman"/>
          <w:sz w:val="24"/>
          <w:szCs w:val="24"/>
          <w:lang w:val="lt-LT"/>
        </w:rPr>
        <w:t xml:space="preserve">kredito unijoms </w:t>
      </w:r>
      <w:r>
        <w:rPr>
          <w:rFonts w:ascii="Times New Roman" w:hAnsi="Times New Roman" w:cs="Times New Roman"/>
          <w:sz w:val="24"/>
          <w:szCs w:val="24"/>
          <w:lang w:val="lt-LT"/>
        </w:rPr>
        <w:t xml:space="preserve">reikalingas </w:t>
      </w:r>
      <w:r w:rsidR="00333086" w:rsidRPr="000D37F1">
        <w:rPr>
          <w:rFonts w:ascii="Times New Roman" w:hAnsi="Times New Roman" w:cs="Times New Roman"/>
          <w:sz w:val="24"/>
          <w:szCs w:val="24"/>
          <w:lang w:val="lt-LT"/>
        </w:rPr>
        <w:t xml:space="preserve">15 tūkst. Lt pajinis kapitalas, jeigu jos neketina užsiimti elektroninių pinigų leidimu. Taip pat reikėtų atkreipti dėmesį, jog tam, kad būtų  ribojama kredito unijų rizika, LR Kredito unijų įstatyme nustatytas ribojimas įsigyti nekilnojamąjį turtą. Kredito unijos gali investuoti į nekilnojamąjį turtą tik tuo atveju, jeigu jis būtinas kredito unijos veiklai užtikrinti arba siekiant </w:t>
      </w:r>
      <w:r w:rsidR="00333086" w:rsidRPr="000D37F1">
        <w:rPr>
          <w:rFonts w:ascii="Times New Roman" w:hAnsi="Times New Roman" w:cs="Times New Roman"/>
          <w:sz w:val="24"/>
          <w:szCs w:val="24"/>
          <w:lang w:val="lt-LT"/>
        </w:rPr>
        <w:lastRenderedPageBreak/>
        <w:t>sumažinti nuostolius, kurie atsirado suteikus klientui finansinę paslaugą.</w:t>
      </w:r>
      <w:r>
        <w:rPr>
          <w:rFonts w:ascii="Times New Roman" w:hAnsi="Times New Roman" w:cs="Times New Roman"/>
          <w:sz w:val="24"/>
          <w:szCs w:val="24"/>
          <w:lang w:val="lt-LT"/>
        </w:rPr>
        <w:t xml:space="preserve"> Tuo tarpu, komerciniams bank</w:t>
      </w:r>
      <w:r w:rsidR="00BA3765">
        <w:rPr>
          <w:rFonts w:ascii="Times New Roman" w:hAnsi="Times New Roman" w:cs="Times New Roman"/>
          <w:sz w:val="24"/>
          <w:szCs w:val="24"/>
          <w:lang w:val="lt-LT"/>
        </w:rPr>
        <w:t>ams šis reikalavimas netaikomas, tačiau investicijos į žemę ir kitą nekilnojamąjį turtą negali viršyti 5 proc. banko perskaičiuoto kapitalo.</w:t>
      </w:r>
    </w:p>
    <w:p w:rsidR="00D1325C" w:rsidRPr="000D37F1" w:rsidRDefault="00BA3765" w:rsidP="001111B8">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Kredito ir mokėjimų rinkos dalyvių vadovams yra taikomi tam tikri teisės aktuose numatyti minimalūs reikalavimai, tačiau kredito unijoms įvestas papildomas reikalavimas – kvalifikaciniai egzaminai bei griežtesni kvalifikacijos ir patirties reikalavimai. Vadovų grupei </w:t>
      </w:r>
      <w:r w:rsidR="00BF4A50" w:rsidRPr="000D37F1">
        <w:rPr>
          <w:rFonts w:ascii="Times New Roman" w:hAnsi="Times New Roman" w:cs="Times New Roman"/>
          <w:sz w:val="24"/>
          <w:szCs w:val="24"/>
          <w:lang w:val="lt-LT"/>
        </w:rPr>
        <w:t>priskiriami stebėtojų tarybos, valdybos nariai, administracijos vadovas, vidaus audito tarnybos vadovas, paskolų komiteto pirmininkas ir revizijos komisijos pirmininkas.</w:t>
      </w:r>
      <w:r w:rsidR="00501B2F" w:rsidRPr="000D37F1">
        <w:rPr>
          <w:rFonts w:ascii="Times New Roman" w:hAnsi="Times New Roman" w:cs="Times New Roman"/>
          <w:sz w:val="24"/>
          <w:szCs w:val="24"/>
          <w:lang w:val="lt-LT"/>
        </w:rPr>
        <w:t xml:space="preserve"> </w:t>
      </w:r>
    </w:p>
    <w:p w:rsidR="00013EB7" w:rsidRDefault="00D549C3" w:rsidP="00013EB7">
      <w:pPr>
        <w:spacing w:line="360" w:lineRule="auto"/>
        <w:ind w:firstLine="720"/>
        <w:jc w:val="both"/>
        <w:rPr>
          <w:rFonts w:ascii="Times New Roman" w:hAnsi="Times New Roman" w:cs="Times New Roman"/>
          <w:color w:val="000000" w:themeColor="text1"/>
          <w:sz w:val="24"/>
          <w:szCs w:val="24"/>
          <w:lang w:val="lt-LT"/>
        </w:rPr>
      </w:pPr>
      <w:r w:rsidRPr="009547B8">
        <w:rPr>
          <w:rFonts w:ascii="Times New Roman" w:hAnsi="Times New Roman" w:cs="Times New Roman"/>
          <w:color w:val="000000" w:themeColor="text1"/>
          <w:sz w:val="24"/>
          <w:szCs w:val="24"/>
          <w:lang w:val="lt-LT"/>
        </w:rPr>
        <w:t>Be a</w:t>
      </w:r>
      <w:r w:rsidR="005F70CA" w:rsidRPr="009547B8">
        <w:rPr>
          <w:rFonts w:ascii="Times New Roman" w:hAnsi="Times New Roman" w:cs="Times New Roman"/>
          <w:color w:val="000000" w:themeColor="text1"/>
          <w:sz w:val="24"/>
          <w:szCs w:val="24"/>
          <w:lang w:val="lt-LT"/>
        </w:rPr>
        <w:t xml:space="preserve">nksčiau aptartų kredito įstaigų </w:t>
      </w:r>
      <w:r w:rsidRPr="009547B8">
        <w:rPr>
          <w:rFonts w:ascii="Times New Roman" w:hAnsi="Times New Roman" w:cs="Times New Roman"/>
          <w:color w:val="000000" w:themeColor="text1"/>
          <w:sz w:val="24"/>
          <w:szCs w:val="24"/>
          <w:lang w:val="lt-LT"/>
        </w:rPr>
        <w:t>reglamentavimo aspektų, Lietuvos bankas tiriamuoju laikotarpiu</w:t>
      </w:r>
      <w:r w:rsidR="00EA0531" w:rsidRPr="009547B8">
        <w:rPr>
          <w:rFonts w:ascii="Times New Roman" w:hAnsi="Times New Roman" w:cs="Times New Roman"/>
          <w:color w:val="000000" w:themeColor="text1"/>
          <w:sz w:val="24"/>
          <w:szCs w:val="24"/>
          <w:lang w:val="lt-LT"/>
        </w:rPr>
        <w:t xml:space="preserve"> (</w:t>
      </w:r>
      <w:r w:rsidR="00EA0531" w:rsidRPr="003832D2">
        <w:rPr>
          <w:rFonts w:ascii="Times New Roman" w:hAnsi="Times New Roman" w:cs="Times New Roman"/>
          <w:color w:val="000000" w:themeColor="text1"/>
          <w:sz w:val="24"/>
          <w:szCs w:val="24"/>
          <w:lang w:val="lt-LT"/>
        </w:rPr>
        <w:t>2011 – 2013 metais)</w:t>
      </w:r>
      <w:r w:rsidRPr="009547B8">
        <w:rPr>
          <w:rFonts w:ascii="Times New Roman" w:hAnsi="Times New Roman" w:cs="Times New Roman"/>
          <w:color w:val="000000" w:themeColor="text1"/>
          <w:sz w:val="24"/>
          <w:szCs w:val="24"/>
          <w:lang w:val="lt-LT"/>
        </w:rPr>
        <w:t xml:space="preserve"> keletą kartų </w:t>
      </w:r>
      <w:r w:rsidR="005F70CA" w:rsidRPr="009547B8">
        <w:rPr>
          <w:rFonts w:ascii="Times New Roman" w:hAnsi="Times New Roman" w:cs="Times New Roman"/>
          <w:color w:val="000000" w:themeColor="text1"/>
          <w:sz w:val="24"/>
          <w:szCs w:val="24"/>
          <w:lang w:val="lt-LT"/>
        </w:rPr>
        <w:t>tobulino</w:t>
      </w:r>
      <w:r w:rsidRPr="009547B8">
        <w:rPr>
          <w:rFonts w:ascii="Times New Roman" w:hAnsi="Times New Roman" w:cs="Times New Roman"/>
          <w:color w:val="000000" w:themeColor="text1"/>
          <w:sz w:val="24"/>
          <w:szCs w:val="24"/>
          <w:lang w:val="lt-LT"/>
        </w:rPr>
        <w:t xml:space="preserve"> kredito</w:t>
      </w:r>
      <w:r w:rsidR="005F70CA" w:rsidRPr="009547B8">
        <w:rPr>
          <w:rFonts w:ascii="Times New Roman" w:hAnsi="Times New Roman" w:cs="Times New Roman"/>
          <w:color w:val="000000" w:themeColor="text1"/>
          <w:sz w:val="24"/>
          <w:szCs w:val="24"/>
          <w:lang w:val="lt-LT"/>
        </w:rPr>
        <w:t xml:space="preserve"> unijų priežiūros mechanizmą, keičiant tam tikrus reikalavimus </w:t>
      </w:r>
      <w:r w:rsidR="00013EB7">
        <w:rPr>
          <w:rFonts w:ascii="Times New Roman" w:hAnsi="Times New Roman" w:cs="Times New Roman"/>
          <w:color w:val="000000" w:themeColor="text1"/>
          <w:sz w:val="24"/>
          <w:szCs w:val="24"/>
          <w:lang w:val="lt-LT"/>
        </w:rPr>
        <w:t>bei</w:t>
      </w:r>
      <w:r w:rsidR="005F70CA" w:rsidRPr="009547B8">
        <w:rPr>
          <w:rFonts w:ascii="Times New Roman" w:hAnsi="Times New Roman" w:cs="Times New Roman"/>
          <w:color w:val="000000" w:themeColor="text1"/>
          <w:sz w:val="24"/>
          <w:szCs w:val="24"/>
          <w:lang w:val="lt-LT"/>
        </w:rPr>
        <w:t xml:space="preserve"> įvedant naujus.</w:t>
      </w:r>
      <w:r w:rsidRPr="009547B8">
        <w:rPr>
          <w:rFonts w:ascii="Times New Roman" w:hAnsi="Times New Roman" w:cs="Times New Roman"/>
          <w:color w:val="000000" w:themeColor="text1"/>
          <w:sz w:val="24"/>
          <w:szCs w:val="24"/>
          <w:lang w:val="lt-LT"/>
        </w:rPr>
        <w:t xml:space="preserve"> </w:t>
      </w:r>
      <w:r w:rsidR="00EA0531" w:rsidRPr="009547B8">
        <w:rPr>
          <w:rFonts w:ascii="Times New Roman" w:hAnsi="Times New Roman" w:cs="Times New Roman"/>
          <w:color w:val="000000" w:themeColor="text1"/>
          <w:sz w:val="24"/>
          <w:szCs w:val="24"/>
          <w:lang w:val="lt-LT"/>
        </w:rPr>
        <w:t xml:space="preserve">2011 metais </w:t>
      </w:r>
      <w:r w:rsidR="005F70CA" w:rsidRPr="009547B8">
        <w:rPr>
          <w:rFonts w:ascii="Times New Roman" w:hAnsi="Times New Roman" w:cs="Times New Roman"/>
          <w:color w:val="000000" w:themeColor="text1"/>
          <w:sz w:val="24"/>
          <w:szCs w:val="24"/>
          <w:lang w:val="lt-LT"/>
        </w:rPr>
        <w:t xml:space="preserve">buvo </w:t>
      </w:r>
      <w:r w:rsidR="00EA0531" w:rsidRPr="009547B8">
        <w:rPr>
          <w:rFonts w:ascii="Times New Roman" w:hAnsi="Times New Roman" w:cs="Times New Roman"/>
          <w:color w:val="000000" w:themeColor="text1"/>
          <w:sz w:val="24"/>
          <w:szCs w:val="24"/>
          <w:lang w:val="lt-LT"/>
        </w:rPr>
        <w:t>pakeistos kapitalo pakankamumo skaičiavimo nuostatos, kurios taikomos komerciniams bankams ir Centrinei kredito unijai.</w:t>
      </w:r>
      <w:r w:rsidR="00013EB7">
        <w:rPr>
          <w:rFonts w:ascii="Times New Roman" w:hAnsi="Times New Roman" w:cs="Times New Roman"/>
          <w:color w:val="000000" w:themeColor="text1"/>
          <w:sz w:val="24"/>
          <w:szCs w:val="24"/>
          <w:lang w:val="lt-LT"/>
        </w:rPr>
        <w:t xml:space="preserve"> Taip pat atsirado prievolė </w:t>
      </w:r>
      <w:r w:rsidR="00EA0531" w:rsidRPr="009547B8">
        <w:rPr>
          <w:rFonts w:ascii="Times New Roman" w:hAnsi="Times New Roman" w:cs="Times New Roman"/>
          <w:color w:val="000000" w:themeColor="text1"/>
          <w:sz w:val="24"/>
          <w:szCs w:val="24"/>
          <w:lang w:val="lt-LT"/>
        </w:rPr>
        <w:t>kredito unijoms teikti duomenis į Paskolų rizikos duomenų bazę. Šio reikalavimo tikslas – gauti reikalingą informaciją, skirtą užtikrinti kredito sistemos funkcionavimą, vertinti paskolų gavėjų patikimumą, taip</w:t>
      </w:r>
      <w:r w:rsidR="00EB1526" w:rsidRPr="009547B8">
        <w:rPr>
          <w:rFonts w:ascii="Times New Roman" w:hAnsi="Times New Roman" w:cs="Times New Roman"/>
          <w:color w:val="000000" w:themeColor="text1"/>
          <w:sz w:val="24"/>
          <w:szCs w:val="24"/>
          <w:lang w:val="lt-LT"/>
        </w:rPr>
        <w:t xml:space="preserve"> pat finansų sistemos stabilumo užtikrinimui</w:t>
      </w:r>
      <w:r w:rsidR="00013EB7">
        <w:rPr>
          <w:rFonts w:ascii="Times New Roman" w:hAnsi="Times New Roman" w:cs="Times New Roman"/>
          <w:color w:val="000000" w:themeColor="text1"/>
          <w:sz w:val="24"/>
          <w:szCs w:val="24"/>
          <w:lang w:val="lt-LT"/>
        </w:rPr>
        <w:t xml:space="preserve">. </w:t>
      </w:r>
      <w:r w:rsidR="00C4214A" w:rsidRPr="009547B8">
        <w:rPr>
          <w:rFonts w:ascii="Times New Roman" w:hAnsi="Times New Roman" w:cs="Times New Roman"/>
          <w:color w:val="000000" w:themeColor="text1"/>
          <w:sz w:val="24"/>
          <w:szCs w:val="24"/>
          <w:lang w:val="lt-LT"/>
        </w:rPr>
        <w:t>Taip pat  įvestas reikalavimas viešai skelbti išsamias finansines ataskaitas bei pateikti bankui Didžiausios paskolos sumos vienam skolininkui ir didelių paskolų ataskaitą.</w:t>
      </w:r>
      <w:r w:rsidR="00013EB7">
        <w:rPr>
          <w:rFonts w:ascii="Times New Roman" w:hAnsi="Times New Roman" w:cs="Times New Roman"/>
          <w:color w:val="000000" w:themeColor="text1"/>
          <w:sz w:val="24"/>
          <w:szCs w:val="24"/>
          <w:lang w:val="lt-LT"/>
        </w:rPr>
        <w:t xml:space="preserve"> Šie reikalavimai </w:t>
      </w:r>
      <w:r w:rsidR="00013EB7" w:rsidRPr="009547B8">
        <w:rPr>
          <w:rFonts w:ascii="Times New Roman" w:hAnsi="Times New Roman" w:cs="Times New Roman"/>
          <w:color w:val="000000" w:themeColor="text1"/>
          <w:sz w:val="24"/>
          <w:szCs w:val="24"/>
          <w:lang w:val="lt-LT"/>
        </w:rPr>
        <w:t>rodo padidėjusią kredito unijų priežiūrą ir sistemos skaidrumo didinimą, tačiau taip pat ir panašėjimą su komercinia</w:t>
      </w:r>
      <w:r w:rsidR="00013EB7">
        <w:rPr>
          <w:rFonts w:ascii="Times New Roman" w:hAnsi="Times New Roman" w:cs="Times New Roman"/>
          <w:color w:val="000000" w:themeColor="text1"/>
          <w:sz w:val="24"/>
          <w:szCs w:val="24"/>
          <w:lang w:val="lt-LT"/>
        </w:rPr>
        <w:t xml:space="preserve">ms bankams taikomu reguliavimu. Komerciniams bankams šie priežiūros reikalavimai buvo taikomi ir anksčiau. </w:t>
      </w:r>
    </w:p>
    <w:p w:rsidR="00013EB7" w:rsidRPr="009547B8" w:rsidRDefault="00013EB7" w:rsidP="00013EB7">
      <w:pPr>
        <w:spacing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Visgi ne visi reikalavimai įvedami griežtinant kredito unijų priežiūrą. Kredito unijų konkurencingumui mokėjimų rinkoje didinti, p</w:t>
      </w:r>
      <w:r w:rsidRPr="009547B8">
        <w:rPr>
          <w:rFonts w:ascii="Times New Roman" w:hAnsi="Times New Roman" w:cs="Times New Roman"/>
          <w:color w:val="000000" w:themeColor="text1"/>
          <w:sz w:val="24"/>
          <w:szCs w:val="24"/>
          <w:lang w:val="lt-LT"/>
        </w:rPr>
        <w:t>akeistos mokėjimo sistemos LITAS-RLS ir LITAS-MMS taisyklės, pagal kurias šių sistemų dalyvia</w:t>
      </w:r>
      <w:r>
        <w:rPr>
          <w:rFonts w:ascii="Times New Roman" w:hAnsi="Times New Roman" w:cs="Times New Roman"/>
          <w:color w:val="000000" w:themeColor="text1"/>
          <w:sz w:val="24"/>
          <w:szCs w:val="24"/>
          <w:lang w:val="lt-LT"/>
        </w:rPr>
        <w:t>is gali būti ir kredito unijos. Tai suteikia kredito unijoms galimybes aktyviau veikti mokėjimų rinkoje, nes iki šio pakeitimo mokėjimai būdavo atliekami per Centrinę kredito uniją.</w:t>
      </w:r>
    </w:p>
    <w:p w:rsidR="000F03BC" w:rsidRPr="000D37F1" w:rsidRDefault="00BB5BC3" w:rsidP="004B718F">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Taigi apibendrinant šį poskyrį, kuriame</w:t>
      </w:r>
      <w:r w:rsidR="00013EB7">
        <w:rPr>
          <w:rFonts w:ascii="Times New Roman" w:hAnsi="Times New Roman" w:cs="Times New Roman"/>
          <w:sz w:val="24"/>
          <w:szCs w:val="24"/>
          <w:lang w:val="lt-LT"/>
        </w:rPr>
        <w:t xml:space="preserve"> ly</w:t>
      </w:r>
      <w:r>
        <w:rPr>
          <w:rFonts w:ascii="Times New Roman" w:hAnsi="Times New Roman" w:cs="Times New Roman"/>
          <w:sz w:val="24"/>
          <w:szCs w:val="24"/>
          <w:lang w:val="lt-LT"/>
        </w:rPr>
        <w:t>ginamas</w:t>
      </w:r>
      <w:r w:rsidR="00013EB7">
        <w:rPr>
          <w:rFonts w:ascii="Times New Roman" w:hAnsi="Times New Roman" w:cs="Times New Roman"/>
          <w:sz w:val="24"/>
          <w:szCs w:val="24"/>
          <w:lang w:val="lt-LT"/>
        </w:rPr>
        <w:t xml:space="preserve"> kredito unijų ir </w:t>
      </w:r>
      <w:r>
        <w:rPr>
          <w:rFonts w:ascii="Times New Roman" w:hAnsi="Times New Roman" w:cs="Times New Roman"/>
          <w:sz w:val="24"/>
          <w:szCs w:val="24"/>
          <w:lang w:val="lt-LT"/>
        </w:rPr>
        <w:t>komercinių bankų veiklos teisinis reguliavimas</w:t>
      </w:r>
      <w:r w:rsidR="00013EB7">
        <w:rPr>
          <w:rFonts w:ascii="Times New Roman" w:hAnsi="Times New Roman" w:cs="Times New Roman"/>
          <w:sz w:val="24"/>
          <w:szCs w:val="24"/>
          <w:lang w:val="lt-LT"/>
        </w:rPr>
        <w:t>,</w:t>
      </w:r>
      <w:r w:rsidR="000E0318">
        <w:rPr>
          <w:rFonts w:ascii="Times New Roman" w:hAnsi="Times New Roman" w:cs="Times New Roman"/>
          <w:sz w:val="24"/>
          <w:szCs w:val="24"/>
          <w:lang w:val="lt-LT"/>
        </w:rPr>
        <w:t xml:space="preserve"> pastebimos tendencijos, jog kai kurie reikalavimai </w:t>
      </w:r>
      <w:r w:rsidR="001E58B0">
        <w:rPr>
          <w:rFonts w:ascii="Times New Roman" w:hAnsi="Times New Roman" w:cs="Times New Roman"/>
          <w:sz w:val="24"/>
          <w:szCs w:val="24"/>
          <w:lang w:val="lt-LT"/>
        </w:rPr>
        <w:t>su</w:t>
      </w:r>
      <w:r>
        <w:rPr>
          <w:rFonts w:ascii="Times New Roman" w:hAnsi="Times New Roman" w:cs="Times New Roman"/>
          <w:sz w:val="24"/>
          <w:szCs w:val="24"/>
          <w:lang w:val="lt-LT"/>
        </w:rPr>
        <w:t>vienodinami</w:t>
      </w:r>
      <w:r w:rsidR="00BA5683">
        <w:rPr>
          <w:rFonts w:ascii="Times New Roman" w:hAnsi="Times New Roman" w:cs="Times New Roman"/>
          <w:sz w:val="24"/>
          <w:szCs w:val="24"/>
          <w:lang w:val="lt-LT"/>
        </w:rPr>
        <w:t xml:space="preserve"> </w:t>
      </w:r>
      <w:r w:rsidR="000E0318">
        <w:rPr>
          <w:rFonts w:ascii="Times New Roman" w:hAnsi="Times New Roman" w:cs="Times New Roman"/>
          <w:sz w:val="24"/>
          <w:szCs w:val="24"/>
          <w:lang w:val="lt-LT"/>
        </w:rPr>
        <w:t>a</w:t>
      </w:r>
      <w:r>
        <w:rPr>
          <w:rFonts w:ascii="Times New Roman" w:hAnsi="Times New Roman" w:cs="Times New Roman"/>
          <w:sz w:val="24"/>
          <w:szCs w:val="24"/>
          <w:lang w:val="lt-LT"/>
        </w:rPr>
        <w:t>biems kredito įstaigom</w:t>
      </w:r>
      <w:r w:rsidR="001E58B0">
        <w:rPr>
          <w:rFonts w:ascii="Times New Roman" w:hAnsi="Times New Roman" w:cs="Times New Roman"/>
          <w:sz w:val="24"/>
          <w:szCs w:val="24"/>
          <w:lang w:val="lt-LT"/>
        </w:rPr>
        <w:t>s</w:t>
      </w:r>
      <w:r w:rsidR="00BA5683">
        <w:rPr>
          <w:rFonts w:ascii="Times New Roman" w:hAnsi="Times New Roman" w:cs="Times New Roman"/>
          <w:sz w:val="24"/>
          <w:szCs w:val="24"/>
          <w:lang w:val="lt-LT"/>
        </w:rPr>
        <w:t xml:space="preserve">, tačiau vertinant veiklos riziką ribojančių normatyvų skirtumus, kredito unijoms keliami griežtesni reikalavimai, </w:t>
      </w:r>
      <w:r w:rsidR="0025018A">
        <w:rPr>
          <w:rFonts w:ascii="Times New Roman" w:hAnsi="Times New Roman" w:cs="Times New Roman"/>
          <w:sz w:val="24"/>
          <w:szCs w:val="24"/>
          <w:lang w:val="lt-LT"/>
        </w:rPr>
        <w:t>kurie</w:t>
      </w:r>
      <w:r w:rsidR="001E58B0">
        <w:rPr>
          <w:rFonts w:ascii="Times New Roman" w:hAnsi="Times New Roman" w:cs="Times New Roman"/>
          <w:sz w:val="24"/>
          <w:szCs w:val="24"/>
          <w:lang w:val="lt-LT"/>
        </w:rPr>
        <w:t xml:space="preserve"> orientuoti į plėtros apribojimą ir stabilumo užtikrinimą.</w:t>
      </w:r>
      <w:r w:rsidR="00BA5683">
        <w:rPr>
          <w:rFonts w:ascii="Times New Roman" w:hAnsi="Times New Roman" w:cs="Times New Roman"/>
          <w:sz w:val="24"/>
          <w:szCs w:val="24"/>
          <w:lang w:val="lt-LT"/>
        </w:rPr>
        <w:t xml:space="preserve"> </w:t>
      </w:r>
    </w:p>
    <w:p w:rsidR="00D1325C" w:rsidRPr="00450C32" w:rsidRDefault="00A2704E" w:rsidP="00450C32">
      <w:pPr>
        <w:pStyle w:val="Heading2"/>
        <w:jc w:val="center"/>
        <w:rPr>
          <w:rFonts w:ascii="Times New Roman" w:hAnsi="Times New Roman" w:cs="Times New Roman"/>
          <w:color w:val="auto"/>
          <w:sz w:val="24"/>
          <w:szCs w:val="24"/>
          <w:lang w:val="lt-LT"/>
        </w:rPr>
      </w:pPr>
      <w:bookmarkStart w:id="23" w:name="_Toc383782868"/>
      <w:bookmarkStart w:id="24" w:name="_Toc384567297"/>
      <w:bookmarkStart w:id="25" w:name="_Toc384570734"/>
      <w:r>
        <w:rPr>
          <w:rFonts w:ascii="Times New Roman" w:hAnsi="Times New Roman" w:cs="Times New Roman"/>
          <w:color w:val="auto"/>
          <w:sz w:val="24"/>
          <w:szCs w:val="24"/>
          <w:lang w:val="lt-LT"/>
        </w:rPr>
        <w:lastRenderedPageBreak/>
        <w:t xml:space="preserve">1.3. </w:t>
      </w:r>
      <w:r w:rsidR="003A2A9A" w:rsidRPr="00450C32">
        <w:rPr>
          <w:rFonts w:ascii="Times New Roman" w:hAnsi="Times New Roman" w:cs="Times New Roman"/>
          <w:color w:val="auto"/>
          <w:sz w:val="24"/>
          <w:szCs w:val="24"/>
          <w:lang w:val="lt-LT"/>
        </w:rPr>
        <w:t xml:space="preserve">KREDITO UNIJŲ </w:t>
      </w:r>
      <w:r w:rsidR="007114F6" w:rsidRPr="00450C32">
        <w:rPr>
          <w:rFonts w:ascii="Times New Roman" w:hAnsi="Times New Roman" w:cs="Times New Roman"/>
          <w:color w:val="auto"/>
          <w:sz w:val="24"/>
          <w:szCs w:val="24"/>
          <w:lang w:val="lt-LT"/>
        </w:rPr>
        <w:t>RIZIKOS RŪŠYS</w:t>
      </w:r>
      <w:r w:rsidR="00DC1A90" w:rsidRPr="00450C32">
        <w:rPr>
          <w:rFonts w:ascii="Times New Roman" w:hAnsi="Times New Roman" w:cs="Times New Roman"/>
          <w:color w:val="auto"/>
          <w:sz w:val="24"/>
          <w:szCs w:val="24"/>
          <w:lang w:val="lt-LT"/>
        </w:rPr>
        <w:t xml:space="preserve"> IR JŲ VALDYMAS</w:t>
      </w:r>
      <w:bookmarkEnd w:id="23"/>
      <w:bookmarkEnd w:id="24"/>
      <w:bookmarkEnd w:id="25"/>
    </w:p>
    <w:p w:rsidR="000F03BC" w:rsidRPr="000D37F1" w:rsidRDefault="000F03BC" w:rsidP="000F03BC">
      <w:pPr>
        <w:pStyle w:val="ListParagraph"/>
        <w:spacing w:line="360" w:lineRule="auto"/>
        <w:ind w:left="1080"/>
        <w:rPr>
          <w:rFonts w:ascii="Times New Roman" w:hAnsi="Times New Roman" w:cs="Times New Roman"/>
          <w:b/>
          <w:bCs/>
          <w:sz w:val="24"/>
          <w:szCs w:val="24"/>
          <w:lang w:val="lt-LT"/>
        </w:rPr>
      </w:pPr>
    </w:p>
    <w:p w:rsidR="003A2A9A" w:rsidRDefault="003A2A9A" w:rsidP="00EE753B">
      <w:pPr>
        <w:spacing w:line="360" w:lineRule="auto"/>
        <w:ind w:firstLine="567"/>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Kiekviena veikla, paremta pelno siekimo principu, yra veikiama nepastovios ekonominės veiklos aplinkos, kuri yra priežastis rizikai ir rizikos valdymui atsirasti (</w:t>
      </w:r>
      <w:r w:rsidR="00F03109" w:rsidRPr="000D37F1">
        <w:rPr>
          <w:rFonts w:ascii="Times New Roman" w:hAnsi="Times New Roman" w:cs="Times New Roman"/>
          <w:bCs/>
          <w:sz w:val="24"/>
          <w:szCs w:val="24"/>
          <w:lang w:val="lt-LT"/>
        </w:rPr>
        <w:t xml:space="preserve">G. </w:t>
      </w:r>
      <w:proofErr w:type="spellStart"/>
      <w:r w:rsidRPr="000D37F1">
        <w:rPr>
          <w:rFonts w:ascii="Times New Roman" w:hAnsi="Times New Roman" w:cs="Times New Roman"/>
          <w:bCs/>
          <w:sz w:val="24"/>
          <w:szCs w:val="24"/>
          <w:lang w:val="lt-LT"/>
        </w:rPr>
        <w:t>Garbanovas</w:t>
      </w:r>
      <w:proofErr w:type="spellEnd"/>
      <w:r w:rsidR="00F03109" w:rsidRPr="000D37F1">
        <w:rPr>
          <w:rFonts w:ascii="Times New Roman" w:hAnsi="Times New Roman" w:cs="Times New Roman"/>
          <w:bCs/>
          <w:sz w:val="24"/>
          <w:szCs w:val="24"/>
          <w:lang w:val="lt-LT"/>
        </w:rPr>
        <w:t>,</w:t>
      </w:r>
      <w:r w:rsidRPr="000D37F1">
        <w:rPr>
          <w:rFonts w:ascii="Times New Roman" w:hAnsi="Times New Roman" w:cs="Times New Roman"/>
          <w:bCs/>
          <w:sz w:val="24"/>
          <w:szCs w:val="24"/>
          <w:lang w:val="lt-LT"/>
        </w:rPr>
        <w:t xml:space="preserve"> 2010). </w:t>
      </w:r>
      <w:r w:rsidR="004B718F" w:rsidRPr="000D37F1">
        <w:rPr>
          <w:rFonts w:ascii="Times New Roman" w:hAnsi="Times New Roman" w:cs="Times New Roman"/>
          <w:bCs/>
          <w:sz w:val="24"/>
          <w:szCs w:val="24"/>
          <w:lang w:val="lt-LT"/>
        </w:rPr>
        <w:t xml:space="preserve"> Nors kredito unijų veikla nėra grindžiama pelno siekimu, tačiau jos veikla taip pat neturi būti nuostolinga. </w:t>
      </w:r>
      <w:r w:rsidRPr="000D37F1">
        <w:rPr>
          <w:rFonts w:ascii="Times New Roman" w:hAnsi="Times New Roman" w:cs="Times New Roman"/>
          <w:bCs/>
          <w:sz w:val="24"/>
          <w:szCs w:val="24"/>
          <w:lang w:val="lt-LT"/>
        </w:rPr>
        <w:t>Rizika yra pelno arba žalos galimybė, kai kurie autoriai riziką</w:t>
      </w:r>
      <w:r w:rsidR="00F03109" w:rsidRPr="000D37F1">
        <w:rPr>
          <w:rFonts w:ascii="Times New Roman" w:hAnsi="Times New Roman" w:cs="Times New Roman"/>
          <w:bCs/>
          <w:sz w:val="24"/>
          <w:szCs w:val="24"/>
          <w:lang w:val="lt-LT"/>
        </w:rPr>
        <w:t>,</w:t>
      </w:r>
      <w:r w:rsidRPr="000D37F1">
        <w:rPr>
          <w:rFonts w:ascii="Times New Roman" w:hAnsi="Times New Roman" w:cs="Times New Roman"/>
          <w:bCs/>
          <w:sz w:val="24"/>
          <w:szCs w:val="24"/>
          <w:lang w:val="lt-LT"/>
        </w:rPr>
        <w:t xml:space="preserve"> vadina neapibrėžtumu, </w:t>
      </w:r>
      <w:r w:rsidR="00F03109" w:rsidRPr="000D37F1">
        <w:rPr>
          <w:rFonts w:ascii="Times New Roman" w:hAnsi="Times New Roman" w:cs="Times New Roman"/>
          <w:bCs/>
          <w:sz w:val="24"/>
          <w:szCs w:val="24"/>
          <w:lang w:val="lt-LT"/>
        </w:rPr>
        <w:t xml:space="preserve"> o pati </w:t>
      </w:r>
      <w:r w:rsidRPr="000D37F1">
        <w:rPr>
          <w:rFonts w:ascii="Times New Roman" w:hAnsi="Times New Roman" w:cs="Times New Roman"/>
          <w:bCs/>
          <w:sz w:val="24"/>
          <w:szCs w:val="24"/>
          <w:lang w:val="lt-LT"/>
        </w:rPr>
        <w:t>rizika gali būti ir teigiama, ir neigiama. Neigiama rizika (žalos rizika) ekonomikoje yra objektas, kurį reikia valdyti norint sėkmingai vykdyti veiklą (</w:t>
      </w:r>
      <w:r w:rsidR="00D1325C" w:rsidRPr="000D37F1">
        <w:rPr>
          <w:rFonts w:ascii="Times New Roman" w:hAnsi="Times New Roman" w:cs="Times New Roman"/>
          <w:bCs/>
          <w:sz w:val="24"/>
          <w:szCs w:val="24"/>
          <w:lang w:val="lt-LT"/>
        </w:rPr>
        <w:t xml:space="preserve">G. </w:t>
      </w:r>
      <w:proofErr w:type="spellStart"/>
      <w:r w:rsidR="00F03109" w:rsidRPr="000D37F1">
        <w:rPr>
          <w:rFonts w:ascii="Times New Roman" w:hAnsi="Times New Roman" w:cs="Times New Roman"/>
          <w:bCs/>
          <w:sz w:val="24"/>
          <w:szCs w:val="24"/>
          <w:lang w:val="lt-LT"/>
        </w:rPr>
        <w:t>Garbanovas</w:t>
      </w:r>
      <w:proofErr w:type="spellEnd"/>
      <w:r w:rsidR="00F03109" w:rsidRPr="000D37F1">
        <w:rPr>
          <w:rFonts w:ascii="Times New Roman" w:hAnsi="Times New Roman" w:cs="Times New Roman"/>
          <w:bCs/>
          <w:sz w:val="24"/>
          <w:szCs w:val="24"/>
          <w:lang w:val="lt-LT"/>
        </w:rPr>
        <w:t xml:space="preserve">, </w:t>
      </w:r>
      <w:r w:rsidR="007774F8" w:rsidRPr="000D37F1">
        <w:rPr>
          <w:rFonts w:ascii="Times New Roman" w:hAnsi="Times New Roman" w:cs="Times New Roman"/>
          <w:bCs/>
          <w:sz w:val="24"/>
          <w:szCs w:val="24"/>
          <w:lang w:val="lt-LT"/>
        </w:rPr>
        <w:t>2010</w:t>
      </w:r>
      <w:r w:rsidRPr="000D37F1">
        <w:rPr>
          <w:rFonts w:ascii="Times New Roman" w:hAnsi="Times New Roman" w:cs="Times New Roman"/>
          <w:bCs/>
          <w:sz w:val="24"/>
          <w:szCs w:val="24"/>
          <w:lang w:val="lt-LT"/>
        </w:rPr>
        <w:t>).</w:t>
      </w:r>
    </w:p>
    <w:p w:rsidR="009570CA" w:rsidRPr="00044193" w:rsidRDefault="009570CA" w:rsidP="009570CA">
      <w:pPr>
        <w:spacing w:line="360" w:lineRule="auto"/>
        <w:ind w:firstLine="567"/>
        <w:jc w:val="both"/>
        <w:rPr>
          <w:rFonts w:ascii="Times New Roman" w:hAnsi="Times New Roman" w:cs="Times New Roman"/>
          <w:bCs/>
          <w:color w:val="000000" w:themeColor="text1"/>
          <w:sz w:val="24"/>
          <w:szCs w:val="24"/>
          <w:lang w:val="lt-LT"/>
        </w:rPr>
      </w:pPr>
      <w:r w:rsidRPr="00044193">
        <w:rPr>
          <w:rFonts w:ascii="Times New Roman" w:hAnsi="Times New Roman" w:cs="Times New Roman"/>
          <w:bCs/>
          <w:color w:val="000000" w:themeColor="text1"/>
          <w:sz w:val="24"/>
          <w:szCs w:val="24"/>
          <w:lang w:val="lt-LT"/>
        </w:rPr>
        <w:t xml:space="preserve">Pasak L. </w:t>
      </w:r>
      <w:proofErr w:type="spellStart"/>
      <w:r w:rsidRPr="00044193">
        <w:rPr>
          <w:rFonts w:ascii="Times New Roman" w:hAnsi="Times New Roman" w:cs="Times New Roman"/>
          <w:bCs/>
          <w:color w:val="000000" w:themeColor="text1"/>
          <w:sz w:val="24"/>
          <w:szCs w:val="24"/>
          <w:lang w:val="lt-LT"/>
        </w:rPr>
        <w:t>Kaleininkaitės</w:t>
      </w:r>
      <w:proofErr w:type="spellEnd"/>
      <w:r w:rsidRPr="00044193">
        <w:rPr>
          <w:rFonts w:ascii="Times New Roman" w:hAnsi="Times New Roman" w:cs="Times New Roman"/>
          <w:bCs/>
          <w:color w:val="000000" w:themeColor="text1"/>
          <w:sz w:val="24"/>
          <w:szCs w:val="24"/>
          <w:lang w:val="lt-LT"/>
        </w:rPr>
        <w:t xml:space="preserve"> ir I. </w:t>
      </w:r>
      <w:proofErr w:type="spellStart"/>
      <w:r w:rsidRPr="00044193">
        <w:rPr>
          <w:rFonts w:ascii="Times New Roman" w:hAnsi="Times New Roman" w:cs="Times New Roman"/>
          <w:bCs/>
          <w:color w:val="000000" w:themeColor="text1"/>
          <w:sz w:val="24"/>
          <w:szCs w:val="24"/>
          <w:lang w:val="lt-LT"/>
        </w:rPr>
        <w:t>Trumpaitės</w:t>
      </w:r>
      <w:proofErr w:type="spellEnd"/>
      <w:r w:rsidRPr="00044193">
        <w:rPr>
          <w:rFonts w:ascii="Times New Roman" w:hAnsi="Times New Roman" w:cs="Times New Roman"/>
          <w:bCs/>
          <w:color w:val="000000" w:themeColor="text1"/>
          <w:sz w:val="24"/>
          <w:szCs w:val="24"/>
          <w:lang w:val="lt-LT"/>
        </w:rPr>
        <w:t xml:space="preserve"> (2007),  Lietuvoje rizikos vertinimas, prognozavimas bei valdymas yra tie ekonominiai aspektai, kurie sulaukia per mažai dėmesio, rizikos valdymo modelis turėtų atrodyti taip:</w:t>
      </w:r>
    </w:p>
    <w:p w:rsidR="009570CA" w:rsidRPr="00044193" w:rsidRDefault="002C6972" w:rsidP="009570CA">
      <w:pPr>
        <w:pStyle w:val="ListParagraph"/>
        <w:numPr>
          <w:ilvl w:val="0"/>
          <w:numId w:val="38"/>
        </w:numPr>
        <w:spacing w:line="360" w:lineRule="auto"/>
        <w:ind w:left="900" w:hanging="360"/>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I</w:t>
      </w:r>
      <w:r w:rsidR="009570CA" w:rsidRPr="00044193">
        <w:rPr>
          <w:rFonts w:ascii="Times New Roman" w:hAnsi="Times New Roman" w:cs="Times New Roman"/>
          <w:bCs/>
          <w:color w:val="000000" w:themeColor="text1"/>
          <w:sz w:val="24"/>
          <w:szCs w:val="24"/>
          <w:lang w:val="lt-LT"/>
        </w:rPr>
        <w:t xml:space="preserve">šanalizavus </w:t>
      </w:r>
      <w:r w:rsidR="009570CA">
        <w:rPr>
          <w:rFonts w:ascii="Times New Roman" w:hAnsi="Times New Roman" w:cs="Times New Roman"/>
          <w:bCs/>
          <w:color w:val="000000" w:themeColor="text1"/>
          <w:sz w:val="24"/>
          <w:szCs w:val="24"/>
          <w:lang w:val="lt-LT"/>
        </w:rPr>
        <w:t>organizacijos</w:t>
      </w:r>
      <w:r w:rsidR="009570CA" w:rsidRPr="00044193">
        <w:rPr>
          <w:rFonts w:ascii="Times New Roman" w:hAnsi="Times New Roman" w:cs="Times New Roman"/>
          <w:bCs/>
          <w:color w:val="000000" w:themeColor="text1"/>
          <w:sz w:val="24"/>
          <w:szCs w:val="24"/>
          <w:lang w:val="lt-LT"/>
        </w:rPr>
        <w:t xml:space="preserve"> veiklos modelį, numatomi tiksliniai </w:t>
      </w:r>
      <w:r w:rsidR="009570CA">
        <w:rPr>
          <w:rFonts w:ascii="Times New Roman" w:hAnsi="Times New Roman" w:cs="Times New Roman"/>
          <w:bCs/>
          <w:color w:val="000000" w:themeColor="text1"/>
          <w:sz w:val="24"/>
          <w:szCs w:val="24"/>
          <w:lang w:val="lt-LT"/>
        </w:rPr>
        <w:t>organizacijos</w:t>
      </w:r>
      <w:r w:rsidR="009570CA" w:rsidRPr="00044193">
        <w:rPr>
          <w:rFonts w:ascii="Times New Roman" w:hAnsi="Times New Roman" w:cs="Times New Roman"/>
          <w:bCs/>
          <w:color w:val="000000" w:themeColor="text1"/>
          <w:sz w:val="24"/>
          <w:szCs w:val="24"/>
          <w:lang w:val="lt-LT"/>
        </w:rPr>
        <w:t xml:space="preserve"> veiklos procesai, turintys lemiamą įtak</w:t>
      </w:r>
      <w:r w:rsidR="009570CA">
        <w:rPr>
          <w:rFonts w:ascii="Times New Roman" w:hAnsi="Times New Roman" w:cs="Times New Roman"/>
          <w:bCs/>
          <w:color w:val="000000" w:themeColor="text1"/>
          <w:sz w:val="24"/>
          <w:szCs w:val="24"/>
          <w:lang w:val="lt-LT"/>
        </w:rPr>
        <w:t>ą veiklos tęstinumui;</w:t>
      </w:r>
    </w:p>
    <w:p w:rsidR="009570CA" w:rsidRPr="00044193" w:rsidRDefault="009570CA" w:rsidP="009570CA">
      <w:pPr>
        <w:pStyle w:val="ListParagraph"/>
        <w:numPr>
          <w:ilvl w:val="0"/>
          <w:numId w:val="38"/>
        </w:numPr>
        <w:spacing w:line="360" w:lineRule="auto"/>
        <w:ind w:left="900" w:hanging="360"/>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T</w:t>
      </w:r>
      <w:r w:rsidRPr="00044193">
        <w:rPr>
          <w:rFonts w:ascii="Times New Roman" w:hAnsi="Times New Roman" w:cs="Times New Roman"/>
          <w:bCs/>
          <w:color w:val="000000" w:themeColor="text1"/>
          <w:sz w:val="24"/>
          <w:szCs w:val="24"/>
          <w:lang w:val="lt-LT"/>
        </w:rPr>
        <w:t xml:space="preserve">iksliniai veiklos procesai analizuojami </w:t>
      </w:r>
      <w:r w:rsidR="002C6972">
        <w:rPr>
          <w:rFonts w:ascii="Times New Roman" w:hAnsi="Times New Roman" w:cs="Times New Roman"/>
          <w:bCs/>
          <w:color w:val="000000" w:themeColor="text1"/>
          <w:sz w:val="24"/>
          <w:szCs w:val="24"/>
          <w:lang w:val="lt-LT"/>
        </w:rPr>
        <w:t xml:space="preserve">atskirtai, </w:t>
      </w:r>
      <w:r w:rsidRPr="00044193">
        <w:rPr>
          <w:rFonts w:ascii="Times New Roman" w:hAnsi="Times New Roman" w:cs="Times New Roman"/>
          <w:bCs/>
          <w:color w:val="000000" w:themeColor="text1"/>
          <w:sz w:val="24"/>
          <w:szCs w:val="24"/>
          <w:lang w:val="lt-LT"/>
        </w:rPr>
        <w:t>išai</w:t>
      </w:r>
      <w:r>
        <w:rPr>
          <w:rFonts w:ascii="Times New Roman" w:hAnsi="Times New Roman" w:cs="Times New Roman"/>
          <w:bCs/>
          <w:color w:val="000000" w:themeColor="text1"/>
          <w:sz w:val="24"/>
          <w:szCs w:val="24"/>
          <w:lang w:val="lt-LT"/>
        </w:rPr>
        <w:t>škinama galima nevaldoma rizika</w:t>
      </w:r>
      <w:r w:rsidRPr="00044193">
        <w:rPr>
          <w:rFonts w:ascii="Times New Roman" w:hAnsi="Times New Roman" w:cs="Times New Roman"/>
          <w:bCs/>
          <w:color w:val="000000" w:themeColor="text1"/>
          <w:sz w:val="24"/>
          <w:szCs w:val="24"/>
          <w:lang w:val="lt-LT"/>
        </w:rPr>
        <w:t>, atsirandanti veikiant šiems verslo procesams</w:t>
      </w:r>
      <w:r>
        <w:rPr>
          <w:rFonts w:ascii="Times New Roman" w:hAnsi="Times New Roman" w:cs="Times New Roman"/>
          <w:bCs/>
          <w:color w:val="000000" w:themeColor="text1"/>
          <w:sz w:val="24"/>
          <w:szCs w:val="24"/>
          <w:lang w:val="lt-LT"/>
        </w:rPr>
        <w:t>;</w:t>
      </w:r>
    </w:p>
    <w:p w:rsidR="009570CA" w:rsidRPr="00044193" w:rsidRDefault="009570CA" w:rsidP="009570CA">
      <w:pPr>
        <w:pStyle w:val="ListParagraph"/>
        <w:numPr>
          <w:ilvl w:val="0"/>
          <w:numId w:val="38"/>
        </w:numPr>
        <w:spacing w:line="360" w:lineRule="auto"/>
        <w:ind w:left="900" w:hanging="360"/>
        <w:jc w:val="both"/>
        <w:rPr>
          <w:rFonts w:ascii="Times New Roman" w:hAnsi="Times New Roman" w:cs="Times New Roman"/>
          <w:bCs/>
          <w:color w:val="000000" w:themeColor="text1"/>
          <w:sz w:val="24"/>
          <w:szCs w:val="24"/>
          <w:lang w:val="lt-LT"/>
        </w:rPr>
      </w:pPr>
      <w:r w:rsidRPr="00044193">
        <w:rPr>
          <w:rFonts w:ascii="Times New Roman" w:hAnsi="Times New Roman" w:cs="Times New Roman"/>
          <w:bCs/>
          <w:color w:val="000000" w:themeColor="text1"/>
          <w:sz w:val="24"/>
          <w:szCs w:val="24"/>
          <w:lang w:val="lt-LT"/>
        </w:rPr>
        <w:t>Identifikuotos rizikos įvertinamos pagal jų reikšmingumą ir įvykio tikimybę</w:t>
      </w:r>
      <w:r>
        <w:rPr>
          <w:rFonts w:ascii="Times New Roman" w:hAnsi="Times New Roman" w:cs="Times New Roman"/>
          <w:bCs/>
          <w:color w:val="000000" w:themeColor="text1"/>
          <w:sz w:val="24"/>
          <w:szCs w:val="24"/>
          <w:lang w:val="lt-LT"/>
        </w:rPr>
        <w:t>;</w:t>
      </w:r>
    </w:p>
    <w:p w:rsidR="00EA2598" w:rsidRDefault="009570CA" w:rsidP="00EA2598">
      <w:pPr>
        <w:pStyle w:val="ListParagraph"/>
        <w:numPr>
          <w:ilvl w:val="0"/>
          <w:numId w:val="38"/>
        </w:numPr>
        <w:spacing w:line="360" w:lineRule="auto"/>
        <w:ind w:left="900" w:hanging="372"/>
        <w:jc w:val="both"/>
        <w:rPr>
          <w:rFonts w:ascii="Times New Roman" w:hAnsi="Times New Roman" w:cs="Times New Roman"/>
          <w:bCs/>
          <w:color w:val="000000" w:themeColor="text1"/>
          <w:sz w:val="24"/>
          <w:szCs w:val="24"/>
          <w:lang w:val="lt-LT"/>
        </w:rPr>
      </w:pPr>
      <w:r w:rsidRPr="00044193">
        <w:rPr>
          <w:rFonts w:ascii="Times New Roman" w:hAnsi="Times New Roman" w:cs="Times New Roman"/>
          <w:bCs/>
          <w:color w:val="000000" w:themeColor="text1"/>
          <w:sz w:val="24"/>
          <w:szCs w:val="24"/>
          <w:lang w:val="lt-LT"/>
        </w:rPr>
        <w:t xml:space="preserve">Tik reikšmingiausioms ir labiausiai tikėtinoms rizikos rūšims valdyti skiriami riboti </w:t>
      </w:r>
      <w:r w:rsidR="002C6972">
        <w:rPr>
          <w:rFonts w:ascii="Times New Roman" w:hAnsi="Times New Roman" w:cs="Times New Roman"/>
          <w:bCs/>
          <w:color w:val="000000" w:themeColor="text1"/>
          <w:sz w:val="24"/>
          <w:szCs w:val="24"/>
          <w:lang w:val="lt-LT"/>
        </w:rPr>
        <w:t xml:space="preserve">organizacijos </w:t>
      </w:r>
      <w:r w:rsidRPr="00044193">
        <w:rPr>
          <w:rFonts w:ascii="Times New Roman" w:hAnsi="Times New Roman" w:cs="Times New Roman"/>
          <w:bCs/>
          <w:color w:val="000000" w:themeColor="text1"/>
          <w:sz w:val="24"/>
          <w:szCs w:val="24"/>
          <w:lang w:val="lt-LT"/>
        </w:rPr>
        <w:t>ištekliai.</w:t>
      </w:r>
    </w:p>
    <w:p w:rsidR="00EA2598" w:rsidRDefault="00EA2598" w:rsidP="00EA2598">
      <w:pPr>
        <w:spacing w:line="360" w:lineRule="auto"/>
        <w:ind w:firstLine="720"/>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 xml:space="preserve">Tam, kad būtų galima atlikti rizikos vertinimą pagal šį modelį, būtina taikyti rizikos analizės metodus, pastaroji skirstoma </w:t>
      </w:r>
      <w:r w:rsidRPr="00EA2598">
        <w:rPr>
          <w:rFonts w:ascii="Times New Roman" w:hAnsi="Times New Roman" w:cs="Times New Roman"/>
          <w:bCs/>
          <w:color w:val="000000" w:themeColor="text1"/>
          <w:sz w:val="24"/>
          <w:szCs w:val="24"/>
          <w:lang w:val="lt-LT"/>
        </w:rPr>
        <w:t xml:space="preserve"> į tris </w:t>
      </w:r>
      <w:r>
        <w:rPr>
          <w:rFonts w:ascii="Times New Roman" w:hAnsi="Times New Roman" w:cs="Times New Roman"/>
          <w:bCs/>
          <w:color w:val="000000" w:themeColor="text1"/>
          <w:sz w:val="24"/>
          <w:szCs w:val="24"/>
          <w:lang w:val="lt-LT"/>
        </w:rPr>
        <w:t>grupes:</w:t>
      </w:r>
      <w:r w:rsidRPr="00EA2598">
        <w:rPr>
          <w:rFonts w:ascii="Times New Roman" w:hAnsi="Times New Roman" w:cs="Times New Roman"/>
          <w:bCs/>
          <w:color w:val="000000" w:themeColor="text1"/>
          <w:sz w:val="24"/>
          <w:szCs w:val="24"/>
          <w:lang w:val="lt-LT"/>
        </w:rPr>
        <w:t xml:space="preserve"> kokybinė, pusiau kiekybinė ir kiekybinė. </w:t>
      </w:r>
    </w:p>
    <w:p w:rsidR="00EA2598" w:rsidRPr="00EA2598" w:rsidRDefault="00EA2598" w:rsidP="00EA2598">
      <w:pPr>
        <w:spacing w:line="360" w:lineRule="auto"/>
        <w:ind w:firstLine="720"/>
        <w:jc w:val="both"/>
        <w:rPr>
          <w:rFonts w:ascii="Times New Roman" w:hAnsi="Times New Roman" w:cs="Times New Roman"/>
          <w:bCs/>
          <w:color w:val="000000" w:themeColor="text1"/>
          <w:sz w:val="24"/>
          <w:szCs w:val="24"/>
          <w:lang w:val="lt-LT"/>
        </w:rPr>
      </w:pPr>
      <w:r w:rsidRPr="00EA2598">
        <w:rPr>
          <w:rFonts w:ascii="Times New Roman" w:hAnsi="Times New Roman" w:cs="Times New Roman"/>
          <w:bCs/>
          <w:color w:val="000000" w:themeColor="text1"/>
          <w:sz w:val="24"/>
          <w:szCs w:val="24"/>
          <w:lang w:val="lt-LT"/>
        </w:rPr>
        <w:t>Kokybinė</w:t>
      </w:r>
      <w:r>
        <w:rPr>
          <w:rFonts w:ascii="Times New Roman" w:hAnsi="Times New Roman" w:cs="Times New Roman"/>
          <w:bCs/>
          <w:color w:val="000000" w:themeColor="text1"/>
          <w:sz w:val="24"/>
          <w:szCs w:val="24"/>
          <w:lang w:val="lt-LT"/>
        </w:rPr>
        <w:t>s</w:t>
      </w:r>
      <w:r w:rsidRPr="00EA2598">
        <w:rPr>
          <w:rFonts w:ascii="Times New Roman" w:hAnsi="Times New Roman" w:cs="Times New Roman"/>
          <w:bCs/>
          <w:color w:val="000000" w:themeColor="text1"/>
          <w:sz w:val="24"/>
          <w:szCs w:val="24"/>
          <w:lang w:val="lt-LT"/>
        </w:rPr>
        <w:t xml:space="preserve"> rizikos analizė</w:t>
      </w:r>
      <w:r>
        <w:rPr>
          <w:rFonts w:ascii="Times New Roman" w:hAnsi="Times New Roman" w:cs="Times New Roman"/>
          <w:bCs/>
          <w:color w:val="000000" w:themeColor="text1"/>
          <w:sz w:val="24"/>
          <w:szCs w:val="24"/>
          <w:lang w:val="lt-LT"/>
        </w:rPr>
        <w:t>s</w:t>
      </w:r>
      <w:r w:rsidRPr="00EA2598">
        <w:rPr>
          <w:rFonts w:ascii="Times New Roman" w:hAnsi="Times New Roman" w:cs="Times New Roman"/>
          <w:bCs/>
          <w:color w:val="000000" w:themeColor="text1"/>
          <w:sz w:val="24"/>
          <w:szCs w:val="24"/>
          <w:lang w:val="lt-LT"/>
        </w:rPr>
        <w:t xml:space="preserve"> </w:t>
      </w:r>
      <w:r>
        <w:rPr>
          <w:rFonts w:ascii="Times New Roman" w:hAnsi="Times New Roman" w:cs="Times New Roman"/>
          <w:bCs/>
          <w:color w:val="000000" w:themeColor="text1"/>
          <w:sz w:val="24"/>
          <w:szCs w:val="24"/>
          <w:lang w:val="lt-LT"/>
        </w:rPr>
        <w:t xml:space="preserve">pagrindinis </w:t>
      </w:r>
      <w:r w:rsidRPr="00EA2598">
        <w:rPr>
          <w:rFonts w:ascii="Times New Roman" w:hAnsi="Times New Roman" w:cs="Times New Roman"/>
          <w:bCs/>
          <w:color w:val="000000" w:themeColor="text1"/>
          <w:sz w:val="24"/>
          <w:szCs w:val="24"/>
          <w:lang w:val="lt-LT"/>
        </w:rPr>
        <w:t xml:space="preserve">uždavinys </w:t>
      </w:r>
      <w:r>
        <w:rPr>
          <w:rFonts w:ascii="Times New Roman" w:hAnsi="Times New Roman" w:cs="Times New Roman"/>
          <w:bCs/>
          <w:color w:val="000000" w:themeColor="text1"/>
          <w:sz w:val="24"/>
          <w:szCs w:val="24"/>
          <w:lang w:val="lt-LT"/>
        </w:rPr>
        <w:t xml:space="preserve"> - </w:t>
      </w:r>
      <w:r w:rsidRPr="00EA2598">
        <w:rPr>
          <w:rFonts w:ascii="Times New Roman" w:hAnsi="Times New Roman" w:cs="Times New Roman"/>
          <w:bCs/>
          <w:color w:val="000000" w:themeColor="text1"/>
          <w:sz w:val="24"/>
          <w:szCs w:val="24"/>
          <w:lang w:val="lt-LT"/>
        </w:rPr>
        <w:t>nustatyti rizikos veiksnius, pagal veiklą dėl kurios kyla rizika, nustatyti potencialias rizikos sritis ir galimas rizikos rūšis. Kokybinės analizės rezultatai –  tai svarbi pradinė informacija tam, kad būtų atlikta kiekybinė rizikos analizė.</w:t>
      </w:r>
    </w:p>
    <w:p w:rsidR="00EA2598" w:rsidRDefault="00EA2598" w:rsidP="00EA2598">
      <w:pPr>
        <w:spacing w:line="360" w:lineRule="auto"/>
        <w:ind w:firstLine="720"/>
        <w:jc w:val="both"/>
        <w:rPr>
          <w:rFonts w:ascii="Times New Roman" w:hAnsi="Times New Roman" w:cs="Times New Roman"/>
          <w:bCs/>
          <w:color w:val="000000" w:themeColor="text1"/>
          <w:sz w:val="24"/>
          <w:szCs w:val="24"/>
          <w:lang w:val="lt-LT"/>
        </w:rPr>
      </w:pPr>
      <w:r w:rsidRPr="00EA2598">
        <w:rPr>
          <w:rFonts w:ascii="Times New Roman" w:hAnsi="Times New Roman" w:cs="Times New Roman"/>
          <w:bCs/>
          <w:color w:val="000000" w:themeColor="text1"/>
          <w:sz w:val="24"/>
          <w:szCs w:val="24"/>
          <w:lang w:val="lt-LT"/>
        </w:rPr>
        <w:t>Kiekybinė rizikos analizė, tai skaičiais išreikštų atskirų rizikos rūšių dydžių nustatydamas ir visos organizacijos rizikos nustatymas.</w:t>
      </w:r>
      <w:r>
        <w:rPr>
          <w:rFonts w:ascii="Times New Roman" w:hAnsi="Times New Roman" w:cs="Times New Roman"/>
          <w:bCs/>
          <w:color w:val="000000" w:themeColor="text1"/>
          <w:sz w:val="24"/>
          <w:szCs w:val="24"/>
          <w:lang w:val="lt-LT"/>
        </w:rPr>
        <w:t xml:space="preserve"> </w:t>
      </w:r>
      <w:r w:rsidRPr="00EA2598">
        <w:rPr>
          <w:rFonts w:ascii="Times New Roman" w:hAnsi="Times New Roman" w:cs="Times New Roman"/>
          <w:bCs/>
          <w:color w:val="000000" w:themeColor="text1"/>
          <w:sz w:val="24"/>
          <w:szCs w:val="24"/>
          <w:lang w:val="lt-LT"/>
        </w:rPr>
        <w:t>Išskiriami šie kiekybiniai rizikos valdymo metodai: statistinis (nagrinėjam</w:t>
      </w:r>
      <w:r>
        <w:rPr>
          <w:rFonts w:ascii="Times New Roman" w:hAnsi="Times New Roman" w:cs="Times New Roman"/>
          <w:bCs/>
          <w:color w:val="000000" w:themeColor="text1"/>
          <w:sz w:val="24"/>
          <w:szCs w:val="24"/>
          <w:lang w:val="lt-LT"/>
        </w:rPr>
        <w:t>a praradimų ir pelno statistika)</w:t>
      </w:r>
      <w:r w:rsidRPr="00EA2598">
        <w:rPr>
          <w:rFonts w:ascii="Times New Roman" w:hAnsi="Times New Roman" w:cs="Times New Roman"/>
          <w:bCs/>
          <w:color w:val="000000" w:themeColor="text1"/>
          <w:sz w:val="24"/>
          <w:szCs w:val="24"/>
          <w:lang w:val="lt-LT"/>
        </w:rPr>
        <w:t xml:space="preserve">, išlaidų tikslingumo analizė (potencialių rizikos zonų identifikavimas), ekspertų metodas (įvertinimas gaunamas pagal tos srities ekspertų </w:t>
      </w:r>
      <w:r>
        <w:rPr>
          <w:rFonts w:ascii="Times New Roman" w:hAnsi="Times New Roman" w:cs="Times New Roman"/>
          <w:bCs/>
          <w:color w:val="000000" w:themeColor="text1"/>
          <w:sz w:val="24"/>
          <w:szCs w:val="24"/>
          <w:lang w:val="lt-LT"/>
        </w:rPr>
        <w:lastRenderedPageBreak/>
        <w:t>nuomonę</w:t>
      </w:r>
      <w:r w:rsidRPr="00EA2598">
        <w:rPr>
          <w:rFonts w:ascii="Times New Roman" w:hAnsi="Times New Roman" w:cs="Times New Roman"/>
          <w:bCs/>
          <w:color w:val="000000" w:themeColor="text1"/>
          <w:sz w:val="24"/>
          <w:szCs w:val="24"/>
          <w:lang w:val="lt-LT"/>
        </w:rPr>
        <w:t>, tačiau išskiriamas vienas esminis šio metodo trūkumas – nėra patikimumo garantijų), analitinis m</w:t>
      </w:r>
      <w:r>
        <w:rPr>
          <w:rFonts w:ascii="Times New Roman" w:hAnsi="Times New Roman" w:cs="Times New Roman"/>
          <w:bCs/>
          <w:color w:val="000000" w:themeColor="text1"/>
          <w:sz w:val="24"/>
          <w:szCs w:val="24"/>
          <w:lang w:val="lt-LT"/>
        </w:rPr>
        <w:t>etodas (</w:t>
      </w:r>
      <w:r w:rsidRPr="00EA2598">
        <w:rPr>
          <w:rFonts w:ascii="Times New Roman" w:hAnsi="Times New Roman" w:cs="Times New Roman"/>
          <w:bCs/>
          <w:color w:val="000000" w:themeColor="text1"/>
          <w:sz w:val="24"/>
          <w:szCs w:val="24"/>
          <w:lang w:val="lt-LT"/>
        </w:rPr>
        <w:t xml:space="preserve">rizika valdoma nustatant rizikos </w:t>
      </w:r>
      <w:r>
        <w:rPr>
          <w:rFonts w:ascii="Times New Roman" w:hAnsi="Times New Roman" w:cs="Times New Roman"/>
          <w:bCs/>
          <w:color w:val="000000" w:themeColor="text1"/>
          <w:sz w:val="24"/>
          <w:szCs w:val="24"/>
          <w:lang w:val="lt-LT"/>
        </w:rPr>
        <w:t xml:space="preserve">normatyvus) bei </w:t>
      </w:r>
      <w:r w:rsidRPr="00EA2598">
        <w:rPr>
          <w:rFonts w:ascii="Times New Roman" w:hAnsi="Times New Roman" w:cs="Times New Roman"/>
          <w:bCs/>
          <w:color w:val="000000" w:themeColor="text1"/>
          <w:sz w:val="24"/>
          <w:szCs w:val="24"/>
          <w:lang w:val="lt-LT"/>
        </w:rPr>
        <w:t>analog</w:t>
      </w:r>
      <w:r>
        <w:rPr>
          <w:rFonts w:ascii="Times New Roman" w:hAnsi="Times New Roman" w:cs="Times New Roman"/>
          <w:bCs/>
          <w:color w:val="000000" w:themeColor="text1"/>
          <w:sz w:val="24"/>
          <w:szCs w:val="24"/>
          <w:lang w:val="lt-LT"/>
        </w:rPr>
        <w:t>ų</w:t>
      </w:r>
      <w:r w:rsidRPr="00EA2598">
        <w:rPr>
          <w:rFonts w:ascii="Times New Roman" w:hAnsi="Times New Roman" w:cs="Times New Roman"/>
          <w:bCs/>
          <w:color w:val="000000" w:themeColor="text1"/>
          <w:sz w:val="24"/>
          <w:szCs w:val="24"/>
          <w:lang w:val="lt-LT"/>
        </w:rPr>
        <w:t xml:space="preserve"> metodas (</w:t>
      </w:r>
      <w:r>
        <w:rPr>
          <w:rFonts w:ascii="Times New Roman" w:hAnsi="Times New Roman" w:cs="Times New Roman"/>
          <w:bCs/>
          <w:color w:val="000000" w:themeColor="text1"/>
          <w:sz w:val="24"/>
          <w:szCs w:val="24"/>
          <w:lang w:val="lt-LT"/>
        </w:rPr>
        <w:t xml:space="preserve">analizei </w:t>
      </w:r>
      <w:r w:rsidRPr="00EA2598">
        <w:rPr>
          <w:rFonts w:ascii="Times New Roman" w:hAnsi="Times New Roman" w:cs="Times New Roman"/>
          <w:bCs/>
          <w:color w:val="000000" w:themeColor="text1"/>
          <w:sz w:val="24"/>
          <w:szCs w:val="24"/>
          <w:lang w:val="lt-LT"/>
        </w:rPr>
        <w:t>naudojamas duomenimis apie nepalankų poveikį kitam projektui ar organizacijai).</w:t>
      </w:r>
    </w:p>
    <w:p w:rsidR="00EA2598" w:rsidRPr="00EA2598" w:rsidRDefault="00EA2598" w:rsidP="00EA2598">
      <w:pPr>
        <w:spacing w:line="360" w:lineRule="auto"/>
        <w:ind w:firstLine="720"/>
        <w:jc w:val="both"/>
        <w:rPr>
          <w:rFonts w:ascii="Times New Roman" w:hAnsi="Times New Roman" w:cs="Times New Roman"/>
          <w:bCs/>
          <w:color w:val="000000" w:themeColor="text1"/>
          <w:sz w:val="24"/>
          <w:szCs w:val="24"/>
          <w:lang w:val="lt-LT"/>
        </w:rPr>
      </w:pPr>
      <w:r>
        <w:rPr>
          <w:rFonts w:ascii="Times New Roman" w:hAnsi="Times New Roman" w:cs="Times New Roman"/>
          <w:bCs/>
          <w:color w:val="000000" w:themeColor="text1"/>
          <w:sz w:val="24"/>
          <w:szCs w:val="24"/>
          <w:lang w:val="lt-LT"/>
        </w:rPr>
        <w:t xml:space="preserve">Pusiau kiekybinė rizikos analizė turi tiek kiekybinės, tiek kokybinės rizikos analizės požymių. </w:t>
      </w:r>
    </w:p>
    <w:p w:rsidR="006204BF" w:rsidRPr="000D37F1" w:rsidRDefault="006204BF" w:rsidP="006204BF">
      <w:pPr>
        <w:spacing w:line="360" w:lineRule="auto"/>
        <w:ind w:firstLine="567"/>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 xml:space="preserve">Taigi </w:t>
      </w:r>
      <w:r>
        <w:rPr>
          <w:rFonts w:ascii="Times New Roman" w:hAnsi="Times New Roman" w:cs="Times New Roman"/>
          <w:bCs/>
          <w:sz w:val="24"/>
          <w:szCs w:val="24"/>
          <w:lang w:val="lt-LT"/>
        </w:rPr>
        <w:t>nustačius</w:t>
      </w:r>
      <w:r w:rsidR="00F1330D">
        <w:rPr>
          <w:rFonts w:ascii="Times New Roman" w:hAnsi="Times New Roman" w:cs="Times New Roman"/>
          <w:bCs/>
          <w:sz w:val="24"/>
          <w:szCs w:val="24"/>
          <w:lang w:val="lt-LT"/>
        </w:rPr>
        <w:t xml:space="preserve"> rizikos veiksnius bei </w:t>
      </w:r>
      <w:r>
        <w:rPr>
          <w:rFonts w:ascii="Times New Roman" w:hAnsi="Times New Roman" w:cs="Times New Roman"/>
          <w:bCs/>
          <w:sz w:val="24"/>
          <w:szCs w:val="24"/>
          <w:lang w:val="lt-LT"/>
        </w:rPr>
        <w:t xml:space="preserve"> labi</w:t>
      </w:r>
      <w:r w:rsidR="00EA2598">
        <w:rPr>
          <w:rFonts w:ascii="Times New Roman" w:hAnsi="Times New Roman" w:cs="Times New Roman"/>
          <w:bCs/>
          <w:sz w:val="24"/>
          <w:szCs w:val="24"/>
          <w:lang w:val="lt-LT"/>
        </w:rPr>
        <w:t>ausiai tikėtinas rizikos rūšis, būtinas rizikos įveikimo priemonių taikymas. I</w:t>
      </w:r>
      <w:r>
        <w:rPr>
          <w:rFonts w:ascii="Times New Roman" w:hAnsi="Times New Roman" w:cs="Times New Roman"/>
          <w:bCs/>
          <w:sz w:val="24"/>
          <w:szCs w:val="24"/>
          <w:lang w:val="lt-LT"/>
        </w:rPr>
        <w:t>šskiriami</w:t>
      </w:r>
      <w:r w:rsidRPr="000D37F1">
        <w:rPr>
          <w:rFonts w:ascii="Times New Roman" w:hAnsi="Times New Roman" w:cs="Times New Roman"/>
          <w:bCs/>
          <w:sz w:val="24"/>
          <w:szCs w:val="24"/>
          <w:lang w:val="lt-LT"/>
        </w:rPr>
        <w:t xml:space="preserve"> </w:t>
      </w:r>
      <w:r w:rsidR="00EA2598">
        <w:rPr>
          <w:rFonts w:ascii="Times New Roman" w:hAnsi="Times New Roman" w:cs="Times New Roman"/>
          <w:bCs/>
          <w:sz w:val="24"/>
          <w:szCs w:val="24"/>
          <w:lang w:val="lt-LT"/>
        </w:rPr>
        <w:t xml:space="preserve">šie </w:t>
      </w:r>
      <w:r>
        <w:rPr>
          <w:rFonts w:ascii="Times New Roman" w:hAnsi="Times New Roman" w:cs="Times New Roman"/>
          <w:bCs/>
          <w:sz w:val="24"/>
          <w:szCs w:val="24"/>
          <w:lang w:val="lt-LT"/>
        </w:rPr>
        <w:t xml:space="preserve">pagrindiniai rizikos </w:t>
      </w:r>
      <w:r w:rsidRPr="000D37F1">
        <w:rPr>
          <w:rFonts w:ascii="Times New Roman" w:hAnsi="Times New Roman" w:cs="Times New Roman"/>
          <w:bCs/>
          <w:sz w:val="24"/>
          <w:szCs w:val="24"/>
          <w:lang w:val="lt-LT"/>
        </w:rPr>
        <w:t xml:space="preserve">įveikimo priemonių </w:t>
      </w:r>
      <w:r>
        <w:rPr>
          <w:rFonts w:ascii="Times New Roman" w:hAnsi="Times New Roman" w:cs="Times New Roman"/>
          <w:bCs/>
          <w:sz w:val="24"/>
          <w:szCs w:val="24"/>
          <w:lang w:val="lt-LT"/>
        </w:rPr>
        <w:t>tipai</w:t>
      </w:r>
      <w:r w:rsidRPr="000D37F1">
        <w:rPr>
          <w:rFonts w:ascii="Times New Roman" w:hAnsi="Times New Roman" w:cs="Times New Roman"/>
          <w:bCs/>
          <w:sz w:val="24"/>
          <w:szCs w:val="24"/>
          <w:lang w:val="lt-LT"/>
        </w:rPr>
        <w:t>:</w:t>
      </w:r>
    </w:p>
    <w:p w:rsidR="006204BF" w:rsidRPr="000D37F1" w:rsidRDefault="006204BF" w:rsidP="006204BF">
      <w:pPr>
        <w:pStyle w:val="ListParagraph"/>
        <w:numPr>
          <w:ilvl w:val="0"/>
          <w:numId w:val="19"/>
        </w:numPr>
        <w:spacing w:line="360" w:lineRule="auto"/>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rizikos vengimas ( kai kurių operacijų atsisakymas);</w:t>
      </w:r>
    </w:p>
    <w:p w:rsidR="006204BF" w:rsidRPr="000D37F1" w:rsidRDefault="006204BF" w:rsidP="006204BF">
      <w:pPr>
        <w:pStyle w:val="ListParagraph"/>
        <w:numPr>
          <w:ilvl w:val="0"/>
          <w:numId w:val="19"/>
        </w:numPr>
        <w:spacing w:line="360" w:lineRule="auto"/>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rizikos mažinimas ir reguliavimas (kliento veiklos monitoringas, rizikos draudimas, užstato reikalavimas, rizikos diversifikavimas, jos apribojimas, vykdant Lietuvos Banko normatyvus);</w:t>
      </w:r>
    </w:p>
    <w:p w:rsidR="006204BF" w:rsidRPr="000D37F1" w:rsidRDefault="006204BF" w:rsidP="006204BF">
      <w:pPr>
        <w:pStyle w:val="ListParagraph"/>
        <w:numPr>
          <w:ilvl w:val="0"/>
          <w:numId w:val="19"/>
        </w:numPr>
        <w:spacing w:line="360" w:lineRule="auto"/>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 xml:space="preserve">rizikos įžvelgimas </w:t>
      </w:r>
      <w:r>
        <w:rPr>
          <w:rFonts w:ascii="Times New Roman" w:hAnsi="Times New Roman" w:cs="Times New Roman"/>
          <w:bCs/>
          <w:sz w:val="24"/>
          <w:szCs w:val="24"/>
          <w:lang w:val="lt-LT"/>
        </w:rPr>
        <w:t>kredito įstaigos</w:t>
      </w:r>
      <w:r w:rsidRPr="000D37F1">
        <w:rPr>
          <w:rFonts w:ascii="Times New Roman" w:hAnsi="Times New Roman" w:cs="Times New Roman"/>
          <w:bCs/>
          <w:sz w:val="24"/>
          <w:szCs w:val="24"/>
          <w:lang w:val="lt-LT"/>
        </w:rPr>
        <w:t xml:space="preserve"> balanse.</w:t>
      </w:r>
    </w:p>
    <w:p w:rsidR="006204BF" w:rsidRPr="00F1330D" w:rsidRDefault="006204BF" w:rsidP="00F1330D">
      <w:pPr>
        <w:spacing w:line="360" w:lineRule="auto"/>
        <w:ind w:firstLine="567"/>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 xml:space="preserve"> Riziką galima valdyti, tai yra naudoti įvairias priemones, leidžiančias tam tikru laipsniu prognozuoti rizikingo įvykio įvykimą ir imtis priemonių rizikos laipsniui mažinti. Kaip jau minėta, ne visos rizikos rūšys yra valdomos, nes kai kurios kyla iš išorės. </w:t>
      </w:r>
    </w:p>
    <w:p w:rsidR="000E4110" w:rsidRPr="000D37F1" w:rsidRDefault="003A2A9A" w:rsidP="000E4110">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G. </w:t>
      </w:r>
      <w:proofErr w:type="spellStart"/>
      <w:r w:rsidRPr="000D37F1">
        <w:rPr>
          <w:rFonts w:ascii="Times New Roman" w:hAnsi="Times New Roman" w:cs="Times New Roman"/>
          <w:sz w:val="24"/>
          <w:szCs w:val="24"/>
          <w:lang w:val="lt-LT"/>
        </w:rPr>
        <w:t>Nekrošiūtės</w:t>
      </w:r>
      <w:proofErr w:type="spellEnd"/>
      <w:r w:rsidRPr="000D37F1">
        <w:rPr>
          <w:rFonts w:ascii="Times New Roman" w:hAnsi="Times New Roman" w:cs="Times New Roman"/>
          <w:sz w:val="24"/>
          <w:szCs w:val="24"/>
          <w:lang w:val="lt-LT"/>
        </w:rPr>
        <w:t xml:space="preserve"> ir R. Špico (2012) teigimu, bankų, kredito unijų ir kitų kredito staigų prisiimamos rizikos tiesiogiai priklauso nuo atlie</w:t>
      </w:r>
      <w:r w:rsidR="00F211AE" w:rsidRPr="000D37F1">
        <w:rPr>
          <w:rFonts w:ascii="Times New Roman" w:hAnsi="Times New Roman" w:cs="Times New Roman"/>
          <w:sz w:val="24"/>
          <w:szCs w:val="24"/>
          <w:lang w:val="lt-LT"/>
        </w:rPr>
        <w:t>kamų operacijų. Paprastai autoriai išskiria tas pačias rizikos rūšis, būdingas kredito įstaigoms:</w:t>
      </w:r>
    </w:p>
    <w:p w:rsidR="000E4110" w:rsidRPr="000D37F1" w:rsidRDefault="00F211AE" w:rsidP="000E4110">
      <w:pPr>
        <w:pStyle w:val="ListParagraph"/>
        <w:numPr>
          <w:ilvl w:val="0"/>
          <w:numId w:val="18"/>
        </w:numPr>
        <w:spacing w:line="360" w:lineRule="auto"/>
        <w:jc w:val="both"/>
        <w:rPr>
          <w:rFonts w:ascii="Times New Roman" w:hAnsi="Times New Roman" w:cs="Times New Roman"/>
          <w:sz w:val="24"/>
          <w:szCs w:val="24"/>
          <w:lang w:val="lt-LT"/>
        </w:rPr>
      </w:pPr>
      <w:r w:rsidRPr="000D37F1">
        <w:rPr>
          <w:rFonts w:ascii="Times New Roman" w:hAnsi="Times New Roman" w:cs="Times New Roman"/>
          <w:bCs/>
          <w:i/>
          <w:sz w:val="24"/>
          <w:szCs w:val="24"/>
          <w:lang w:val="lt-LT"/>
        </w:rPr>
        <w:t>finansinė rizika</w:t>
      </w:r>
      <w:r w:rsidR="003A2A9A" w:rsidRPr="000D37F1">
        <w:rPr>
          <w:rFonts w:ascii="Times New Roman" w:hAnsi="Times New Roman" w:cs="Times New Roman"/>
          <w:bCs/>
          <w:sz w:val="24"/>
          <w:szCs w:val="24"/>
          <w:lang w:val="lt-LT"/>
        </w:rPr>
        <w:t xml:space="preserve"> (susijusi su valiutų kursų, palūkanų normų bei kito finan</w:t>
      </w:r>
      <w:r w:rsidRPr="000D37F1">
        <w:rPr>
          <w:rFonts w:ascii="Times New Roman" w:hAnsi="Times New Roman" w:cs="Times New Roman"/>
          <w:bCs/>
          <w:sz w:val="24"/>
          <w:szCs w:val="24"/>
          <w:lang w:val="lt-LT"/>
        </w:rPr>
        <w:t>sinio turto kainos svyravimais);</w:t>
      </w:r>
    </w:p>
    <w:p w:rsidR="000E4110" w:rsidRPr="000D37F1" w:rsidRDefault="00F211AE" w:rsidP="000E4110">
      <w:pPr>
        <w:pStyle w:val="ListParagraph"/>
        <w:numPr>
          <w:ilvl w:val="0"/>
          <w:numId w:val="18"/>
        </w:numPr>
        <w:spacing w:line="360" w:lineRule="auto"/>
        <w:jc w:val="both"/>
        <w:rPr>
          <w:rFonts w:ascii="Times New Roman" w:hAnsi="Times New Roman" w:cs="Times New Roman"/>
          <w:sz w:val="24"/>
          <w:szCs w:val="24"/>
          <w:lang w:val="lt-LT"/>
        </w:rPr>
      </w:pPr>
      <w:r w:rsidRPr="000D37F1">
        <w:rPr>
          <w:rFonts w:ascii="Times New Roman" w:hAnsi="Times New Roman" w:cs="Times New Roman"/>
          <w:bCs/>
          <w:i/>
          <w:sz w:val="24"/>
          <w:szCs w:val="24"/>
          <w:lang w:val="lt-LT"/>
        </w:rPr>
        <w:t>operacinė rizika</w:t>
      </w:r>
      <w:r w:rsidR="003A2A9A" w:rsidRPr="000D37F1">
        <w:rPr>
          <w:rFonts w:ascii="Times New Roman" w:hAnsi="Times New Roman" w:cs="Times New Roman"/>
          <w:bCs/>
          <w:sz w:val="24"/>
          <w:szCs w:val="24"/>
          <w:lang w:val="lt-LT"/>
        </w:rPr>
        <w:t xml:space="preserve"> (susijusi su kredito įstaigos strategija, vidaus sistemos funkcionavimu, technologijomis ir pan.)</w:t>
      </w:r>
      <w:r w:rsidRPr="000D37F1">
        <w:rPr>
          <w:rFonts w:ascii="Times New Roman" w:hAnsi="Times New Roman" w:cs="Times New Roman"/>
          <w:bCs/>
          <w:sz w:val="24"/>
          <w:szCs w:val="24"/>
          <w:lang w:val="lt-LT"/>
        </w:rPr>
        <w:t>;</w:t>
      </w:r>
    </w:p>
    <w:p w:rsidR="000E4110" w:rsidRPr="000D37F1" w:rsidRDefault="003A2A9A" w:rsidP="000E4110">
      <w:pPr>
        <w:pStyle w:val="ListParagraph"/>
        <w:numPr>
          <w:ilvl w:val="0"/>
          <w:numId w:val="18"/>
        </w:numPr>
        <w:spacing w:line="360" w:lineRule="auto"/>
        <w:jc w:val="both"/>
        <w:rPr>
          <w:rFonts w:ascii="Times New Roman" w:hAnsi="Times New Roman" w:cs="Times New Roman"/>
          <w:sz w:val="24"/>
          <w:szCs w:val="24"/>
          <w:lang w:val="lt-LT"/>
        </w:rPr>
      </w:pPr>
      <w:r w:rsidRPr="000D37F1">
        <w:rPr>
          <w:rFonts w:ascii="Times New Roman" w:hAnsi="Times New Roman" w:cs="Times New Roman"/>
          <w:bCs/>
          <w:i/>
          <w:sz w:val="24"/>
          <w:szCs w:val="24"/>
          <w:lang w:val="lt-LT"/>
        </w:rPr>
        <w:t>verslo</w:t>
      </w:r>
      <w:r w:rsidR="00F211AE" w:rsidRPr="000D37F1">
        <w:rPr>
          <w:rFonts w:ascii="Times New Roman" w:hAnsi="Times New Roman" w:cs="Times New Roman"/>
          <w:bCs/>
          <w:i/>
          <w:sz w:val="24"/>
          <w:szCs w:val="24"/>
          <w:lang w:val="lt-LT"/>
        </w:rPr>
        <w:t xml:space="preserve"> rizika</w:t>
      </w:r>
      <w:r w:rsidRPr="000D37F1">
        <w:rPr>
          <w:rFonts w:ascii="Times New Roman" w:hAnsi="Times New Roman" w:cs="Times New Roman"/>
          <w:bCs/>
          <w:sz w:val="24"/>
          <w:szCs w:val="24"/>
          <w:lang w:val="lt-LT"/>
        </w:rPr>
        <w:t xml:space="preserve"> (galimų nuostolių tikimybė arba pajamų praradimas, </w:t>
      </w:r>
      <w:r w:rsidR="00F211AE" w:rsidRPr="000D37F1">
        <w:rPr>
          <w:rFonts w:ascii="Times New Roman" w:hAnsi="Times New Roman" w:cs="Times New Roman"/>
          <w:bCs/>
          <w:sz w:val="24"/>
          <w:szCs w:val="24"/>
          <w:lang w:val="lt-LT"/>
        </w:rPr>
        <w:t>lyginant</w:t>
      </w:r>
      <w:r w:rsidRPr="000D37F1">
        <w:rPr>
          <w:rFonts w:ascii="Times New Roman" w:hAnsi="Times New Roman" w:cs="Times New Roman"/>
          <w:bCs/>
          <w:sz w:val="24"/>
          <w:szCs w:val="24"/>
          <w:lang w:val="lt-LT"/>
        </w:rPr>
        <w:t xml:space="preserve"> su nustatytu planu).</w:t>
      </w:r>
    </w:p>
    <w:p w:rsidR="000E4110" w:rsidRPr="000D37F1" w:rsidRDefault="003A2A9A" w:rsidP="000E4110">
      <w:pPr>
        <w:pStyle w:val="ListParagraph"/>
        <w:numPr>
          <w:ilvl w:val="0"/>
          <w:numId w:val="18"/>
        </w:numPr>
        <w:spacing w:line="360" w:lineRule="auto"/>
        <w:jc w:val="both"/>
        <w:rPr>
          <w:rFonts w:ascii="Times New Roman" w:hAnsi="Times New Roman" w:cs="Times New Roman"/>
          <w:sz w:val="24"/>
          <w:szCs w:val="24"/>
          <w:lang w:val="lt-LT"/>
        </w:rPr>
      </w:pPr>
      <w:r w:rsidRPr="000D37F1">
        <w:rPr>
          <w:rFonts w:ascii="Times New Roman" w:hAnsi="Times New Roman" w:cs="Times New Roman"/>
          <w:bCs/>
          <w:i/>
          <w:sz w:val="24"/>
          <w:szCs w:val="24"/>
          <w:lang w:val="lt-LT"/>
        </w:rPr>
        <w:t>įvykių</w:t>
      </w:r>
      <w:r w:rsidR="00F211AE" w:rsidRPr="000D37F1">
        <w:rPr>
          <w:rFonts w:ascii="Times New Roman" w:hAnsi="Times New Roman" w:cs="Times New Roman"/>
          <w:bCs/>
          <w:i/>
          <w:sz w:val="24"/>
          <w:szCs w:val="24"/>
          <w:lang w:val="lt-LT"/>
        </w:rPr>
        <w:t xml:space="preserve"> rizika</w:t>
      </w:r>
      <w:r w:rsidRPr="000D37F1">
        <w:rPr>
          <w:rFonts w:ascii="Times New Roman" w:hAnsi="Times New Roman" w:cs="Times New Roman"/>
          <w:bCs/>
          <w:sz w:val="24"/>
          <w:szCs w:val="24"/>
          <w:lang w:val="lt-LT"/>
        </w:rPr>
        <w:t xml:space="preserve"> (</w:t>
      </w:r>
      <w:r w:rsidR="000E4110" w:rsidRPr="000D37F1">
        <w:rPr>
          <w:rFonts w:ascii="Times New Roman" w:hAnsi="Times New Roman" w:cs="Times New Roman"/>
          <w:bCs/>
          <w:i/>
          <w:sz w:val="24"/>
          <w:szCs w:val="24"/>
          <w:lang w:val="lt-LT"/>
        </w:rPr>
        <w:t>i</w:t>
      </w:r>
      <w:r w:rsidR="00F63E9E" w:rsidRPr="000D37F1">
        <w:rPr>
          <w:rFonts w:ascii="Times New Roman" w:hAnsi="Times New Roman" w:cs="Times New Roman"/>
          <w:i/>
          <w:iCs/>
          <w:sz w:val="24"/>
          <w:szCs w:val="24"/>
          <w:lang w:val="lt-LT"/>
        </w:rPr>
        <w:t>šorės operacinė rizika</w:t>
      </w:r>
      <w:r w:rsidR="00F63E9E" w:rsidRPr="000D37F1">
        <w:rPr>
          <w:rFonts w:ascii="Times New Roman" w:hAnsi="Times New Roman" w:cs="Times New Roman"/>
          <w:sz w:val="24"/>
          <w:szCs w:val="24"/>
          <w:lang w:val="lt-LT"/>
        </w:rPr>
        <w:t xml:space="preserve"> apima tokius unikalius nesistematinius įvykius, kurie išoriškai gali įtakoti įmonei, tai gali būti teismo procesai, sukčiavimo atvejai ir kt. Ši rizika gali atnešti tiek teigiamų, tiek neigiamų rezultatų įmonei</w:t>
      </w:r>
      <w:r w:rsidRPr="000D37F1">
        <w:rPr>
          <w:rFonts w:ascii="Times New Roman" w:hAnsi="Times New Roman" w:cs="Times New Roman"/>
          <w:bCs/>
          <w:sz w:val="24"/>
          <w:szCs w:val="24"/>
          <w:lang w:val="lt-LT"/>
        </w:rPr>
        <w:t>)</w:t>
      </w:r>
      <w:r w:rsidR="00F211AE" w:rsidRPr="000D37F1">
        <w:rPr>
          <w:rFonts w:ascii="Times New Roman" w:hAnsi="Times New Roman" w:cs="Times New Roman"/>
          <w:bCs/>
          <w:sz w:val="24"/>
          <w:szCs w:val="24"/>
          <w:lang w:val="lt-LT"/>
        </w:rPr>
        <w:t>;</w:t>
      </w:r>
    </w:p>
    <w:p w:rsidR="00F211AE" w:rsidRPr="000D37F1" w:rsidRDefault="00F211AE" w:rsidP="000E4110">
      <w:pPr>
        <w:pStyle w:val="ListParagraph"/>
        <w:numPr>
          <w:ilvl w:val="0"/>
          <w:numId w:val="18"/>
        </w:numPr>
        <w:spacing w:line="360" w:lineRule="auto"/>
        <w:jc w:val="both"/>
        <w:rPr>
          <w:rFonts w:ascii="Times New Roman" w:hAnsi="Times New Roman" w:cs="Times New Roman"/>
          <w:sz w:val="24"/>
          <w:szCs w:val="24"/>
          <w:lang w:val="lt-LT"/>
        </w:rPr>
      </w:pPr>
      <w:r w:rsidRPr="000D37F1">
        <w:rPr>
          <w:rFonts w:ascii="Times New Roman" w:hAnsi="Times New Roman" w:cs="Times New Roman"/>
          <w:bCs/>
          <w:i/>
          <w:sz w:val="24"/>
          <w:szCs w:val="24"/>
          <w:lang w:val="lt-LT"/>
        </w:rPr>
        <w:lastRenderedPageBreak/>
        <w:t>kredito rizika</w:t>
      </w:r>
      <w:r w:rsidRPr="000D37F1">
        <w:rPr>
          <w:rFonts w:ascii="Times New Roman" w:hAnsi="Times New Roman" w:cs="Times New Roman"/>
          <w:bCs/>
          <w:sz w:val="24"/>
          <w:szCs w:val="24"/>
          <w:lang w:val="lt-LT"/>
        </w:rPr>
        <w:t xml:space="preserve"> (tikimybė, kad sandorio šalis negebės atsiskaityti sutartyje numatyta tvarka).</w:t>
      </w:r>
    </w:p>
    <w:p w:rsidR="00265C1C" w:rsidRDefault="003A2A9A" w:rsidP="00E756EA">
      <w:pPr>
        <w:spacing w:line="360" w:lineRule="auto"/>
        <w:ind w:firstLine="567"/>
        <w:jc w:val="both"/>
        <w:rPr>
          <w:rFonts w:ascii="Times New Roman" w:hAnsi="Times New Roman" w:cs="Times New Roman"/>
          <w:sz w:val="24"/>
          <w:szCs w:val="24"/>
          <w:lang w:val="lt-LT"/>
        </w:rPr>
      </w:pPr>
      <w:r w:rsidRPr="000D37F1">
        <w:rPr>
          <w:rFonts w:ascii="Times New Roman" w:hAnsi="Times New Roman" w:cs="Times New Roman"/>
          <w:bCs/>
          <w:sz w:val="24"/>
          <w:szCs w:val="24"/>
          <w:lang w:val="lt-LT"/>
        </w:rPr>
        <w:t xml:space="preserve">Taip pat finansinių institucijų rizika skirstoma į du tipus – grynąją ir spekuliacinę riziką. </w:t>
      </w:r>
      <w:r w:rsidR="00F211AE" w:rsidRPr="000D37F1">
        <w:rPr>
          <w:rFonts w:ascii="Times New Roman" w:hAnsi="Times New Roman" w:cs="Times New Roman"/>
          <w:bCs/>
          <w:sz w:val="24"/>
          <w:szCs w:val="24"/>
          <w:lang w:val="lt-LT"/>
        </w:rPr>
        <w:t>J</w:t>
      </w:r>
      <w:r w:rsidRPr="000D37F1">
        <w:rPr>
          <w:rFonts w:ascii="Times New Roman" w:hAnsi="Times New Roman" w:cs="Times New Roman"/>
          <w:bCs/>
          <w:sz w:val="24"/>
          <w:szCs w:val="24"/>
          <w:lang w:val="lt-LT"/>
        </w:rPr>
        <w:t xml:space="preserve">eigu </w:t>
      </w:r>
      <w:r w:rsidR="00F211AE" w:rsidRPr="000D37F1">
        <w:rPr>
          <w:rFonts w:ascii="Times New Roman" w:hAnsi="Times New Roman" w:cs="Times New Roman"/>
          <w:bCs/>
          <w:sz w:val="24"/>
          <w:szCs w:val="24"/>
          <w:lang w:val="lt-LT"/>
        </w:rPr>
        <w:t xml:space="preserve">grynoji rizika nėra laiku suvaldyta, tai ji atsispindi organizacijos nuostoliuose. Grynajai rizikai priskiriama </w:t>
      </w:r>
      <w:r w:rsidRPr="000D37F1">
        <w:rPr>
          <w:rFonts w:ascii="Times New Roman" w:hAnsi="Times New Roman" w:cs="Times New Roman"/>
          <w:bCs/>
          <w:sz w:val="24"/>
          <w:szCs w:val="24"/>
          <w:lang w:val="lt-LT"/>
        </w:rPr>
        <w:t>likvidumo (atsirandant</w:t>
      </w:r>
      <w:r w:rsidR="00EE753B" w:rsidRPr="000D37F1">
        <w:rPr>
          <w:rFonts w:ascii="Times New Roman" w:hAnsi="Times New Roman" w:cs="Times New Roman"/>
          <w:bCs/>
          <w:sz w:val="24"/>
          <w:szCs w:val="24"/>
          <w:lang w:val="lt-LT"/>
        </w:rPr>
        <w:t>i</w:t>
      </w:r>
      <w:r w:rsidRPr="000D37F1">
        <w:rPr>
          <w:rFonts w:ascii="Times New Roman" w:hAnsi="Times New Roman" w:cs="Times New Roman"/>
          <w:bCs/>
          <w:sz w:val="24"/>
          <w:szCs w:val="24"/>
          <w:lang w:val="lt-LT"/>
        </w:rPr>
        <w:t xml:space="preserve"> dėl turimo turto likvidumo kaštų),  kredito (žalos rizika, atsirandanti dėl kitos šalies nemokumo galimybės)</w:t>
      </w:r>
      <w:r w:rsidR="00EE753B" w:rsidRPr="000D37F1">
        <w:rPr>
          <w:rFonts w:ascii="Times New Roman" w:hAnsi="Times New Roman" w:cs="Times New Roman"/>
          <w:bCs/>
          <w:sz w:val="24"/>
          <w:szCs w:val="24"/>
          <w:lang w:val="lt-LT"/>
        </w:rPr>
        <w:t xml:space="preserve"> bei mokumo rizika ir kt.</w:t>
      </w:r>
      <w:r w:rsidR="00833893">
        <w:rPr>
          <w:rFonts w:ascii="Times New Roman" w:hAnsi="Times New Roman" w:cs="Times New Roman"/>
          <w:bCs/>
          <w:sz w:val="24"/>
          <w:szCs w:val="24"/>
          <w:lang w:val="lt-LT"/>
        </w:rPr>
        <w:t xml:space="preserve"> </w:t>
      </w:r>
      <w:r w:rsidRPr="000D37F1">
        <w:rPr>
          <w:rFonts w:ascii="Times New Roman" w:hAnsi="Times New Roman" w:cs="Times New Roman"/>
          <w:bCs/>
          <w:sz w:val="24"/>
          <w:szCs w:val="24"/>
          <w:lang w:val="lt-LT"/>
        </w:rPr>
        <w:t>Spekuliacinės rizikos atveju, šalia nuostolių tikimybės yra ir pelno tikimybė, ji prisiimama savo noru, tikintis teigiamų rezultatų. Pagrindinės spekuliacinės riziko</w:t>
      </w:r>
      <w:r w:rsidR="00451DAA">
        <w:rPr>
          <w:rFonts w:ascii="Times New Roman" w:hAnsi="Times New Roman" w:cs="Times New Roman"/>
          <w:bCs/>
          <w:sz w:val="24"/>
          <w:szCs w:val="24"/>
          <w:lang w:val="lt-LT"/>
        </w:rPr>
        <w:t xml:space="preserve">s kategorijos, pasak </w:t>
      </w:r>
      <w:r w:rsidR="00265C1C" w:rsidRPr="000D37F1">
        <w:rPr>
          <w:rFonts w:ascii="Times New Roman" w:hAnsi="Times New Roman" w:cs="Times New Roman"/>
          <w:sz w:val="24"/>
          <w:szCs w:val="24"/>
          <w:lang w:val="lt-LT"/>
        </w:rPr>
        <w:t xml:space="preserve">K. </w:t>
      </w:r>
      <w:proofErr w:type="spellStart"/>
      <w:r w:rsidR="00265C1C" w:rsidRPr="000D37F1">
        <w:rPr>
          <w:rFonts w:ascii="Times New Roman" w:hAnsi="Times New Roman" w:cs="Times New Roman"/>
          <w:sz w:val="24"/>
          <w:szCs w:val="24"/>
          <w:lang w:val="lt-LT"/>
        </w:rPr>
        <w:t>Levišauskaitė</w:t>
      </w:r>
      <w:r w:rsidR="00265C1C">
        <w:rPr>
          <w:rFonts w:ascii="Times New Roman" w:hAnsi="Times New Roman" w:cs="Times New Roman"/>
          <w:sz w:val="24"/>
          <w:szCs w:val="24"/>
          <w:lang w:val="lt-LT"/>
        </w:rPr>
        <w:t>s</w:t>
      </w:r>
      <w:proofErr w:type="spellEnd"/>
      <w:r w:rsidR="00265C1C" w:rsidRPr="000D37F1">
        <w:rPr>
          <w:rFonts w:ascii="Times New Roman" w:hAnsi="Times New Roman" w:cs="Times New Roman"/>
          <w:sz w:val="24"/>
          <w:szCs w:val="24"/>
          <w:lang w:val="lt-LT"/>
        </w:rPr>
        <w:t xml:space="preserve">, </w:t>
      </w:r>
      <w:r w:rsidR="00451DAA">
        <w:rPr>
          <w:rFonts w:ascii="Times New Roman" w:hAnsi="Times New Roman" w:cs="Times New Roman"/>
          <w:bCs/>
          <w:sz w:val="24"/>
          <w:szCs w:val="24"/>
          <w:lang w:val="lt-LT"/>
        </w:rPr>
        <w:t xml:space="preserve">D. </w:t>
      </w:r>
      <w:proofErr w:type="spellStart"/>
      <w:r w:rsidR="00451DAA">
        <w:rPr>
          <w:rFonts w:ascii="Times New Roman" w:hAnsi="Times New Roman" w:cs="Times New Roman"/>
          <w:bCs/>
          <w:sz w:val="24"/>
          <w:szCs w:val="24"/>
          <w:lang w:val="lt-LT"/>
        </w:rPr>
        <w:t>Kaupelytės</w:t>
      </w:r>
      <w:proofErr w:type="spellEnd"/>
      <w:r w:rsidRPr="000D37F1">
        <w:rPr>
          <w:rFonts w:ascii="Times New Roman" w:hAnsi="Times New Roman" w:cs="Times New Roman"/>
          <w:bCs/>
          <w:sz w:val="24"/>
          <w:szCs w:val="24"/>
          <w:lang w:val="lt-LT"/>
        </w:rPr>
        <w:t xml:space="preserve"> (2005) yra palūkanų normos, valiutos ir rinkos kainos rizikos. </w:t>
      </w:r>
    </w:p>
    <w:p w:rsidR="00E756EA" w:rsidRDefault="000E4110" w:rsidP="00E756EA">
      <w:pPr>
        <w:spacing w:line="360" w:lineRule="auto"/>
        <w:ind w:firstLine="567"/>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 xml:space="preserve">Anot </w:t>
      </w:r>
      <w:r w:rsidR="00044193">
        <w:rPr>
          <w:rFonts w:ascii="Times New Roman" w:hAnsi="Times New Roman" w:cs="Times New Roman"/>
          <w:sz w:val="24"/>
          <w:szCs w:val="24"/>
          <w:lang w:val="lt-LT"/>
        </w:rPr>
        <w:t xml:space="preserve">J. </w:t>
      </w:r>
      <w:proofErr w:type="spellStart"/>
      <w:r w:rsidR="00044193">
        <w:rPr>
          <w:rFonts w:ascii="Times New Roman" w:hAnsi="Times New Roman" w:cs="Times New Roman"/>
          <w:sz w:val="24"/>
          <w:szCs w:val="24"/>
          <w:lang w:val="lt-LT"/>
        </w:rPr>
        <w:t>Igarytės</w:t>
      </w:r>
      <w:proofErr w:type="spellEnd"/>
      <w:r w:rsidR="00044193">
        <w:rPr>
          <w:rFonts w:ascii="Times New Roman" w:hAnsi="Times New Roman" w:cs="Times New Roman"/>
          <w:sz w:val="24"/>
          <w:szCs w:val="24"/>
          <w:lang w:val="lt-LT"/>
        </w:rPr>
        <w:t xml:space="preserve"> ir J.</w:t>
      </w:r>
      <w:r w:rsidRPr="000D37F1">
        <w:rPr>
          <w:rFonts w:ascii="Times New Roman" w:hAnsi="Times New Roman" w:cs="Times New Roman"/>
          <w:sz w:val="24"/>
          <w:szCs w:val="24"/>
          <w:lang w:val="lt-LT"/>
        </w:rPr>
        <w:t xml:space="preserve"> Ramanausko (2011), p</w:t>
      </w:r>
      <w:r w:rsidR="003A2A9A" w:rsidRPr="000D37F1">
        <w:rPr>
          <w:rFonts w:ascii="Times New Roman" w:hAnsi="Times New Roman" w:cs="Times New Roman"/>
          <w:bCs/>
          <w:sz w:val="24"/>
          <w:szCs w:val="24"/>
          <w:lang w:val="lt-LT"/>
        </w:rPr>
        <w:t>ereinamame etape esančioms</w:t>
      </w:r>
      <w:r w:rsidR="00EE753B" w:rsidRPr="000D37F1">
        <w:rPr>
          <w:rFonts w:ascii="Times New Roman" w:hAnsi="Times New Roman" w:cs="Times New Roman"/>
          <w:bCs/>
          <w:sz w:val="24"/>
          <w:szCs w:val="24"/>
          <w:lang w:val="lt-LT"/>
        </w:rPr>
        <w:t xml:space="preserve"> institucijoms būdinga finansinė</w:t>
      </w:r>
      <w:r w:rsidR="003A2A9A" w:rsidRPr="000D37F1">
        <w:rPr>
          <w:rFonts w:ascii="Times New Roman" w:hAnsi="Times New Roman" w:cs="Times New Roman"/>
          <w:bCs/>
          <w:sz w:val="24"/>
          <w:szCs w:val="24"/>
          <w:lang w:val="lt-LT"/>
        </w:rPr>
        <w:t xml:space="preserve"> rizika, susijusi su </w:t>
      </w:r>
      <w:r w:rsidR="00EE753B" w:rsidRPr="000D37F1">
        <w:rPr>
          <w:rFonts w:ascii="Times New Roman" w:hAnsi="Times New Roman" w:cs="Times New Roman"/>
          <w:bCs/>
          <w:sz w:val="24"/>
          <w:szCs w:val="24"/>
          <w:lang w:val="lt-LT"/>
        </w:rPr>
        <w:t xml:space="preserve">apskaitos </w:t>
      </w:r>
      <w:r w:rsidR="003A2A9A" w:rsidRPr="000D37F1">
        <w:rPr>
          <w:rFonts w:ascii="Times New Roman" w:hAnsi="Times New Roman" w:cs="Times New Roman"/>
          <w:bCs/>
          <w:sz w:val="24"/>
          <w:szCs w:val="24"/>
          <w:lang w:val="lt-LT"/>
        </w:rPr>
        <w:t>neatitikimais, operacine rizika: vidaus sistema ir operacijos, technologijos, netinkamas valdymas ir apgavystės, verslo rizika – teisinė (atsiranda, kai yra tikimybė, kad bus neįmanoma trečią šalį priversti vykdyti sutartinius įsipareigojimus).</w:t>
      </w:r>
      <w:r w:rsidR="00833893">
        <w:rPr>
          <w:rFonts w:ascii="Times New Roman" w:hAnsi="Times New Roman" w:cs="Times New Roman"/>
          <w:bCs/>
          <w:sz w:val="24"/>
          <w:szCs w:val="24"/>
          <w:lang w:val="lt-LT"/>
        </w:rPr>
        <w:t xml:space="preserve"> </w:t>
      </w:r>
      <w:r w:rsidR="003A2A9A" w:rsidRPr="000D37F1">
        <w:rPr>
          <w:rFonts w:ascii="Times New Roman" w:hAnsi="Times New Roman" w:cs="Times New Roman"/>
          <w:bCs/>
          <w:sz w:val="24"/>
          <w:szCs w:val="24"/>
          <w:lang w:val="lt-LT"/>
        </w:rPr>
        <w:t>Prie šių rizikos rūšių Lietuvos Bankas prideda ir reputacijos rizi</w:t>
      </w:r>
      <w:r w:rsidR="00451DAA">
        <w:rPr>
          <w:rFonts w:ascii="Times New Roman" w:hAnsi="Times New Roman" w:cs="Times New Roman"/>
          <w:bCs/>
          <w:sz w:val="24"/>
          <w:szCs w:val="24"/>
          <w:lang w:val="lt-LT"/>
        </w:rPr>
        <w:t>ka</w:t>
      </w:r>
      <w:r w:rsidR="003A2A9A" w:rsidRPr="000D37F1">
        <w:rPr>
          <w:rFonts w:ascii="Times New Roman" w:hAnsi="Times New Roman" w:cs="Times New Roman"/>
          <w:bCs/>
          <w:sz w:val="24"/>
          <w:szCs w:val="24"/>
          <w:lang w:val="lt-LT"/>
        </w:rPr>
        <w:t>, kuri susijusi su kitų rinkos dalyvių pasitikėjimu finansų institucija, suprastėjusi reputacija gali sumažinti jos pelningumą ir rinkos vertę.</w:t>
      </w:r>
      <w:r w:rsidR="006D7496" w:rsidRPr="000D37F1">
        <w:rPr>
          <w:rFonts w:ascii="Times New Roman" w:hAnsi="Times New Roman" w:cs="Times New Roman"/>
          <w:bCs/>
          <w:sz w:val="24"/>
          <w:szCs w:val="24"/>
          <w:lang w:val="lt-LT"/>
        </w:rPr>
        <w:t xml:space="preserve"> </w:t>
      </w:r>
    </w:p>
    <w:p w:rsidR="00AF494E" w:rsidRDefault="000E4110" w:rsidP="00AF494E">
      <w:pPr>
        <w:spacing w:line="360" w:lineRule="auto"/>
        <w:ind w:firstLine="567"/>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Kredito unijų įpareigotos valdyti likvidumo, kredito, kapitalo pakankamumo riziką įgyvendindamos normatyvus. Kredito rizikos valdymui, kredito unijos turi laikytis Kredito unijų paskolų vertinimo taisyklių, kuriose numatomi minimalūs reikalavimai vertinant paskolas ir apskaičiuojant j</w:t>
      </w:r>
      <w:r w:rsidR="007114F6" w:rsidRPr="000D37F1">
        <w:rPr>
          <w:rFonts w:ascii="Times New Roman" w:hAnsi="Times New Roman" w:cs="Times New Roman"/>
          <w:bCs/>
          <w:sz w:val="24"/>
          <w:szCs w:val="24"/>
          <w:lang w:val="lt-LT"/>
        </w:rPr>
        <w:t>o</w:t>
      </w:r>
      <w:r w:rsidR="0025018A">
        <w:rPr>
          <w:rFonts w:ascii="Times New Roman" w:hAnsi="Times New Roman" w:cs="Times New Roman"/>
          <w:bCs/>
          <w:sz w:val="24"/>
          <w:szCs w:val="24"/>
          <w:lang w:val="lt-LT"/>
        </w:rPr>
        <w:t xml:space="preserve">ms specialiuosius </w:t>
      </w:r>
      <w:proofErr w:type="spellStart"/>
      <w:r w:rsidR="0025018A">
        <w:rPr>
          <w:rFonts w:ascii="Times New Roman" w:hAnsi="Times New Roman" w:cs="Times New Roman"/>
          <w:bCs/>
          <w:sz w:val="24"/>
          <w:szCs w:val="24"/>
          <w:lang w:val="lt-LT"/>
        </w:rPr>
        <w:t>atidėjinius</w:t>
      </w:r>
      <w:proofErr w:type="spellEnd"/>
      <w:r w:rsidR="0025018A">
        <w:rPr>
          <w:rFonts w:ascii="Times New Roman" w:hAnsi="Times New Roman" w:cs="Times New Roman"/>
          <w:bCs/>
          <w:sz w:val="24"/>
          <w:szCs w:val="24"/>
          <w:lang w:val="lt-LT"/>
        </w:rPr>
        <w:t>.</w:t>
      </w:r>
      <w:r w:rsidR="00AF494E">
        <w:rPr>
          <w:rFonts w:ascii="Times New Roman" w:hAnsi="Times New Roman" w:cs="Times New Roman"/>
          <w:bCs/>
          <w:sz w:val="24"/>
          <w:szCs w:val="24"/>
          <w:lang w:val="lt-LT"/>
        </w:rPr>
        <w:t xml:space="preserve"> </w:t>
      </w:r>
      <w:r w:rsidR="00AF494E" w:rsidRPr="00AF494E">
        <w:rPr>
          <w:rFonts w:ascii="Times New Roman" w:hAnsi="Times New Roman" w:cs="Times New Roman"/>
          <w:color w:val="000000" w:themeColor="text1"/>
          <w:sz w:val="24"/>
          <w:szCs w:val="24"/>
          <w:lang w:val="lt-LT"/>
        </w:rPr>
        <w:t xml:space="preserve">Pasak, K. </w:t>
      </w:r>
      <w:proofErr w:type="spellStart"/>
      <w:r w:rsidR="00AF494E" w:rsidRPr="00AF494E">
        <w:rPr>
          <w:rFonts w:ascii="Times New Roman" w:hAnsi="Times New Roman" w:cs="Times New Roman"/>
          <w:color w:val="000000" w:themeColor="text1"/>
          <w:sz w:val="24"/>
          <w:szCs w:val="24"/>
          <w:lang w:val="lt-LT"/>
        </w:rPr>
        <w:t>Levišauskaitės</w:t>
      </w:r>
      <w:proofErr w:type="spellEnd"/>
      <w:r w:rsidR="00AF494E" w:rsidRPr="00AF494E">
        <w:rPr>
          <w:rFonts w:ascii="Times New Roman" w:hAnsi="Times New Roman" w:cs="Times New Roman"/>
          <w:color w:val="000000" w:themeColor="text1"/>
          <w:sz w:val="24"/>
          <w:szCs w:val="24"/>
          <w:lang w:val="lt-LT"/>
        </w:rPr>
        <w:t xml:space="preserve"> ir D. </w:t>
      </w:r>
      <w:proofErr w:type="spellStart"/>
      <w:r w:rsidR="00AF494E" w:rsidRPr="00AF494E">
        <w:rPr>
          <w:rFonts w:ascii="Times New Roman" w:hAnsi="Times New Roman" w:cs="Times New Roman"/>
          <w:color w:val="000000" w:themeColor="text1"/>
          <w:sz w:val="24"/>
          <w:szCs w:val="24"/>
          <w:lang w:val="lt-LT"/>
        </w:rPr>
        <w:t>Kaupelytės</w:t>
      </w:r>
      <w:proofErr w:type="spellEnd"/>
      <w:r w:rsidR="00AF494E" w:rsidRPr="00AF494E">
        <w:rPr>
          <w:rFonts w:ascii="Times New Roman" w:hAnsi="Times New Roman" w:cs="Times New Roman"/>
          <w:color w:val="000000" w:themeColor="text1"/>
          <w:sz w:val="24"/>
          <w:szCs w:val="24"/>
          <w:lang w:val="lt-LT"/>
        </w:rPr>
        <w:t xml:space="preserve"> (2005), rizikos valdym</w:t>
      </w:r>
      <w:r w:rsidR="00AF494E">
        <w:rPr>
          <w:rFonts w:ascii="Times New Roman" w:hAnsi="Times New Roman" w:cs="Times New Roman"/>
          <w:color w:val="000000" w:themeColor="text1"/>
          <w:sz w:val="24"/>
          <w:szCs w:val="24"/>
          <w:lang w:val="lt-LT"/>
        </w:rPr>
        <w:t>ui</w:t>
      </w:r>
      <w:r w:rsidR="00AF494E" w:rsidRPr="00AF494E">
        <w:rPr>
          <w:rFonts w:ascii="Times New Roman" w:hAnsi="Times New Roman" w:cs="Times New Roman"/>
          <w:color w:val="000000" w:themeColor="text1"/>
          <w:sz w:val="24"/>
          <w:szCs w:val="24"/>
          <w:lang w:val="lt-LT"/>
        </w:rPr>
        <w:t xml:space="preserve"> kredito unijose tinkamiausi yra šie reikalavimai: kapitalo pakankamumas, likvidumo normatyvas, taip pat paskolų portfelio kokybė yra vienas iš svarbių reikalavimų, tačiau pastarasis nėra tarp oficialių Lietuvos banko nustatytų normatyvų, </w:t>
      </w:r>
      <w:r w:rsidR="00AF494E">
        <w:rPr>
          <w:rFonts w:ascii="Times New Roman" w:hAnsi="Times New Roman" w:cs="Times New Roman"/>
          <w:color w:val="000000" w:themeColor="text1"/>
          <w:sz w:val="24"/>
          <w:szCs w:val="24"/>
          <w:lang w:val="lt-LT"/>
        </w:rPr>
        <w:t>tačiau jis apskaičiuojamas</w:t>
      </w:r>
      <w:r w:rsidR="00AF494E" w:rsidRPr="00AF494E">
        <w:rPr>
          <w:rFonts w:ascii="Times New Roman" w:hAnsi="Times New Roman" w:cs="Times New Roman"/>
          <w:color w:val="000000" w:themeColor="text1"/>
          <w:sz w:val="24"/>
          <w:szCs w:val="24"/>
          <w:lang w:val="lt-LT"/>
        </w:rPr>
        <w:t xml:space="preserve"> kaip </w:t>
      </w:r>
      <w:proofErr w:type="spellStart"/>
      <w:r w:rsidR="00AF494E" w:rsidRPr="00AF494E">
        <w:rPr>
          <w:rFonts w:ascii="Times New Roman" w:hAnsi="Times New Roman" w:cs="Times New Roman"/>
          <w:color w:val="000000" w:themeColor="text1"/>
          <w:sz w:val="24"/>
          <w:szCs w:val="24"/>
          <w:lang w:val="lt-LT"/>
        </w:rPr>
        <w:t>atidėjinių</w:t>
      </w:r>
      <w:proofErr w:type="spellEnd"/>
      <w:r w:rsidR="00AF494E" w:rsidRPr="00AF494E">
        <w:rPr>
          <w:rFonts w:ascii="Times New Roman" w:hAnsi="Times New Roman" w:cs="Times New Roman"/>
          <w:color w:val="000000" w:themeColor="text1"/>
          <w:sz w:val="24"/>
          <w:szCs w:val="24"/>
          <w:lang w:val="lt-LT"/>
        </w:rPr>
        <w:t xml:space="preserve"> ir visų paskolų santykis.</w:t>
      </w:r>
    </w:p>
    <w:p w:rsidR="00BA3765" w:rsidRPr="00776A6B" w:rsidRDefault="00E43230" w:rsidP="00BA3765">
      <w:pPr>
        <w:spacing w:line="360" w:lineRule="auto"/>
        <w:ind w:firstLine="720"/>
        <w:jc w:val="both"/>
        <w:rPr>
          <w:rFonts w:ascii="Times New Roman" w:hAnsi="Times New Roman" w:cs="Times New Roman"/>
          <w:sz w:val="24"/>
          <w:szCs w:val="24"/>
          <w:lang w:val="lt-LT"/>
        </w:rPr>
      </w:pPr>
      <w:r w:rsidRPr="00776A6B">
        <w:rPr>
          <w:rFonts w:ascii="Times New Roman" w:hAnsi="Times New Roman" w:cs="Times New Roman"/>
          <w:sz w:val="24"/>
          <w:szCs w:val="24"/>
          <w:lang w:val="lt-LT"/>
        </w:rPr>
        <w:t xml:space="preserve">Net ir reglamentuojant kredito unijų įsipareigojimus, išlieka rizika, kad teisės aktuose nustatyti reikalavimai nebus įgyvendinti. Lietuvos bankui </w:t>
      </w:r>
      <w:r w:rsidR="00776A6B" w:rsidRPr="00776A6B">
        <w:rPr>
          <w:rFonts w:ascii="Times New Roman" w:hAnsi="Times New Roman" w:cs="Times New Roman"/>
          <w:sz w:val="24"/>
          <w:szCs w:val="24"/>
          <w:lang w:val="lt-LT"/>
        </w:rPr>
        <w:t>atsiranda pagrindas taikyti kredito unijoms poveikio priemones, jeigu nustatomi šie</w:t>
      </w:r>
      <w:r w:rsidRPr="00776A6B">
        <w:rPr>
          <w:rFonts w:ascii="Times New Roman" w:hAnsi="Times New Roman" w:cs="Times New Roman"/>
          <w:sz w:val="24"/>
          <w:szCs w:val="24"/>
          <w:lang w:val="lt-LT"/>
        </w:rPr>
        <w:t xml:space="preserve"> LR kredito unijų įstatyme numatyt</w:t>
      </w:r>
      <w:r w:rsidR="00776A6B" w:rsidRPr="00776A6B">
        <w:rPr>
          <w:rFonts w:ascii="Times New Roman" w:hAnsi="Times New Roman" w:cs="Times New Roman"/>
          <w:sz w:val="24"/>
          <w:szCs w:val="24"/>
          <w:lang w:val="lt-LT"/>
        </w:rPr>
        <w:t>i neatitikimai:</w:t>
      </w:r>
    </w:p>
    <w:p w:rsidR="00BA3765" w:rsidRPr="00776A6B" w:rsidRDefault="00BA3765" w:rsidP="00BA3765">
      <w:pPr>
        <w:pStyle w:val="ListParagraph"/>
        <w:numPr>
          <w:ilvl w:val="0"/>
          <w:numId w:val="23"/>
        </w:numPr>
        <w:spacing w:line="360" w:lineRule="auto"/>
        <w:jc w:val="both"/>
        <w:rPr>
          <w:rFonts w:ascii="Times New Roman" w:hAnsi="Times New Roman" w:cs="Times New Roman"/>
          <w:sz w:val="24"/>
          <w:szCs w:val="24"/>
          <w:lang w:val="lt-LT"/>
        </w:rPr>
      </w:pPr>
      <w:r w:rsidRPr="00776A6B">
        <w:rPr>
          <w:rFonts w:ascii="Times New Roman" w:hAnsi="Times New Roman" w:cs="Times New Roman"/>
          <w:sz w:val="24"/>
          <w:szCs w:val="24"/>
          <w:lang w:val="lt-LT"/>
        </w:rPr>
        <w:lastRenderedPageBreak/>
        <w:t>Nustatytais terminais nepateikiama nustatyta ar pareikalauta informacija arba pateikiama neteisinga informacija;</w:t>
      </w:r>
    </w:p>
    <w:p w:rsidR="00BA3765" w:rsidRPr="00776A6B" w:rsidRDefault="00BA3765" w:rsidP="00BA3765">
      <w:pPr>
        <w:pStyle w:val="ListParagraph"/>
        <w:numPr>
          <w:ilvl w:val="0"/>
          <w:numId w:val="23"/>
        </w:numPr>
        <w:spacing w:line="360" w:lineRule="auto"/>
        <w:jc w:val="both"/>
        <w:rPr>
          <w:rFonts w:ascii="Times New Roman" w:hAnsi="Times New Roman" w:cs="Times New Roman"/>
          <w:sz w:val="24"/>
          <w:szCs w:val="24"/>
          <w:lang w:val="lt-LT"/>
        </w:rPr>
      </w:pPr>
      <w:r w:rsidRPr="00776A6B">
        <w:rPr>
          <w:rFonts w:ascii="Times New Roman" w:hAnsi="Times New Roman" w:cs="Times New Roman"/>
          <w:sz w:val="24"/>
          <w:szCs w:val="24"/>
          <w:lang w:val="lt-LT"/>
        </w:rPr>
        <w:t>Nustatyta tvarka nevykdomi priežiūros institucijos numatyti nurodymai;</w:t>
      </w:r>
    </w:p>
    <w:p w:rsidR="00BA3765" w:rsidRPr="00776A6B" w:rsidRDefault="00BA3765" w:rsidP="00BA3765">
      <w:pPr>
        <w:pStyle w:val="ListParagraph"/>
        <w:numPr>
          <w:ilvl w:val="0"/>
          <w:numId w:val="23"/>
        </w:numPr>
        <w:spacing w:line="360" w:lineRule="auto"/>
        <w:jc w:val="both"/>
        <w:rPr>
          <w:rFonts w:ascii="Times New Roman" w:hAnsi="Times New Roman" w:cs="Times New Roman"/>
          <w:sz w:val="24"/>
          <w:szCs w:val="24"/>
          <w:lang w:val="lt-LT"/>
        </w:rPr>
      </w:pPr>
      <w:r w:rsidRPr="00776A6B">
        <w:rPr>
          <w:rFonts w:ascii="Times New Roman" w:hAnsi="Times New Roman" w:cs="Times New Roman"/>
          <w:sz w:val="24"/>
          <w:szCs w:val="24"/>
          <w:lang w:val="lt-LT"/>
        </w:rPr>
        <w:t>Nebetenkinami reikalavimai, nustatyti leidimo įsteigti kredito uniją ar licencijos išdavimui;</w:t>
      </w:r>
    </w:p>
    <w:p w:rsidR="00BA3765" w:rsidRDefault="00BA3765" w:rsidP="00BA3765">
      <w:pPr>
        <w:pStyle w:val="ListParagraph"/>
        <w:numPr>
          <w:ilvl w:val="0"/>
          <w:numId w:val="23"/>
        </w:numPr>
        <w:spacing w:line="360" w:lineRule="auto"/>
        <w:jc w:val="both"/>
        <w:rPr>
          <w:rFonts w:ascii="Times New Roman" w:hAnsi="Times New Roman" w:cs="Times New Roman"/>
          <w:sz w:val="24"/>
          <w:szCs w:val="24"/>
          <w:lang w:val="lt-LT"/>
        </w:rPr>
      </w:pPr>
      <w:r w:rsidRPr="00776A6B">
        <w:rPr>
          <w:rFonts w:ascii="Times New Roman" w:hAnsi="Times New Roman" w:cs="Times New Roman"/>
          <w:sz w:val="24"/>
          <w:szCs w:val="24"/>
          <w:lang w:val="lt-LT"/>
        </w:rPr>
        <w:t>Pažeidžiami teisės aktų reikalavimai arba iškyla grėsmė, kad dėl kredito unijos veiklos arba finansinės būklės būtų pažeisti visuomenės interesai arba sutriktų Lietuvos kredito unijų sistemos funkcionavimas.</w:t>
      </w:r>
    </w:p>
    <w:p w:rsidR="000B11CC" w:rsidRDefault="00776A6B" w:rsidP="000B11CC">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Lietuvos bankas turi teisę taikyti šias poveikio priemones kredito unijoms: įspėti dė</w:t>
      </w:r>
      <w:r w:rsidR="00FB5BA6">
        <w:rPr>
          <w:rFonts w:ascii="Times New Roman" w:hAnsi="Times New Roman" w:cs="Times New Roman"/>
          <w:sz w:val="24"/>
          <w:szCs w:val="24"/>
          <w:lang w:val="lt-LT"/>
        </w:rPr>
        <w:t>l nurodymų nevykdymo, skirti baudas, laikinai uždrausti teikti vieną ar kelias finansines paslaugas, laikinai arba visam laikui uždrausti vieno ar kelių filialų veiklą, laikinai nušalinti vieną iš kredito unijos vadovų, paskelbti veiklos apribojimą (moratoriumą), laikinai apriboti teisę disponuoti lėšomis, laikomomis CKU bei kitose kredito unijose, ir kitu turtu bei atšaukti išduotą licenciją ar laikinai sustabdyti jos galiojimą.</w:t>
      </w:r>
    </w:p>
    <w:p w:rsidR="006D2813" w:rsidRPr="00C812B4" w:rsidRDefault="000B11CC" w:rsidP="006D2813">
      <w:pPr>
        <w:spacing w:line="360" w:lineRule="auto"/>
        <w:ind w:firstLine="720"/>
        <w:jc w:val="both"/>
        <w:rPr>
          <w:rFonts w:ascii="Times New Roman" w:hAnsi="Times New Roman" w:cs="Times New Roman"/>
          <w:color w:val="FF0000"/>
          <w:sz w:val="24"/>
          <w:szCs w:val="24"/>
          <w:lang w:val="lt-LT"/>
        </w:rPr>
      </w:pPr>
      <w:r>
        <w:rPr>
          <w:rFonts w:ascii="Times New Roman" w:hAnsi="Times New Roman" w:cs="Times New Roman"/>
          <w:kern w:val="0"/>
          <w:sz w:val="24"/>
          <w:szCs w:val="24"/>
          <w:lang w:val="lt-LT"/>
        </w:rPr>
        <w:t>Apibendrinant kredito unijų patiriamą riziką ir jos valdymą, galime teigti, j</w:t>
      </w:r>
      <w:r w:rsidR="00F1330D">
        <w:rPr>
          <w:rFonts w:ascii="Times New Roman" w:hAnsi="Times New Roman" w:cs="Times New Roman"/>
          <w:kern w:val="0"/>
          <w:sz w:val="24"/>
          <w:szCs w:val="24"/>
          <w:lang w:val="lt-LT"/>
        </w:rPr>
        <w:t xml:space="preserve">og kredito unijoms būdingos tos pačios rizikos rūšys, kai ir kitoms kredito įstaigoms. Pastarųjų valdymas atliekamas kiekvienoje kredito unijoje per normatyvų įgyvendinimą, </w:t>
      </w:r>
      <w:proofErr w:type="spellStart"/>
      <w:r w:rsidR="00F1330D">
        <w:rPr>
          <w:rFonts w:ascii="Times New Roman" w:hAnsi="Times New Roman" w:cs="Times New Roman"/>
          <w:kern w:val="0"/>
          <w:sz w:val="24"/>
          <w:szCs w:val="24"/>
          <w:lang w:val="lt-LT"/>
        </w:rPr>
        <w:t>atidėjinių</w:t>
      </w:r>
      <w:proofErr w:type="spellEnd"/>
      <w:r w:rsidR="00F1330D">
        <w:rPr>
          <w:rFonts w:ascii="Times New Roman" w:hAnsi="Times New Roman" w:cs="Times New Roman"/>
          <w:kern w:val="0"/>
          <w:sz w:val="24"/>
          <w:szCs w:val="24"/>
          <w:lang w:val="lt-LT"/>
        </w:rPr>
        <w:t xml:space="preserve"> formavimą, paskolų gavėjų vertinimą ir pan. Tam, kad rizikos valdymas būtų užtikrintas ir atliekamas pagal teisės aktus, priežiūros institucija </w:t>
      </w:r>
      <w:r w:rsidR="00BB5BC3">
        <w:rPr>
          <w:rFonts w:ascii="Times New Roman" w:hAnsi="Times New Roman" w:cs="Times New Roman"/>
          <w:kern w:val="0"/>
          <w:sz w:val="24"/>
          <w:szCs w:val="24"/>
          <w:lang w:val="lt-LT"/>
        </w:rPr>
        <w:t xml:space="preserve">turi teisė </w:t>
      </w:r>
      <w:r w:rsidR="00F1330D">
        <w:rPr>
          <w:rFonts w:ascii="Times New Roman" w:hAnsi="Times New Roman" w:cs="Times New Roman"/>
          <w:kern w:val="0"/>
          <w:sz w:val="24"/>
          <w:szCs w:val="24"/>
          <w:lang w:val="lt-LT"/>
        </w:rPr>
        <w:t>už pažeidimus taik</w:t>
      </w:r>
      <w:r w:rsidR="00BB5BC3">
        <w:rPr>
          <w:rFonts w:ascii="Times New Roman" w:hAnsi="Times New Roman" w:cs="Times New Roman"/>
          <w:kern w:val="0"/>
          <w:sz w:val="24"/>
          <w:szCs w:val="24"/>
          <w:lang w:val="lt-LT"/>
        </w:rPr>
        <w:t>yti</w:t>
      </w:r>
      <w:r w:rsidR="00F1330D">
        <w:rPr>
          <w:rFonts w:ascii="Times New Roman" w:hAnsi="Times New Roman" w:cs="Times New Roman"/>
          <w:kern w:val="0"/>
          <w:sz w:val="24"/>
          <w:szCs w:val="24"/>
          <w:lang w:val="lt-LT"/>
        </w:rPr>
        <w:t xml:space="preserve"> poveikio priemones.</w:t>
      </w:r>
    </w:p>
    <w:p w:rsidR="00BA23C0" w:rsidRDefault="00BA23C0" w:rsidP="00FF0C88">
      <w:pPr>
        <w:spacing w:line="360" w:lineRule="auto"/>
        <w:jc w:val="both"/>
        <w:rPr>
          <w:rFonts w:ascii="Times New Roman" w:hAnsi="Times New Roman" w:cs="Times New Roman"/>
          <w:bCs/>
          <w:color w:val="FF0000"/>
          <w:sz w:val="24"/>
          <w:szCs w:val="24"/>
          <w:lang w:val="lt-LT"/>
        </w:rPr>
      </w:pPr>
    </w:p>
    <w:p w:rsidR="007114F6" w:rsidRPr="00A2704E" w:rsidRDefault="00DA7D88" w:rsidP="00DA7D88">
      <w:pPr>
        <w:pStyle w:val="Heading2"/>
        <w:jc w:val="center"/>
        <w:rPr>
          <w:rFonts w:ascii="Times New Roman" w:hAnsi="Times New Roman" w:cs="Times New Roman"/>
          <w:color w:val="auto"/>
          <w:sz w:val="24"/>
          <w:szCs w:val="24"/>
          <w:lang w:val="lt-LT"/>
        </w:rPr>
      </w:pPr>
      <w:bookmarkStart w:id="26" w:name="_Toc384567298"/>
      <w:bookmarkStart w:id="27" w:name="_Toc384570735"/>
      <w:r w:rsidRPr="00A11EBE">
        <w:rPr>
          <w:rFonts w:ascii="Times New Roman" w:hAnsi="Times New Roman" w:cs="Times New Roman"/>
          <w:bCs w:val="0"/>
          <w:color w:val="auto"/>
          <w:sz w:val="24"/>
          <w:szCs w:val="24"/>
          <w:lang w:val="lt-LT"/>
        </w:rPr>
        <w:t>1.</w:t>
      </w:r>
      <w:r>
        <w:rPr>
          <w:rFonts w:ascii="Times New Roman" w:hAnsi="Times New Roman" w:cs="Times New Roman"/>
          <w:color w:val="auto"/>
          <w:sz w:val="24"/>
          <w:szCs w:val="24"/>
          <w:lang w:val="lt-LT"/>
        </w:rPr>
        <w:t xml:space="preserve">4. </w:t>
      </w:r>
      <w:r w:rsidR="007114F6" w:rsidRPr="00A2704E">
        <w:rPr>
          <w:rFonts w:ascii="Times New Roman" w:hAnsi="Times New Roman" w:cs="Times New Roman"/>
          <w:color w:val="auto"/>
          <w:sz w:val="24"/>
          <w:szCs w:val="24"/>
          <w:lang w:val="lt-LT"/>
        </w:rPr>
        <w:t>KREDITO UNIJŲ VEIKLOS RIZIKINGUMAS</w:t>
      </w:r>
      <w:bookmarkEnd w:id="26"/>
      <w:bookmarkEnd w:id="27"/>
    </w:p>
    <w:p w:rsidR="007114F6" w:rsidRPr="000D37F1" w:rsidRDefault="007114F6" w:rsidP="007114F6">
      <w:pPr>
        <w:pStyle w:val="ListParagraph"/>
        <w:spacing w:line="360" w:lineRule="auto"/>
        <w:ind w:left="1080"/>
        <w:rPr>
          <w:rFonts w:ascii="Times New Roman" w:hAnsi="Times New Roman" w:cs="Times New Roman"/>
          <w:b/>
          <w:bCs/>
          <w:sz w:val="24"/>
          <w:szCs w:val="24"/>
          <w:lang w:val="lt-LT"/>
        </w:rPr>
      </w:pPr>
    </w:p>
    <w:p w:rsidR="00BB5BC3" w:rsidRPr="008A16B7" w:rsidRDefault="00A11EBE" w:rsidP="00BB5BC3">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Pastaraisiais metais įvykę pokyčiai kredito unijų sistemoje bei vykdant jų priežiūrą rodo pasikeitusį kredito unijų veiklos rizikingumą. Padidėjęs kredito unijų rizikingumas dar nėra  galutinis ir negrįžtamas įvykis, kaip bankrotas, tačia</w:t>
      </w:r>
      <w:r w:rsidR="008A16B7">
        <w:rPr>
          <w:rFonts w:ascii="Times New Roman" w:hAnsi="Times New Roman" w:cs="Times New Roman"/>
          <w:sz w:val="24"/>
          <w:szCs w:val="24"/>
          <w:lang w:val="lt-LT"/>
        </w:rPr>
        <w:t xml:space="preserve">u tam tikras pavojaus signalas. </w:t>
      </w:r>
      <w:r w:rsidR="00BB5BC3">
        <w:rPr>
          <w:rFonts w:ascii="Times New Roman" w:hAnsi="Times New Roman" w:cs="Times New Roman"/>
          <w:sz w:val="24"/>
          <w:szCs w:val="24"/>
          <w:lang w:val="lt-LT"/>
        </w:rPr>
        <w:t>Kredito unijų rizikingumas galėtų būti kiekybiškai įvertintas  per Lietuvos banko nustatytų normatyvų laikymąsi. Taip pat rizikingumą galima įvertinti turto augimo procentinę išraišką palyginus su šalies BVP augimu bei komercinių bankų augimo tempais.</w:t>
      </w:r>
    </w:p>
    <w:p w:rsidR="008A16B7" w:rsidRDefault="008A16B7" w:rsidP="006F49EC">
      <w:pPr>
        <w:spacing w:line="360" w:lineRule="auto"/>
        <w:ind w:firstLine="567"/>
        <w:jc w:val="both"/>
        <w:rPr>
          <w:rFonts w:ascii="Times New Roman" w:hAnsi="Times New Roman" w:cs="Times New Roman"/>
          <w:sz w:val="24"/>
          <w:szCs w:val="24"/>
          <w:lang w:val="lt-LT"/>
        </w:rPr>
      </w:pPr>
    </w:p>
    <w:p w:rsidR="006F49EC" w:rsidRPr="000D37F1" w:rsidRDefault="008A16B7" w:rsidP="006F49EC">
      <w:pPr>
        <w:spacing w:line="360" w:lineRule="auto"/>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lastRenderedPageBreak/>
        <w:t>Analizuojant Lietuvos kredito unijų sistemos vystymąsi, matome, jog kredito unijų skaičius</w:t>
      </w:r>
      <w:r w:rsidR="006F49EC" w:rsidRPr="000D37F1">
        <w:rPr>
          <w:rFonts w:ascii="Times New Roman" w:hAnsi="Times New Roman" w:cs="Times New Roman"/>
          <w:sz w:val="24"/>
          <w:szCs w:val="24"/>
          <w:lang w:val="lt-LT"/>
        </w:rPr>
        <w:t xml:space="preserve"> per pastaruosius 14 metų padidėjo dvigubai (2014 m. vasario 1 d. Lietuvoje veikė 74 kredito unijos), o klientų ratas išsiplėtė beveik 25 kartus. </w:t>
      </w:r>
    </w:p>
    <w:p w:rsidR="00981B62" w:rsidRPr="000D37F1" w:rsidRDefault="0052531A" w:rsidP="00981B62">
      <w:pPr>
        <w:spacing w:line="360" w:lineRule="auto"/>
        <w:ind w:firstLine="567"/>
        <w:jc w:val="center"/>
        <w:rPr>
          <w:rFonts w:ascii="Times New Roman" w:hAnsi="Times New Roman" w:cs="Times New Roman"/>
          <w:color w:val="FF0000"/>
          <w:sz w:val="24"/>
          <w:szCs w:val="24"/>
          <w:lang w:val="lt-LT"/>
        </w:rPr>
      </w:pPr>
      <w:r w:rsidRPr="000D37F1">
        <w:rPr>
          <w:rFonts w:ascii="Times New Roman" w:hAnsi="Times New Roman" w:cs="Times New Roman"/>
          <w:noProof/>
        </w:rPr>
        <w:drawing>
          <wp:inline distT="0" distB="0" distL="0" distR="0" wp14:anchorId="117D68BA" wp14:editId="132753C8">
            <wp:extent cx="5450774" cy="204255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1A90" w:rsidRPr="00734657" w:rsidRDefault="00981B62" w:rsidP="00734657">
      <w:pPr>
        <w:pStyle w:val="Heading1"/>
        <w:jc w:val="center"/>
        <w:rPr>
          <w:rFonts w:ascii="Times New Roman" w:hAnsi="Times New Roman" w:cs="Times New Roman"/>
          <w:sz w:val="24"/>
          <w:szCs w:val="24"/>
        </w:rPr>
      </w:pPr>
      <w:bookmarkStart w:id="28" w:name="_Toc383782449"/>
      <w:bookmarkStart w:id="29" w:name="_Toc383782869"/>
      <w:bookmarkStart w:id="30" w:name="_Toc383782943"/>
      <w:bookmarkStart w:id="31" w:name="_Toc383783628"/>
      <w:bookmarkStart w:id="32" w:name="_Toc383784087"/>
      <w:bookmarkStart w:id="33" w:name="_Toc384567299"/>
      <w:bookmarkStart w:id="34" w:name="_Toc384570736"/>
      <w:r w:rsidRPr="00734657">
        <w:rPr>
          <w:rFonts w:ascii="Times New Roman" w:hAnsi="Times New Roman" w:cs="Times New Roman"/>
          <w:sz w:val="24"/>
          <w:szCs w:val="24"/>
        </w:rPr>
        <w:t xml:space="preserve">1 pav. Kredito unijų </w:t>
      </w:r>
      <w:r w:rsidR="0052531A" w:rsidRPr="00734657">
        <w:rPr>
          <w:rFonts w:ascii="Times New Roman" w:hAnsi="Times New Roman" w:cs="Times New Roman"/>
          <w:sz w:val="24"/>
          <w:szCs w:val="24"/>
        </w:rPr>
        <w:t>ir narių skaičiaus pokytis lyginant s</w:t>
      </w:r>
      <w:r w:rsidR="00AA6F3F">
        <w:rPr>
          <w:rFonts w:ascii="Times New Roman" w:hAnsi="Times New Roman" w:cs="Times New Roman"/>
          <w:sz w:val="24"/>
          <w:szCs w:val="24"/>
        </w:rPr>
        <w:t>u praėjusiu laikotarpiu, % (2001</w:t>
      </w:r>
      <w:r w:rsidR="0052531A" w:rsidRPr="00734657">
        <w:rPr>
          <w:rFonts w:ascii="Times New Roman" w:hAnsi="Times New Roman" w:cs="Times New Roman"/>
          <w:sz w:val="24"/>
          <w:szCs w:val="24"/>
        </w:rPr>
        <w:t>-2013</w:t>
      </w:r>
      <w:r w:rsidR="007A39F9" w:rsidRPr="00734657">
        <w:rPr>
          <w:rFonts w:ascii="Times New Roman" w:hAnsi="Times New Roman" w:cs="Times New Roman"/>
          <w:sz w:val="24"/>
          <w:szCs w:val="24"/>
        </w:rPr>
        <w:t>m.)</w:t>
      </w:r>
      <w:bookmarkEnd w:id="28"/>
      <w:bookmarkEnd w:id="29"/>
      <w:bookmarkEnd w:id="30"/>
      <w:bookmarkEnd w:id="31"/>
      <w:bookmarkEnd w:id="32"/>
      <w:bookmarkEnd w:id="33"/>
      <w:bookmarkEnd w:id="34"/>
    </w:p>
    <w:p w:rsidR="00DC1A90" w:rsidRPr="000D37F1" w:rsidRDefault="00741150" w:rsidP="00981B62">
      <w:pPr>
        <w:spacing w:line="360" w:lineRule="auto"/>
        <w:ind w:firstLine="562"/>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Didžiausias tiek pačių kredito unijų, tiek jos narių skaičiaus augimas matomas 2001-2004 metais, kai buvo pertvarkomi komerciniai bankai ir mažinant veiklos kaštus, buvo uždaromi bankų skyriai mažesniuose miesteliuose. Po šio periodo, kredito unijų sektoriaus augimas sulėtėjo. </w:t>
      </w:r>
      <w:r w:rsidR="008D452F" w:rsidRPr="000D37F1">
        <w:rPr>
          <w:rFonts w:ascii="Times New Roman" w:hAnsi="Times New Roman" w:cs="Times New Roman"/>
          <w:sz w:val="24"/>
          <w:szCs w:val="24"/>
          <w:lang w:val="lt-LT"/>
        </w:rPr>
        <w:t>2009-2013 metais matoma</w:t>
      </w:r>
      <w:r w:rsidRPr="000D37F1">
        <w:rPr>
          <w:rFonts w:ascii="Times New Roman" w:hAnsi="Times New Roman" w:cs="Times New Roman"/>
          <w:sz w:val="24"/>
          <w:szCs w:val="24"/>
          <w:lang w:val="lt-LT"/>
        </w:rPr>
        <w:t xml:space="preserve"> ženkliai mažesnė plėtra, o 2013 metais kredito unijų skaičius netgi sumažėjo. </w:t>
      </w:r>
      <w:r w:rsidR="0063757B">
        <w:rPr>
          <w:rFonts w:ascii="Times New Roman" w:hAnsi="Times New Roman" w:cs="Times New Roman"/>
          <w:sz w:val="24"/>
          <w:szCs w:val="24"/>
          <w:lang w:val="lt-LT"/>
        </w:rPr>
        <w:t xml:space="preserve">Kredito unijų narių skaičiaus augimo lėtėjimą galima paaiškinti pasidėjusiu nepasitikėjimu kredito unijomis dėl keleto jų bankrotų bei už indėlius mokamų palūkanų sumažėjimu, atitinkamai joms mažėjant visoje rinkoje. Kredito unijų skaičiaus kitimą lėmė sugriežtinta Lietuvos banko priežiūra, t.y. neišduotas leidimas steigti kredito uniją bei </w:t>
      </w:r>
      <w:r w:rsidR="00981B62" w:rsidRPr="000D37F1">
        <w:rPr>
          <w:rFonts w:ascii="Times New Roman" w:hAnsi="Times New Roman" w:cs="Times New Roman"/>
          <w:sz w:val="24"/>
          <w:szCs w:val="24"/>
          <w:lang w:val="lt-LT"/>
        </w:rPr>
        <w:t>panaikintos licencijos 4 kredito unijoms</w:t>
      </w:r>
      <w:r w:rsidR="00FE6CC1" w:rsidRPr="000D37F1">
        <w:rPr>
          <w:rFonts w:ascii="Times New Roman" w:hAnsi="Times New Roman" w:cs="Times New Roman"/>
          <w:sz w:val="24"/>
          <w:szCs w:val="24"/>
          <w:lang w:val="lt-LT"/>
        </w:rPr>
        <w:t xml:space="preserve"> (2014 metais bankrutavusi kredito unija buvo didžiausia Lietuvoje ir jos turtas 2013 metais  sudarė beveik 16 %  viso kredito unijų turto Lietuvoje).</w:t>
      </w:r>
    </w:p>
    <w:p w:rsidR="00BB5BC3" w:rsidRPr="000D37F1" w:rsidRDefault="00981B62" w:rsidP="00BB5BC3">
      <w:pPr>
        <w:spacing w:line="360" w:lineRule="auto"/>
        <w:ind w:firstLine="562"/>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Sparčią kredito unijų plėtrą 2011 metais galėjo lemti rinkos lūkesčių pagerėjimas po pasaulinės finansų krizės (2008-2010 m.), kurios metu kredito unijų skaičius </w:t>
      </w:r>
      <w:r w:rsidR="00A67DEA" w:rsidRPr="000D37F1">
        <w:rPr>
          <w:rFonts w:ascii="Times New Roman" w:hAnsi="Times New Roman" w:cs="Times New Roman"/>
          <w:sz w:val="24"/>
          <w:szCs w:val="24"/>
          <w:lang w:val="lt-LT"/>
        </w:rPr>
        <w:t>išliko stabilus</w:t>
      </w:r>
      <w:r w:rsidR="008A16B7">
        <w:rPr>
          <w:rFonts w:ascii="Times New Roman" w:hAnsi="Times New Roman" w:cs="Times New Roman"/>
          <w:sz w:val="24"/>
          <w:szCs w:val="24"/>
          <w:lang w:val="lt-LT"/>
        </w:rPr>
        <w:t>, o narių skaičius augo.</w:t>
      </w:r>
      <w:r w:rsidRPr="000D37F1">
        <w:rPr>
          <w:rFonts w:ascii="Times New Roman" w:hAnsi="Times New Roman" w:cs="Times New Roman"/>
          <w:sz w:val="24"/>
          <w:szCs w:val="24"/>
          <w:lang w:val="lt-LT"/>
        </w:rPr>
        <w:t xml:space="preserve"> Taip pat kredito unijų plėtrai</w:t>
      </w:r>
      <w:r w:rsidR="008A16B7">
        <w:rPr>
          <w:rFonts w:ascii="Times New Roman" w:hAnsi="Times New Roman" w:cs="Times New Roman"/>
          <w:sz w:val="24"/>
          <w:szCs w:val="24"/>
          <w:lang w:val="lt-LT"/>
        </w:rPr>
        <w:t xml:space="preserve"> bei narių skaičiaus didėjimui</w:t>
      </w:r>
      <w:r w:rsidRPr="000D37F1">
        <w:rPr>
          <w:rFonts w:ascii="Times New Roman" w:hAnsi="Times New Roman" w:cs="Times New Roman"/>
          <w:sz w:val="24"/>
          <w:szCs w:val="24"/>
          <w:lang w:val="lt-LT"/>
        </w:rPr>
        <w:t xml:space="preserve"> turėjo įtakos komercinių bankų paskolų išdavimo </w:t>
      </w:r>
      <w:r w:rsidR="007A39F9" w:rsidRPr="000D37F1">
        <w:rPr>
          <w:rFonts w:ascii="Times New Roman" w:hAnsi="Times New Roman" w:cs="Times New Roman"/>
          <w:sz w:val="24"/>
          <w:szCs w:val="24"/>
          <w:lang w:val="lt-LT"/>
        </w:rPr>
        <w:t xml:space="preserve">tvarkos </w:t>
      </w:r>
      <w:r w:rsidRPr="000D37F1">
        <w:rPr>
          <w:rFonts w:ascii="Times New Roman" w:hAnsi="Times New Roman" w:cs="Times New Roman"/>
          <w:sz w:val="24"/>
          <w:szCs w:val="24"/>
          <w:lang w:val="lt-LT"/>
        </w:rPr>
        <w:t>sugriežtinimas</w:t>
      </w:r>
      <w:r w:rsidR="00A67DEA" w:rsidRPr="000D37F1">
        <w:rPr>
          <w:rFonts w:ascii="Times New Roman" w:hAnsi="Times New Roman" w:cs="Times New Roman"/>
          <w:sz w:val="24"/>
          <w:szCs w:val="24"/>
          <w:lang w:val="lt-LT"/>
        </w:rPr>
        <w:t xml:space="preserve"> pasaulinės finansų krizės laikotarpiu</w:t>
      </w:r>
      <w:r w:rsidRPr="000D37F1">
        <w:rPr>
          <w:rFonts w:ascii="Times New Roman" w:hAnsi="Times New Roman" w:cs="Times New Roman"/>
          <w:sz w:val="24"/>
          <w:szCs w:val="24"/>
          <w:lang w:val="lt-LT"/>
        </w:rPr>
        <w:t xml:space="preserve">, taip aukštomis palūkanų normomis pasižyminčios kredito unijos tapo patrauklesnės galimiems skolininkams. </w:t>
      </w:r>
    </w:p>
    <w:p w:rsidR="007A39F9" w:rsidRPr="000D37F1" w:rsidRDefault="00A67DEA" w:rsidP="007E756B">
      <w:pPr>
        <w:spacing w:line="360" w:lineRule="auto"/>
        <w:ind w:firstLine="562"/>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lastRenderedPageBreak/>
        <w:t>Itin spartų kredito unijų augimą rodo ir jų turto augimo tempai.</w:t>
      </w:r>
      <w:r w:rsidR="0002409C" w:rsidRPr="000D37F1">
        <w:rPr>
          <w:rFonts w:ascii="Times New Roman" w:hAnsi="Times New Roman" w:cs="Times New Roman"/>
          <w:sz w:val="24"/>
          <w:szCs w:val="24"/>
          <w:lang w:val="lt-LT"/>
        </w:rPr>
        <w:t xml:space="preserve"> Lyginant su praėjusiu laikotarpiu, kredito unijų turtas 2010 m. padidėjo 36,86 %, 2011 m – 27,54 %, 2012 m. </w:t>
      </w:r>
      <w:r w:rsidR="007E756B" w:rsidRPr="000D37F1">
        <w:rPr>
          <w:rFonts w:ascii="Times New Roman" w:hAnsi="Times New Roman" w:cs="Times New Roman"/>
          <w:sz w:val="24"/>
          <w:szCs w:val="24"/>
          <w:lang w:val="lt-LT"/>
        </w:rPr>
        <w:t xml:space="preserve">–26,24 </w:t>
      </w:r>
      <w:r w:rsidR="00585224" w:rsidRPr="000D37F1">
        <w:rPr>
          <w:rFonts w:ascii="Times New Roman" w:hAnsi="Times New Roman" w:cs="Times New Roman"/>
          <w:sz w:val="24"/>
          <w:szCs w:val="24"/>
          <w:lang w:val="lt-LT"/>
        </w:rPr>
        <w:t>%, 2013 m. – 4,30 %, kai tuo pačiu metu šalies BVP didėjo 1,33 – 6 proc.</w:t>
      </w:r>
      <w:r w:rsidR="007D158A">
        <w:rPr>
          <w:rFonts w:ascii="Times New Roman" w:hAnsi="Times New Roman" w:cs="Times New Roman"/>
          <w:sz w:val="24"/>
          <w:szCs w:val="24"/>
          <w:lang w:val="lt-LT"/>
        </w:rPr>
        <w:t xml:space="preserve">, o šalyje veikiančių komercinių bankų turtas analizuojamu laikotarpiu kito nuo -3 proc. sumažėjimo iki 6,6 proc. augimo. </w:t>
      </w:r>
      <w:r w:rsidRPr="000D37F1">
        <w:rPr>
          <w:rFonts w:ascii="Times New Roman" w:hAnsi="Times New Roman" w:cs="Times New Roman"/>
          <w:sz w:val="24"/>
          <w:szCs w:val="24"/>
          <w:lang w:val="lt-LT"/>
        </w:rPr>
        <w:t xml:space="preserve">Taigi </w:t>
      </w:r>
      <w:r w:rsidR="007D158A">
        <w:rPr>
          <w:rFonts w:ascii="Times New Roman" w:hAnsi="Times New Roman" w:cs="Times New Roman"/>
          <w:sz w:val="24"/>
          <w:szCs w:val="24"/>
          <w:lang w:val="lt-LT"/>
        </w:rPr>
        <w:t xml:space="preserve">lyginant </w:t>
      </w:r>
      <w:r w:rsidR="007E756B" w:rsidRPr="000D37F1">
        <w:rPr>
          <w:rFonts w:ascii="Times New Roman" w:hAnsi="Times New Roman" w:cs="Times New Roman"/>
          <w:sz w:val="24"/>
          <w:szCs w:val="24"/>
          <w:lang w:val="lt-LT"/>
        </w:rPr>
        <w:t xml:space="preserve">kredito unijų </w:t>
      </w:r>
      <w:r w:rsidR="007D158A">
        <w:rPr>
          <w:rFonts w:ascii="Times New Roman" w:hAnsi="Times New Roman" w:cs="Times New Roman"/>
          <w:sz w:val="24"/>
          <w:szCs w:val="24"/>
          <w:lang w:val="lt-LT"/>
        </w:rPr>
        <w:t xml:space="preserve">turto augimą su šalies BVP ir komercinių bankų turto augimu, matomas ženkliai didesnis </w:t>
      </w:r>
      <w:r w:rsidR="007E756B" w:rsidRPr="000D37F1">
        <w:rPr>
          <w:rFonts w:ascii="Times New Roman" w:hAnsi="Times New Roman" w:cs="Times New Roman"/>
          <w:sz w:val="24"/>
          <w:szCs w:val="24"/>
          <w:lang w:val="lt-LT"/>
        </w:rPr>
        <w:t>augimas</w:t>
      </w:r>
      <w:r w:rsidR="007D158A">
        <w:rPr>
          <w:rFonts w:ascii="Times New Roman" w:hAnsi="Times New Roman" w:cs="Times New Roman"/>
          <w:sz w:val="24"/>
          <w:szCs w:val="24"/>
          <w:lang w:val="lt-LT"/>
        </w:rPr>
        <w:t>, kuris</w:t>
      </w:r>
      <w:r w:rsidR="007E756B" w:rsidRPr="000D37F1">
        <w:rPr>
          <w:rFonts w:ascii="Times New Roman" w:hAnsi="Times New Roman" w:cs="Times New Roman"/>
          <w:sz w:val="24"/>
          <w:szCs w:val="24"/>
          <w:lang w:val="lt-LT"/>
        </w:rPr>
        <w:t xml:space="preserve"> </w:t>
      </w:r>
      <w:r w:rsidR="004D6609">
        <w:rPr>
          <w:rFonts w:ascii="Times New Roman" w:hAnsi="Times New Roman" w:cs="Times New Roman"/>
          <w:sz w:val="24"/>
          <w:szCs w:val="24"/>
          <w:lang w:val="lt-LT"/>
        </w:rPr>
        <w:t xml:space="preserve">tik 2013 metais sulėtėjo. </w:t>
      </w:r>
    </w:p>
    <w:p w:rsidR="00262873" w:rsidRPr="000D37F1" w:rsidRDefault="007B692E" w:rsidP="007B692E">
      <w:pPr>
        <w:spacing w:line="360" w:lineRule="auto"/>
        <w:ind w:firstLine="562"/>
        <w:jc w:val="center"/>
        <w:rPr>
          <w:rFonts w:ascii="Times New Roman" w:hAnsi="Times New Roman" w:cs="Times New Roman"/>
          <w:sz w:val="24"/>
          <w:szCs w:val="24"/>
          <w:lang w:val="lt-LT"/>
        </w:rPr>
      </w:pPr>
      <w:r w:rsidRPr="000D37F1">
        <w:rPr>
          <w:rFonts w:ascii="Times New Roman" w:hAnsi="Times New Roman" w:cs="Times New Roman"/>
          <w:noProof/>
        </w:rPr>
        <w:drawing>
          <wp:inline distT="0" distB="0" distL="0" distR="0" wp14:anchorId="66C5D993" wp14:editId="4F38C5E7">
            <wp:extent cx="5431809" cy="2456597"/>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65C3" w:rsidRPr="00734657" w:rsidRDefault="00262873" w:rsidP="00734657">
      <w:pPr>
        <w:pStyle w:val="Heading1"/>
        <w:jc w:val="center"/>
        <w:rPr>
          <w:rFonts w:ascii="Times New Roman" w:hAnsi="Times New Roman" w:cs="Times New Roman"/>
          <w:sz w:val="24"/>
          <w:szCs w:val="24"/>
        </w:rPr>
      </w:pPr>
      <w:bookmarkStart w:id="35" w:name="_Toc383782450"/>
      <w:bookmarkStart w:id="36" w:name="_Toc383782870"/>
      <w:bookmarkStart w:id="37" w:name="_Toc383782944"/>
      <w:bookmarkStart w:id="38" w:name="_Toc383783629"/>
      <w:bookmarkStart w:id="39" w:name="_Toc383784088"/>
      <w:bookmarkStart w:id="40" w:name="_Toc384567300"/>
      <w:bookmarkStart w:id="41" w:name="_Toc384570737"/>
      <w:r w:rsidRPr="00734657">
        <w:rPr>
          <w:rFonts w:ascii="Times New Roman" w:hAnsi="Times New Roman" w:cs="Times New Roman"/>
          <w:sz w:val="24"/>
          <w:szCs w:val="24"/>
        </w:rPr>
        <w:t>2 pav. Kredito unijų indėlių ir suteiktų paskolų</w:t>
      </w:r>
      <w:r w:rsidR="007B692E" w:rsidRPr="00734657">
        <w:rPr>
          <w:rFonts w:ascii="Times New Roman" w:hAnsi="Times New Roman" w:cs="Times New Roman"/>
          <w:sz w:val="24"/>
          <w:szCs w:val="24"/>
        </w:rPr>
        <w:t xml:space="preserve"> ir investicijų į vertybinius popierius</w:t>
      </w:r>
      <w:r w:rsidRPr="00734657">
        <w:rPr>
          <w:rFonts w:ascii="Times New Roman" w:hAnsi="Times New Roman" w:cs="Times New Roman"/>
          <w:sz w:val="24"/>
          <w:szCs w:val="24"/>
        </w:rPr>
        <w:t xml:space="preserve"> palyginimas</w:t>
      </w:r>
      <w:r w:rsidR="00E365C3" w:rsidRPr="00734657">
        <w:rPr>
          <w:rFonts w:ascii="Times New Roman" w:hAnsi="Times New Roman" w:cs="Times New Roman"/>
          <w:sz w:val="24"/>
          <w:szCs w:val="24"/>
        </w:rPr>
        <w:t>, tūkst. Lt (</w:t>
      </w:r>
      <w:r w:rsidRPr="00734657">
        <w:rPr>
          <w:rFonts w:ascii="Times New Roman" w:hAnsi="Times New Roman" w:cs="Times New Roman"/>
          <w:sz w:val="24"/>
          <w:szCs w:val="24"/>
        </w:rPr>
        <w:t xml:space="preserve">2009-2013 </w:t>
      </w:r>
      <w:r w:rsidR="00E365C3" w:rsidRPr="00734657">
        <w:rPr>
          <w:rFonts w:ascii="Times New Roman" w:hAnsi="Times New Roman" w:cs="Times New Roman"/>
          <w:sz w:val="24"/>
          <w:szCs w:val="24"/>
        </w:rPr>
        <w:t>m.)</w:t>
      </w:r>
      <w:bookmarkEnd w:id="35"/>
      <w:bookmarkEnd w:id="36"/>
      <w:bookmarkEnd w:id="37"/>
      <w:bookmarkEnd w:id="38"/>
      <w:bookmarkEnd w:id="39"/>
      <w:bookmarkEnd w:id="40"/>
      <w:bookmarkEnd w:id="41"/>
    </w:p>
    <w:p w:rsidR="00E365C3" w:rsidRPr="000D37F1" w:rsidRDefault="00E365C3" w:rsidP="00E365C3">
      <w:pPr>
        <w:rPr>
          <w:lang w:val="lt-LT" w:eastAsia="zh-CN"/>
        </w:rPr>
      </w:pPr>
    </w:p>
    <w:p w:rsidR="00DC1A90" w:rsidRPr="000D37F1" w:rsidRDefault="00BF5CE3" w:rsidP="00F32B93">
      <w:pPr>
        <w:spacing w:line="360" w:lineRule="auto"/>
        <w:ind w:firstLine="720"/>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 xml:space="preserve">Dvi pagrindinės ir didžiausios kredito unijų turto klasės yra suteiktos paskolos ir investicijos į vertybinius popierius, o tam lėšos gaunamos surinkus indėlius, kurie yra kredito unijos įsipareigojimais. </w:t>
      </w:r>
      <w:r w:rsidR="007B692E" w:rsidRPr="000D37F1">
        <w:rPr>
          <w:rFonts w:ascii="Times New Roman" w:hAnsi="Times New Roman" w:cs="Times New Roman"/>
          <w:bCs/>
          <w:sz w:val="24"/>
          <w:szCs w:val="24"/>
          <w:lang w:val="lt-LT"/>
        </w:rPr>
        <w:t>Remiantis L</w:t>
      </w:r>
      <w:r w:rsidR="008205F1" w:rsidRPr="000D37F1">
        <w:rPr>
          <w:rFonts w:ascii="Times New Roman" w:hAnsi="Times New Roman" w:cs="Times New Roman"/>
          <w:bCs/>
          <w:sz w:val="24"/>
          <w:szCs w:val="24"/>
          <w:lang w:val="lt-LT"/>
        </w:rPr>
        <w:t>ietuvos Banko duomenimis, pastaraisiais metais matoma besikeičianti</w:t>
      </w:r>
      <w:r w:rsidR="007B692E" w:rsidRPr="000D37F1">
        <w:rPr>
          <w:rFonts w:ascii="Times New Roman" w:hAnsi="Times New Roman" w:cs="Times New Roman"/>
          <w:bCs/>
          <w:sz w:val="24"/>
          <w:szCs w:val="24"/>
          <w:lang w:val="lt-LT"/>
        </w:rPr>
        <w:t xml:space="preserve"> kredito unijų veiklos </w:t>
      </w:r>
      <w:r w:rsidR="008205F1" w:rsidRPr="000D37F1">
        <w:rPr>
          <w:rFonts w:ascii="Times New Roman" w:hAnsi="Times New Roman" w:cs="Times New Roman"/>
          <w:bCs/>
          <w:sz w:val="24"/>
          <w:szCs w:val="24"/>
          <w:lang w:val="lt-LT"/>
        </w:rPr>
        <w:t>kryptis (2 pav.). Surinkti i</w:t>
      </w:r>
      <w:r w:rsidR="007B692E" w:rsidRPr="000D37F1">
        <w:rPr>
          <w:rFonts w:ascii="Times New Roman" w:hAnsi="Times New Roman" w:cs="Times New Roman"/>
          <w:bCs/>
          <w:sz w:val="24"/>
          <w:szCs w:val="24"/>
          <w:lang w:val="lt-LT"/>
        </w:rPr>
        <w:t xml:space="preserve">ndėliai per paskutinius 5 kredito unijų Lietuvoje veiklos metus išaugo daugiau nei 2 kartus, </w:t>
      </w:r>
      <w:r w:rsidR="008205F1" w:rsidRPr="000D37F1">
        <w:rPr>
          <w:rFonts w:ascii="Times New Roman" w:hAnsi="Times New Roman" w:cs="Times New Roman"/>
          <w:bCs/>
          <w:sz w:val="24"/>
          <w:szCs w:val="24"/>
          <w:lang w:val="lt-LT"/>
        </w:rPr>
        <w:t xml:space="preserve">o </w:t>
      </w:r>
      <w:r w:rsidR="007B692E" w:rsidRPr="000D37F1">
        <w:rPr>
          <w:rFonts w:ascii="Times New Roman" w:hAnsi="Times New Roman" w:cs="Times New Roman"/>
          <w:bCs/>
          <w:sz w:val="24"/>
          <w:szCs w:val="24"/>
          <w:lang w:val="lt-LT"/>
        </w:rPr>
        <w:t xml:space="preserve">suteiktos paskolos </w:t>
      </w:r>
      <w:r w:rsidR="008205F1" w:rsidRPr="000D37F1">
        <w:rPr>
          <w:rFonts w:ascii="Times New Roman" w:hAnsi="Times New Roman" w:cs="Times New Roman"/>
          <w:bCs/>
          <w:sz w:val="24"/>
          <w:szCs w:val="24"/>
          <w:lang w:val="lt-LT"/>
        </w:rPr>
        <w:t>padidėjo 71 %</w:t>
      </w:r>
      <w:r w:rsidR="0049341C" w:rsidRPr="000D37F1">
        <w:rPr>
          <w:rFonts w:ascii="Times New Roman" w:hAnsi="Times New Roman" w:cs="Times New Roman"/>
          <w:bCs/>
          <w:sz w:val="24"/>
          <w:szCs w:val="24"/>
          <w:lang w:val="lt-LT"/>
        </w:rPr>
        <w:t>. Nors pagal LR Kredito unijų įstatymą kredito unijos turi teisę įsigyti tik Lietuvos Respublikos Vyriausybės, Lietuvos Banko, kitų Europos Sąjungos valstybių narių ir Europos ekonominės erdvės valstybių vyriausybių vertybinius popierius, kiekvienais metais didėja tokioms investicijoms skiriama lėšų dalis</w:t>
      </w:r>
      <w:r w:rsidR="006F49EC" w:rsidRPr="000D37F1">
        <w:rPr>
          <w:rFonts w:ascii="Times New Roman" w:hAnsi="Times New Roman" w:cs="Times New Roman"/>
          <w:bCs/>
          <w:sz w:val="24"/>
          <w:szCs w:val="24"/>
          <w:lang w:val="lt-LT"/>
        </w:rPr>
        <w:t xml:space="preserve">. </w:t>
      </w:r>
    </w:p>
    <w:p w:rsidR="00DC1A90" w:rsidRPr="008A16B7" w:rsidRDefault="00F32B93" w:rsidP="008A16B7">
      <w:pPr>
        <w:spacing w:line="360" w:lineRule="auto"/>
        <w:ind w:firstLine="720"/>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t xml:space="preserve">Nors ir apribotos kredito unijų investicijos į vertybinius popierius, tačiau  kai </w:t>
      </w:r>
      <w:r w:rsidR="00DE2A58" w:rsidRPr="000D37F1">
        <w:rPr>
          <w:rFonts w:ascii="Times New Roman" w:hAnsi="Times New Roman" w:cs="Times New Roman"/>
          <w:bCs/>
          <w:sz w:val="24"/>
          <w:szCs w:val="24"/>
          <w:lang w:val="lt-LT"/>
        </w:rPr>
        <w:t xml:space="preserve">kuriais atvejais, </w:t>
      </w:r>
      <w:r w:rsidRPr="000D37F1">
        <w:rPr>
          <w:rFonts w:ascii="Times New Roman" w:hAnsi="Times New Roman" w:cs="Times New Roman"/>
          <w:bCs/>
          <w:sz w:val="24"/>
          <w:szCs w:val="24"/>
          <w:lang w:val="lt-LT"/>
        </w:rPr>
        <w:t xml:space="preserve">jos </w:t>
      </w:r>
      <w:r w:rsidR="00DE2A58" w:rsidRPr="000D37F1">
        <w:rPr>
          <w:rFonts w:ascii="Times New Roman" w:hAnsi="Times New Roman" w:cs="Times New Roman"/>
          <w:bCs/>
          <w:sz w:val="24"/>
          <w:szCs w:val="24"/>
          <w:lang w:val="lt-LT"/>
        </w:rPr>
        <w:t>gali būti itin rizikingos.</w:t>
      </w:r>
      <w:r w:rsidRPr="000D37F1">
        <w:rPr>
          <w:rFonts w:ascii="Times New Roman" w:hAnsi="Times New Roman" w:cs="Times New Roman"/>
          <w:bCs/>
          <w:sz w:val="24"/>
          <w:szCs w:val="24"/>
          <w:lang w:val="lt-LT"/>
        </w:rPr>
        <w:t xml:space="preserve"> Kai kurios kredito unijos siekdamos kuo didesnės grąžos, investuoja į rizikingiausių valstybių vertybinius popierius (kredito unijos, investavusios į </w:t>
      </w:r>
      <w:r w:rsidRPr="000D37F1">
        <w:rPr>
          <w:rFonts w:ascii="Times New Roman" w:hAnsi="Times New Roman" w:cs="Times New Roman"/>
          <w:bCs/>
          <w:sz w:val="24"/>
          <w:szCs w:val="24"/>
          <w:lang w:val="lt-LT"/>
        </w:rPr>
        <w:lastRenderedPageBreak/>
        <w:t>Graikijos obligacijas, prarado 11 mln. litų). Taigi k</w:t>
      </w:r>
      <w:r w:rsidR="006F49EC" w:rsidRPr="000D37F1">
        <w:rPr>
          <w:rFonts w:ascii="Times New Roman" w:hAnsi="Times New Roman" w:cs="Times New Roman"/>
          <w:bCs/>
          <w:sz w:val="24"/>
          <w:szCs w:val="24"/>
          <w:lang w:val="lt-LT"/>
        </w:rPr>
        <w:t>ai</w:t>
      </w:r>
      <w:r w:rsidR="00252EFF" w:rsidRPr="000D37F1">
        <w:rPr>
          <w:rFonts w:ascii="Times New Roman" w:hAnsi="Times New Roman" w:cs="Times New Roman"/>
          <w:bCs/>
          <w:sz w:val="24"/>
          <w:szCs w:val="24"/>
          <w:lang w:val="lt-LT"/>
        </w:rPr>
        <w:t xml:space="preserve"> kurių kredito unijų pasirinkta veiklos strategija</w:t>
      </w:r>
      <w:r w:rsidR="0049341C" w:rsidRPr="000D37F1">
        <w:rPr>
          <w:rFonts w:ascii="Times New Roman" w:hAnsi="Times New Roman" w:cs="Times New Roman"/>
          <w:bCs/>
          <w:sz w:val="24"/>
          <w:szCs w:val="24"/>
          <w:lang w:val="lt-LT"/>
        </w:rPr>
        <w:t xml:space="preserve"> bei netinkama</w:t>
      </w:r>
      <w:r w:rsidRPr="000D37F1">
        <w:rPr>
          <w:rFonts w:ascii="Times New Roman" w:hAnsi="Times New Roman" w:cs="Times New Roman"/>
          <w:bCs/>
          <w:sz w:val="24"/>
          <w:szCs w:val="24"/>
          <w:lang w:val="lt-LT"/>
        </w:rPr>
        <w:t>i</w:t>
      </w:r>
      <w:r w:rsidR="0049341C" w:rsidRPr="000D37F1">
        <w:rPr>
          <w:rFonts w:ascii="Times New Roman" w:hAnsi="Times New Roman" w:cs="Times New Roman"/>
          <w:bCs/>
          <w:sz w:val="24"/>
          <w:szCs w:val="24"/>
          <w:lang w:val="lt-LT"/>
        </w:rPr>
        <w:t xml:space="preserve"> įvertinta rizika</w:t>
      </w:r>
      <w:r w:rsidR="00833893">
        <w:rPr>
          <w:rFonts w:ascii="Times New Roman" w:hAnsi="Times New Roman" w:cs="Times New Roman"/>
          <w:bCs/>
          <w:sz w:val="24"/>
          <w:szCs w:val="24"/>
          <w:lang w:val="lt-LT"/>
        </w:rPr>
        <w:t xml:space="preserve"> </w:t>
      </w:r>
      <w:r w:rsidRPr="000D37F1">
        <w:rPr>
          <w:rFonts w:ascii="Times New Roman" w:hAnsi="Times New Roman" w:cs="Times New Roman"/>
          <w:bCs/>
          <w:sz w:val="24"/>
          <w:szCs w:val="24"/>
          <w:lang w:val="lt-LT"/>
        </w:rPr>
        <w:t>lemia neigiamą</w:t>
      </w:r>
      <w:r w:rsidR="008D452F" w:rsidRPr="000D37F1">
        <w:rPr>
          <w:rFonts w:ascii="Times New Roman" w:hAnsi="Times New Roman" w:cs="Times New Roman"/>
          <w:bCs/>
          <w:sz w:val="24"/>
          <w:szCs w:val="24"/>
          <w:lang w:val="lt-LT"/>
        </w:rPr>
        <w:t xml:space="preserve"> kredito unijų tinklo finansinį rezultatą</w:t>
      </w:r>
      <w:r w:rsidR="00252EFF" w:rsidRPr="000D37F1">
        <w:rPr>
          <w:rFonts w:ascii="Times New Roman" w:hAnsi="Times New Roman" w:cs="Times New Roman"/>
          <w:bCs/>
          <w:sz w:val="24"/>
          <w:szCs w:val="24"/>
          <w:lang w:val="lt-LT"/>
        </w:rPr>
        <w:t xml:space="preserve"> (2009 m. – 5,3 mln. Lt, 2010 m. – 5,4 mln. Lt, 2011 m. – 14 mln. Lt, 2012 m. – 60,1 mln. Lt, 2013 m. – 38,3 </w:t>
      </w:r>
      <w:proofErr w:type="spellStart"/>
      <w:r w:rsidR="00252EFF" w:rsidRPr="000D37F1">
        <w:rPr>
          <w:rFonts w:ascii="Times New Roman" w:hAnsi="Times New Roman" w:cs="Times New Roman"/>
          <w:bCs/>
          <w:sz w:val="24"/>
          <w:szCs w:val="24"/>
          <w:lang w:val="lt-LT"/>
        </w:rPr>
        <w:t>mln.Lt</w:t>
      </w:r>
      <w:proofErr w:type="spellEnd"/>
      <w:r w:rsidR="00252EFF" w:rsidRPr="000D37F1">
        <w:rPr>
          <w:rFonts w:ascii="Times New Roman" w:hAnsi="Times New Roman" w:cs="Times New Roman"/>
          <w:bCs/>
          <w:sz w:val="24"/>
          <w:szCs w:val="24"/>
          <w:lang w:val="lt-LT"/>
        </w:rPr>
        <w:t xml:space="preserve">). </w:t>
      </w:r>
      <w:r w:rsidRPr="000D37F1">
        <w:rPr>
          <w:rFonts w:ascii="Times New Roman" w:hAnsi="Times New Roman" w:cs="Times New Roman"/>
          <w:bCs/>
          <w:sz w:val="24"/>
          <w:szCs w:val="24"/>
          <w:lang w:val="lt-LT"/>
        </w:rPr>
        <w:t>Lietuvos Banko teigimu, s</w:t>
      </w:r>
      <w:r w:rsidR="00B122DF" w:rsidRPr="000D37F1">
        <w:rPr>
          <w:rFonts w:ascii="Times New Roman" w:hAnsi="Times New Roman" w:cs="Times New Roman"/>
          <w:bCs/>
          <w:sz w:val="24"/>
          <w:szCs w:val="24"/>
          <w:lang w:val="lt-LT"/>
        </w:rPr>
        <w:t>usidarę ir galimi nuostoliai turėtų būti padengiami didinant kapitalo bazę, tačiau kredito unijų nariai neidentifikuoja savęs kaip kredito unijos akcininkų ir nelinkę prisidėti sprendžiant jos finansines problemas. Esant</w:t>
      </w:r>
      <w:r w:rsidR="00252EFF" w:rsidRPr="000D37F1">
        <w:rPr>
          <w:rFonts w:ascii="Times New Roman" w:hAnsi="Times New Roman" w:cs="Times New Roman"/>
          <w:bCs/>
          <w:sz w:val="24"/>
          <w:szCs w:val="24"/>
          <w:lang w:val="lt-LT"/>
        </w:rPr>
        <w:t xml:space="preserve"> tokiai situacijai, kai kurios kredito unijos, kurios prisiima didelę riziką ir  veikia nuostolingai, gali tapti nemokiomis ir bankrutuoti.</w:t>
      </w:r>
    </w:p>
    <w:p w:rsidR="007E2C35" w:rsidRPr="000D37F1" w:rsidRDefault="00A23693" w:rsidP="00F32B93">
      <w:pPr>
        <w:spacing w:line="360" w:lineRule="auto"/>
        <w:ind w:firstLine="720"/>
        <w:jc w:val="both"/>
        <w:rPr>
          <w:rFonts w:ascii="Times New Roman" w:hAnsi="Times New Roman" w:cs="Times New Roman"/>
          <w:bCs/>
          <w:sz w:val="24"/>
          <w:szCs w:val="24"/>
          <w:lang w:val="lt-LT"/>
        </w:rPr>
      </w:pPr>
      <w:r w:rsidRPr="000D37F1">
        <w:rPr>
          <w:rFonts w:ascii="Times New Roman" w:hAnsi="Times New Roman" w:cs="Times New Roman"/>
          <w:sz w:val="24"/>
          <w:szCs w:val="24"/>
          <w:lang w:val="lt-LT"/>
        </w:rPr>
        <w:t xml:space="preserve">Kredito unijų rizikingumo tema nėra dažnai analizuojama mokslinėje literatūroje, pastaraisiais metais atsiranda didesnis dėmesys šioms kredito įstaigoms, o taip pat ir poreikis vertinti dėl augančio kredito unijų bankrotų skaičiaus. </w:t>
      </w:r>
      <w:r w:rsidR="007E2C35" w:rsidRPr="000D37F1">
        <w:rPr>
          <w:rFonts w:ascii="Times New Roman" w:hAnsi="Times New Roman" w:cs="Times New Roman"/>
          <w:sz w:val="24"/>
          <w:szCs w:val="24"/>
          <w:lang w:val="lt-LT"/>
        </w:rPr>
        <w:t xml:space="preserve">T. </w:t>
      </w:r>
      <w:proofErr w:type="spellStart"/>
      <w:r w:rsidR="007E2C35" w:rsidRPr="000D37F1">
        <w:rPr>
          <w:rFonts w:ascii="Times New Roman" w:hAnsi="Times New Roman" w:cs="Times New Roman"/>
          <w:sz w:val="24"/>
          <w:szCs w:val="24"/>
          <w:lang w:val="lt-LT"/>
        </w:rPr>
        <w:t>Baležentis</w:t>
      </w:r>
      <w:proofErr w:type="spellEnd"/>
      <w:r w:rsidR="007E2C35" w:rsidRPr="000D37F1">
        <w:rPr>
          <w:rFonts w:ascii="Times New Roman" w:hAnsi="Times New Roman" w:cs="Times New Roman"/>
          <w:sz w:val="24"/>
          <w:szCs w:val="24"/>
          <w:lang w:val="lt-LT"/>
        </w:rPr>
        <w:t xml:space="preserve">, A. </w:t>
      </w:r>
      <w:proofErr w:type="spellStart"/>
      <w:r w:rsidR="007E2C35" w:rsidRPr="000D37F1">
        <w:rPr>
          <w:rFonts w:ascii="Times New Roman" w:hAnsi="Times New Roman" w:cs="Times New Roman"/>
          <w:sz w:val="24"/>
          <w:szCs w:val="24"/>
          <w:lang w:val="lt-LT"/>
        </w:rPr>
        <w:t>Kantaravičienė</w:t>
      </w:r>
      <w:proofErr w:type="spellEnd"/>
      <w:r w:rsidR="007E2C35" w:rsidRPr="000D37F1">
        <w:rPr>
          <w:rFonts w:ascii="Times New Roman" w:hAnsi="Times New Roman" w:cs="Times New Roman"/>
          <w:sz w:val="24"/>
          <w:szCs w:val="24"/>
          <w:lang w:val="lt-LT"/>
        </w:rPr>
        <w:t xml:space="preserve"> ir V. </w:t>
      </w:r>
      <w:proofErr w:type="spellStart"/>
      <w:r w:rsidR="007E2C35" w:rsidRPr="000D37F1">
        <w:rPr>
          <w:rFonts w:ascii="Times New Roman" w:hAnsi="Times New Roman" w:cs="Times New Roman"/>
          <w:sz w:val="24"/>
          <w:szCs w:val="24"/>
          <w:lang w:val="lt-LT"/>
        </w:rPr>
        <w:t>Kėdaitis</w:t>
      </w:r>
      <w:proofErr w:type="spellEnd"/>
      <w:r w:rsidR="007E2C35" w:rsidRPr="000D37F1">
        <w:rPr>
          <w:rFonts w:ascii="Times New Roman" w:hAnsi="Times New Roman" w:cs="Times New Roman"/>
          <w:sz w:val="24"/>
          <w:szCs w:val="24"/>
          <w:lang w:val="lt-LT"/>
        </w:rPr>
        <w:t xml:space="preserve"> (2013) analizavo kredito unijų veiklą efektyvumo ir plėtros perspektyvų aspektu naudodami neparametrinę duomenų </w:t>
      </w:r>
      <w:proofErr w:type="spellStart"/>
      <w:r w:rsidR="007E2C35" w:rsidRPr="000D37F1">
        <w:rPr>
          <w:rFonts w:ascii="Times New Roman" w:hAnsi="Times New Roman" w:cs="Times New Roman"/>
          <w:sz w:val="24"/>
          <w:szCs w:val="24"/>
          <w:lang w:val="lt-LT"/>
        </w:rPr>
        <w:t>apgaubties</w:t>
      </w:r>
      <w:proofErr w:type="spellEnd"/>
      <w:r w:rsidR="007E2C35" w:rsidRPr="000D37F1">
        <w:rPr>
          <w:rFonts w:ascii="Times New Roman" w:hAnsi="Times New Roman" w:cs="Times New Roman"/>
          <w:sz w:val="24"/>
          <w:szCs w:val="24"/>
          <w:lang w:val="lt-LT"/>
        </w:rPr>
        <w:t xml:space="preserve"> analizę. Jų atliktas tyrimas parodė, kad kredito unijos, turinčios mažiau nei 2000 narių turi mažesnius efektyvumo rodiklius, tuo tarpu didžiausius turi, tos kredito unijos, kurių narių skaičius yra nuo 2000 iki 6000 narių. Didžiausias efektyvumas yra tuomet, kai kredito unijoje dirba  9 darbuotojai ir paskolos siekia 8,7 mln. </w:t>
      </w:r>
      <w:r w:rsidR="000B55B9" w:rsidRPr="000D37F1">
        <w:rPr>
          <w:rFonts w:ascii="Times New Roman" w:hAnsi="Times New Roman" w:cs="Times New Roman"/>
          <w:sz w:val="24"/>
          <w:szCs w:val="24"/>
          <w:lang w:val="lt-LT"/>
        </w:rPr>
        <w:t>l</w:t>
      </w:r>
      <w:r w:rsidR="007E2C35" w:rsidRPr="000D37F1">
        <w:rPr>
          <w:rFonts w:ascii="Times New Roman" w:hAnsi="Times New Roman" w:cs="Times New Roman"/>
          <w:sz w:val="24"/>
          <w:szCs w:val="24"/>
          <w:lang w:val="lt-LT"/>
        </w:rPr>
        <w:t xml:space="preserve">itų.  Visgi veiklos efektyvumas gali būti susijęs su didesnės rizikos toleravimu. </w:t>
      </w:r>
    </w:p>
    <w:p w:rsidR="0087081B" w:rsidRPr="000D37F1" w:rsidRDefault="00D04905" w:rsidP="00534DBF">
      <w:pPr>
        <w:spacing w:line="360" w:lineRule="auto"/>
        <w:ind w:firstLine="720"/>
        <w:jc w:val="both"/>
        <w:rPr>
          <w:rFonts w:ascii="Times New Roman" w:hAnsi="Times New Roman" w:cs="Times New Roman"/>
          <w:bCs/>
          <w:sz w:val="24"/>
          <w:szCs w:val="24"/>
          <w:lang w:val="lt-LT"/>
        </w:rPr>
      </w:pPr>
      <w:r w:rsidRPr="000D37F1">
        <w:rPr>
          <w:rFonts w:ascii="Times New Roman" w:hAnsi="Times New Roman" w:cs="Times New Roman"/>
          <w:sz w:val="24"/>
          <w:szCs w:val="24"/>
          <w:lang w:val="lt-LT"/>
        </w:rPr>
        <w:t>Lietuvos Banko teigimu</w:t>
      </w:r>
      <w:r w:rsidR="00AA6F3F">
        <w:rPr>
          <w:rStyle w:val="FootnoteReference"/>
          <w:rFonts w:ascii="Times New Roman" w:hAnsi="Times New Roman" w:cs="Times New Roman"/>
          <w:sz w:val="24"/>
          <w:szCs w:val="24"/>
          <w:lang w:val="lt-LT"/>
        </w:rPr>
        <w:footnoteReference w:id="3"/>
      </w:r>
      <w:r w:rsidRPr="000D37F1">
        <w:rPr>
          <w:rFonts w:ascii="Times New Roman" w:hAnsi="Times New Roman" w:cs="Times New Roman"/>
          <w:sz w:val="24"/>
          <w:szCs w:val="24"/>
          <w:lang w:val="lt-LT"/>
        </w:rPr>
        <w:t>, pagrindinės kredito unijų sektoriuje kylančių problemų priežastys, lėmusios sugriežtintų priežiūros priemonių taikymą yra sparti kredito unijų plėtra, neturint atsargų padengti nuostolius, nepakankama kai kurių kredito unijų vadovų kompetencija bei neatsakingas požiūris. Visos šios priežastys yra tiesiogiai susiję su kredito unijų vadovų veiksmais ir suformuotomis veiklos strategijomis.</w:t>
      </w:r>
      <w:r w:rsidR="006F7B32">
        <w:rPr>
          <w:rFonts w:ascii="Times New Roman" w:hAnsi="Times New Roman" w:cs="Times New Roman"/>
          <w:sz w:val="24"/>
          <w:szCs w:val="24"/>
          <w:lang w:val="lt-LT"/>
        </w:rPr>
        <w:t xml:space="preserve"> </w:t>
      </w:r>
      <w:r w:rsidR="007E2C35" w:rsidRPr="000D37F1">
        <w:rPr>
          <w:rFonts w:ascii="Times New Roman" w:hAnsi="Times New Roman" w:cs="Times New Roman"/>
          <w:bCs/>
          <w:sz w:val="24"/>
          <w:szCs w:val="24"/>
          <w:lang w:val="lt-LT"/>
        </w:rPr>
        <w:t>Veiklos</w:t>
      </w:r>
      <w:r w:rsidR="006F49EC" w:rsidRPr="000D37F1">
        <w:rPr>
          <w:rFonts w:ascii="Times New Roman" w:hAnsi="Times New Roman" w:cs="Times New Roman"/>
          <w:bCs/>
          <w:sz w:val="24"/>
          <w:szCs w:val="24"/>
          <w:lang w:val="lt-LT"/>
        </w:rPr>
        <w:t xml:space="preserve"> rizikos valdymas neturi baigtinio tikslo, tai yra atsinaujinantis ir nuolat modifikuojamas procesas atsižvelgiant į vidinius aplinkos ir įmonės pokyčius (L. </w:t>
      </w:r>
      <w:proofErr w:type="spellStart"/>
      <w:r w:rsidR="006F49EC" w:rsidRPr="000D37F1">
        <w:rPr>
          <w:rFonts w:ascii="Times New Roman" w:hAnsi="Times New Roman" w:cs="Times New Roman"/>
          <w:bCs/>
          <w:sz w:val="24"/>
          <w:szCs w:val="24"/>
          <w:lang w:val="lt-LT"/>
        </w:rPr>
        <w:t>Kaleini</w:t>
      </w:r>
      <w:r w:rsidR="00141F2D" w:rsidRPr="000D37F1">
        <w:rPr>
          <w:rFonts w:ascii="Times New Roman" w:hAnsi="Times New Roman" w:cs="Times New Roman"/>
          <w:bCs/>
          <w:sz w:val="24"/>
          <w:szCs w:val="24"/>
          <w:lang w:val="lt-LT"/>
        </w:rPr>
        <w:t>nkaitė</w:t>
      </w:r>
      <w:proofErr w:type="spellEnd"/>
      <w:r w:rsidR="00141F2D" w:rsidRPr="000D37F1">
        <w:rPr>
          <w:rFonts w:ascii="Times New Roman" w:hAnsi="Times New Roman" w:cs="Times New Roman"/>
          <w:bCs/>
          <w:sz w:val="24"/>
          <w:szCs w:val="24"/>
          <w:lang w:val="lt-LT"/>
        </w:rPr>
        <w:t xml:space="preserve"> ir</w:t>
      </w:r>
      <w:r w:rsidR="006D7496" w:rsidRPr="000D37F1">
        <w:rPr>
          <w:rFonts w:ascii="Times New Roman" w:hAnsi="Times New Roman" w:cs="Times New Roman"/>
          <w:bCs/>
          <w:sz w:val="24"/>
          <w:szCs w:val="24"/>
          <w:lang w:val="lt-LT"/>
        </w:rPr>
        <w:t xml:space="preserve"> I. </w:t>
      </w:r>
      <w:proofErr w:type="spellStart"/>
      <w:r w:rsidR="006D7496" w:rsidRPr="000D37F1">
        <w:rPr>
          <w:rFonts w:ascii="Times New Roman" w:hAnsi="Times New Roman" w:cs="Times New Roman"/>
          <w:bCs/>
          <w:sz w:val="24"/>
          <w:szCs w:val="24"/>
          <w:lang w:val="lt-LT"/>
        </w:rPr>
        <w:t>Trumpaitė</w:t>
      </w:r>
      <w:proofErr w:type="spellEnd"/>
      <w:r w:rsidR="006D7496" w:rsidRPr="000D37F1">
        <w:rPr>
          <w:rFonts w:ascii="Times New Roman" w:hAnsi="Times New Roman" w:cs="Times New Roman"/>
          <w:bCs/>
          <w:sz w:val="24"/>
          <w:szCs w:val="24"/>
          <w:lang w:val="lt-LT"/>
        </w:rPr>
        <w:t xml:space="preserve"> (2007)). </w:t>
      </w:r>
      <w:r w:rsidR="00BB5BC3">
        <w:rPr>
          <w:rFonts w:ascii="Times New Roman" w:hAnsi="Times New Roman" w:cs="Times New Roman"/>
          <w:bCs/>
          <w:sz w:val="24"/>
          <w:szCs w:val="24"/>
          <w:lang w:val="lt-LT"/>
        </w:rPr>
        <w:t xml:space="preserve"> </w:t>
      </w:r>
      <w:r w:rsidR="003B0EA4" w:rsidRPr="000D37F1">
        <w:rPr>
          <w:rFonts w:ascii="Times New Roman" w:hAnsi="Times New Roman" w:cs="Times New Roman"/>
          <w:sz w:val="24"/>
          <w:szCs w:val="24"/>
          <w:lang w:val="lt-LT"/>
        </w:rPr>
        <w:t xml:space="preserve">Autorius </w:t>
      </w:r>
      <w:proofErr w:type="spellStart"/>
      <w:r w:rsidR="003B0EA4" w:rsidRPr="000D37F1">
        <w:rPr>
          <w:rFonts w:ascii="Times New Roman" w:hAnsi="Times New Roman" w:cs="Times New Roman"/>
          <w:sz w:val="24"/>
          <w:szCs w:val="24"/>
          <w:lang w:val="lt-LT"/>
        </w:rPr>
        <w:t>McKillop</w:t>
      </w:r>
      <w:proofErr w:type="spellEnd"/>
      <w:r w:rsidR="003B0EA4" w:rsidRPr="000D37F1">
        <w:rPr>
          <w:rFonts w:ascii="Times New Roman" w:hAnsi="Times New Roman" w:cs="Times New Roman"/>
          <w:sz w:val="24"/>
          <w:szCs w:val="24"/>
          <w:lang w:val="lt-LT"/>
        </w:rPr>
        <w:t xml:space="preserve"> (2011) pateikia </w:t>
      </w:r>
      <w:proofErr w:type="spellStart"/>
      <w:r w:rsidR="003B0EA4" w:rsidRPr="000D37F1">
        <w:rPr>
          <w:rFonts w:ascii="Times New Roman" w:hAnsi="Times New Roman" w:cs="Times New Roman"/>
          <w:sz w:val="24"/>
          <w:szCs w:val="24"/>
          <w:lang w:val="lt-LT"/>
        </w:rPr>
        <w:t>mikroekonominius</w:t>
      </w:r>
      <w:proofErr w:type="spellEnd"/>
      <w:r w:rsidR="003B0EA4" w:rsidRPr="000D37F1">
        <w:rPr>
          <w:rFonts w:ascii="Times New Roman" w:hAnsi="Times New Roman" w:cs="Times New Roman"/>
          <w:sz w:val="24"/>
          <w:szCs w:val="24"/>
          <w:lang w:val="lt-LT"/>
        </w:rPr>
        <w:t xml:space="preserve"> veiksnius, kurie lemia kredito unijų bankrotą  - apmokytų vadovų stoka, silpnos skolinimo ir indėlių surinkimo operacijos, nepakankamai  tiksli apskaita bei artimi ryšiais su skolininkais.</w:t>
      </w:r>
    </w:p>
    <w:p w:rsidR="001111B8" w:rsidRDefault="00581E93" w:rsidP="00140887">
      <w:pPr>
        <w:spacing w:line="360" w:lineRule="auto"/>
        <w:ind w:firstLine="720"/>
        <w:jc w:val="both"/>
        <w:rPr>
          <w:rFonts w:ascii="Times New Roman" w:hAnsi="Times New Roman" w:cs="Times New Roman"/>
          <w:bCs/>
          <w:sz w:val="24"/>
          <w:szCs w:val="24"/>
          <w:lang w:val="lt-LT"/>
        </w:rPr>
      </w:pPr>
      <w:r w:rsidRPr="000D37F1">
        <w:rPr>
          <w:rFonts w:ascii="Times New Roman" w:hAnsi="Times New Roman" w:cs="Times New Roman"/>
          <w:bCs/>
          <w:sz w:val="24"/>
          <w:szCs w:val="24"/>
          <w:lang w:val="lt-LT"/>
        </w:rPr>
        <w:lastRenderedPageBreak/>
        <w:t xml:space="preserve">Analizuojant kredito unijų rizikingumą, svarbu paminėti kredito įstaigų nemokumo (bankroto) skirtumus nuo kitų </w:t>
      </w:r>
      <w:r w:rsidR="00BB5BC3">
        <w:rPr>
          <w:rFonts w:ascii="Times New Roman" w:hAnsi="Times New Roman" w:cs="Times New Roman"/>
          <w:bCs/>
          <w:sz w:val="24"/>
          <w:szCs w:val="24"/>
          <w:lang w:val="lt-LT"/>
        </w:rPr>
        <w:t>organizacijų</w:t>
      </w:r>
      <w:r w:rsidRPr="000D37F1">
        <w:rPr>
          <w:rFonts w:ascii="Times New Roman" w:hAnsi="Times New Roman" w:cs="Times New Roman"/>
          <w:bCs/>
          <w:sz w:val="24"/>
          <w:szCs w:val="24"/>
          <w:lang w:val="lt-LT"/>
        </w:rPr>
        <w:t>. Pagal LR Kredito unijų įstatymą, kredito unijos bankroto bylą teismas gali iškelti tik tuo atveju, jeigu yra priežiūros institucijos išvada apie kre</w:t>
      </w:r>
      <w:r w:rsidR="0087081B" w:rsidRPr="000D37F1">
        <w:rPr>
          <w:rFonts w:ascii="Times New Roman" w:hAnsi="Times New Roman" w:cs="Times New Roman"/>
          <w:bCs/>
          <w:sz w:val="24"/>
          <w:szCs w:val="24"/>
          <w:lang w:val="lt-LT"/>
        </w:rPr>
        <w:t>dito unijos nemokumą. K</w:t>
      </w:r>
      <w:r w:rsidRPr="000D37F1">
        <w:rPr>
          <w:rFonts w:ascii="Times New Roman" w:hAnsi="Times New Roman" w:cs="Times New Roman"/>
          <w:bCs/>
          <w:sz w:val="24"/>
          <w:szCs w:val="24"/>
          <w:lang w:val="lt-LT"/>
        </w:rPr>
        <w:t>redito unijose laikomi indėliai iki 100 tūkst. eurų yra apdrausti VĮ „ In</w:t>
      </w:r>
      <w:r w:rsidR="0087081B" w:rsidRPr="000D37F1">
        <w:rPr>
          <w:rFonts w:ascii="Times New Roman" w:hAnsi="Times New Roman" w:cs="Times New Roman"/>
          <w:bCs/>
          <w:sz w:val="24"/>
          <w:szCs w:val="24"/>
          <w:lang w:val="lt-LT"/>
        </w:rPr>
        <w:t>dėlių ir investicijų draudimas“, tai yra saugumo garantija indėlininkams, tačiau tuo pačiu metu ir galimybė kai kurioms kredito unijoms tuo piktnaudžiauti.</w:t>
      </w:r>
    </w:p>
    <w:p w:rsidR="001111B8" w:rsidRPr="000D37F1" w:rsidRDefault="001111B8" w:rsidP="001111B8">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Lietuvos Bankas įvedė kvalifikacinius egzaminus kredito unijų vadovams, kurių poreikis atsispindi atlikus mokslinius tyrimus,  kai kuriems kredito unijų vadovams bei valdybos nariams trūksta reikiamų žinių rizikai suvaldyti. Štai G. </w:t>
      </w:r>
      <w:proofErr w:type="spellStart"/>
      <w:r w:rsidRPr="000D37F1">
        <w:rPr>
          <w:rFonts w:ascii="Times New Roman" w:hAnsi="Times New Roman" w:cs="Times New Roman"/>
          <w:sz w:val="24"/>
          <w:szCs w:val="24"/>
          <w:lang w:val="lt-LT"/>
        </w:rPr>
        <w:t>Nekrošiūtės</w:t>
      </w:r>
      <w:proofErr w:type="spellEnd"/>
      <w:r w:rsidRPr="000D37F1">
        <w:rPr>
          <w:rFonts w:ascii="Times New Roman" w:hAnsi="Times New Roman" w:cs="Times New Roman"/>
          <w:sz w:val="24"/>
          <w:szCs w:val="24"/>
          <w:lang w:val="lt-LT"/>
        </w:rPr>
        <w:t xml:space="preserve"> ir R. Špico (2012) apklausė 8 iš 11 tuo metu Vilniaus rajone veikusių kredito unijų, paaiškėjo, kad ne viena tirta kredito unija neskaičiuoja nuostolio netekimo atveju (LGD) ir laukiamo nuostolio (EL) rodiklių atskiroms paskoloms. Vienas iš Lietuvos banko apžvalgose minimų kredito unijų veiklos aspektų – netinkamas rizikos vertinimas. Kredito unijos vertindamos skolininkus ir kt. investicijas, turėtų būti konservatyvesnės ir jų darbuotojai bei valdymo organų dalyviai – atitinkamai apmokyti.  </w:t>
      </w:r>
    </w:p>
    <w:p w:rsidR="001111B8" w:rsidRPr="000D37F1" w:rsidRDefault="001111B8" w:rsidP="001111B8">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Kaip teigia J. </w:t>
      </w:r>
      <w:proofErr w:type="spellStart"/>
      <w:r w:rsidRPr="000D37F1">
        <w:rPr>
          <w:rFonts w:ascii="Times New Roman" w:hAnsi="Times New Roman" w:cs="Times New Roman"/>
          <w:sz w:val="24"/>
          <w:szCs w:val="24"/>
          <w:lang w:val="lt-LT"/>
        </w:rPr>
        <w:t>Igarytė</w:t>
      </w:r>
      <w:proofErr w:type="spellEnd"/>
      <w:r w:rsidRPr="000D37F1">
        <w:rPr>
          <w:rFonts w:ascii="Times New Roman" w:hAnsi="Times New Roman" w:cs="Times New Roman"/>
          <w:sz w:val="24"/>
          <w:szCs w:val="24"/>
          <w:lang w:val="lt-LT"/>
        </w:rPr>
        <w:t xml:space="preserve"> ir J, Ramanauskas (2011) pastaraisiais metais nebuvo skiriama pakankamai dėmesio situacinei lyderystei ir kvalifikacijos kėlimui, kas lėmė didėjantį darbuotojų ir valdymo organų narių skaičių, tačiau dalis jų neturi reikiamų žinių, nėra aktyviai įsitraukę į kredito unijų veiklą. Anot autorių, siekiant užtikrinti spartesnį kredito unijų sistemos vystymąsi reikia: kelti darbuotojų ir valdymo organų narių kvalifikaciją; sparčiau įsisavinti informacines technologijas; daugiau viešinti kredito unijų privalumus bei stiprinti bendruomeniškumą miesto tipo kredito unijose.</w:t>
      </w:r>
    </w:p>
    <w:p w:rsidR="001111B8" w:rsidRDefault="001111B8" w:rsidP="008A16B7">
      <w:pPr>
        <w:spacing w:line="360" w:lineRule="auto"/>
        <w:ind w:firstLine="720"/>
        <w:jc w:val="both"/>
        <w:rPr>
          <w:rFonts w:ascii="Times New Roman" w:hAnsi="Times New Roman" w:cs="Times New Roman"/>
          <w:sz w:val="24"/>
          <w:szCs w:val="24"/>
          <w:lang w:val="lt-LT"/>
        </w:rPr>
      </w:pPr>
      <w:proofErr w:type="spellStart"/>
      <w:r w:rsidRPr="000D37F1">
        <w:rPr>
          <w:rFonts w:ascii="Times New Roman" w:hAnsi="Times New Roman" w:cs="Times New Roman"/>
          <w:sz w:val="24"/>
          <w:szCs w:val="24"/>
          <w:lang w:val="lt-LT"/>
        </w:rPr>
        <w:t>Levišauskaitė</w:t>
      </w:r>
      <w:proofErr w:type="spellEnd"/>
      <w:r w:rsidRPr="000D37F1">
        <w:rPr>
          <w:rFonts w:ascii="Times New Roman" w:hAnsi="Times New Roman" w:cs="Times New Roman"/>
          <w:sz w:val="24"/>
          <w:szCs w:val="24"/>
          <w:lang w:val="lt-LT"/>
        </w:rPr>
        <w:t xml:space="preserve"> ir </w:t>
      </w:r>
      <w:proofErr w:type="spellStart"/>
      <w:r w:rsidRPr="000D37F1">
        <w:rPr>
          <w:rFonts w:ascii="Times New Roman" w:hAnsi="Times New Roman" w:cs="Times New Roman"/>
          <w:sz w:val="24"/>
          <w:szCs w:val="24"/>
          <w:lang w:val="lt-LT"/>
        </w:rPr>
        <w:t>kt</w:t>
      </w:r>
      <w:proofErr w:type="spellEnd"/>
      <w:r w:rsidRPr="000D37F1">
        <w:rPr>
          <w:rFonts w:ascii="Times New Roman" w:hAnsi="Times New Roman" w:cs="Times New Roman"/>
          <w:sz w:val="24"/>
          <w:szCs w:val="24"/>
          <w:lang w:val="lt-LT"/>
        </w:rPr>
        <w:t>. (2013) išanalizavo Lietuvos banko nutarimus ir atliko jų poveikio kredito unijų veiklai tyrimą, kurio metu nustatyta, jeigu kredito unija laikysis minimalaus indėlių augimo ir taikydama jiems mažesnes palūkanų normas, tai patirs ne tik mažesnes išlaidas už indėlius, bet ir galės mažiau investuoti į valstybės vertybinius popierius dėl taikomo mažesnio likvidumo rodiklio reikalavimą (pastarasis priklauso nuo turto dydžio ir indėlių augimo). Tokios sąlygos, anot autorių, leistų kredito unijoms didinti paskolų portfelį, o vėliau palai</w:t>
      </w:r>
      <w:r w:rsidR="008A16B7">
        <w:rPr>
          <w:rFonts w:ascii="Times New Roman" w:hAnsi="Times New Roman" w:cs="Times New Roman"/>
          <w:sz w:val="24"/>
          <w:szCs w:val="24"/>
          <w:lang w:val="lt-LT"/>
        </w:rPr>
        <w:t xml:space="preserve">kyti jo augimą mažesniu tempu. </w:t>
      </w:r>
    </w:p>
    <w:p w:rsidR="00145A9F" w:rsidRDefault="00B474A6" w:rsidP="008A16B7">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Apibendrinant šį skyrių galime teigti, kad</w:t>
      </w:r>
      <w:r w:rsidR="008B54F5" w:rsidRPr="000D37F1">
        <w:rPr>
          <w:rFonts w:ascii="Times New Roman" w:hAnsi="Times New Roman" w:cs="Times New Roman"/>
          <w:sz w:val="24"/>
          <w:szCs w:val="24"/>
          <w:lang w:val="lt-LT"/>
        </w:rPr>
        <w:t xml:space="preserve"> sparti kredito unijų plėtra bei pernelyg neatsargi skolinimo politika</w:t>
      </w:r>
      <w:r w:rsidR="00D90324">
        <w:rPr>
          <w:rFonts w:ascii="Times New Roman" w:hAnsi="Times New Roman" w:cs="Times New Roman"/>
          <w:sz w:val="24"/>
          <w:szCs w:val="24"/>
          <w:lang w:val="lt-LT"/>
        </w:rPr>
        <w:t xml:space="preserve"> </w:t>
      </w:r>
      <w:r w:rsidR="008B54F5" w:rsidRPr="000D37F1">
        <w:rPr>
          <w:rFonts w:ascii="Times New Roman" w:hAnsi="Times New Roman" w:cs="Times New Roman"/>
          <w:sz w:val="24"/>
          <w:szCs w:val="24"/>
          <w:lang w:val="lt-LT"/>
        </w:rPr>
        <w:t xml:space="preserve">bei kredito unijų vadovų neatsakingumas lėmė kredito unijų rizikos </w:t>
      </w:r>
      <w:r w:rsidR="008B54F5" w:rsidRPr="000D37F1">
        <w:rPr>
          <w:rFonts w:ascii="Times New Roman" w:hAnsi="Times New Roman" w:cs="Times New Roman"/>
          <w:sz w:val="24"/>
          <w:szCs w:val="24"/>
          <w:lang w:val="lt-LT"/>
        </w:rPr>
        <w:lastRenderedPageBreak/>
        <w:t xml:space="preserve">padidėjimą. Padidėjusios rizikos </w:t>
      </w:r>
      <w:r w:rsidR="006F3D25">
        <w:rPr>
          <w:rFonts w:ascii="Times New Roman" w:hAnsi="Times New Roman" w:cs="Times New Roman"/>
          <w:sz w:val="24"/>
          <w:szCs w:val="24"/>
          <w:lang w:val="lt-LT"/>
        </w:rPr>
        <w:t>pase</w:t>
      </w:r>
      <w:r w:rsidR="003F5252">
        <w:rPr>
          <w:rFonts w:ascii="Times New Roman" w:hAnsi="Times New Roman" w:cs="Times New Roman"/>
          <w:sz w:val="24"/>
          <w:szCs w:val="24"/>
          <w:lang w:val="lt-LT"/>
        </w:rPr>
        <w:t>kmės</w:t>
      </w:r>
      <w:r w:rsidR="00B60F17" w:rsidRPr="000D37F1">
        <w:rPr>
          <w:rFonts w:ascii="Times New Roman" w:hAnsi="Times New Roman" w:cs="Times New Roman"/>
          <w:sz w:val="24"/>
          <w:szCs w:val="24"/>
          <w:lang w:val="lt-LT"/>
        </w:rPr>
        <w:t xml:space="preserve"> </w:t>
      </w:r>
      <w:r w:rsidR="008B54F5" w:rsidRPr="000D37F1">
        <w:rPr>
          <w:rFonts w:ascii="Times New Roman" w:hAnsi="Times New Roman" w:cs="Times New Roman"/>
          <w:sz w:val="24"/>
          <w:szCs w:val="24"/>
          <w:lang w:val="lt-LT"/>
        </w:rPr>
        <w:t xml:space="preserve">yra keletą metų iš eilės </w:t>
      </w:r>
      <w:r w:rsidR="000B55B9" w:rsidRPr="000D37F1">
        <w:rPr>
          <w:rFonts w:ascii="Times New Roman" w:hAnsi="Times New Roman" w:cs="Times New Roman"/>
          <w:sz w:val="24"/>
          <w:szCs w:val="24"/>
          <w:lang w:val="lt-LT"/>
        </w:rPr>
        <w:t>b</w:t>
      </w:r>
      <w:r w:rsidR="008B54F5" w:rsidRPr="000D37F1">
        <w:rPr>
          <w:rFonts w:ascii="Times New Roman" w:hAnsi="Times New Roman" w:cs="Times New Roman"/>
          <w:sz w:val="24"/>
          <w:szCs w:val="24"/>
          <w:lang w:val="lt-LT"/>
        </w:rPr>
        <w:t>esitęsiantis neigiamas veiklos rezul</w:t>
      </w:r>
      <w:r w:rsidR="00146E00" w:rsidRPr="000D37F1">
        <w:rPr>
          <w:rFonts w:ascii="Times New Roman" w:hAnsi="Times New Roman" w:cs="Times New Roman"/>
          <w:sz w:val="24"/>
          <w:szCs w:val="24"/>
          <w:lang w:val="lt-LT"/>
        </w:rPr>
        <w:t>t</w:t>
      </w:r>
      <w:r w:rsidR="008B54F5" w:rsidRPr="000D37F1">
        <w:rPr>
          <w:rFonts w:ascii="Times New Roman" w:hAnsi="Times New Roman" w:cs="Times New Roman"/>
          <w:sz w:val="24"/>
          <w:szCs w:val="24"/>
          <w:lang w:val="lt-LT"/>
        </w:rPr>
        <w:t xml:space="preserve">atas, kai kurių kredito unijų bankrotai – inicijuoti Lietuvos </w:t>
      </w:r>
      <w:r w:rsidR="00146E00" w:rsidRPr="000D37F1">
        <w:rPr>
          <w:rFonts w:ascii="Times New Roman" w:hAnsi="Times New Roman" w:cs="Times New Roman"/>
          <w:sz w:val="24"/>
          <w:szCs w:val="24"/>
          <w:lang w:val="lt-LT"/>
        </w:rPr>
        <w:t xml:space="preserve">banko, </w:t>
      </w:r>
      <w:r w:rsidR="00BB5BC3">
        <w:rPr>
          <w:rFonts w:ascii="Times New Roman" w:hAnsi="Times New Roman" w:cs="Times New Roman"/>
          <w:sz w:val="24"/>
          <w:szCs w:val="24"/>
          <w:lang w:val="lt-LT"/>
        </w:rPr>
        <w:t xml:space="preserve">atšaukus </w:t>
      </w:r>
      <w:r w:rsidR="00146E00" w:rsidRPr="000D37F1">
        <w:rPr>
          <w:rFonts w:ascii="Times New Roman" w:hAnsi="Times New Roman" w:cs="Times New Roman"/>
          <w:sz w:val="24"/>
          <w:szCs w:val="24"/>
          <w:lang w:val="lt-LT"/>
        </w:rPr>
        <w:t>veiklos licenc</w:t>
      </w:r>
      <w:r w:rsidR="008B54F5" w:rsidRPr="000D37F1">
        <w:rPr>
          <w:rFonts w:ascii="Times New Roman" w:hAnsi="Times New Roman" w:cs="Times New Roman"/>
          <w:sz w:val="24"/>
          <w:szCs w:val="24"/>
          <w:lang w:val="lt-LT"/>
        </w:rPr>
        <w:t>iją.</w:t>
      </w:r>
      <w:r w:rsidR="00D90324">
        <w:rPr>
          <w:rFonts w:ascii="Times New Roman" w:hAnsi="Times New Roman" w:cs="Times New Roman"/>
          <w:sz w:val="24"/>
          <w:szCs w:val="24"/>
          <w:lang w:val="lt-LT"/>
        </w:rPr>
        <w:t xml:space="preserve"> </w:t>
      </w:r>
      <w:r w:rsidR="008A16B7">
        <w:rPr>
          <w:rFonts w:ascii="Times New Roman" w:hAnsi="Times New Roman" w:cs="Times New Roman"/>
          <w:sz w:val="24"/>
          <w:szCs w:val="24"/>
          <w:lang w:val="lt-LT"/>
        </w:rPr>
        <w:t>Pagal autorių atliktus tyrimus, galime spręsti, jog kredito unijų rizikingumui mažinti reikalinga apriboti jų plėtrą bei daugiau dėmesio skirti kredito unijų vadovų ir darbuotojų pasirengimui.</w:t>
      </w: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6F3D25" w:rsidRDefault="006F3D25" w:rsidP="008A16B7">
      <w:pPr>
        <w:spacing w:line="360" w:lineRule="auto"/>
        <w:ind w:firstLine="720"/>
        <w:jc w:val="both"/>
        <w:rPr>
          <w:rFonts w:ascii="Times New Roman" w:hAnsi="Times New Roman" w:cs="Times New Roman"/>
          <w:sz w:val="24"/>
          <w:szCs w:val="24"/>
          <w:lang w:val="lt-LT"/>
        </w:rPr>
      </w:pPr>
    </w:p>
    <w:p w:rsidR="00035BC6" w:rsidRDefault="00BA3859" w:rsidP="002228C8">
      <w:pPr>
        <w:pStyle w:val="Heading1"/>
        <w:numPr>
          <w:ilvl w:val="0"/>
          <w:numId w:val="36"/>
        </w:numPr>
        <w:jc w:val="center"/>
        <w:rPr>
          <w:rFonts w:ascii="Times New Roman" w:hAnsi="Times New Roman" w:cs="Times New Roman"/>
          <w:sz w:val="28"/>
          <w:szCs w:val="28"/>
        </w:rPr>
      </w:pPr>
      <w:bookmarkStart w:id="42" w:name="_Toc383782871"/>
      <w:bookmarkStart w:id="43" w:name="_Toc383783630"/>
      <w:bookmarkStart w:id="44" w:name="_Toc384567301"/>
      <w:bookmarkStart w:id="45" w:name="_Toc384570738"/>
      <w:r w:rsidRPr="00450C32">
        <w:rPr>
          <w:rFonts w:ascii="Times New Roman" w:hAnsi="Times New Roman" w:cs="Times New Roman"/>
          <w:sz w:val="28"/>
          <w:szCs w:val="28"/>
        </w:rPr>
        <w:lastRenderedPageBreak/>
        <w:t xml:space="preserve">PASIRINKTO MODELIO TAIKYMO </w:t>
      </w:r>
      <w:r w:rsidR="00035BC6" w:rsidRPr="00450C32">
        <w:rPr>
          <w:rFonts w:ascii="Times New Roman" w:hAnsi="Times New Roman" w:cs="Times New Roman"/>
          <w:sz w:val="28"/>
          <w:szCs w:val="28"/>
        </w:rPr>
        <w:t xml:space="preserve">KREDITO UNIJŲ </w:t>
      </w:r>
      <w:r w:rsidRPr="00450C32">
        <w:rPr>
          <w:rFonts w:ascii="Times New Roman" w:hAnsi="Times New Roman" w:cs="Times New Roman"/>
          <w:sz w:val="28"/>
          <w:szCs w:val="28"/>
        </w:rPr>
        <w:t>VEIKLOS RIZIKINGUMUI VERTINTI PAGRINDIMAS</w:t>
      </w:r>
      <w:bookmarkEnd w:id="42"/>
      <w:bookmarkEnd w:id="43"/>
      <w:bookmarkEnd w:id="44"/>
      <w:bookmarkEnd w:id="45"/>
    </w:p>
    <w:p w:rsidR="002228C8" w:rsidRPr="002228C8" w:rsidRDefault="002228C8" w:rsidP="002228C8">
      <w:pPr>
        <w:pStyle w:val="ListParagraph"/>
        <w:ind w:left="360"/>
        <w:rPr>
          <w:lang w:val="lt-LT" w:eastAsia="zh-CN"/>
        </w:rPr>
      </w:pPr>
    </w:p>
    <w:p w:rsidR="000F03BC" w:rsidRPr="000D37F1" w:rsidRDefault="00365D1B" w:rsidP="006F3D25">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Toliau vykdant tyrimus siekiama parengti metodik</w:t>
      </w:r>
      <w:r w:rsidR="00BA3859" w:rsidRPr="000D37F1">
        <w:rPr>
          <w:rFonts w:ascii="Times New Roman" w:hAnsi="Times New Roman" w:cs="Times New Roman"/>
          <w:sz w:val="24"/>
          <w:szCs w:val="24"/>
          <w:lang w:val="lt-LT"/>
        </w:rPr>
        <w:t>ą</w:t>
      </w:r>
      <w:r w:rsidRPr="000D37F1">
        <w:rPr>
          <w:rFonts w:ascii="Times New Roman" w:hAnsi="Times New Roman" w:cs="Times New Roman"/>
          <w:sz w:val="24"/>
          <w:szCs w:val="24"/>
          <w:lang w:val="lt-LT"/>
        </w:rPr>
        <w:t>, kurios pagalba būtų galima atlikti kredito unijų veiklos rizikingumo vertinimą, remiantis atitinkamų rodi</w:t>
      </w:r>
      <w:r w:rsidR="006D7496" w:rsidRPr="000D37F1">
        <w:rPr>
          <w:rFonts w:ascii="Times New Roman" w:hAnsi="Times New Roman" w:cs="Times New Roman"/>
          <w:sz w:val="24"/>
          <w:szCs w:val="24"/>
          <w:lang w:val="lt-LT"/>
        </w:rPr>
        <w:t>klių pasirinkimu ir jų vertinimai</w:t>
      </w:r>
      <w:r w:rsidRPr="000D37F1">
        <w:rPr>
          <w:rFonts w:ascii="Times New Roman" w:hAnsi="Times New Roman" w:cs="Times New Roman"/>
          <w:sz w:val="24"/>
          <w:szCs w:val="24"/>
          <w:lang w:val="lt-LT"/>
        </w:rPr>
        <w:t xml:space="preserve">s.  Šioje dalyje </w:t>
      </w:r>
      <w:r w:rsidR="00C93CD7" w:rsidRPr="000D37F1">
        <w:rPr>
          <w:rFonts w:ascii="Times New Roman" w:hAnsi="Times New Roman" w:cs="Times New Roman"/>
          <w:sz w:val="24"/>
          <w:szCs w:val="24"/>
          <w:lang w:val="lt-LT"/>
        </w:rPr>
        <w:t>apibūdinama tyrimo logika, pagrindžiami tyrimo metodai, aptariami tyrimo apribojimai ir įvertinamas gautų rezultatų patikimumas.</w:t>
      </w:r>
    </w:p>
    <w:p w:rsidR="002950EC" w:rsidRPr="00450C32" w:rsidRDefault="00CE05EE" w:rsidP="00450C32">
      <w:pPr>
        <w:pStyle w:val="Heading2"/>
        <w:jc w:val="center"/>
        <w:rPr>
          <w:rFonts w:ascii="Times New Roman" w:hAnsi="Times New Roman" w:cs="Times New Roman"/>
          <w:color w:val="auto"/>
          <w:sz w:val="24"/>
          <w:szCs w:val="24"/>
          <w:lang w:val="lt-LT"/>
        </w:rPr>
      </w:pPr>
      <w:bookmarkStart w:id="46" w:name="_Toc383782872"/>
      <w:bookmarkStart w:id="47" w:name="_Toc384567302"/>
      <w:bookmarkStart w:id="48" w:name="_Toc384570739"/>
      <w:r w:rsidRPr="00450C32">
        <w:rPr>
          <w:rFonts w:ascii="Times New Roman" w:hAnsi="Times New Roman" w:cs="Times New Roman"/>
          <w:color w:val="auto"/>
          <w:sz w:val="24"/>
          <w:szCs w:val="24"/>
          <w:lang w:val="lt-LT"/>
        </w:rPr>
        <w:t xml:space="preserve">2.1. </w:t>
      </w:r>
      <w:r w:rsidR="00FF027E" w:rsidRPr="00450C32">
        <w:rPr>
          <w:rFonts w:ascii="Times New Roman" w:hAnsi="Times New Roman" w:cs="Times New Roman"/>
          <w:color w:val="auto"/>
          <w:sz w:val="24"/>
          <w:szCs w:val="24"/>
          <w:lang w:val="lt-LT"/>
        </w:rPr>
        <w:t>BANKROTO PROGNOZ</w:t>
      </w:r>
      <w:r w:rsidR="009A79A3" w:rsidRPr="00450C32">
        <w:rPr>
          <w:rFonts w:ascii="Times New Roman" w:hAnsi="Times New Roman" w:cs="Times New Roman"/>
          <w:color w:val="auto"/>
          <w:sz w:val="24"/>
          <w:szCs w:val="24"/>
          <w:lang w:val="lt-LT"/>
        </w:rPr>
        <w:t>AVIMO</w:t>
      </w:r>
      <w:r w:rsidR="00FF027E" w:rsidRPr="00450C32">
        <w:rPr>
          <w:rFonts w:ascii="Times New Roman" w:hAnsi="Times New Roman" w:cs="Times New Roman"/>
          <w:color w:val="auto"/>
          <w:sz w:val="24"/>
          <w:szCs w:val="24"/>
          <w:lang w:val="lt-LT"/>
        </w:rPr>
        <w:t xml:space="preserve"> MODELIAI</w:t>
      </w:r>
      <w:bookmarkEnd w:id="46"/>
      <w:bookmarkEnd w:id="47"/>
      <w:bookmarkEnd w:id="48"/>
    </w:p>
    <w:p w:rsidR="000F03BC" w:rsidRPr="000D37F1" w:rsidRDefault="000F03BC" w:rsidP="007E2C35">
      <w:pPr>
        <w:tabs>
          <w:tab w:val="left" w:pos="7200"/>
        </w:tabs>
        <w:spacing w:line="360" w:lineRule="auto"/>
        <w:jc w:val="center"/>
        <w:rPr>
          <w:rFonts w:ascii="Times New Roman" w:hAnsi="Times New Roman" w:cs="Times New Roman"/>
          <w:b/>
          <w:sz w:val="24"/>
          <w:szCs w:val="24"/>
          <w:lang w:val="lt-LT"/>
        </w:rPr>
      </w:pPr>
    </w:p>
    <w:p w:rsidR="00AD5AAD" w:rsidRPr="000D37F1" w:rsidRDefault="007E2C35" w:rsidP="003956FB">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Mokslinėje literatūroje bankrotas yra apibūdinamas kaip  nuostolingas reiškinys, nes padidėja nedarbas, prarandami gamybiniai pajėgumai, mažiau surenkama mokesčių į valstybės biudžetą, valstybė išmoka daugiau socialinių išmokų bedarbiams, didėja gyventojų nepasitenkinimas silpnėjančia šalies ūkio padėtimi, mažėja sukuriamas šalies bendrasis vidaus produktas ir kt. Kai kurie mokslinės literatūros autoriai pateikia kiek kitokį požiūrį, bankrotas yra kaip neatsiejama rinkos santykių dalis, skatinanti naujų idėjų vystymąsi, technikos, gamybos bei visuomenės pažangą. Bankrotas yra vienas iš įmonės veiklos ciklo etapų bei tokiu būdu iš rinkos pašalinami nekonkurencingi, nespėjantys prisitaikyti prie r</w:t>
      </w:r>
      <w:r w:rsidR="00FE6CC1" w:rsidRPr="000D37F1">
        <w:rPr>
          <w:rFonts w:ascii="Times New Roman" w:hAnsi="Times New Roman" w:cs="Times New Roman"/>
          <w:sz w:val="24"/>
          <w:szCs w:val="24"/>
          <w:lang w:val="lt-LT"/>
        </w:rPr>
        <w:t xml:space="preserve">inkos pokyčių verslo subjektai. </w:t>
      </w:r>
    </w:p>
    <w:p w:rsidR="00141F2D" w:rsidRPr="000D37F1" w:rsidRDefault="003B0EA4" w:rsidP="00685AA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Kredito unijų bankroto tema mokslinėje li</w:t>
      </w:r>
      <w:r w:rsidR="00141F2D" w:rsidRPr="000D37F1">
        <w:rPr>
          <w:rFonts w:ascii="Times New Roman" w:hAnsi="Times New Roman" w:cs="Times New Roman"/>
          <w:sz w:val="24"/>
          <w:szCs w:val="24"/>
          <w:lang w:val="lt-LT"/>
        </w:rPr>
        <w:t>teratūroje nėra labai populiari.</w:t>
      </w:r>
      <w:r w:rsidR="00F703E7">
        <w:rPr>
          <w:rFonts w:ascii="Times New Roman" w:hAnsi="Times New Roman" w:cs="Times New Roman"/>
          <w:sz w:val="24"/>
          <w:szCs w:val="24"/>
          <w:lang w:val="lt-LT"/>
        </w:rPr>
        <w:t xml:space="preserve"> </w:t>
      </w:r>
      <w:r w:rsidR="00141F2D" w:rsidRPr="000D37F1">
        <w:rPr>
          <w:rFonts w:ascii="Times New Roman" w:hAnsi="Times New Roman" w:cs="Times New Roman"/>
          <w:sz w:val="24"/>
          <w:szCs w:val="24"/>
          <w:lang w:val="lt-LT"/>
        </w:rPr>
        <w:t>P</w:t>
      </w:r>
      <w:r w:rsidRPr="000D37F1">
        <w:rPr>
          <w:rFonts w:ascii="Times New Roman" w:hAnsi="Times New Roman" w:cs="Times New Roman"/>
          <w:sz w:val="24"/>
          <w:szCs w:val="24"/>
          <w:lang w:val="lt-LT"/>
        </w:rPr>
        <w:t xml:space="preserve">asak </w:t>
      </w:r>
      <w:proofErr w:type="spellStart"/>
      <w:r w:rsidRPr="000D37F1">
        <w:rPr>
          <w:rFonts w:ascii="Times New Roman" w:hAnsi="Times New Roman" w:cs="Times New Roman"/>
          <w:sz w:val="24"/>
          <w:szCs w:val="24"/>
          <w:lang w:val="lt-LT"/>
        </w:rPr>
        <w:t>McKillop</w:t>
      </w:r>
      <w:proofErr w:type="spellEnd"/>
      <w:r w:rsidRPr="000D37F1">
        <w:rPr>
          <w:rFonts w:ascii="Times New Roman" w:hAnsi="Times New Roman" w:cs="Times New Roman"/>
          <w:sz w:val="24"/>
          <w:szCs w:val="24"/>
          <w:lang w:val="lt-LT"/>
        </w:rPr>
        <w:t xml:space="preserve"> (2011), mažą kredito unijų bankroto prognozavimo tyrimų skaičių lėmė tai, jog daugelyje šalių labai </w:t>
      </w:r>
      <w:r w:rsidR="002228C8">
        <w:rPr>
          <w:rFonts w:ascii="Times New Roman" w:hAnsi="Times New Roman" w:cs="Times New Roman"/>
          <w:sz w:val="24"/>
          <w:szCs w:val="24"/>
          <w:lang w:val="lt-LT"/>
        </w:rPr>
        <w:t>mažas</w:t>
      </w:r>
      <w:r w:rsidRPr="000D37F1">
        <w:rPr>
          <w:rFonts w:ascii="Times New Roman" w:hAnsi="Times New Roman" w:cs="Times New Roman"/>
          <w:sz w:val="24"/>
          <w:szCs w:val="24"/>
          <w:lang w:val="lt-LT"/>
        </w:rPr>
        <w:t xml:space="preserve"> kredito unijų</w:t>
      </w:r>
      <w:r w:rsidR="002228C8">
        <w:rPr>
          <w:rFonts w:ascii="Times New Roman" w:hAnsi="Times New Roman" w:cs="Times New Roman"/>
          <w:sz w:val="24"/>
          <w:szCs w:val="24"/>
          <w:lang w:val="lt-LT"/>
        </w:rPr>
        <w:t xml:space="preserve"> skaičius</w:t>
      </w:r>
      <w:r w:rsidRPr="000D37F1">
        <w:rPr>
          <w:rFonts w:ascii="Times New Roman" w:hAnsi="Times New Roman" w:cs="Times New Roman"/>
          <w:sz w:val="24"/>
          <w:szCs w:val="24"/>
          <w:lang w:val="lt-LT"/>
        </w:rPr>
        <w:t xml:space="preserve"> bankrutuoja. Paprastai yra laikomasi kooperatyvų principo</w:t>
      </w:r>
      <w:r w:rsidR="00141F2D" w:rsidRPr="000D37F1">
        <w:rPr>
          <w:rFonts w:ascii="Times New Roman" w:hAnsi="Times New Roman" w:cs="Times New Roman"/>
          <w:sz w:val="24"/>
          <w:szCs w:val="24"/>
          <w:lang w:val="lt-LT"/>
        </w:rPr>
        <w:t xml:space="preserve"> ir </w:t>
      </w:r>
      <w:r w:rsidRPr="000D37F1">
        <w:rPr>
          <w:rFonts w:ascii="Times New Roman" w:hAnsi="Times New Roman" w:cs="Times New Roman"/>
          <w:sz w:val="24"/>
          <w:szCs w:val="24"/>
          <w:lang w:val="lt-LT"/>
        </w:rPr>
        <w:t xml:space="preserve">silpnos kredito unijos prijungiamos prie didesnių ir pajėgesnių. </w:t>
      </w:r>
    </w:p>
    <w:p w:rsidR="003956FB" w:rsidRPr="000D37F1" w:rsidRDefault="00141F2D" w:rsidP="00FA0D12">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Atsižvelgiant į mokslinių tyrimų kredito unijų </w:t>
      </w:r>
      <w:r w:rsidR="002228C8">
        <w:rPr>
          <w:rFonts w:ascii="Times New Roman" w:hAnsi="Times New Roman" w:cs="Times New Roman"/>
          <w:sz w:val="24"/>
          <w:szCs w:val="24"/>
          <w:lang w:val="lt-LT"/>
        </w:rPr>
        <w:t xml:space="preserve">rizikingumo </w:t>
      </w:r>
      <w:r w:rsidRPr="000D37F1">
        <w:rPr>
          <w:rFonts w:ascii="Times New Roman" w:hAnsi="Times New Roman" w:cs="Times New Roman"/>
          <w:sz w:val="24"/>
          <w:szCs w:val="24"/>
          <w:lang w:val="lt-LT"/>
        </w:rPr>
        <w:t xml:space="preserve">tema stygių, </w:t>
      </w:r>
      <w:r w:rsidR="003B0EA4" w:rsidRPr="000D37F1">
        <w:rPr>
          <w:rFonts w:ascii="Times New Roman" w:hAnsi="Times New Roman" w:cs="Times New Roman"/>
          <w:sz w:val="24"/>
          <w:szCs w:val="24"/>
          <w:lang w:val="lt-LT"/>
        </w:rPr>
        <w:t>autorės nuomone, tikslinga analizuoti bankų bankroto prognozavimui skirtus modelius ir juos p</w:t>
      </w:r>
      <w:r w:rsidR="002228C8">
        <w:rPr>
          <w:rFonts w:ascii="Times New Roman" w:hAnsi="Times New Roman" w:cs="Times New Roman"/>
          <w:sz w:val="24"/>
          <w:szCs w:val="24"/>
          <w:lang w:val="lt-LT"/>
        </w:rPr>
        <w:t>ritaikyti kredito unijų veiklai, nes bankrotą galima apibūdinti kaip vieną iš padidėjusio rizikingumo pasekmių, taigi šie reiškiniai yra susiję.</w:t>
      </w:r>
      <w:r w:rsidR="00FA0D12">
        <w:rPr>
          <w:rFonts w:ascii="Times New Roman" w:hAnsi="Times New Roman" w:cs="Times New Roman"/>
          <w:sz w:val="24"/>
          <w:szCs w:val="24"/>
          <w:lang w:val="lt-LT"/>
        </w:rPr>
        <w:t xml:space="preserve"> </w:t>
      </w:r>
      <w:r w:rsidR="00AD5AAD" w:rsidRPr="000D37F1">
        <w:rPr>
          <w:rFonts w:ascii="Times New Roman" w:hAnsi="Times New Roman" w:cs="Times New Roman"/>
          <w:sz w:val="24"/>
          <w:szCs w:val="24"/>
          <w:lang w:val="lt-LT"/>
        </w:rPr>
        <w:t xml:space="preserve">Tam, kad bankroto būtų išvengta, būtina jo grėsmę įvertinti iš anksto. Užsienio mokslinėje literatūroje pavieniai autoriai analizuoja kredito unijų temą, o dar mažiau -  jų bankroto riziką. </w:t>
      </w:r>
      <w:r w:rsidR="003956FB" w:rsidRPr="000D37F1">
        <w:rPr>
          <w:rFonts w:ascii="Times New Roman" w:hAnsi="Times New Roman" w:cs="Times New Roman"/>
          <w:sz w:val="24"/>
          <w:szCs w:val="24"/>
          <w:lang w:val="lt-LT"/>
        </w:rPr>
        <w:t>Įvairūs autoriai pateikia skirtingas bankroto prognozavimo modelių klasifikacijas. Jie gali būti klasifikuojami pagal duomenų pobūdį, kurie yra naudojami modelyje.</w:t>
      </w:r>
    </w:p>
    <w:p w:rsidR="003956FB" w:rsidRPr="000D37F1" w:rsidRDefault="003956FB" w:rsidP="003956FB">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 Q. </w:t>
      </w:r>
      <w:proofErr w:type="spellStart"/>
      <w:r w:rsidRPr="000D37F1">
        <w:rPr>
          <w:rFonts w:ascii="Times New Roman" w:hAnsi="Times New Roman" w:cs="Times New Roman"/>
          <w:sz w:val="24"/>
          <w:szCs w:val="24"/>
          <w:lang w:val="lt-LT"/>
        </w:rPr>
        <w:t>Abbas</w:t>
      </w:r>
      <w:proofErr w:type="spellEnd"/>
      <w:r w:rsidRPr="000D37F1">
        <w:rPr>
          <w:rFonts w:ascii="Times New Roman" w:hAnsi="Times New Roman" w:cs="Times New Roman"/>
          <w:sz w:val="24"/>
          <w:szCs w:val="24"/>
          <w:lang w:val="lt-LT"/>
        </w:rPr>
        <w:t xml:space="preserve"> ir A. </w:t>
      </w:r>
      <w:proofErr w:type="spellStart"/>
      <w:r w:rsidRPr="000D37F1">
        <w:rPr>
          <w:rFonts w:ascii="Times New Roman" w:hAnsi="Times New Roman" w:cs="Times New Roman"/>
          <w:sz w:val="24"/>
          <w:szCs w:val="24"/>
          <w:lang w:val="lt-LT"/>
        </w:rPr>
        <w:t>Rashid</w:t>
      </w:r>
      <w:proofErr w:type="spellEnd"/>
      <w:r w:rsidRPr="000D37F1">
        <w:rPr>
          <w:rFonts w:ascii="Times New Roman" w:hAnsi="Times New Roman" w:cs="Times New Roman"/>
          <w:sz w:val="24"/>
          <w:szCs w:val="24"/>
          <w:lang w:val="lt-LT"/>
        </w:rPr>
        <w:t xml:space="preserve"> (2011) visus bankroto prognozavimo modelius skirsto į:</w:t>
      </w:r>
    </w:p>
    <w:p w:rsidR="003956FB" w:rsidRPr="000D37F1" w:rsidRDefault="003956FB" w:rsidP="003956FB">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lastRenderedPageBreak/>
        <w:t>- finansiniais duomenimis pagrįsti bankroto prognozavimo modeliai (BPM) (</w:t>
      </w:r>
      <w:proofErr w:type="spellStart"/>
      <w:r w:rsidRPr="000D37F1">
        <w:rPr>
          <w:rFonts w:ascii="Times New Roman" w:hAnsi="Times New Roman" w:cs="Times New Roman"/>
          <w:sz w:val="24"/>
          <w:szCs w:val="24"/>
          <w:lang w:val="lt-LT"/>
        </w:rPr>
        <w:t>Beaver</w:t>
      </w:r>
      <w:proofErr w:type="spellEnd"/>
      <w:r w:rsidRPr="000D37F1">
        <w:rPr>
          <w:rFonts w:ascii="Times New Roman" w:hAnsi="Times New Roman" w:cs="Times New Roman"/>
          <w:sz w:val="24"/>
          <w:szCs w:val="24"/>
          <w:lang w:val="lt-LT"/>
        </w:rPr>
        <w:t xml:space="preserve"> 1966, </w:t>
      </w:r>
      <w:proofErr w:type="spellStart"/>
      <w:r w:rsidRPr="000D37F1">
        <w:rPr>
          <w:rFonts w:ascii="Times New Roman" w:hAnsi="Times New Roman" w:cs="Times New Roman"/>
          <w:sz w:val="24"/>
          <w:szCs w:val="24"/>
          <w:lang w:val="lt-LT"/>
        </w:rPr>
        <w:t>Altman</w:t>
      </w:r>
      <w:proofErr w:type="spellEnd"/>
      <w:r w:rsidRPr="000D37F1">
        <w:rPr>
          <w:rFonts w:ascii="Times New Roman" w:hAnsi="Times New Roman" w:cs="Times New Roman"/>
          <w:sz w:val="24"/>
          <w:szCs w:val="24"/>
          <w:lang w:val="lt-LT"/>
        </w:rPr>
        <w:t xml:space="preserve"> 1968, </w:t>
      </w:r>
      <w:proofErr w:type="spellStart"/>
      <w:r w:rsidRPr="000D37F1">
        <w:rPr>
          <w:rFonts w:ascii="Times New Roman" w:hAnsi="Times New Roman" w:cs="Times New Roman"/>
          <w:sz w:val="24"/>
          <w:szCs w:val="24"/>
          <w:lang w:val="lt-LT"/>
        </w:rPr>
        <w:t>Ohlso</w:t>
      </w:r>
      <w:proofErr w:type="spellEnd"/>
      <w:r w:rsidRPr="000D37F1">
        <w:rPr>
          <w:rFonts w:ascii="Times New Roman" w:hAnsi="Times New Roman" w:cs="Times New Roman"/>
          <w:sz w:val="24"/>
          <w:szCs w:val="24"/>
          <w:lang w:val="lt-LT"/>
        </w:rPr>
        <w:t xml:space="preserve"> 1980, </w:t>
      </w:r>
      <w:proofErr w:type="spellStart"/>
      <w:r w:rsidRPr="000D37F1">
        <w:rPr>
          <w:rFonts w:ascii="Times New Roman" w:hAnsi="Times New Roman" w:cs="Times New Roman"/>
          <w:sz w:val="24"/>
          <w:szCs w:val="24"/>
          <w:lang w:val="lt-LT"/>
        </w:rPr>
        <w:t>Dichev</w:t>
      </w:r>
      <w:proofErr w:type="spellEnd"/>
      <w:r w:rsidRPr="000D37F1">
        <w:rPr>
          <w:rFonts w:ascii="Times New Roman" w:hAnsi="Times New Roman" w:cs="Times New Roman"/>
          <w:sz w:val="24"/>
          <w:szCs w:val="24"/>
          <w:lang w:val="lt-LT"/>
        </w:rPr>
        <w:t xml:space="preserve"> 1998, </w:t>
      </w:r>
      <w:proofErr w:type="spellStart"/>
      <w:r w:rsidRPr="000D37F1">
        <w:rPr>
          <w:rFonts w:ascii="Times New Roman" w:hAnsi="Times New Roman" w:cs="Times New Roman"/>
          <w:sz w:val="24"/>
          <w:szCs w:val="24"/>
          <w:lang w:val="lt-LT"/>
        </w:rPr>
        <w:t>Shumway</w:t>
      </w:r>
      <w:proofErr w:type="spellEnd"/>
      <w:r w:rsidRPr="000D37F1">
        <w:rPr>
          <w:rFonts w:ascii="Times New Roman" w:hAnsi="Times New Roman" w:cs="Times New Roman"/>
          <w:sz w:val="24"/>
          <w:szCs w:val="24"/>
          <w:lang w:val="lt-LT"/>
        </w:rPr>
        <w:t xml:space="preserve"> 2001), šie modeliai yra kritikuojami dėl to, kad naudojami praeities finansiniai duomenys, taip pat jie sukurti skirtingoms įmonėms bei neapima kompanijos veiklos plačiąja prasme. Šie modeliai dar vadinami klasikiniais statistiniais modeliais dėl dažno jų naudojimo.</w:t>
      </w:r>
    </w:p>
    <w:p w:rsidR="003956FB" w:rsidRPr="000D37F1" w:rsidRDefault="003956FB" w:rsidP="003956FB">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rinkos duomenimis pagrįsti BPM, informacija šiems modeliams pateikiama iš rinkos, pvz.: rinkos kainos (</w:t>
      </w:r>
      <w:proofErr w:type="spellStart"/>
      <w:r w:rsidRPr="000D37F1">
        <w:rPr>
          <w:rFonts w:ascii="Times New Roman" w:hAnsi="Times New Roman" w:cs="Times New Roman"/>
          <w:sz w:val="24"/>
          <w:szCs w:val="24"/>
          <w:lang w:val="lt-LT"/>
        </w:rPr>
        <w:t>Merton</w:t>
      </w:r>
      <w:proofErr w:type="spellEnd"/>
      <w:r w:rsidRPr="000D37F1">
        <w:rPr>
          <w:rFonts w:ascii="Times New Roman" w:hAnsi="Times New Roman" w:cs="Times New Roman"/>
          <w:sz w:val="24"/>
          <w:szCs w:val="24"/>
          <w:lang w:val="lt-LT"/>
        </w:rPr>
        <w:t xml:space="preserve"> (19</w:t>
      </w:r>
      <w:r w:rsidR="003845A2">
        <w:rPr>
          <w:rFonts w:ascii="Times New Roman" w:hAnsi="Times New Roman" w:cs="Times New Roman"/>
          <w:sz w:val="24"/>
          <w:szCs w:val="24"/>
          <w:lang w:val="lt-LT"/>
        </w:rPr>
        <w:t>74) pasirinkimo kainos teorija.</w:t>
      </w:r>
      <w:r w:rsidRPr="000D37F1">
        <w:rPr>
          <w:rFonts w:ascii="Times New Roman" w:hAnsi="Times New Roman" w:cs="Times New Roman"/>
          <w:sz w:val="24"/>
          <w:szCs w:val="24"/>
          <w:lang w:val="lt-LT"/>
        </w:rPr>
        <w:t xml:space="preserve"> Kai kurie mokslininkai daro išvadą, kad į rinką orientuoti BPM suteikia daugiau informacijos apie bankroto tikimybę nei apskaitos duomenimis pagrįsti modeliai. </w:t>
      </w:r>
    </w:p>
    <w:p w:rsidR="003956FB" w:rsidRPr="000D37F1" w:rsidRDefault="003956FB" w:rsidP="003956FB">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dirbtinio intelekto BPM, technologijų pažanga lėmė dirbtinio intelekto technikų / metodų atsiradimą, kurie naudojami prognozuoti bankroto tikimybę, plačiai naudojamas – dirbtinių neuronų tinklų metodas</w:t>
      </w:r>
      <w:r w:rsidR="00F703E7">
        <w:rPr>
          <w:rStyle w:val="FootnoteReference"/>
          <w:rFonts w:ascii="Times New Roman" w:hAnsi="Times New Roman" w:cs="Times New Roman"/>
          <w:sz w:val="24"/>
          <w:szCs w:val="24"/>
          <w:lang w:val="lt-LT"/>
        </w:rPr>
        <w:footnoteReference w:id="4"/>
      </w:r>
      <w:r w:rsidRPr="000D37F1">
        <w:rPr>
          <w:rFonts w:ascii="Times New Roman" w:hAnsi="Times New Roman" w:cs="Times New Roman"/>
          <w:sz w:val="24"/>
          <w:szCs w:val="24"/>
          <w:lang w:val="lt-LT"/>
        </w:rPr>
        <w:t xml:space="preserve">, kurio pagalba pasiekiami aukšto patikimumo rezultatai. </w:t>
      </w:r>
    </w:p>
    <w:p w:rsidR="003845A2" w:rsidRDefault="00636B2C" w:rsidP="009C4B86">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Taigi analizuojant ir vertinant ri</w:t>
      </w:r>
      <w:r w:rsidR="00AD5AAD" w:rsidRPr="000D37F1">
        <w:rPr>
          <w:rFonts w:ascii="Times New Roman" w:hAnsi="Times New Roman" w:cs="Times New Roman"/>
          <w:sz w:val="24"/>
          <w:szCs w:val="24"/>
          <w:lang w:val="lt-LT"/>
        </w:rPr>
        <w:t xml:space="preserve">zikingumą atkreiptinas dėmesys </w:t>
      </w:r>
      <w:r w:rsidRPr="000D37F1">
        <w:rPr>
          <w:rFonts w:ascii="Times New Roman" w:hAnsi="Times New Roman" w:cs="Times New Roman"/>
          <w:sz w:val="24"/>
          <w:szCs w:val="24"/>
          <w:lang w:val="lt-LT"/>
        </w:rPr>
        <w:t>į bankroto prognozavi</w:t>
      </w:r>
      <w:r w:rsidR="00AD5AAD" w:rsidRPr="000D37F1">
        <w:rPr>
          <w:rFonts w:ascii="Times New Roman" w:hAnsi="Times New Roman" w:cs="Times New Roman"/>
          <w:sz w:val="24"/>
          <w:szCs w:val="24"/>
          <w:lang w:val="lt-LT"/>
        </w:rPr>
        <w:t xml:space="preserve">mo modelius. Populiariausi yra </w:t>
      </w:r>
      <w:r w:rsidRPr="000D37F1">
        <w:rPr>
          <w:rFonts w:ascii="Times New Roman" w:hAnsi="Times New Roman" w:cs="Times New Roman"/>
          <w:sz w:val="24"/>
          <w:szCs w:val="24"/>
          <w:lang w:val="lt-LT"/>
        </w:rPr>
        <w:t xml:space="preserve">tiesinės diskriminantinės analizės modeliai (dažniausiai naudojamas </w:t>
      </w:r>
      <w:proofErr w:type="spellStart"/>
      <w:r w:rsidRPr="000D37F1">
        <w:rPr>
          <w:rFonts w:ascii="Times New Roman" w:hAnsi="Times New Roman" w:cs="Times New Roman"/>
          <w:sz w:val="24"/>
          <w:szCs w:val="24"/>
          <w:lang w:val="lt-LT"/>
        </w:rPr>
        <w:t>Altman</w:t>
      </w:r>
      <w:proofErr w:type="spellEnd"/>
      <w:r w:rsidRPr="000D37F1">
        <w:rPr>
          <w:rFonts w:ascii="Times New Roman" w:hAnsi="Times New Roman" w:cs="Times New Roman"/>
          <w:sz w:val="24"/>
          <w:szCs w:val="24"/>
          <w:lang w:val="lt-LT"/>
        </w:rPr>
        <w:t xml:space="preserve"> Z modelis), kurie remiantis tiesine funkcija nustato priklausomybę tarp priklausomojo kintamojo (bankroto tikimybės) ir nepriklauso</w:t>
      </w:r>
      <w:r w:rsidR="003845A2">
        <w:rPr>
          <w:rFonts w:ascii="Times New Roman" w:hAnsi="Times New Roman" w:cs="Times New Roman"/>
          <w:sz w:val="24"/>
          <w:szCs w:val="24"/>
          <w:lang w:val="lt-LT"/>
        </w:rPr>
        <w:t xml:space="preserve">mų kintamųjų (finansinių įmonės </w:t>
      </w:r>
      <w:r w:rsidRPr="000D37F1">
        <w:rPr>
          <w:rFonts w:ascii="Times New Roman" w:hAnsi="Times New Roman" w:cs="Times New Roman"/>
          <w:sz w:val="24"/>
          <w:szCs w:val="24"/>
          <w:lang w:val="lt-LT"/>
        </w:rPr>
        <w:t xml:space="preserve">rodiklių). </w:t>
      </w:r>
      <w:r w:rsidR="00AD5AAD" w:rsidRPr="000D37F1">
        <w:rPr>
          <w:rFonts w:ascii="Times New Roman" w:hAnsi="Times New Roman" w:cs="Times New Roman"/>
          <w:sz w:val="24"/>
          <w:szCs w:val="24"/>
          <w:lang w:val="lt-LT"/>
        </w:rPr>
        <w:t xml:space="preserve">Paprastai analizuojamos tam tikros rinkos, pobūdžio ir laikmečio įmonės, kad visiškai pasitikėti vienu bankroto prognozavimo modeliu ir jo tinkamumu Lietuvos įmonių bankrotui prognozuoti, nederėtų (K. </w:t>
      </w:r>
      <w:proofErr w:type="spellStart"/>
      <w:r w:rsidR="00AD5AAD" w:rsidRPr="000D37F1">
        <w:rPr>
          <w:rFonts w:ascii="Times New Roman" w:hAnsi="Times New Roman" w:cs="Times New Roman"/>
          <w:sz w:val="24"/>
          <w:szCs w:val="24"/>
          <w:lang w:val="lt-LT"/>
        </w:rPr>
        <w:t>Garškaitė</w:t>
      </w:r>
      <w:proofErr w:type="spellEnd"/>
      <w:r w:rsidR="00AD5AAD" w:rsidRPr="000D37F1">
        <w:rPr>
          <w:rFonts w:ascii="Times New Roman" w:hAnsi="Times New Roman" w:cs="Times New Roman"/>
          <w:sz w:val="24"/>
          <w:szCs w:val="24"/>
          <w:lang w:val="lt-LT"/>
        </w:rPr>
        <w:t xml:space="preserve"> (2008), J. Mackevičius (2006))</w:t>
      </w:r>
      <w:r w:rsidRPr="000D37F1">
        <w:rPr>
          <w:rFonts w:ascii="Times New Roman" w:hAnsi="Times New Roman" w:cs="Times New Roman"/>
          <w:sz w:val="24"/>
          <w:szCs w:val="24"/>
          <w:lang w:val="lt-LT"/>
        </w:rPr>
        <w:t>, dėl kredito įstaigų finansinių ataskaitų specifikos šie modeliai būtų sunkiai pritaikomi.</w:t>
      </w:r>
      <w:r w:rsidR="00833893">
        <w:rPr>
          <w:rFonts w:ascii="Times New Roman" w:hAnsi="Times New Roman" w:cs="Times New Roman"/>
          <w:sz w:val="24"/>
          <w:szCs w:val="24"/>
          <w:lang w:val="lt-LT"/>
        </w:rPr>
        <w:t xml:space="preserve"> </w:t>
      </w:r>
    </w:p>
    <w:p w:rsidR="007C1CBF" w:rsidRPr="000D37F1" w:rsidRDefault="00AD5AAD" w:rsidP="009C4B86">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Norėdama </w:t>
      </w:r>
      <w:r w:rsidR="003845A2">
        <w:rPr>
          <w:rFonts w:ascii="Times New Roman" w:hAnsi="Times New Roman" w:cs="Times New Roman"/>
          <w:sz w:val="24"/>
          <w:szCs w:val="24"/>
          <w:lang w:val="lt-LT"/>
        </w:rPr>
        <w:t>modelio tinkamumą kredito unijoms</w:t>
      </w:r>
      <w:r w:rsidRPr="000D37F1">
        <w:rPr>
          <w:rFonts w:ascii="Times New Roman" w:hAnsi="Times New Roman" w:cs="Times New Roman"/>
          <w:sz w:val="24"/>
          <w:szCs w:val="24"/>
          <w:lang w:val="lt-LT"/>
        </w:rPr>
        <w:t xml:space="preserve"> pagrįsti arba atmesti, a</w:t>
      </w:r>
      <w:r w:rsidR="009C4B86">
        <w:rPr>
          <w:rFonts w:ascii="Times New Roman" w:hAnsi="Times New Roman" w:cs="Times New Roman"/>
          <w:sz w:val="24"/>
          <w:szCs w:val="24"/>
          <w:lang w:val="lt-LT"/>
        </w:rPr>
        <w:t xml:space="preserve">utorė atliko skaičiavimus (žr. </w:t>
      </w:r>
      <w:r w:rsidR="009C4B86" w:rsidRPr="00752806">
        <w:rPr>
          <w:rFonts w:ascii="Times New Roman" w:hAnsi="Times New Roman" w:cs="Times New Roman"/>
          <w:sz w:val="24"/>
          <w:szCs w:val="24"/>
          <w:lang w:val="lt-LT"/>
        </w:rPr>
        <w:t>5 pried</w:t>
      </w:r>
      <w:r w:rsidR="009C4B86">
        <w:rPr>
          <w:rFonts w:ascii="Times New Roman" w:hAnsi="Times New Roman" w:cs="Times New Roman"/>
          <w:sz w:val="24"/>
          <w:szCs w:val="24"/>
          <w:lang w:val="lt-LT"/>
        </w:rPr>
        <w:t xml:space="preserve">ą) </w:t>
      </w:r>
      <w:r w:rsidR="007C1CBF" w:rsidRPr="000D37F1">
        <w:rPr>
          <w:rFonts w:ascii="Times New Roman" w:hAnsi="Times New Roman" w:cs="Times New Roman"/>
          <w:sz w:val="24"/>
          <w:szCs w:val="24"/>
          <w:lang w:val="lt-LT"/>
        </w:rPr>
        <w:t xml:space="preserve">pagal </w:t>
      </w:r>
      <w:proofErr w:type="spellStart"/>
      <w:r w:rsidR="007C1CBF" w:rsidRPr="000D37F1">
        <w:rPr>
          <w:rFonts w:ascii="Times New Roman" w:hAnsi="Times New Roman" w:cs="Times New Roman"/>
          <w:sz w:val="24"/>
          <w:szCs w:val="24"/>
          <w:lang w:val="lt-LT"/>
        </w:rPr>
        <w:t>Altman</w:t>
      </w:r>
      <w:proofErr w:type="spellEnd"/>
      <w:r w:rsidR="007C1CBF" w:rsidRPr="000D37F1">
        <w:rPr>
          <w:rFonts w:ascii="Times New Roman" w:hAnsi="Times New Roman" w:cs="Times New Roman"/>
          <w:sz w:val="24"/>
          <w:szCs w:val="24"/>
          <w:lang w:val="lt-LT"/>
        </w:rPr>
        <w:t xml:space="preserve"> Z funkciją, skirtą biržoje nekotiruojamos įmonėms</w:t>
      </w:r>
      <w:r w:rsidR="003845A2">
        <w:rPr>
          <w:rFonts w:ascii="Times New Roman" w:hAnsi="Times New Roman" w:cs="Times New Roman"/>
          <w:sz w:val="24"/>
          <w:szCs w:val="24"/>
          <w:lang w:val="lt-LT"/>
        </w:rPr>
        <w:t xml:space="preserve">. </w:t>
      </w:r>
      <w:r w:rsidR="007C1CBF" w:rsidRPr="000D37F1">
        <w:rPr>
          <w:rFonts w:ascii="Times New Roman" w:hAnsi="Times New Roman" w:cs="Times New Roman"/>
          <w:sz w:val="24"/>
          <w:szCs w:val="24"/>
          <w:lang w:val="lt-LT"/>
        </w:rPr>
        <w:t xml:space="preserve"> </w:t>
      </w:r>
      <w:r w:rsidR="003845A2">
        <w:rPr>
          <w:rFonts w:ascii="Times New Roman" w:hAnsi="Times New Roman" w:cs="Times New Roman"/>
          <w:sz w:val="24"/>
          <w:szCs w:val="24"/>
          <w:lang w:val="lt-LT"/>
        </w:rPr>
        <w:t xml:space="preserve">Atlikus skaičiavimus buvo nustatyta, </w:t>
      </w:r>
      <w:proofErr w:type="spellStart"/>
      <w:r w:rsidR="003845A2">
        <w:rPr>
          <w:rFonts w:ascii="Times New Roman" w:hAnsi="Times New Roman" w:cs="Times New Roman"/>
          <w:sz w:val="24"/>
          <w:szCs w:val="24"/>
          <w:lang w:val="lt-LT"/>
        </w:rPr>
        <w:t>jig</w:t>
      </w:r>
      <w:proofErr w:type="spellEnd"/>
      <w:r w:rsidR="007C1CBF" w:rsidRPr="000D37F1">
        <w:rPr>
          <w:rFonts w:ascii="Times New Roman" w:hAnsi="Times New Roman" w:cs="Times New Roman"/>
          <w:sz w:val="24"/>
          <w:szCs w:val="24"/>
          <w:lang w:val="lt-LT"/>
        </w:rPr>
        <w:t xml:space="preserve"> šis modelis kredito unijų ba</w:t>
      </w:r>
      <w:r w:rsidR="003845A2">
        <w:rPr>
          <w:rFonts w:ascii="Times New Roman" w:hAnsi="Times New Roman" w:cs="Times New Roman"/>
          <w:sz w:val="24"/>
          <w:szCs w:val="24"/>
          <w:lang w:val="lt-LT"/>
        </w:rPr>
        <w:t>nkroto grėsmei prognozuoti yra</w:t>
      </w:r>
      <w:r w:rsidR="007C1CBF" w:rsidRPr="000D37F1">
        <w:rPr>
          <w:rFonts w:ascii="Times New Roman" w:hAnsi="Times New Roman" w:cs="Times New Roman"/>
          <w:sz w:val="24"/>
          <w:szCs w:val="24"/>
          <w:lang w:val="lt-LT"/>
        </w:rPr>
        <w:t xml:space="preserve"> netinkamas. Didžiausia gauta funk</w:t>
      </w:r>
      <w:r w:rsidRPr="000D37F1">
        <w:rPr>
          <w:rFonts w:ascii="Times New Roman" w:hAnsi="Times New Roman" w:cs="Times New Roman"/>
          <w:sz w:val="24"/>
          <w:szCs w:val="24"/>
          <w:lang w:val="lt-LT"/>
        </w:rPr>
        <w:t>cijos reikšmė buvo 0.</w:t>
      </w:r>
      <w:r w:rsidR="007C1CBF" w:rsidRPr="000D37F1">
        <w:rPr>
          <w:rFonts w:ascii="Times New Roman" w:hAnsi="Times New Roman" w:cs="Times New Roman"/>
          <w:sz w:val="24"/>
          <w:szCs w:val="24"/>
          <w:lang w:val="lt-LT"/>
        </w:rPr>
        <w:t xml:space="preserve">35, </w:t>
      </w:r>
      <w:r w:rsidRPr="000D37F1">
        <w:rPr>
          <w:rFonts w:ascii="Times New Roman" w:hAnsi="Times New Roman" w:cs="Times New Roman"/>
          <w:sz w:val="24"/>
          <w:szCs w:val="24"/>
          <w:lang w:val="lt-LT"/>
        </w:rPr>
        <w:t>o pagal šį modelį bankroto tikimybė yra labai didelė, jei Z reikšmė yra mažiau nei 1.23, t</w:t>
      </w:r>
      <w:r w:rsidR="007C1CBF" w:rsidRPr="000D37F1">
        <w:rPr>
          <w:rFonts w:ascii="Times New Roman" w:hAnsi="Times New Roman" w:cs="Times New Roman"/>
          <w:sz w:val="24"/>
          <w:szCs w:val="24"/>
          <w:lang w:val="lt-LT"/>
        </w:rPr>
        <w:t>ai reikštų, jog remiantis šiuo modeliu, visoms kredito unijos artimiausiu metu gresia bankrotas.</w:t>
      </w:r>
      <w:r w:rsidR="0033781F" w:rsidRPr="000D37F1">
        <w:rPr>
          <w:rFonts w:ascii="Times New Roman" w:hAnsi="Times New Roman" w:cs="Times New Roman"/>
          <w:sz w:val="24"/>
          <w:szCs w:val="24"/>
          <w:lang w:val="lt-LT"/>
        </w:rPr>
        <w:t xml:space="preserve"> Gautą informaciją galime paaiškinti tuo, jog kredito unijos nėra pelno siekiančios organizacijos, </w:t>
      </w:r>
      <w:r w:rsidR="003845A2">
        <w:rPr>
          <w:rFonts w:ascii="Times New Roman" w:hAnsi="Times New Roman" w:cs="Times New Roman"/>
          <w:sz w:val="24"/>
          <w:szCs w:val="24"/>
          <w:lang w:val="lt-LT"/>
        </w:rPr>
        <w:t xml:space="preserve">o </w:t>
      </w:r>
      <w:proofErr w:type="spellStart"/>
      <w:r w:rsidR="003845A2">
        <w:rPr>
          <w:rFonts w:ascii="Times New Roman" w:hAnsi="Times New Roman" w:cs="Times New Roman"/>
          <w:sz w:val="24"/>
          <w:szCs w:val="24"/>
          <w:lang w:val="lt-LT"/>
        </w:rPr>
        <w:t>Altman</w:t>
      </w:r>
      <w:proofErr w:type="spellEnd"/>
      <w:r w:rsidR="003845A2">
        <w:rPr>
          <w:rFonts w:ascii="Times New Roman" w:hAnsi="Times New Roman" w:cs="Times New Roman"/>
          <w:sz w:val="24"/>
          <w:szCs w:val="24"/>
          <w:lang w:val="lt-LT"/>
        </w:rPr>
        <w:t xml:space="preserve"> Z modelyje net </w:t>
      </w:r>
      <w:r w:rsidR="003845A2">
        <w:rPr>
          <w:rFonts w:ascii="Times New Roman" w:hAnsi="Times New Roman" w:cs="Times New Roman"/>
          <w:sz w:val="24"/>
          <w:szCs w:val="24"/>
        </w:rPr>
        <w:t xml:space="preserve">3 </w:t>
      </w:r>
      <w:proofErr w:type="spellStart"/>
      <w:r w:rsidR="003845A2">
        <w:rPr>
          <w:rFonts w:ascii="Times New Roman" w:hAnsi="Times New Roman" w:cs="Times New Roman"/>
          <w:sz w:val="24"/>
          <w:szCs w:val="24"/>
        </w:rPr>
        <w:lastRenderedPageBreak/>
        <w:t>i</w:t>
      </w:r>
      <w:proofErr w:type="spellEnd"/>
      <w:r w:rsidR="003845A2">
        <w:rPr>
          <w:rFonts w:ascii="Times New Roman" w:hAnsi="Times New Roman" w:cs="Times New Roman"/>
          <w:sz w:val="24"/>
          <w:szCs w:val="24"/>
          <w:lang w:val="lt-LT"/>
        </w:rPr>
        <w:t>š penkių rodiklių yra susiję su pelnu bei pajamomis. Taigi Z funkcijos reikšmė didėtų, didėjant pelnui.</w:t>
      </w:r>
    </w:p>
    <w:p w:rsidR="00524082" w:rsidRDefault="007C1CBF" w:rsidP="00524082">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M</w:t>
      </w:r>
      <w:r w:rsidR="00636B2C" w:rsidRPr="000D37F1">
        <w:rPr>
          <w:rFonts w:ascii="Times New Roman" w:hAnsi="Times New Roman" w:cs="Times New Roman"/>
          <w:sz w:val="24"/>
          <w:szCs w:val="24"/>
          <w:lang w:val="lt-LT"/>
        </w:rPr>
        <w:t xml:space="preserve">okslininkai stengiasi sukurti visą įmonės veiklą apimančius modelius, kurių pagalba būtų galima kuo tiksliau ir kuo anksčiau prognozuoti bankroto tikimybę, tačiau kol kas nėra vieningos nuomonės dėl tinkamiausios bankroto prognozavimo sistemos. Šią temą savo publikacijose nagrinėja J. Mackevičius (2005, 2006, 2010), taip pat R. </w:t>
      </w:r>
      <w:proofErr w:type="spellStart"/>
      <w:r w:rsidR="00636B2C" w:rsidRPr="000D37F1">
        <w:rPr>
          <w:rFonts w:ascii="Times New Roman" w:hAnsi="Times New Roman" w:cs="Times New Roman"/>
          <w:sz w:val="24"/>
          <w:szCs w:val="24"/>
          <w:lang w:val="lt-LT"/>
        </w:rPr>
        <w:t>Virbickaitė</w:t>
      </w:r>
      <w:proofErr w:type="spellEnd"/>
      <w:r w:rsidR="00636B2C" w:rsidRPr="000D37F1">
        <w:rPr>
          <w:rFonts w:ascii="Times New Roman" w:hAnsi="Times New Roman" w:cs="Times New Roman"/>
          <w:sz w:val="24"/>
          <w:szCs w:val="24"/>
          <w:lang w:val="lt-LT"/>
        </w:rPr>
        <w:t xml:space="preserve"> ir kiti autoriai. Dėl bankroto prognozavimo modelių taikymo Lietuvos įmonėms nėra vieningos nuomonės, J. Mackevičius, S. </w:t>
      </w:r>
      <w:proofErr w:type="spellStart"/>
      <w:r w:rsidR="00636B2C" w:rsidRPr="000D37F1">
        <w:rPr>
          <w:rFonts w:ascii="Times New Roman" w:hAnsi="Times New Roman" w:cs="Times New Roman"/>
          <w:sz w:val="24"/>
          <w:szCs w:val="24"/>
          <w:lang w:val="lt-LT"/>
        </w:rPr>
        <w:t>Silvanavičiūtė</w:t>
      </w:r>
      <w:proofErr w:type="spellEnd"/>
      <w:r w:rsidR="00636B2C" w:rsidRPr="000D37F1">
        <w:rPr>
          <w:rFonts w:ascii="Times New Roman" w:hAnsi="Times New Roman" w:cs="Times New Roman"/>
          <w:sz w:val="24"/>
          <w:szCs w:val="24"/>
          <w:lang w:val="lt-LT"/>
        </w:rPr>
        <w:t xml:space="preserve"> (2006) atlikę tyrimą teigia, kad Lietuvos įmonėms tikslingiau naudoti tiesinės diskriminantinės analizės modelius nei logistinės regresijos, tačiau negalima pasitikėti vienu modeliu gautais rezultatais bei bankroto prognozavimo modelių tinkamumo Lietuvos įmonėms tyrimus yra tikslinga tęsti.</w:t>
      </w:r>
      <w:r w:rsidR="00833893">
        <w:rPr>
          <w:rFonts w:ascii="Times New Roman" w:hAnsi="Times New Roman" w:cs="Times New Roman"/>
          <w:sz w:val="24"/>
          <w:szCs w:val="24"/>
          <w:lang w:val="lt-LT"/>
        </w:rPr>
        <w:t xml:space="preserve"> </w:t>
      </w:r>
      <w:r w:rsidR="0044142E" w:rsidRPr="000D37F1">
        <w:rPr>
          <w:rFonts w:ascii="Times New Roman" w:hAnsi="Times New Roman" w:cs="Times New Roman"/>
          <w:sz w:val="24"/>
          <w:szCs w:val="24"/>
          <w:lang w:val="lt-LT"/>
        </w:rPr>
        <w:t xml:space="preserve">Anot L. </w:t>
      </w:r>
      <w:proofErr w:type="spellStart"/>
      <w:r w:rsidR="0044142E" w:rsidRPr="000D37F1">
        <w:rPr>
          <w:rFonts w:ascii="Times New Roman" w:hAnsi="Times New Roman" w:cs="Times New Roman"/>
          <w:sz w:val="24"/>
          <w:szCs w:val="24"/>
          <w:lang w:val="lt-LT"/>
        </w:rPr>
        <w:t>Dzidzevičiūtės</w:t>
      </w:r>
      <w:proofErr w:type="spellEnd"/>
      <w:r w:rsidR="0044142E" w:rsidRPr="000D37F1">
        <w:rPr>
          <w:rFonts w:ascii="Times New Roman" w:hAnsi="Times New Roman" w:cs="Times New Roman"/>
          <w:sz w:val="24"/>
          <w:szCs w:val="24"/>
          <w:lang w:val="lt-LT"/>
        </w:rPr>
        <w:t xml:space="preserve"> (2010), pastaruoju metu bankuose plačiai naudojama logistinė regresija, nors sparčiai populiarėja ir išlikimo analizė, o ypač Kokso regresija.</w:t>
      </w:r>
      <w:r w:rsidR="00524082" w:rsidRPr="00524082">
        <w:rPr>
          <w:rFonts w:ascii="Times New Roman" w:hAnsi="Times New Roman" w:cs="Times New Roman"/>
          <w:sz w:val="24"/>
          <w:szCs w:val="24"/>
          <w:lang w:val="lt-LT"/>
        </w:rPr>
        <w:t xml:space="preserve"> </w:t>
      </w:r>
    </w:p>
    <w:p w:rsidR="0044142E" w:rsidRPr="000D37F1" w:rsidRDefault="00524082" w:rsidP="00676AE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D. </w:t>
      </w:r>
      <w:proofErr w:type="spellStart"/>
      <w:r w:rsidRPr="000D37F1">
        <w:rPr>
          <w:rFonts w:ascii="Times New Roman" w:hAnsi="Times New Roman" w:cs="Times New Roman"/>
          <w:sz w:val="24"/>
          <w:szCs w:val="24"/>
          <w:lang w:val="lt-LT"/>
        </w:rPr>
        <w:t>Rugenytė</w:t>
      </w:r>
      <w:proofErr w:type="spellEnd"/>
      <w:r w:rsidRPr="000D37F1">
        <w:rPr>
          <w:rFonts w:ascii="Times New Roman" w:hAnsi="Times New Roman" w:cs="Times New Roman"/>
          <w:sz w:val="24"/>
          <w:szCs w:val="24"/>
          <w:lang w:val="lt-LT"/>
        </w:rPr>
        <w:t xml:space="preserve"> ir </w:t>
      </w:r>
      <w:proofErr w:type="spellStart"/>
      <w:r w:rsidRPr="000D37F1">
        <w:rPr>
          <w:rFonts w:ascii="Times New Roman" w:hAnsi="Times New Roman" w:cs="Times New Roman"/>
          <w:sz w:val="24"/>
          <w:szCs w:val="24"/>
          <w:lang w:val="lt-LT"/>
        </w:rPr>
        <w:t>kt</w:t>
      </w:r>
      <w:proofErr w:type="spellEnd"/>
      <w:r w:rsidRPr="000D37F1">
        <w:rPr>
          <w:rFonts w:ascii="Times New Roman" w:hAnsi="Times New Roman" w:cs="Times New Roman"/>
          <w:sz w:val="24"/>
          <w:szCs w:val="24"/>
          <w:lang w:val="lt-LT"/>
        </w:rPr>
        <w:t>. autoriais (2010) išanalizavusi bankroto prognozavimo būdus prieina išvados, jog kiekviena įmonė turėtų rasti savo veiklos stabilumo ir tęstinumo vertinimo metodiką. J. Mackevičius (2010) analizavęs bankroto prognozavimo modelių tinkamumą Lietuvos įmonėms, išankstinei bankroto tikimybei nustatyti rekomenduoja naudoti integruotą įmonių bankroto prognozavimo metodiką, kurią sudaro šie elementai: įmonės išorės ir vidaus aplinkos tyrimas, absoliutinių finansinių rodiklių pokyčių vertinimas, santykinių finansinių rodiklių skaičiavimas ir vertinimas bei bankroto</w:t>
      </w:r>
      <w:r w:rsidR="00676AE9">
        <w:rPr>
          <w:rFonts w:ascii="Times New Roman" w:hAnsi="Times New Roman" w:cs="Times New Roman"/>
          <w:sz w:val="24"/>
          <w:szCs w:val="24"/>
          <w:lang w:val="lt-LT"/>
        </w:rPr>
        <w:t xml:space="preserve"> prognozavimo modelių taikymas.</w:t>
      </w:r>
    </w:p>
    <w:p w:rsidR="000F03BC" w:rsidRDefault="00626FF9" w:rsidP="000F03B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R. </w:t>
      </w:r>
      <w:proofErr w:type="spellStart"/>
      <w:r w:rsidRPr="000D37F1">
        <w:rPr>
          <w:rFonts w:ascii="Times New Roman" w:hAnsi="Times New Roman" w:cs="Times New Roman"/>
          <w:sz w:val="24"/>
          <w:szCs w:val="24"/>
          <w:lang w:val="lt-LT"/>
        </w:rPr>
        <w:t>Ginevičiaus</w:t>
      </w:r>
      <w:proofErr w:type="spellEnd"/>
      <w:r w:rsidRPr="000D37F1">
        <w:rPr>
          <w:rFonts w:ascii="Times New Roman" w:hAnsi="Times New Roman" w:cs="Times New Roman"/>
          <w:sz w:val="24"/>
          <w:szCs w:val="24"/>
          <w:lang w:val="lt-LT"/>
        </w:rPr>
        <w:t xml:space="preserve">, A. </w:t>
      </w:r>
      <w:proofErr w:type="spellStart"/>
      <w:r w:rsidRPr="000D37F1">
        <w:rPr>
          <w:rFonts w:ascii="Times New Roman" w:hAnsi="Times New Roman" w:cs="Times New Roman"/>
          <w:sz w:val="24"/>
          <w:szCs w:val="24"/>
          <w:lang w:val="lt-LT"/>
        </w:rPr>
        <w:t>Podviezko</w:t>
      </w:r>
      <w:proofErr w:type="spellEnd"/>
      <w:r w:rsidRPr="000D37F1">
        <w:rPr>
          <w:rFonts w:ascii="Times New Roman" w:hAnsi="Times New Roman" w:cs="Times New Roman"/>
          <w:sz w:val="24"/>
          <w:szCs w:val="24"/>
          <w:lang w:val="lt-LT"/>
        </w:rPr>
        <w:t xml:space="preserve"> (2012) išskiria tris komercinių bankų vertinimo met</w:t>
      </w:r>
      <w:r w:rsidR="000F03BC">
        <w:rPr>
          <w:rFonts w:ascii="Times New Roman" w:hAnsi="Times New Roman" w:cs="Times New Roman"/>
          <w:sz w:val="24"/>
          <w:szCs w:val="24"/>
          <w:lang w:val="lt-LT"/>
        </w:rPr>
        <w:t>odikų tipus:</w:t>
      </w:r>
    </w:p>
    <w:p w:rsidR="00626FF9" w:rsidRPr="000F03BC" w:rsidRDefault="00626FF9" w:rsidP="000F03BC">
      <w:pPr>
        <w:pStyle w:val="ListParagraph"/>
        <w:numPr>
          <w:ilvl w:val="0"/>
          <w:numId w:val="33"/>
        </w:numPr>
        <w:spacing w:line="360" w:lineRule="auto"/>
        <w:jc w:val="both"/>
        <w:rPr>
          <w:rFonts w:ascii="Times New Roman" w:hAnsi="Times New Roman" w:cs="Times New Roman"/>
          <w:sz w:val="24"/>
          <w:szCs w:val="24"/>
          <w:lang w:val="lt-LT"/>
        </w:rPr>
      </w:pPr>
      <w:proofErr w:type="spellStart"/>
      <w:r w:rsidRPr="000F03BC">
        <w:rPr>
          <w:rFonts w:ascii="Times New Roman" w:hAnsi="Times New Roman" w:cs="Times New Roman"/>
          <w:sz w:val="24"/>
          <w:szCs w:val="24"/>
          <w:lang w:val="lt-LT"/>
        </w:rPr>
        <w:t>Reitingavimo</w:t>
      </w:r>
      <w:proofErr w:type="spellEnd"/>
      <w:r w:rsidRPr="000F03BC">
        <w:rPr>
          <w:rFonts w:ascii="Times New Roman" w:hAnsi="Times New Roman" w:cs="Times New Roman"/>
          <w:sz w:val="24"/>
          <w:szCs w:val="24"/>
          <w:lang w:val="lt-LT"/>
        </w:rPr>
        <w:t xml:space="preserve"> agentūrų metodikos;</w:t>
      </w:r>
    </w:p>
    <w:p w:rsidR="00626FF9" w:rsidRPr="000D37F1" w:rsidRDefault="00626FF9" w:rsidP="00626FF9">
      <w:pPr>
        <w:pStyle w:val="ListParagraph"/>
        <w:numPr>
          <w:ilvl w:val="0"/>
          <w:numId w:val="25"/>
        </w:num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Taikančios statistinius – ekonometrinius metodus;</w:t>
      </w:r>
    </w:p>
    <w:p w:rsidR="00626FF9" w:rsidRPr="000D37F1" w:rsidRDefault="00626FF9" w:rsidP="00626FF9">
      <w:pPr>
        <w:pStyle w:val="ListParagraph"/>
        <w:numPr>
          <w:ilvl w:val="0"/>
          <w:numId w:val="25"/>
        </w:num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Taikančios sprendimų paramos metodus.</w:t>
      </w:r>
    </w:p>
    <w:p w:rsidR="00626FF9" w:rsidRPr="000D37F1" w:rsidRDefault="00626FF9" w:rsidP="00626FF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Kokso proporcingos rizikos modelis priskiriamas antrajam metodikos tipui – taikomi statistiniai – ekonometriniai metodai. Anot šių autorių, statistiniai – ekonometriniai metodai yra itin jautrūs, kai duomenys neturi simetrinio pasiskirstymo, alternatyvų skaičius yra nedidelis, </w:t>
      </w:r>
      <w:r w:rsidRPr="000D37F1">
        <w:rPr>
          <w:rFonts w:ascii="Times New Roman" w:hAnsi="Times New Roman" w:cs="Times New Roman"/>
          <w:sz w:val="24"/>
          <w:szCs w:val="24"/>
          <w:lang w:val="lt-LT"/>
        </w:rPr>
        <w:lastRenderedPageBreak/>
        <w:t>duomenys nestabilūs arba jų trūksta, kintamieji koreliuoja tarpusavyje ir pan. Kai kurie autoriai pataria esant šioms ypatybėms taikyti kitus metodus.</w:t>
      </w:r>
    </w:p>
    <w:p w:rsidR="00636B2C" w:rsidRPr="000D37F1" w:rsidRDefault="00636B2C" w:rsidP="00636B2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Paprastai bankų bankroto tikimybei prognozuoti naudojami modeliai, kurie išskirsto bankus į dvi klases, dažniausiai: bankrutuos / nebankrutuos, tačiau CPH modelis nustato galimą laiką iki bankroto. Kredito unijų veiklos rizikingumą savo moksliniuose darbuose analizavo V. </w:t>
      </w:r>
      <w:proofErr w:type="spellStart"/>
      <w:r w:rsidRPr="000D37F1">
        <w:rPr>
          <w:rFonts w:ascii="Times New Roman" w:hAnsi="Times New Roman" w:cs="Times New Roman"/>
          <w:sz w:val="24"/>
          <w:szCs w:val="24"/>
          <w:lang w:val="lt-LT"/>
        </w:rPr>
        <w:t>Kėdaitis</w:t>
      </w:r>
      <w:proofErr w:type="spellEnd"/>
      <w:r w:rsidRPr="000D37F1">
        <w:rPr>
          <w:rFonts w:ascii="Times New Roman" w:hAnsi="Times New Roman" w:cs="Times New Roman"/>
          <w:sz w:val="24"/>
          <w:szCs w:val="24"/>
          <w:lang w:val="lt-LT"/>
        </w:rPr>
        <w:t xml:space="preserve"> ir E. Žilinskas (2013), rizikingumo vertinimo galimybės tyrė taikydami daugiamatės analizės metodus (sprendimų medžių CART, CHAID ir išsamiojo CHAID bei dirbtinių neuroninių tinklų modelius). Šių autorių atlikę tyrimą, nustatė, kad rizikingiausios kredito unijos dirba nuostolingai ir patiria daugiau nei 2,5 procento nuostolio nuo turto, o mažiausios rizikos grupei priklausančios kredito unijos dirbo pelningai, jų paskolų ir kapitalo santykis mažesnis nei 6,6, o jų pajinis kapitalas mažesnis nei 9 procentai nuo viso turto.</w:t>
      </w:r>
    </w:p>
    <w:p w:rsidR="004960D6" w:rsidRPr="000D37F1" w:rsidRDefault="0067592E" w:rsidP="00636B2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G. </w:t>
      </w:r>
      <w:proofErr w:type="spellStart"/>
      <w:r w:rsidRPr="000D37F1">
        <w:rPr>
          <w:rFonts w:ascii="Times New Roman" w:hAnsi="Times New Roman" w:cs="Times New Roman"/>
          <w:sz w:val="24"/>
          <w:szCs w:val="24"/>
          <w:lang w:val="lt-LT"/>
        </w:rPr>
        <w:t>Whalen</w:t>
      </w:r>
      <w:proofErr w:type="spellEnd"/>
      <w:r w:rsidRPr="000D37F1">
        <w:rPr>
          <w:rFonts w:ascii="Times New Roman" w:hAnsi="Times New Roman" w:cs="Times New Roman"/>
          <w:sz w:val="24"/>
          <w:szCs w:val="24"/>
          <w:lang w:val="lt-LT"/>
        </w:rPr>
        <w:t xml:space="preserve"> (1991) </w:t>
      </w:r>
      <w:r w:rsidR="00E82775" w:rsidRPr="000D37F1">
        <w:rPr>
          <w:rFonts w:ascii="Times New Roman" w:hAnsi="Times New Roman" w:cs="Times New Roman"/>
          <w:sz w:val="24"/>
          <w:szCs w:val="24"/>
          <w:lang w:val="lt-LT"/>
        </w:rPr>
        <w:t>apibrėžia</w:t>
      </w:r>
      <w:r w:rsidRPr="000D37F1">
        <w:rPr>
          <w:rFonts w:ascii="Times New Roman" w:hAnsi="Times New Roman" w:cs="Times New Roman"/>
          <w:sz w:val="24"/>
          <w:szCs w:val="24"/>
          <w:lang w:val="lt-LT"/>
        </w:rPr>
        <w:t xml:space="preserve"> skirtumą tarp bankų žlugimo ir nemokumo, nes žlugimas yra reguliavimo pasekmė, o nemokumas  - ekonominė pasekmė. Taigi bankų žlugimas </w:t>
      </w:r>
      <w:r w:rsidR="00E82775" w:rsidRPr="000D37F1">
        <w:rPr>
          <w:rFonts w:ascii="Times New Roman" w:hAnsi="Times New Roman" w:cs="Times New Roman"/>
          <w:sz w:val="24"/>
          <w:szCs w:val="24"/>
          <w:lang w:val="lt-LT"/>
        </w:rPr>
        <w:t>atspindi</w:t>
      </w:r>
      <w:r w:rsidRPr="000D37F1">
        <w:rPr>
          <w:rFonts w:ascii="Times New Roman" w:hAnsi="Times New Roman" w:cs="Times New Roman"/>
          <w:sz w:val="24"/>
          <w:szCs w:val="24"/>
          <w:lang w:val="lt-LT"/>
        </w:rPr>
        <w:t xml:space="preserve"> reguliavimo sprendimą, kaip ir kredito unijų atveju, pirma Lietuvos Bankas panaikina licenciją (kredito rinkos dalyvių priežiūros sprendimas), o</w:t>
      </w:r>
      <w:r w:rsidR="00636B2C" w:rsidRPr="000D37F1">
        <w:rPr>
          <w:rFonts w:ascii="Times New Roman" w:hAnsi="Times New Roman" w:cs="Times New Roman"/>
          <w:sz w:val="24"/>
          <w:szCs w:val="24"/>
          <w:lang w:val="lt-LT"/>
        </w:rPr>
        <w:t xml:space="preserve"> po to iškeliama bankroto byla. </w:t>
      </w:r>
      <w:proofErr w:type="spellStart"/>
      <w:r w:rsidR="004960D6" w:rsidRPr="000D37F1">
        <w:rPr>
          <w:rFonts w:ascii="Times New Roman" w:hAnsi="Times New Roman" w:cs="Times New Roman"/>
          <w:sz w:val="24"/>
          <w:szCs w:val="24"/>
          <w:lang w:val="lt-LT"/>
        </w:rPr>
        <w:t>Pille</w:t>
      </w:r>
      <w:proofErr w:type="spellEnd"/>
      <w:r w:rsidR="004960D6" w:rsidRPr="000D37F1">
        <w:rPr>
          <w:rFonts w:ascii="Times New Roman" w:hAnsi="Times New Roman" w:cs="Times New Roman"/>
          <w:sz w:val="24"/>
          <w:szCs w:val="24"/>
          <w:lang w:val="lt-LT"/>
        </w:rPr>
        <w:t xml:space="preserve"> ir </w:t>
      </w:r>
      <w:proofErr w:type="spellStart"/>
      <w:r w:rsidR="004960D6" w:rsidRPr="000D37F1">
        <w:rPr>
          <w:rFonts w:ascii="Times New Roman" w:hAnsi="Times New Roman" w:cs="Times New Roman"/>
          <w:sz w:val="24"/>
          <w:szCs w:val="24"/>
          <w:lang w:val="lt-LT"/>
        </w:rPr>
        <w:t>Paradi</w:t>
      </w:r>
      <w:proofErr w:type="spellEnd"/>
      <w:r w:rsidR="004960D6" w:rsidRPr="000D37F1">
        <w:rPr>
          <w:rFonts w:ascii="Times New Roman" w:hAnsi="Times New Roman" w:cs="Times New Roman"/>
          <w:sz w:val="24"/>
          <w:szCs w:val="24"/>
          <w:lang w:val="lt-LT"/>
        </w:rPr>
        <w:t xml:space="preserve"> (2002) sukūrė duomenų apsupties analize pagrįst</w:t>
      </w:r>
      <w:r w:rsidR="00E82775" w:rsidRPr="000D37F1">
        <w:rPr>
          <w:rFonts w:ascii="Times New Roman" w:hAnsi="Times New Roman" w:cs="Times New Roman"/>
          <w:sz w:val="24"/>
          <w:szCs w:val="24"/>
          <w:lang w:val="lt-LT"/>
        </w:rPr>
        <w:t>ą</w:t>
      </w:r>
      <w:r w:rsidR="004960D6" w:rsidRPr="000D37F1">
        <w:rPr>
          <w:rFonts w:ascii="Times New Roman" w:hAnsi="Times New Roman" w:cs="Times New Roman"/>
          <w:sz w:val="24"/>
          <w:szCs w:val="24"/>
          <w:lang w:val="lt-LT"/>
        </w:rPr>
        <w:t xml:space="preserve"> modelį</w:t>
      </w:r>
      <w:r w:rsidR="00E82775" w:rsidRPr="000D37F1">
        <w:rPr>
          <w:rFonts w:ascii="Times New Roman" w:hAnsi="Times New Roman" w:cs="Times New Roman"/>
          <w:sz w:val="24"/>
          <w:szCs w:val="24"/>
          <w:lang w:val="lt-LT"/>
        </w:rPr>
        <w:t>,</w:t>
      </w:r>
      <w:r w:rsidR="004960D6" w:rsidRPr="000D37F1">
        <w:rPr>
          <w:rFonts w:ascii="Times New Roman" w:hAnsi="Times New Roman" w:cs="Times New Roman"/>
          <w:sz w:val="24"/>
          <w:szCs w:val="24"/>
          <w:lang w:val="lt-LT"/>
        </w:rPr>
        <w:t xml:space="preserve"> skirtą kredito unijų silpnybėms nustatyti Kanadoje, tai leidžia taip pat prognozuoti potencialius žlugimus. Šie autoriai lygino paprastą kapitalo ir turto santykio normą su duomenų apsupties analize ir </w:t>
      </w:r>
      <w:r w:rsidR="003C7E97" w:rsidRPr="000D37F1">
        <w:rPr>
          <w:rFonts w:ascii="Times New Roman" w:hAnsi="Times New Roman" w:cs="Times New Roman"/>
          <w:sz w:val="24"/>
          <w:szCs w:val="24"/>
          <w:lang w:val="lt-LT"/>
        </w:rPr>
        <w:t>su modifikuotu Z rodiklių modeliu. Jie nustatė, kad kapitalo ir turto santykis yra tinkamas rodiklis prognozuoti bankrotui, tači</w:t>
      </w:r>
      <w:r w:rsidR="00A33A8D" w:rsidRPr="000D37F1">
        <w:rPr>
          <w:rFonts w:ascii="Times New Roman" w:hAnsi="Times New Roman" w:cs="Times New Roman"/>
          <w:sz w:val="24"/>
          <w:szCs w:val="24"/>
          <w:lang w:val="lt-LT"/>
        </w:rPr>
        <w:t>au šis rodiklis nėra geresnis už kompleksinio Z rodiklių modelių ir duomenų apsupties analize pagrįstų modelių naudojimą kredito unijų bankrotui prognozuoti.</w:t>
      </w:r>
      <w:r w:rsidR="002F1D8A" w:rsidRPr="000D37F1">
        <w:rPr>
          <w:rFonts w:ascii="Times New Roman" w:hAnsi="Times New Roman" w:cs="Times New Roman"/>
          <w:sz w:val="24"/>
          <w:szCs w:val="24"/>
          <w:lang w:val="lt-LT"/>
        </w:rPr>
        <w:t xml:space="preserve"> Naudodamas duomenų apsupties metodą </w:t>
      </w:r>
      <w:r w:rsidR="00840C46" w:rsidRPr="000D37F1">
        <w:rPr>
          <w:rFonts w:ascii="Times New Roman" w:hAnsi="Times New Roman" w:cs="Times New Roman"/>
          <w:sz w:val="24"/>
          <w:szCs w:val="24"/>
          <w:lang w:val="lt-LT"/>
        </w:rPr>
        <w:t xml:space="preserve">P. </w:t>
      </w:r>
      <w:proofErr w:type="spellStart"/>
      <w:r w:rsidR="002F1D8A" w:rsidRPr="000D37F1">
        <w:rPr>
          <w:rFonts w:ascii="Times New Roman" w:hAnsi="Times New Roman" w:cs="Times New Roman"/>
          <w:sz w:val="24"/>
          <w:szCs w:val="24"/>
          <w:lang w:val="lt-LT"/>
        </w:rPr>
        <w:t>Goth</w:t>
      </w:r>
      <w:proofErr w:type="spellEnd"/>
      <w:r w:rsidR="002F1D8A" w:rsidRPr="000D37F1">
        <w:rPr>
          <w:rFonts w:ascii="Times New Roman" w:hAnsi="Times New Roman" w:cs="Times New Roman"/>
          <w:sz w:val="24"/>
          <w:szCs w:val="24"/>
          <w:lang w:val="lt-LT"/>
        </w:rPr>
        <w:t xml:space="preserve"> ir </w:t>
      </w:r>
      <w:proofErr w:type="spellStart"/>
      <w:r w:rsidR="002F1D8A" w:rsidRPr="000D37F1">
        <w:rPr>
          <w:rFonts w:ascii="Times New Roman" w:hAnsi="Times New Roman" w:cs="Times New Roman"/>
          <w:sz w:val="24"/>
          <w:szCs w:val="24"/>
          <w:lang w:val="lt-LT"/>
        </w:rPr>
        <w:t>kt</w:t>
      </w:r>
      <w:proofErr w:type="spellEnd"/>
      <w:r w:rsidR="002F1D8A" w:rsidRPr="000D37F1">
        <w:rPr>
          <w:rFonts w:ascii="Times New Roman" w:hAnsi="Times New Roman" w:cs="Times New Roman"/>
          <w:sz w:val="24"/>
          <w:szCs w:val="24"/>
          <w:lang w:val="lt-LT"/>
        </w:rPr>
        <w:t>. (2006) atliko panašų tyrimą Didžiosios Britanijos kredito unijoms</w:t>
      </w:r>
      <w:r w:rsidR="00840C46" w:rsidRPr="000D37F1">
        <w:rPr>
          <w:rFonts w:ascii="Times New Roman" w:hAnsi="Times New Roman" w:cs="Times New Roman"/>
          <w:sz w:val="24"/>
          <w:szCs w:val="24"/>
          <w:lang w:val="lt-LT"/>
        </w:rPr>
        <w:t>, priėjo išvados, kad</w:t>
      </w:r>
      <w:r w:rsidR="002F1D8A" w:rsidRPr="000D37F1">
        <w:rPr>
          <w:rFonts w:ascii="Times New Roman" w:hAnsi="Times New Roman" w:cs="Times New Roman"/>
          <w:sz w:val="24"/>
          <w:szCs w:val="24"/>
          <w:lang w:val="lt-LT"/>
        </w:rPr>
        <w:t xml:space="preserve"> ilgajame periode turėtų bankrutuoti apie 50 % kredito unijų.</w:t>
      </w:r>
    </w:p>
    <w:p w:rsidR="00DE41C2" w:rsidRPr="000D37F1" w:rsidRDefault="00DE41C2" w:rsidP="00DE41C2">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Mokslinėje literatūroje dažnai tiriama ankstyvo pavojaus diagnozavimo tema, rengiant modelius naudojama </w:t>
      </w:r>
      <w:proofErr w:type="spellStart"/>
      <w:r w:rsidRPr="000D37F1">
        <w:rPr>
          <w:rFonts w:ascii="Times New Roman" w:hAnsi="Times New Roman" w:cs="Times New Roman"/>
          <w:i/>
          <w:sz w:val="24"/>
          <w:szCs w:val="24"/>
          <w:lang w:val="lt-LT"/>
        </w:rPr>
        <w:t>probit</w:t>
      </w:r>
      <w:proofErr w:type="spellEnd"/>
      <w:r w:rsidR="00524082">
        <w:rPr>
          <w:rFonts w:ascii="Times New Roman" w:hAnsi="Times New Roman" w:cs="Times New Roman"/>
          <w:i/>
          <w:sz w:val="24"/>
          <w:szCs w:val="24"/>
          <w:lang w:val="lt-LT"/>
        </w:rPr>
        <w:t xml:space="preserve"> </w:t>
      </w:r>
      <w:r w:rsidRPr="000D37F1">
        <w:rPr>
          <w:rFonts w:ascii="Times New Roman" w:hAnsi="Times New Roman" w:cs="Times New Roman"/>
          <w:i/>
          <w:sz w:val="24"/>
          <w:szCs w:val="24"/>
          <w:lang w:val="lt-LT"/>
        </w:rPr>
        <w:t>/</w:t>
      </w:r>
      <w:r w:rsidR="00524082">
        <w:rPr>
          <w:rFonts w:ascii="Times New Roman" w:hAnsi="Times New Roman" w:cs="Times New Roman"/>
          <w:i/>
          <w:sz w:val="24"/>
          <w:szCs w:val="24"/>
          <w:lang w:val="lt-LT"/>
        </w:rPr>
        <w:t xml:space="preserve"> </w:t>
      </w:r>
      <w:proofErr w:type="spellStart"/>
      <w:r w:rsidRPr="000D37F1">
        <w:rPr>
          <w:rFonts w:ascii="Times New Roman" w:hAnsi="Times New Roman" w:cs="Times New Roman"/>
          <w:i/>
          <w:sz w:val="24"/>
          <w:szCs w:val="24"/>
          <w:lang w:val="lt-LT"/>
        </w:rPr>
        <w:t>logit</w:t>
      </w:r>
      <w:proofErr w:type="spellEnd"/>
      <w:r w:rsidR="006D7496" w:rsidRPr="000D37F1">
        <w:rPr>
          <w:rFonts w:ascii="Times New Roman" w:hAnsi="Times New Roman" w:cs="Times New Roman"/>
          <w:i/>
          <w:sz w:val="24"/>
          <w:szCs w:val="24"/>
          <w:lang w:val="lt-LT"/>
        </w:rPr>
        <w:t xml:space="preserve"> </w:t>
      </w:r>
      <w:r w:rsidRPr="000D37F1">
        <w:rPr>
          <w:rFonts w:ascii="Times New Roman" w:hAnsi="Times New Roman" w:cs="Times New Roman"/>
          <w:sz w:val="24"/>
          <w:szCs w:val="24"/>
          <w:lang w:val="lt-LT"/>
        </w:rPr>
        <w:t>technika,</w:t>
      </w:r>
      <w:r w:rsidR="007670DB">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taip pat </w:t>
      </w:r>
      <w:proofErr w:type="spellStart"/>
      <w:r w:rsidRPr="000D37F1">
        <w:rPr>
          <w:rFonts w:ascii="Times New Roman" w:hAnsi="Times New Roman" w:cs="Times New Roman"/>
          <w:sz w:val="24"/>
          <w:szCs w:val="24"/>
          <w:lang w:val="lt-LT"/>
        </w:rPr>
        <w:t>diskriminantinė</w:t>
      </w:r>
      <w:proofErr w:type="spellEnd"/>
      <w:r w:rsidRPr="000D37F1">
        <w:rPr>
          <w:rFonts w:ascii="Times New Roman" w:hAnsi="Times New Roman" w:cs="Times New Roman"/>
          <w:sz w:val="24"/>
          <w:szCs w:val="24"/>
          <w:lang w:val="lt-LT"/>
        </w:rPr>
        <w:t xml:space="preserve"> analizė. Toki modeliai generuoja tikimybę, kad </w:t>
      </w:r>
      <w:r w:rsidR="008106A4" w:rsidRPr="000D37F1">
        <w:rPr>
          <w:rFonts w:ascii="Times New Roman" w:hAnsi="Times New Roman" w:cs="Times New Roman"/>
          <w:sz w:val="24"/>
          <w:szCs w:val="24"/>
          <w:lang w:val="lt-LT"/>
        </w:rPr>
        <w:t>kredito įstaiga</w:t>
      </w:r>
      <w:r w:rsidRPr="000D37F1">
        <w:rPr>
          <w:rFonts w:ascii="Times New Roman" w:hAnsi="Times New Roman" w:cs="Times New Roman"/>
          <w:sz w:val="24"/>
          <w:szCs w:val="24"/>
          <w:lang w:val="lt-LT"/>
        </w:rPr>
        <w:t xml:space="preserve"> su tam tikru charakteristikų rinkiniu priklausys vienai iš dviejų ar daugiau grupių</w:t>
      </w:r>
      <w:r w:rsidR="008106A4" w:rsidRPr="000D37F1">
        <w:rPr>
          <w:rFonts w:ascii="Times New Roman" w:hAnsi="Times New Roman" w:cs="Times New Roman"/>
          <w:sz w:val="24"/>
          <w:szCs w:val="24"/>
          <w:lang w:val="lt-LT"/>
        </w:rPr>
        <w:t xml:space="preserve"> (G. </w:t>
      </w:r>
      <w:proofErr w:type="spellStart"/>
      <w:r w:rsidR="008106A4" w:rsidRPr="000D37F1">
        <w:rPr>
          <w:rFonts w:ascii="Times New Roman" w:hAnsi="Times New Roman" w:cs="Times New Roman"/>
          <w:sz w:val="24"/>
          <w:szCs w:val="24"/>
          <w:lang w:val="lt-LT"/>
        </w:rPr>
        <w:t>Whalen</w:t>
      </w:r>
      <w:proofErr w:type="spellEnd"/>
      <w:r w:rsidR="008106A4" w:rsidRPr="000D37F1">
        <w:rPr>
          <w:rFonts w:ascii="Times New Roman" w:hAnsi="Times New Roman" w:cs="Times New Roman"/>
          <w:sz w:val="24"/>
          <w:szCs w:val="24"/>
          <w:lang w:val="lt-LT"/>
        </w:rPr>
        <w:t xml:space="preserve"> (1991))</w:t>
      </w:r>
      <w:r w:rsidRPr="000D37F1">
        <w:rPr>
          <w:rFonts w:ascii="Times New Roman" w:hAnsi="Times New Roman" w:cs="Times New Roman"/>
          <w:sz w:val="24"/>
          <w:szCs w:val="24"/>
          <w:lang w:val="lt-LT"/>
        </w:rPr>
        <w:t>.</w:t>
      </w:r>
      <w:r w:rsidR="00524082">
        <w:rPr>
          <w:rFonts w:ascii="Times New Roman" w:hAnsi="Times New Roman" w:cs="Times New Roman"/>
          <w:sz w:val="24"/>
          <w:szCs w:val="24"/>
          <w:lang w:val="lt-LT"/>
        </w:rPr>
        <w:t xml:space="preserve"> Anot L. </w:t>
      </w:r>
      <w:proofErr w:type="spellStart"/>
      <w:r w:rsidR="00524082">
        <w:rPr>
          <w:rFonts w:ascii="Times New Roman" w:hAnsi="Times New Roman" w:cs="Times New Roman"/>
          <w:sz w:val="24"/>
          <w:szCs w:val="24"/>
          <w:lang w:val="lt-LT"/>
        </w:rPr>
        <w:t>Dzindevičiūtės</w:t>
      </w:r>
      <w:proofErr w:type="spellEnd"/>
      <w:r w:rsidR="00524082">
        <w:rPr>
          <w:rFonts w:ascii="Times New Roman" w:hAnsi="Times New Roman" w:cs="Times New Roman"/>
          <w:sz w:val="24"/>
          <w:szCs w:val="24"/>
          <w:lang w:val="lt-LT"/>
        </w:rPr>
        <w:t xml:space="preserve"> (</w:t>
      </w:r>
      <w:r w:rsidR="00524082">
        <w:rPr>
          <w:rFonts w:ascii="Times New Roman" w:hAnsi="Times New Roman" w:cs="Times New Roman"/>
          <w:sz w:val="24"/>
          <w:szCs w:val="24"/>
        </w:rPr>
        <w:t xml:space="preserve">2010), </w:t>
      </w:r>
      <w:r w:rsidR="00524082">
        <w:rPr>
          <w:rFonts w:ascii="Times New Roman" w:hAnsi="Times New Roman" w:cs="Times New Roman"/>
          <w:sz w:val="24"/>
          <w:szCs w:val="24"/>
          <w:lang w:val="lt-LT"/>
        </w:rPr>
        <w:t>v</w:t>
      </w:r>
      <w:r w:rsidRPr="000D37F1">
        <w:rPr>
          <w:rFonts w:ascii="Times New Roman" w:hAnsi="Times New Roman" w:cs="Times New Roman"/>
          <w:sz w:val="24"/>
          <w:szCs w:val="24"/>
          <w:lang w:val="lt-LT"/>
        </w:rPr>
        <w:t>isi vertinimo ba</w:t>
      </w:r>
      <w:r w:rsidR="00524082">
        <w:rPr>
          <w:rFonts w:ascii="Times New Roman" w:hAnsi="Times New Roman" w:cs="Times New Roman"/>
          <w:sz w:val="24"/>
          <w:szCs w:val="24"/>
          <w:lang w:val="lt-LT"/>
        </w:rPr>
        <w:t xml:space="preserve">lais modeliai, </w:t>
      </w:r>
      <w:r w:rsidR="00833893">
        <w:rPr>
          <w:rFonts w:ascii="Times New Roman" w:hAnsi="Times New Roman" w:cs="Times New Roman"/>
          <w:sz w:val="24"/>
          <w:szCs w:val="24"/>
          <w:lang w:val="lt-LT"/>
        </w:rPr>
        <w:t xml:space="preserve">logistinė regresija, </w:t>
      </w:r>
      <w:proofErr w:type="spellStart"/>
      <w:r w:rsidR="00833893" w:rsidRPr="00FA0D12">
        <w:rPr>
          <w:rFonts w:ascii="Times New Roman" w:hAnsi="Times New Roman" w:cs="Times New Roman"/>
          <w:i/>
          <w:sz w:val="24"/>
          <w:szCs w:val="24"/>
          <w:lang w:val="lt-LT"/>
        </w:rPr>
        <w:t>probit</w:t>
      </w:r>
      <w:proofErr w:type="spellEnd"/>
      <w:r w:rsidR="00524082" w:rsidRPr="00FA0D12">
        <w:rPr>
          <w:rFonts w:ascii="Times New Roman" w:hAnsi="Times New Roman" w:cs="Times New Roman"/>
          <w:i/>
          <w:sz w:val="24"/>
          <w:szCs w:val="24"/>
          <w:lang w:val="lt-LT"/>
        </w:rPr>
        <w:t xml:space="preserve"> </w:t>
      </w:r>
      <w:r w:rsidR="00833893" w:rsidRPr="00FA0D12">
        <w:rPr>
          <w:rFonts w:ascii="Times New Roman" w:hAnsi="Times New Roman" w:cs="Times New Roman"/>
          <w:i/>
          <w:sz w:val="24"/>
          <w:szCs w:val="24"/>
          <w:lang w:val="lt-LT"/>
        </w:rPr>
        <w:t>/</w:t>
      </w:r>
      <w:r w:rsidR="00524082" w:rsidRPr="00FA0D12">
        <w:rPr>
          <w:rFonts w:ascii="Times New Roman" w:hAnsi="Times New Roman" w:cs="Times New Roman"/>
          <w:i/>
          <w:sz w:val="24"/>
          <w:szCs w:val="24"/>
          <w:lang w:val="lt-LT"/>
        </w:rPr>
        <w:t xml:space="preserve"> </w:t>
      </w:r>
      <w:proofErr w:type="spellStart"/>
      <w:r w:rsidR="00833893" w:rsidRPr="00FA0D12">
        <w:rPr>
          <w:rFonts w:ascii="Times New Roman" w:hAnsi="Times New Roman" w:cs="Times New Roman"/>
          <w:i/>
          <w:sz w:val="24"/>
          <w:szCs w:val="24"/>
          <w:lang w:val="lt-LT"/>
        </w:rPr>
        <w:t>logit</w:t>
      </w:r>
      <w:proofErr w:type="spellEnd"/>
      <w:r w:rsidRPr="000D37F1">
        <w:rPr>
          <w:rFonts w:ascii="Times New Roman" w:hAnsi="Times New Roman" w:cs="Times New Roman"/>
          <w:sz w:val="24"/>
          <w:szCs w:val="24"/>
          <w:lang w:val="lt-LT"/>
        </w:rPr>
        <w:t xml:space="preserve"> modeliai, išlikimo analizės modeliai leidžia įvertinti įsipareigojimų neįvykdymo tikimybę, o taikant </w:t>
      </w:r>
      <w:proofErr w:type="spellStart"/>
      <w:r w:rsidRPr="000D37F1">
        <w:rPr>
          <w:rFonts w:ascii="Times New Roman" w:hAnsi="Times New Roman" w:cs="Times New Roman"/>
          <w:sz w:val="24"/>
          <w:szCs w:val="24"/>
          <w:lang w:val="lt-LT"/>
        </w:rPr>
        <w:t>diskriminantinę</w:t>
      </w:r>
      <w:proofErr w:type="spellEnd"/>
      <w:r w:rsidRPr="000D37F1">
        <w:rPr>
          <w:rFonts w:ascii="Times New Roman" w:hAnsi="Times New Roman" w:cs="Times New Roman"/>
          <w:sz w:val="24"/>
          <w:szCs w:val="24"/>
          <w:lang w:val="lt-LT"/>
        </w:rPr>
        <w:t xml:space="preserve"> analizę galima nustatyti </w:t>
      </w:r>
      <w:r w:rsidRPr="000D37F1">
        <w:rPr>
          <w:rFonts w:ascii="Times New Roman" w:hAnsi="Times New Roman" w:cs="Times New Roman"/>
          <w:sz w:val="24"/>
          <w:szCs w:val="24"/>
          <w:lang w:val="lt-LT"/>
        </w:rPr>
        <w:lastRenderedPageBreak/>
        <w:t>t</w:t>
      </w:r>
      <w:r w:rsidR="00524082">
        <w:rPr>
          <w:rFonts w:ascii="Times New Roman" w:hAnsi="Times New Roman" w:cs="Times New Roman"/>
          <w:sz w:val="24"/>
          <w:szCs w:val="24"/>
          <w:lang w:val="lt-LT"/>
        </w:rPr>
        <w:t xml:space="preserve">ik skolininko kreditingumo balą. </w:t>
      </w:r>
      <w:r w:rsidRPr="000D37F1">
        <w:rPr>
          <w:rFonts w:ascii="Times New Roman" w:hAnsi="Times New Roman" w:cs="Times New Roman"/>
          <w:sz w:val="24"/>
          <w:szCs w:val="24"/>
          <w:lang w:val="lt-LT"/>
        </w:rPr>
        <w:t>Išlikimo analizė naudojama siekiant nustatyti tikimybes, kad skolininkas taps „blogu“ per įvairios trukmės laiko</w:t>
      </w:r>
      <w:r w:rsidR="00524082">
        <w:rPr>
          <w:rFonts w:ascii="Times New Roman" w:hAnsi="Times New Roman" w:cs="Times New Roman"/>
          <w:sz w:val="24"/>
          <w:szCs w:val="24"/>
          <w:lang w:val="lt-LT"/>
        </w:rPr>
        <w:t>tarpius.</w:t>
      </w:r>
    </w:p>
    <w:p w:rsidR="000F03BC" w:rsidRPr="000D37F1" w:rsidRDefault="003B0EA4" w:rsidP="00676AE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Taigi apžvelgiant šį poskyrį, galime teigti, jog kredito unijų</w:t>
      </w:r>
      <w:r w:rsidR="00DD5D41">
        <w:rPr>
          <w:rFonts w:ascii="Times New Roman" w:hAnsi="Times New Roman" w:cs="Times New Roman"/>
          <w:sz w:val="24"/>
          <w:szCs w:val="24"/>
          <w:lang w:val="lt-LT"/>
        </w:rPr>
        <w:t xml:space="preserve"> rizikingumui ir</w:t>
      </w:r>
      <w:r w:rsidRPr="000D37F1">
        <w:rPr>
          <w:rFonts w:ascii="Times New Roman" w:hAnsi="Times New Roman" w:cs="Times New Roman"/>
          <w:sz w:val="24"/>
          <w:szCs w:val="24"/>
          <w:lang w:val="lt-LT"/>
        </w:rPr>
        <w:t xml:space="preserve"> bankroto grėsmei prognozuoti reikėtų </w:t>
      </w:r>
      <w:r w:rsidR="00DE41C2" w:rsidRPr="000D37F1">
        <w:rPr>
          <w:rFonts w:ascii="Times New Roman" w:hAnsi="Times New Roman" w:cs="Times New Roman"/>
          <w:sz w:val="24"/>
          <w:szCs w:val="24"/>
          <w:lang w:val="lt-LT"/>
        </w:rPr>
        <w:t>pasirinkti</w:t>
      </w:r>
      <w:r w:rsidR="00A34D01">
        <w:rPr>
          <w:rFonts w:ascii="Times New Roman" w:hAnsi="Times New Roman" w:cs="Times New Roman"/>
          <w:sz w:val="24"/>
          <w:szCs w:val="24"/>
          <w:lang w:val="lt-LT"/>
        </w:rPr>
        <w:t xml:space="preserve"> kredito įstaigoms pritaikytiną </w:t>
      </w:r>
      <w:r w:rsidR="00DE41C2" w:rsidRPr="000D37F1">
        <w:rPr>
          <w:rFonts w:ascii="Times New Roman" w:hAnsi="Times New Roman" w:cs="Times New Roman"/>
          <w:sz w:val="24"/>
          <w:szCs w:val="24"/>
          <w:lang w:val="lt-LT"/>
        </w:rPr>
        <w:t>bankroto prognozavimo modelį, nes klasikiniai modeliai dėl kredito unijų specifikos nėra tinkamai.</w:t>
      </w:r>
      <w:r w:rsidR="007670DB">
        <w:rPr>
          <w:rFonts w:ascii="Times New Roman" w:hAnsi="Times New Roman" w:cs="Times New Roman"/>
          <w:sz w:val="24"/>
          <w:szCs w:val="24"/>
          <w:lang w:val="lt-LT"/>
        </w:rPr>
        <w:t xml:space="preserve"> Tradiciniuose bankroto prognozavimo m</w:t>
      </w:r>
      <w:r w:rsidR="00A34D01">
        <w:rPr>
          <w:rFonts w:ascii="Times New Roman" w:hAnsi="Times New Roman" w:cs="Times New Roman"/>
          <w:sz w:val="24"/>
          <w:szCs w:val="24"/>
          <w:lang w:val="lt-LT"/>
        </w:rPr>
        <w:t xml:space="preserve">odeliuose nustatyti rodikliai, </w:t>
      </w:r>
      <w:r w:rsidR="007670DB">
        <w:rPr>
          <w:rFonts w:ascii="Times New Roman" w:hAnsi="Times New Roman" w:cs="Times New Roman"/>
          <w:sz w:val="24"/>
          <w:szCs w:val="24"/>
          <w:lang w:val="lt-LT"/>
        </w:rPr>
        <w:t>pagrįsti pelno siekimu, o tai nesuderinama su kredito unijų</w:t>
      </w:r>
      <w:r w:rsidR="00A34D01">
        <w:rPr>
          <w:rFonts w:ascii="Times New Roman" w:hAnsi="Times New Roman" w:cs="Times New Roman"/>
          <w:sz w:val="24"/>
          <w:szCs w:val="24"/>
          <w:lang w:val="lt-LT"/>
        </w:rPr>
        <w:t xml:space="preserve"> veiklos</w:t>
      </w:r>
      <w:r w:rsidR="007670DB">
        <w:rPr>
          <w:rFonts w:ascii="Times New Roman" w:hAnsi="Times New Roman" w:cs="Times New Roman"/>
          <w:sz w:val="24"/>
          <w:szCs w:val="24"/>
          <w:lang w:val="lt-LT"/>
        </w:rPr>
        <w:t xml:space="preserve"> profiliu. Mokslinėje literatūroje taikomi įvairūs kredito unijų rizikingumui vertinti skirti metodai, tačiau paprastai jie apima  veiksnių nustatymą, </w:t>
      </w:r>
      <w:r w:rsidR="00A34D01">
        <w:rPr>
          <w:rFonts w:ascii="Times New Roman" w:hAnsi="Times New Roman" w:cs="Times New Roman"/>
          <w:sz w:val="24"/>
          <w:szCs w:val="24"/>
          <w:lang w:val="lt-LT"/>
        </w:rPr>
        <w:t xml:space="preserve">tikimybę bankrutuoti ar nevykdyti įsipareigojimų, </w:t>
      </w:r>
      <w:r w:rsidR="007670DB">
        <w:rPr>
          <w:rFonts w:ascii="Times New Roman" w:hAnsi="Times New Roman" w:cs="Times New Roman"/>
          <w:sz w:val="24"/>
          <w:szCs w:val="24"/>
          <w:lang w:val="lt-LT"/>
        </w:rPr>
        <w:t>tači</w:t>
      </w:r>
      <w:r w:rsidR="00A34D01">
        <w:rPr>
          <w:rFonts w:ascii="Times New Roman" w:hAnsi="Times New Roman" w:cs="Times New Roman"/>
          <w:sz w:val="24"/>
          <w:szCs w:val="24"/>
          <w:lang w:val="lt-LT"/>
        </w:rPr>
        <w:t>au nenustato laiko iki tikėtino įvykio.</w:t>
      </w:r>
      <w:r w:rsidR="00524234">
        <w:rPr>
          <w:rFonts w:ascii="Times New Roman" w:hAnsi="Times New Roman" w:cs="Times New Roman"/>
          <w:sz w:val="24"/>
          <w:szCs w:val="24"/>
          <w:lang w:val="lt-LT"/>
        </w:rPr>
        <w:t xml:space="preserve"> </w:t>
      </w:r>
    </w:p>
    <w:p w:rsidR="003B0EA4" w:rsidRPr="00450C32" w:rsidRDefault="008A3F9D" w:rsidP="00450C32">
      <w:pPr>
        <w:pStyle w:val="Heading2"/>
        <w:jc w:val="center"/>
        <w:rPr>
          <w:rFonts w:ascii="Times New Roman" w:hAnsi="Times New Roman" w:cs="Times New Roman"/>
          <w:color w:val="auto"/>
          <w:sz w:val="24"/>
          <w:szCs w:val="24"/>
          <w:lang w:val="lt-LT"/>
        </w:rPr>
      </w:pPr>
      <w:bookmarkStart w:id="49" w:name="_Toc383782873"/>
      <w:bookmarkStart w:id="50" w:name="_Toc384567303"/>
      <w:bookmarkStart w:id="51" w:name="_Toc384570740"/>
      <w:r w:rsidRPr="00450C32">
        <w:rPr>
          <w:rFonts w:ascii="Times New Roman" w:hAnsi="Times New Roman" w:cs="Times New Roman"/>
          <w:color w:val="auto"/>
          <w:sz w:val="24"/>
          <w:szCs w:val="24"/>
          <w:lang w:val="lt-LT"/>
        </w:rPr>
        <w:t xml:space="preserve">2.2. IŠLIKIMO </w:t>
      </w:r>
      <w:r w:rsidR="000F03BC" w:rsidRPr="00450C32">
        <w:rPr>
          <w:rFonts w:ascii="Times New Roman" w:hAnsi="Times New Roman" w:cs="Times New Roman"/>
          <w:color w:val="auto"/>
          <w:sz w:val="24"/>
          <w:szCs w:val="24"/>
          <w:lang w:val="lt-LT"/>
        </w:rPr>
        <w:t>ANALIZĖ</w:t>
      </w:r>
      <w:bookmarkEnd w:id="49"/>
      <w:bookmarkEnd w:id="50"/>
      <w:bookmarkEnd w:id="51"/>
    </w:p>
    <w:p w:rsidR="000F03BC" w:rsidRPr="000D37F1" w:rsidRDefault="000F03BC" w:rsidP="003B0EA4">
      <w:pPr>
        <w:tabs>
          <w:tab w:val="left" w:pos="7200"/>
        </w:tabs>
        <w:spacing w:line="360" w:lineRule="auto"/>
        <w:jc w:val="center"/>
        <w:rPr>
          <w:rFonts w:ascii="Times New Roman" w:hAnsi="Times New Roman" w:cs="Times New Roman"/>
          <w:b/>
          <w:sz w:val="24"/>
          <w:szCs w:val="24"/>
          <w:lang w:val="lt-LT"/>
        </w:rPr>
      </w:pPr>
    </w:p>
    <w:p w:rsidR="00524234" w:rsidRDefault="00DE41C2" w:rsidP="00E33D6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Išlikimo analizė statistikos sritis</w:t>
      </w:r>
      <w:r w:rsidR="0039003E" w:rsidRPr="000D37F1">
        <w:rPr>
          <w:rFonts w:ascii="Times New Roman" w:hAnsi="Times New Roman" w:cs="Times New Roman"/>
          <w:sz w:val="24"/>
          <w:szCs w:val="24"/>
          <w:lang w:val="lt-LT"/>
        </w:rPr>
        <w:t>, kurios pagrindinis požymis -  laiko trukmės analizė iki kada vienas ar kitas įvykis įvyks</w:t>
      </w:r>
      <w:r w:rsidRPr="000D37F1">
        <w:rPr>
          <w:rFonts w:ascii="Times New Roman" w:hAnsi="Times New Roman" w:cs="Times New Roman"/>
          <w:sz w:val="24"/>
          <w:szCs w:val="24"/>
          <w:lang w:val="lt-LT"/>
        </w:rPr>
        <w:t>.</w:t>
      </w:r>
      <w:r w:rsidR="0039003E" w:rsidRPr="000D37F1">
        <w:rPr>
          <w:rFonts w:ascii="Times New Roman" w:hAnsi="Times New Roman" w:cs="Times New Roman"/>
          <w:sz w:val="24"/>
          <w:szCs w:val="24"/>
          <w:lang w:val="lt-LT"/>
        </w:rPr>
        <w:t xml:space="preserve"> Šis metodas taikomas inžinerijoje, ekonomikoje, sociologijos moksluose bei </w:t>
      </w:r>
      <w:r w:rsidR="008106A4" w:rsidRPr="000D37F1">
        <w:rPr>
          <w:rFonts w:ascii="Times New Roman" w:hAnsi="Times New Roman" w:cs="Times New Roman"/>
          <w:sz w:val="24"/>
          <w:szCs w:val="24"/>
          <w:lang w:val="lt-LT"/>
        </w:rPr>
        <w:t xml:space="preserve">ypatingai populiarus </w:t>
      </w:r>
      <w:r w:rsidR="0039003E" w:rsidRPr="000D37F1">
        <w:rPr>
          <w:rFonts w:ascii="Times New Roman" w:hAnsi="Times New Roman" w:cs="Times New Roman"/>
          <w:sz w:val="24"/>
          <w:szCs w:val="24"/>
          <w:lang w:val="lt-LT"/>
        </w:rPr>
        <w:t>medicinoje.</w:t>
      </w:r>
      <w:r w:rsidR="00833893">
        <w:rPr>
          <w:rFonts w:ascii="Times New Roman" w:hAnsi="Times New Roman" w:cs="Times New Roman"/>
          <w:sz w:val="24"/>
          <w:szCs w:val="24"/>
          <w:lang w:val="lt-LT"/>
        </w:rPr>
        <w:t xml:space="preserve"> </w:t>
      </w:r>
    </w:p>
    <w:p w:rsidR="008106A4" w:rsidRDefault="00524234" w:rsidP="00E33D69">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Vienas iš išlikimo metodų - </w:t>
      </w:r>
      <w:r w:rsidR="008106A4" w:rsidRPr="000D37F1">
        <w:rPr>
          <w:rFonts w:ascii="Times New Roman" w:hAnsi="Times New Roman" w:cs="Times New Roman"/>
          <w:sz w:val="24"/>
          <w:szCs w:val="24"/>
          <w:lang w:val="lt-LT"/>
        </w:rPr>
        <w:t xml:space="preserve">Kokso proporcingos rizikos (CPH) modelis yra priskiriamas išlikimo analizei, jį </w:t>
      </w:r>
      <w:proofErr w:type="spellStart"/>
      <w:r w:rsidR="008106A4" w:rsidRPr="000D37F1">
        <w:rPr>
          <w:rFonts w:ascii="Times New Roman" w:hAnsi="Times New Roman" w:cs="Times New Roman"/>
          <w:sz w:val="24"/>
          <w:szCs w:val="24"/>
          <w:lang w:val="lt-LT"/>
        </w:rPr>
        <w:t>sukurė</w:t>
      </w:r>
      <w:proofErr w:type="spellEnd"/>
      <w:r w:rsidR="00833893">
        <w:rPr>
          <w:rFonts w:ascii="Times New Roman" w:hAnsi="Times New Roman" w:cs="Times New Roman"/>
          <w:sz w:val="24"/>
          <w:szCs w:val="24"/>
          <w:lang w:val="lt-LT"/>
        </w:rPr>
        <w:t xml:space="preserve"> </w:t>
      </w:r>
      <w:proofErr w:type="spellStart"/>
      <w:r w:rsidR="008106A4" w:rsidRPr="000D37F1">
        <w:rPr>
          <w:rFonts w:ascii="Times New Roman" w:hAnsi="Times New Roman" w:cs="Times New Roman"/>
          <w:sz w:val="24"/>
          <w:szCs w:val="24"/>
          <w:lang w:val="lt-LT"/>
        </w:rPr>
        <w:t>Cox</w:t>
      </w:r>
      <w:proofErr w:type="spellEnd"/>
      <w:r w:rsidR="008106A4" w:rsidRPr="000D37F1">
        <w:rPr>
          <w:rFonts w:ascii="Times New Roman" w:hAnsi="Times New Roman" w:cs="Times New Roman"/>
          <w:sz w:val="24"/>
          <w:szCs w:val="24"/>
          <w:lang w:val="lt-LT"/>
        </w:rPr>
        <w:t xml:space="preserve"> (1972), naudojimui medicinos ir draudimo srityse. </w:t>
      </w:r>
      <w:proofErr w:type="spellStart"/>
      <w:r w:rsidR="008106A4" w:rsidRPr="000D37F1">
        <w:rPr>
          <w:rFonts w:ascii="Times New Roman" w:hAnsi="Times New Roman" w:cs="Times New Roman"/>
          <w:sz w:val="24"/>
          <w:szCs w:val="24"/>
          <w:lang w:val="lt-LT"/>
        </w:rPr>
        <w:t>Lane</w:t>
      </w:r>
      <w:proofErr w:type="spellEnd"/>
      <w:r w:rsidR="008106A4" w:rsidRPr="000D37F1">
        <w:rPr>
          <w:rFonts w:ascii="Times New Roman" w:hAnsi="Times New Roman" w:cs="Times New Roman"/>
          <w:sz w:val="24"/>
          <w:szCs w:val="24"/>
          <w:lang w:val="lt-LT"/>
        </w:rPr>
        <w:t xml:space="preserve"> ir </w:t>
      </w:r>
      <w:proofErr w:type="spellStart"/>
      <w:r w:rsidR="008106A4" w:rsidRPr="000D37F1">
        <w:rPr>
          <w:rFonts w:ascii="Times New Roman" w:hAnsi="Times New Roman" w:cs="Times New Roman"/>
          <w:sz w:val="24"/>
          <w:szCs w:val="24"/>
          <w:lang w:val="lt-LT"/>
        </w:rPr>
        <w:t>kt</w:t>
      </w:r>
      <w:proofErr w:type="spellEnd"/>
      <w:r w:rsidR="008106A4" w:rsidRPr="000D37F1">
        <w:rPr>
          <w:rFonts w:ascii="Times New Roman" w:hAnsi="Times New Roman" w:cs="Times New Roman"/>
          <w:sz w:val="24"/>
          <w:szCs w:val="24"/>
          <w:lang w:val="lt-LT"/>
        </w:rPr>
        <w:t xml:space="preserve">. (1986) pirmą kartą pritaikė prognozuojant bankų žlugimus. Kiti autoriai (G. </w:t>
      </w:r>
      <w:proofErr w:type="spellStart"/>
      <w:r w:rsidR="008106A4" w:rsidRPr="000D37F1">
        <w:rPr>
          <w:rFonts w:ascii="Times New Roman" w:hAnsi="Times New Roman" w:cs="Times New Roman"/>
          <w:sz w:val="24"/>
          <w:szCs w:val="24"/>
          <w:lang w:val="lt-LT"/>
        </w:rPr>
        <w:t>Whalen</w:t>
      </w:r>
      <w:proofErr w:type="spellEnd"/>
      <w:r w:rsidR="008106A4" w:rsidRPr="000D37F1">
        <w:rPr>
          <w:rFonts w:ascii="Times New Roman" w:hAnsi="Times New Roman" w:cs="Times New Roman"/>
          <w:sz w:val="24"/>
          <w:szCs w:val="24"/>
          <w:lang w:val="lt-LT"/>
        </w:rPr>
        <w:t xml:space="preserve"> (1991), </w:t>
      </w:r>
      <w:proofErr w:type="spellStart"/>
      <w:r w:rsidR="006D7496" w:rsidRPr="000D37F1">
        <w:rPr>
          <w:rFonts w:ascii="Times New Roman" w:hAnsi="Times New Roman" w:cs="Times New Roman"/>
          <w:sz w:val="24"/>
          <w:szCs w:val="24"/>
          <w:lang w:val="lt-LT"/>
        </w:rPr>
        <w:t>Glogova</w:t>
      </w:r>
      <w:proofErr w:type="spellEnd"/>
      <w:r w:rsidR="006D7496" w:rsidRPr="000D37F1">
        <w:rPr>
          <w:rFonts w:ascii="Times New Roman" w:hAnsi="Times New Roman" w:cs="Times New Roman"/>
          <w:sz w:val="24"/>
          <w:szCs w:val="24"/>
          <w:lang w:val="lt-LT"/>
        </w:rPr>
        <w:t xml:space="preserve"> (2005), </w:t>
      </w:r>
      <w:proofErr w:type="spellStart"/>
      <w:r w:rsidR="00E33D69" w:rsidRPr="000D37F1">
        <w:rPr>
          <w:rFonts w:ascii="Times New Roman" w:hAnsi="Times New Roman" w:cs="Times New Roman"/>
          <w:sz w:val="24"/>
          <w:szCs w:val="24"/>
          <w:lang w:val="lt-LT"/>
        </w:rPr>
        <w:t>Maggiolini</w:t>
      </w:r>
      <w:proofErr w:type="spellEnd"/>
      <w:r w:rsidR="00E33D69" w:rsidRPr="000D37F1">
        <w:rPr>
          <w:rFonts w:ascii="Times New Roman" w:hAnsi="Times New Roman" w:cs="Times New Roman"/>
          <w:sz w:val="24"/>
          <w:szCs w:val="24"/>
          <w:lang w:val="lt-LT"/>
        </w:rPr>
        <w:t xml:space="preserve">  (2005), </w:t>
      </w:r>
      <w:proofErr w:type="spellStart"/>
      <w:r w:rsidR="008106A4" w:rsidRPr="000D37F1">
        <w:rPr>
          <w:rFonts w:ascii="Times New Roman" w:hAnsi="Times New Roman" w:cs="Times New Roman"/>
          <w:sz w:val="24"/>
          <w:szCs w:val="24"/>
          <w:lang w:val="lt-LT"/>
        </w:rPr>
        <w:t>Braga</w:t>
      </w:r>
      <w:proofErr w:type="spellEnd"/>
      <w:r w:rsidR="008106A4" w:rsidRPr="000D37F1">
        <w:rPr>
          <w:rFonts w:ascii="Times New Roman" w:hAnsi="Times New Roman" w:cs="Times New Roman"/>
          <w:sz w:val="24"/>
          <w:szCs w:val="24"/>
          <w:lang w:val="lt-LT"/>
        </w:rPr>
        <w:t xml:space="preserve"> (2006),  vėliau atliko panašius tyrimus, siekdami patobulinti šio modelio pritaikomumą kredito įstaigoms. Šis modelis gali būti naudojamas identifikuoti kintamuosius, kurie turi reikšmingą įtaką kredito unijų mokumui ir apibūdina kintamųjų santykį su mokumu.</w:t>
      </w:r>
    </w:p>
    <w:p w:rsidR="00EE33C8" w:rsidRDefault="00EE33C8" w:rsidP="00EE33C8">
      <w:pPr>
        <w:spacing w:line="360" w:lineRule="auto"/>
        <w:ind w:firstLine="720"/>
        <w:jc w:val="both"/>
        <w:rPr>
          <w:rFonts w:ascii="Times New Roman" w:hAnsi="Times New Roman" w:cs="Times New Roman"/>
          <w:color w:val="000000" w:themeColor="text1"/>
          <w:sz w:val="24"/>
          <w:szCs w:val="24"/>
          <w:lang w:val="lt-LT"/>
        </w:rPr>
      </w:pPr>
      <w:r w:rsidRPr="00EE33C8">
        <w:rPr>
          <w:rFonts w:ascii="Times New Roman" w:eastAsiaTheme="minorEastAsia" w:hAnsi="Times New Roman" w:cs="Times New Roman"/>
          <w:color w:val="000000" w:themeColor="text1"/>
          <w:sz w:val="24"/>
          <w:szCs w:val="24"/>
          <w:lang w:val="lt-LT"/>
        </w:rPr>
        <w:t>Kadangi atlikus skaičiavimus pa</w:t>
      </w:r>
      <w:r>
        <w:rPr>
          <w:rFonts w:ascii="Times New Roman" w:eastAsiaTheme="minorEastAsia" w:hAnsi="Times New Roman" w:cs="Times New Roman"/>
          <w:color w:val="000000" w:themeColor="text1"/>
          <w:sz w:val="24"/>
          <w:szCs w:val="24"/>
          <w:lang w:val="lt-LT"/>
        </w:rPr>
        <w:t>aiškėjo, kad tradiciniai bankrot</w:t>
      </w:r>
      <w:r w:rsidRPr="00EE33C8">
        <w:rPr>
          <w:rFonts w:ascii="Times New Roman" w:eastAsiaTheme="minorEastAsia" w:hAnsi="Times New Roman" w:cs="Times New Roman"/>
          <w:color w:val="000000" w:themeColor="text1"/>
          <w:sz w:val="24"/>
          <w:szCs w:val="24"/>
          <w:lang w:val="lt-LT"/>
        </w:rPr>
        <w:t xml:space="preserve">o prognozavimo modeliai netinkamai kredito unijų rizikai vertinti, tai reikalingas toks metodas, kuris leistų pasirinkti rodiklius ir rodytų jų įtaką analizuojam įvykiui, taip pat </w:t>
      </w:r>
      <w:r w:rsidR="00524234">
        <w:rPr>
          <w:rFonts w:ascii="Times New Roman" w:eastAsiaTheme="minorEastAsia" w:hAnsi="Times New Roman" w:cs="Times New Roman"/>
          <w:color w:val="000000" w:themeColor="text1"/>
          <w:sz w:val="24"/>
          <w:szCs w:val="24"/>
          <w:lang w:val="lt-LT"/>
        </w:rPr>
        <w:t>suteiktų galimybę</w:t>
      </w:r>
      <w:r w:rsidRPr="00EE33C8">
        <w:rPr>
          <w:rFonts w:ascii="Times New Roman" w:eastAsiaTheme="minorEastAsia" w:hAnsi="Times New Roman" w:cs="Times New Roman"/>
          <w:color w:val="000000" w:themeColor="text1"/>
          <w:sz w:val="24"/>
          <w:szCs w:val="24"/>
          <w:lang w:val="lt-LT"/>
        </w:rPr>
        <w:t xml:space="preserve"> įtra</w:t>
      </w:r>
      <w:r w:rsidR="00524234">
        <w:rPr>
          <w:rFonts w:ascii="Times New Roman" w:eastAsiaTheme="minorEastAsia" w:hAnsi="Times New Roman" w:cs="Times New Roman"/>
          <w:color w:val="000000" w:themeColor="text1"/>
          <w:sz w:val="24"/>
          <w:szCs w:val="24"/>
          <w:lang w:val="lt-LT"/>
        </w:rPr>
        <w:t xml:space="preserve">ukti nefinansinius kriterijus. </w:t>
      </w:r>
      <w:r w:rsidRPr="00EE33C8">
        <w:rPr>
          <w:rFonts w:ascii="Times New Roman" w:eastAsiaTheme="minorEastAsia" w:hAnsi="Times New Roman" w:cs="Times New Roman"/>
          <w:color w:val="000000" w:themeColor="text1"/>
          <w:sz w:val="24"/>
          <w:szCs w:val="24"/>
          <w:lang w:val="lt-LT"/>
        </w:rPr>
        <w:t>Renkantis kitus modelius, neatsižvelgiama į tai</w:t>
      </w:r>
      <w:r>
        <w:rPr>
          <w:rFonts w:ascii="Times New Roman" w:eastAsiaTheme="minorEastAsia" w:hAnsi="Times New Roman" w:cs="Times New Roman"/>
          <w:color w:val="000000" w:themeColor="text1"/>
          <w:sz w:val="24"/>
          <w:szCs w:val="24"/>
          <w:lang w:val="lt-LT"/>
        </w:rPr>
        <w:t>, jog finansiniai rodikliai kas</w:t>
      </w:r>
      <w:r w:rsidRPr="00EE33C8">
        <w:rPr>
          <w:rFonts w:ascii="Times New Roman" w:eastAsiaTheme="minorEastAsia" w:hAnsi="Times New Roman" w:cs="Times New Roman"/>
          <w:color w:val="000000" w:themeColor="text1"/>
          <w:sz w:val="24"/>
          <w:szCs w:val="24"/>
          <w:lang w:val="lt-LT"/>
        </w:rPr>
        <w:t>met keičiasi,</w:t>
      </w:r>
      <w:r w:rsidR="00524234">
        <w:rPr>
          <w:rFonts w:ascii="Times New Roman" w:eastAsiaTheme="minorEastAsia" w:hAnsi="Times New Roman" w:cs="Times New Roman"/>
          <w:color w:val="000000" w:themeColor="text1"/>
          <w:sz w:val="24"/>
          <w:szCs w:val="24"/>
          <w:lang w:val="lt-LT"/>
        </w:rPr>
        <w:t xml:space="preserve"> skaičiuojami vieno periodo duomenys, o paskui jie lyginami su gautais kitų laikotarpių rezultatais. Anot, </w:t>
      </w:r>
      <w:proofErr w:type="spellStart"/>
      <w:r w:rsidR="00524234">
        <w:rPr>
          <w:rFonts w:ascii="Times New Roman" w:eastAsiaTheme="minorEastAsia" w:hAnsi="Times New Roman" w:cs="Times New Roman"/>
          <w:color w:val="000000" w:themeColor="text1"/>
          <w:sz w:val="24"/>
          <w:szCs w:val="24"/>
          <w:lang w:val="lt-LT"/>
        </w:rPr>
        <w:t>Shumway</w:t>
      </w:r>
      <w:proofErr w:type="spellEnd"/>
      <w:r w:rsidR="00524234">
        <w:rPr>
          <w:rFonts w:ascii="Times New Roman" w:eastAsiaTheme="minorEastAsia" w:hAnsi="Times New Roman" w:cs="Times New Roman"/>
          <w:color w:val="000000" w:themeColor="text1"/>
          <w:sz w:val="24"/>
          <w:szCs w:val="24"/>
          <w:lang w:val="lt-LT"/>
        </w:rPr>
        <w:t xml:space="preserve"> (</w:t>
      </w:r>
      <w:r w:rsidR="00524234">
        <w:rPr>
          <w:rFonts w:ascii="Times New Roman" w:eastAsiaTheme="minorEastAsia" w:hAnsi="Times New Roman" w:cs="Times New Roman"/>
          <w:color w:val="000000" w:themeColor="text1"/>
          <w:sz w:val="24"/>
          <w:szCs w:val="24"/>
        </w:rPr>
        <w:t xml:space="preserve">2001), Liu (2004), </w:t>
      </w:r>
      <w:r w:rsidR="00524234" w:rsidRPr="00524234">
        <w:rPr>
          <w:rFonts w:ascii="Times New Roman" w:eastAsiaTheme="minorEastAsia" w:hAnsi="Times New Roman" w:cs="Times New Roman"/>
          <w:color w:val="000000" w:themeColor="text1"/>
          <w:sz w:val="24"/>
          <w:szCs w:val="24"/>
          <w:lang w:val="lt-LT"/>
        </w:rPr>
        <w:t>analizuojant ba</w:t>
      </w:r>
      <w:r w:rsidR="00524234">
        <w:rPr>
          <w:rFonts w:ascii="Times New Roman" w:eastAsiaTheme="minorEastAsia" w:hAnsi="Times New Roman" w:cs="Times New Roman"/>
          <w:color w:val="000000" w:themeColor="text1"/>
          <w:sz w:val="24"/>
          <w:szCs w:val="24"/>
          <w:lang w:val="lt-LT"/>
        </w:rPr>
        <w:t>nkroto prog</w:t>
      </w:r>
      <w:r w:rsidR="00524234" w:rsidRPr="00524234">
        <w:rPr>
          <w:rFonts w:ascii="Times New Roman" w:eastAsiaTheme="minorEastAsia" w:hAnsi="Times New Roman" w:cs="Times New Roman"/>
          <w:color w:val="000000" w:themeColor="text1"/>
          <w:sz w:val="24"/>
          <w:szCs w:val="24"/>
          <w:lang w:val="lt-LT"/>
        </w:rPr>
        <w:t>nozavimo modelius, būtina atsižvelgti į tai, kad rodikliai nėra p</w:t>
      </w:r>
      <w:r w:rsidR="00524234">
        <w:rPr>
          <w:rFonts w:ascii="Times New Roman" w:eastAsiaTheme="minorEastAsia" w:hAnsi="Times New Roman" w:cs="Times New Roman"/>
          <w:color w:val="000000" w:themeColor="text1"/>
          <w:sz w:val="24"/>
          <w:szCs w:val="24"/>
          <w:lang w:val="lt-LT"/>
        </w:rPr>
        <w:t xml:space="preserve">astovūs, o taikant vieno periodo modelius </w:t>
      </w:r>
      <w:r w:rsidR="00524234">
        <w:rPr>
          <w:rFonts w:ascii="Times New Roman" w:eastAsiaTheme="minorEastAsia" w:hAnsi="Times New Roman" w:cs="Times New Roman"/>
          <w:color w:val="000000" w:themeColor="text1"/>
          <w:sz w:val="24"/>
          <w:szCs w:val="24"/>
          <w:lang w:val="lt-LT"/>
        </w:rPr>
        <w:lastRenderedPageBreak/>
        <w:t xml:space="preserve">ignoruojamas šis faktas. </w:t>
      </w:r>
      <w:r w:rsidRPr="00EE33C8">
        <w:rPr>
          <w:rFonts w:ascii="Times New Roman" w:eastAsiaTheme="minorEastAsia" w:hAnsi="Times New Roman" w:cs="Times New Roman"/>
          <w:color w:val="000000" w:themeColor="text1"/>
          <w:sz w:val="24"/>
          <w:szCs w:val="24"/>
          <w:lang w:val="lt-LT"/>
        </w:rPr>
        <w:t>Koks</w:t>
      </w:r>
      <w:r w:rsidR="00524234">
        <w:rPr>
          <w:rFonts w:ascii="Times New Roman" w:eastAsiaTheme="minorEastAsia" w:hAnsi="Times New Roman" w:cs="Times New Roman"/>
          <w:color w:val="000000" w:themeColor="text1"/>
          <w:sz w:val="24"/>
          <w:szCs w:val="24"/>
          <w:lang w:val="lt-LT"/>
        </w:rPr>
        <w:t>o proporcingosios rizikos modelio pagrindinė savybė, jog galima naudoti nuo laiko priklausančius kintamuosius ir taip analizuoti daugiau nei vieną periodą</w:t>
      </w:r>
      <w:r w:rsidRPr="00EE33C8">
        <w:rPr>
          <w:rFonts w:ascii="Times New Roman" w:eastAsiaTheme="minorEastAsia" w:hAnsi="Times New Roman" w:cs="Times New Roman"/>
          <w:color w:val="000000" w:themeColor="text1"/>
          <w:sz w:val="24"/>
          <w:szCs w:val="24"/>
          <w:lang w:val="lt-LT"/>
        </w:rPr>
        <w:t xml:space="preserve">. </w:t>
      </w:r>
    </w:p>
    <w:p w:rsidR="00E33D69" w:rsidRPr="00EE33C8" w:rsidRDefault="008106A4" w:rsidP="00EE33C8">
      <w:pPr>
        <w:spacing w:line="360" w:lineRule="auto"/>
        <w:ind w:firstLine="720"/>
        <w:jc w:val="both"/>
        <w:rPr>
          <w:rFonts w:ascii="Times New Roman" w:hAnsi="Times New Roman" w:cs="Times New Roman"/>
          <w:color w:val="000000" w:themeColor="text1"/>
          <w:sz w:val="24"/>
          <w:szCs w:val="24"/>
          <w:lang w:val="lt-LT"/>
        </w:rPr>
      </w:pPr>
      <w:r w:rsidRPr="000D37F1">
        <w:rPr>
          <w:rFonts w:ascii="Times New Roman" w:hAnsi="Times New Roman" w:cs="Times New Roman"/>
          <w:sz w:val="24"/>
          <w:szCs w:val="24"/>
          <w:lang w:val="lt-LT"/>
        </w:rPr>
        <w:t>Anot T. Leonavičienės (200</w:t>
      </w:r>
      <w:r w:rsidR="006D7496" w:rsidRPr="000D37F1">
        <w:rPr>
          <w:rFonts w:ascii="Times New Roman" w:hAnsi="Times New Roman" w:cs="Times New Roman"/>
          <w:sz w:val="24"/>
          <w:szCs w:val="24"/>
          <w:lang w:val="lt-LT"/>
        </w:rPr>
        <w:t>8</w:t>
      </w:r>
      <w:r w:rsidRPr="000D37F1">
        <w:rPr>
          <w:rFonts w:ascii="Times New Roman" w:hAnsi="Times New Roman" w:cs="Times New Roman"/>
          <w:sz w:val="24"/>
          <w:szCs w:val="24"/>
          <w:lang w:val="lt-LT"/>
        </w:rPr>
        <w:t xml:space="preserve">), regresijos modeliais siekiama atskleisti ne išlikimo funkcijos, o intensyvumo funkcijos priklausomybę nuo tam tikrų veiksnių, tuo tarpu taikant Kokso regresijos modelius galima vertinti riziką lemiančius veiksnius ir interpretuoti rizikos laipsnį. </w:t>
      </w:r>
      <w:proofErr w:type="spellStart"/>
      <w:r w:rsidR="00E33D69" w:rsidRPr="000D37F1">
        <w:rPr>
          <w:rFonts w:ascii="Times New Roman" w:hAnsi="Times New Roman" w:cs="Times New Roman"/>
          <w:sz w:val="24"/>
          <w:szCs w:val="24"/>
          <w:lang w:val="lt-LT"/>
        </w:rPr>
        <w:t>Braga</w:t>
      </w:r>
      <w:proofErr w:type="spellEnd"/>
      <w:r w:rsidR="00E33D69" w:rsidRPr="000D37F1">
        <w:rPr>
          <w:rFonts w:ascii="Times New Roman" w:hAnsi="Times New Roman" w:cs="Times New Roman"/>
          <w:sz w:val="24"/>
          <w:szCs w:val="24"/>
          <w:lang w:val="lt-LT"/>
        </w:rPr>
        <w:t xml:space="preserve"> ir </w:t>
      </w:r>
      <w:proofErr w:type="spellStart"/>
      <w:r w:rsidR="00E33D69" w:rsidRPr="000D37F1">
        <w:rPr>
          <w:rFonts w:ascii="Times New Roman" w:hAnsi="Times New Roman" w:cs="Times New Roman"/>
          <w:sz w:val="24"/>
          <w:szCs w:val="24"/>
          <w:lang w:val="lt-LT"/>
        </w:rPr>
        <w:t>kt</w:t>
      </w:r>
      <w:proofErr w:type="spellEnd"/>
      <w:r w:rsidR="00E33D69" w:rsidRPr="000D37F1">
        <w:rPr>
          <w:rFonts w:ascii="Times New Roman" w:hAnsi="Times New Roman" w:cs="Times New Roman"/>
          <w:sz w:val="24"/>
          <w:szCs w:val="24"/>
          <w:lang w:val="lt-LT"/>
        </w:rPr>
        <w:t>. autoriai (2006) išanalizavę Kokso proporcinės rizikos modelio pritaikomumą, teigia, kad šis modelis yra naudingas analizuojant finansinius sunkumus kredito unijose, kuris suteikia informaciją remiantis tikėtinu laiko tarpu iki nemokumo.</w:t>
      </w:r>
    </w:p>
    <w:p w:rsidR="008106A4" w:rsidRPr="000D37F1" w:rsidRDefault="008106A4" w:rsidP="00E33D6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Pagrindinis Kokso </w:t>
      </w:r>
      <w:r w:rsidR="00833893">
        <w:rPr>
          <w:rFonts w:ascii="Times New Roman" w:hAnsi="Times New Roman" w:cs="Times New Roman"/>
          <w:sz w:val="24"/>
          <w:szCs w:val="24"/>
          <w:lang w:val="lt-LT"/>
        </w:rPr>
        <w:t>proporcingosios rizikos</w:t>
      </w:r>
      <w:r w:rsidRPr="000D37F1">
        <w:rPr>
          <w:rFonts w:ascii="Times New Roman" w:hAnsi="Times New Roman" w:cs="Times New Roman"/>
          <w:sz w:val="24"/>
          <w:szCs w:val="24"/>
          <w:lang w:val="lt-LT"/>
        </w:rPr>
        <w:t xml:space="preserve"> modelio pranašumas lyginant su kitais modeliais yra tas, kad šis modelis išsprendžia statistinių modelių problemą – nustato aiškią dimensiją </w:t>
      </w:r>
      <w:r w:rsidR="007670DB">
        <w:rPr>
          <w:rFonts w:ascii="Times New Roman" w:hAnsi="Times New Roman" w:cs="Times New Roman"/>
          <w:sz w:val="24"/>
          <w:szCs w:val="24"/>
          <w:lang w:val="lt-LT"/>
        </w:rPr>
        <w:t>organizacijos</w:t>
      </w:r>
      <w:r w:rsidRPr="000D37F1">
        <w:rPr>
          <w:rFonts w:ascii="Times New Roman" w:hAnsi="Times New Roman" w:cs="Times New Roman"/>
          <w:sz w:val="24"/>
          <w:szCs w:val="24"/>
          <w:lang w:val="lt-LT"/>
        </w:rPr>
        <w:t xml:space="preserve"> žlugimui</w:t>
      </w:r>
      <w:r w:rsidR="005B4A3C">
        <w:rPr>
          <w:rFonts w:ascii="Times New Roman" w:hAnsi="Times New Roman" w:cs="Times New Roman"/>
          <w:sz w:val="24"/>
          <w:szCs w:val="24"/>
          <w:lang w:val="lt-LT"/>
        </w:rPr>
        <w:t xml:space="preserve"> arba kitam analizuojamam įvykiui</w:t>
      </w:r>
      <w:r w:rsidRPr="000D37F1">
        <w:rPr>
          <w:rFonts w:ascii="Times New Roman" w:hAnsi="Times New Roman" w:cs="Times New Roman"/>
          <w:sz w:val="24"/>
          <w:szCs w:val="24"/>
          <w:lang w:val="lt-LT"/>
        </w:rPr>
        <w:t>. Šio modelio rezultatus lengva interpretuoti, todėl jis gali būti plačiai naudojamas. Taip pat išlikimo analizė leidžia į modelį įtraukti ne tik finansinius rodiklius, bet ir kitus kintamuosius, ko negalima padaryti naudojant tradicinius bankroto prognozavimo modelius.</w:t>
      </w:r>
    </w:p>
    <w:p w:rsidR="008106A4" w:rsidRDefault="008106A4" w:rsidP="008106A4">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Kaip ir kituose bankroto prognozavimo modelių tyrimuose, tyrimai prasideda parengiant galimus kintamuosius arba bankroto „prognozuotojus“. Kokso proporcingosios rizikos modelis vertina tikimybę, kad bankas su tam tikrų kriterijų rinkiniu  išliks ilgiau nei per tam tikrą laiką. Anot G. </w:t>
      </w:r>
      <w:proofErr w:type="spellStart"/>
      <w:r w:rsidRPr="000D37F1">
        <w:rPr>
          <w:rFonts w:ascii="Times New Roman" w:hAnsi="Times New Roman" w:cs="Times New Roman"/>
          <w:sz w:val="24"/>
          <w:szCs w:val="24"/>
          <w:lang w:val="lt-LT"/>
        </w:rPr>
        <w:t>Whalen</w:t>
      </w:r>
      <w:proofErr w:type="spellEnd"/>
      <w:r w:rsidRPr="000D37F1">
        <w:rPr>
          <w:rFonts w:ascii="Times New Roman" w:hAnsi="Times New Roman" w:cs="Times New Roman"/>
          <w:sz w:val="24"/>
          <w:szCs w:val="24"/>
          <w:lang w:val="lt-LT"/>
        </w:rPr>
        <w:t xml:space="preserve"> (1991), modelis su aukštu tikslumu identifikuoja abi bankų grupes: bankrutavusius ir sėkmingai veikiančius.</w:t>
      </w:r>
    </w:p>
    <w:p w:rsidR="003F660F" w:rsidRPr="000D37F1" w:rsidRDefault="003F660F" w:rsidP="008106A4">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Išlikimo analizėje naudojami retrospektyviniai (praeities) duomenys, tai yra jau buvę įvykiai. Šio tyrimo atveju, perspektyvinė analizė būtų neįmanoma. Išlikimo analizės duomenys turi kelis ypatumus, dėl kurių įprastiniai statistiniai metodai negalėtų būti taikomi arba būtų sunku taikyti. Visų pirma - duomenų cenzūravimas bei nuo laiko priklausomi aiškinamieji kintamieji.</w:t>
      </w:r>
    </w:p>
    <w:p w:rsidR="0039003E" w:rsidRPr="000D37F1" w:rsidRDefault="0039003E" w:rsidP="008106A4">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Išlikimo analizės metodas yra skirstomas į tris pagrindinius etapus:</w:t>
      </w:r>
    </w:p>
    <w:p w:rsidR="0039003E" w:rsidRPr="000D37F1" w:rsidRDefault="0039003E" w:rsidP="0039003E">
      <w:pPr>
        <w:pStyle w:val="ListParagraph"/>
        <w:numPr>
          <w:ilvl w:val="0"/>
          <w:numId w:val="10"/>
        </w:numPr>
        <w:spacing w:line="360" w:lineRule="auto"/>
        <w:ind w:firstLine="540"/>
        <w:rPr>
          <w:rFonts w:ascii="Times New Roman" w:hAnsi="Times New Roman" w:cs="Times New Roman"/>
          <w:sz w:val="24"/>
          <w:szCs w:val="24"/>
          <w:lang w:val="lt-LT"/>
        </w:rPr>
      </w:pPr>
      <w:r w:rsidRPr="000D37F1">
        <w:rPr>
          <w:rFonts w:ascii="Times New Roman" w:hAnsi="Times New Roman" w:cs="Times New Roman"/>
          <w:sz w:val="24"/>
          <w:szCs w:val="24"/>
          <w:lang w:val="lt-LT"/>
        </w:rPr>
        <w:t>išlikimo ir intensyvumo funkcijos apskaičiavimas ir įvertinimas;</w:t>
      </w:r>
    </w:p>
    <w:p w:rsidR="0039003E" w:rsidRPr="000D37F1" w:rsidRDefault="0039003E" w:rsidP="0039003E">
      <w:pPr>
        <w:pStyle w:val="ListParagraph"/>
        <w:numPr>
          <w:ilvl w:val="0"/>
          <w:numId w:val="10"/>
        </w:numPr>
        <w:spacing w:line="360" w:lineRule="auto"/>
        <w:ind w:firstLine="540"/>
        <w:rPr>
          <w:rFonts w:ascii="Times New Roman" w:hAnsi="Times New Roman" w:cs="Times New Roman"/>
          <w:sz w:val="24"/>
          <w:szCs w:val="24"/>
          <w:lang w:val="lt-LT"/>
        </w:rPr>
      </w:pPr>
      <w:r w:rsidRPr="000D37F1">
        <w:rPr>
          <w:rFonts w:ascii="Times New Roman" w:hAnsi="Times New Roman" w:cs="Times New Roman"/>
          <w:sz w:val="24"/>
          <w:szCs w:val="24"/>
          <w:lang w:val="lt-LT"/>
        </w:rPr>
        <w:t>išlikimo funkcijų grupėse palyginimas;</w:t>
      </w:r>
    </w:p>
    <w:p w:rsidR="0039003E" w:rsidRPr="000D37F1" w:rsidRDefault="0039003E" w:rsidP="0039003E">
      <w:pPr>
        <w:pStyle w:val="ListParagraph"/>
        <w:numPr>
          <w:ilvl w:val="0"/>
          <w:numId w:val="10"/>
        </w:numPr>
        <w:spacing w:line="360" w:lineRule="auto"/>
        <w:ind w:firstLine="540"/>
        <w:rPr>
          <w:rFonts w:ascii="Times New Roman" w:hAnsi="Times New Roman" w:cs="Times New Roman"/>
          <w:sz w:val="24"/>
          <w:szCs w:val="24"/>
          <w:lang w:val="lt-LT"/>
        </w:rPr>
      </w:pPr>
      <w:r w:rsidRPr="000D37F1">
        <w:rPr>
          <w:rFonts w:ascii="Times New Roman" w:hAnsi="Times New Roman" w:cs="Times New Roman"/>
          <w:sz w:val="24"/>
          <w:szCs w:val="24"/>
          <w:lang w:val="lt-LT"/>
        </w:rPr>
        <w:t>rizikingiausių požymių ir rizikos laipsnių nustatymas.</w:t>
      </w:r>
    </w:p>
    <w:p w:rsidR="00DE41C2" w:rsidRPr="000D37F1" w:rsidRDefault="0039003E" w:rsidP="00B16945">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lastRenderedPageBreak/>
        <w:t xml:space="preserve">Atskiruose etapuose naudojami skirtingi metodai, pirmajame – Kaplano </w:t>
      </w:r>
      <w:proofErr w:type="spellStart"/>
      <w:r w:rsidRPr="000D37F1">
        <w:rPr>
          <w:rFonts w:ascii="Times New Roman" w:hAnsi="Times New Roman" w:cs="Times New Roman"/>
          <w:sz w:val="24"/>
          <w:szCs w:val="24"/>
          <w:lang w:val="lt-LT"/>
        </w:rPr>
        <w:t>Majerio</w:t>
      </w:r>
      <w:proofErr w:type="spellEnd"/>
      <w:r w:rsidRPr="000D37F1">
        <w:rPr>
          <w:rFonts w:ascii="Times New Roman" w:hAnsi="Times New Roman" w:cs="Times New Roman"/>
          <w:sz w:val="24"/>
          <w:szCs w:val="24"/>
          <w:lang w:val="lt-LT"/>
        </w:rPr>
        <w:t xml:space="preserve"> bei išlikimo lentelės ir </w:t>
      </w:r>
      <w:r w:rsidR="00B16945" w:rsidRPr="000D37F1">
        <w:rPr>
          <w:rFonts w:ascii="Times New Roman" w:hAnsi="Times New Roman" w:cs="Times New Roman"/>
          <w:sz w:val="24"/>
          <w:szCs w:val="24"/>
          <w:lang w:val="lt-LT"/>
        </w:rPr>
        <w:t>grafiniai rezultatų atvaizdavimai. Antr</w:t>
      </w:r>
      <w:r w:rsidR="00211C44" w:rsidRPr="000D37F1">
        <w:rPr>
          <w:rFonts w:ascii="Times New Roman" w:hAnsi="Times New Roman" w:cs="Times New Roman"/>
          <w:sz w:val="24"/>
          <w:szCs w:val="24"/>
          <w:lang w:val="lt-LT"/>
        </w:rPr>
        <w:t xml:space="preserve">ajame etape naudojami </w:t>
      </w:r>
      <w:proofErr w:type="spellStart"/>
      <w:r w:rsidR="00211C44" w:rsidRPr="000D37F1">
        <w:rPr>
          <w:rFonts w:ascii="Times New Roman" w:hAnsi="Times New Roman" w:cs="Times New Roman"/>
          <w:sz w:val="24"/>
          <w:szCs w:val="24"/>
          <w:lang w:val="lt-LT"/>
        </w:rPr>
        <w:t>Vilkokson</w:t>
      </w:r>
      <w:r w:rsidR="000B55B9" w:rsidRPr="000D37F1">
        <w:rPr>
          <w:rFonts w:ascii="Times New Roman" w:hAnsi="Times New Roman" w:cs="Times New Roman"/>
          <w:sz w:val="24"/>
          <w:szCs w:val="24"/>
          <w:lang w:val="lt-LT"/>
        </w:rPr>
        <w:t>o</w:t>
      </w:r>
      <w:proofErr w:type="spellEnd"/>
      <w:r w:rsidR="000B55B9" w:rsidRPr="000D37F1">
        <w:rPr>
          <w:rFonts w:ascii="Times New Roman" w:hAnsi="Times New Roman" w:cs="Times New Roman"/>
          <w:sz w:val="24"/>
          <w:szCs w:val="24"/>
          <w:lang w:val="lt-LT"/>
        </w:rPr>
        <w:t xml:space="preserve"> (</w:t>
      </w:r>
      <w:proofErr w:type="spellStart"/>
      <w:r w:rsidR="000B55B9" w:rsidRPr="000D37F1">
        <w:rPr>
          <w:rFonts w:ascii="Times New Roman" w:hAnsi="Times New Roman" w:cs="Times New Roman"/>
          <w:sz w:val="24"/>
          <w:szCs w:val="24"/>
          <w:lang w:val="lt-LT"/>
        </w:rPr>
        <w:t>Gehano</w:t>
      </w:r>
      <w:proofErr w:type="spellEnd"/>
      <w:r w:rsidR="000B55B9" w:rsidRPr="000D37F1">
        <w:rPr>
          <w:rFonts w:ascii="Times New Roman" w:hAnsi="Times New Roman" w:cs="Times New Roman"/>
          <w:sz w:val="24"/>
          <w:szCs w:val="24"/>
          <w:lang w:val="lt-LT"/>
        </w:rPr>
        <w:t xml:space="preserve">) ir </w:t>
      </w:r>
      <w:proofErr w:type="spellStart"/>
      <w:r w:rsidR="000B55B9" w:rsidRPr="000D37F1">
        <w:rPr>
          <w:rFonts w:ascii="Times New Roman" w:hAnsi="Times New Roman" w:cs="Times New Roman"/>
          <w:sz w:val="24"/>
          <w:szCs w:val="24"/>
          <w:lang w:val="lt-LT"/>
        </w:rPr>
        <w:t>logoritminis</w:t>
      </w:r>
      <w:proofErr w:type="spellEnd"/>
      <w:r w:rsidR="005B4A3C">
        <w:rPr>
          <w:rFonts w:ascii="Times New Roman" w:hAnsi="Times New Roman" w:cs="Times New Roman"/>
          <w:sz w:val="24"/>
          <w:szCs w:val="24"/>
          <w:lang w:val="lt-LT"/>
        </w:rPr>
        <w:t xml:space="preserve"> - </w:t>
      </w:r>
      <w:proofErr w:type="spellStart"/>
      <w:r w:rsidR="00B16945" w:rsidRPr="000D37F1">
        <w:rPr>
          <w:rFonts w:ascii="Times New Roman" w:hAnsi="Times New Roman" w:cs="Times New Roman"/>
          <w:sz w:val="24"/>
          <w:szCs w:val="24"/>
          <w:lang w:val="lt-LT"/>
        </w:rPr>
        <w:t>ranginis</w:t>
      </w:r>
      <w:proofErr w:type="spellEnd"/>
      <w:r w:rsidR="00B16945" w:rsidRPr="000D37F1">
        <w:rPr>
          <w:rFonts w:ascii="Times New Roman" w:hAnsi="Times New Roman" w:cs="Times New Roman"/>
          <w:sz w:val="24"/>
          <w:szCs w:val="24"/>
          <w:lang w:val="lt-LT"/>
        </w:rPr>
        <w:t xml:space="preserve"> testai, o trečiajame – Kokso regresijos modelis. </w:t>
      </w:r>
    </w:p>
    <w:p w:rsidR="00636B2C" w:rsidRPr="000D37F1" w:rsidRDefault="00D91D86" w:rsidP="00E33D6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Taikant išlikimo analizę stebimieji apibūdinami dviem dydžiais: būkle ir išlikimo trukme. Būklė gali įgyti dvi reikšmes: </w:t>
      </w:r>
      <w:r w:rsidRPr="000D37F1">
        <w:rPr>
          <w:rFonts w:ascii="Times New Roman" w:hAnsi="Times New Roman" w:cs="Times New Roman"/>
          <w:i/>
          <w:sz w:val="24"/>
          <w:szCs w:val="24"/>
          <w:lang w:val="lt-LT"/>
        </w:rPr>
        <w:t>t</w:t>
      </w:r>
      <w:r w:rsidRPr="000D37F1">
        <w:rPr>
          <w:rFonts w:ascii="Times New Roman" w:hAnsi="Times New Roman" w:cs="Times New Roman"/>
          <w:sz w:val="24"/>
          <w:szCs w:val="24"/>
          <w:lang w:val="lt-LT"/>
        </w:rPr>
        <w:t xml:space="preserve">- laiko momentu </w:t>
      </w:r>
      <w:r w:rsidRPr="000D37F1">
        <w:rPr>
          <w:rFonts w:ascii="Times New Roman" w:hAnsi="Times New Roman" w:cs="Times New Roman"/>
          <w:i/>
          <w:sz w:val="24"/>
          <w:szCs w:val="24"/>
          <w:lang w:val="lt-LT"/>
        </w:rPr>
        <w:t>T</w:t>
      </w:r>
      <w:r w:rsidRPr="000D37F1">
        <w:rPr>
          <w:rFonts w:ascii="Times New Roman" w:hAnsi="Times New Roman" w:cs="Times New Roman"/>
          <w:sz w:val="24"/>
          <w:szCs w:val="24"/>
          <w:lang w:val="lt-LT"/>
        </w:rPr>
        <w:t xml:space="preserve"> stebimasis neišliko ir 0 – laiko momentu </w:t>
      </w:r>
      <w:r w:rsidRPr="000D37F1">
        <w:rPr>
          <w:rFonts w:ascii="Times New Roman" w:hAnsi="Times New Roman" w:cs="Times New Roman"/>
          <w:i/>
          <w:sz w:val="24"/>
          <w:szCs w:val="24"/>
          <w:lang w:val="lt-LT"/>
        </w:rPr>
        <w:t>T</w:t>
      </w:r>
      <w:r w:rsidRPr="000D37F1">
        <w:rPr>
          <w:rFonts w:ascii="Times New Roman" w:hAnsi="Times New Roman" w:cs="Times New Roman"/>
          <w:sz w:val="24"/>
          <w:szCs w:val="24"/>
          <w:lang w:val="lt-LT"/>
        </w:rPr>
        <w:t xml:space="preserve"> apie stebimąjį turime nepilną informaciją (tai reiškia</w:t>
      </w:r>
      <w:r w:rsidR="00E33D69" w:rsidRPr="000D37F1">
        <w:rPr>
          <w:rFonts w:ascii="Times New Roman" w:hAnsi="Times New Roman" w:cs="Times New Roman"/>
          <w:sz w:val="24"/>
          <w:szCs w:val="24"/>
          <w:lang w:val="lt-LT"/>
        </w:rPr>
        <w:t>, jog stebimasis tęsia veiklą).</w:t>
      </w:r>
    </w:p>
    <w:p w:rsidR="000B137B" w:rsidRPr="000D37F1" w:rsidRDefault="000B137B" w:rsidP="00636B2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Išlikimo analizės metodai leidžia tuo pat metu tyrinėti pilnus ir nepilnus stebėjimus. Visi stebėjimai susiję su kredito unijų išlikimu rinkoje, jie skirstomi į pilnus (</w:t>
      </w:r>
      <w:proofErr w:type="spellStart"/>
      <w:r w:rsidRPr="000D37F1">
        <w:rPr>
          <w:rFonts w:ascii="Times New Roman" w:hAnsi="Times New Roman" w:cs="Times New Roman"/>
          <w:sz w:val="24"/>
          <w:szCs w:val="24"/>
          <w:lang w:val="lt-LT"/>
        </w:rPr>
        <w:t>completed</w:t>
      </w:r>
      <w:proofErr w:type="spellEnd"/>
      <w:r w:rsidRPr="000D37F1">
        <w:rPr>
          <w:rFonts w:ascii="Times New Roman" w:hAnsi="Times New Roman" w:cs="Times New Roman"/>
          <w:sz w:val="24"/>
          <w:szCs w:val="24"/>
          <w:lang w:val="lt-LT"/>
        </w:rPr>
        <w:t>) ir nepilnus (</w:t>
      </w:r>
      <w:proofErr w:type="spellStart"/>
      <w:r w:rsidRPr="000D37F1">
        <w:rPr>
          <w:rFonts w:ascii="Times New Roman" w:hAnsi="Times New Roman" w:cs="Times New Roman"/>
          <w:sz w:val="24"/>
          <w:szCs w:val="24"/>
          <w:lang w:val="lt-LT"/>
        </w:rPr>
        <w:t>censored</w:t>
      </w:r>
      <w:proofErr w:type="spellEnd"/>
      <w:r w:rsidRPr="000D37F1">
        <w:rPr>
          <w:rFonts w:ascii="Times New Roman" w:hAnsi="Times New Roman" w:cs="Times New Roman"/>
          <w:sz w:val="24"/>
          <w:szCs w:val="24"/>
          <w:lang w:val="lt-LT"/>
        </w:rPr>
        <w:t>). Pilni stebėjimai – tie, kurie reiškia kredito unijos bankrotą (veiklos nutraukimą), o nepilni stebėjimai – teikiantys tik dalininę informaciją, veikė iki tam tikro laiko, tačiau neturima daugiau informacijos (</w:t>
      </w:r>
      <w:proofErr w:type="spellStart"/>
      <w:r w:rsidRPr="000D37F1">
        <w:rPr>
          <w:rFonts w:ascii="Times New Roman" w:hAnsi="Times New Roman" w:cs="Times New Roman"/>
          <w:sz w:val="24"/>
          <w:szCs w:val="24"/>
          <w:lang w:val="lt-LT"/>
        </w:rPr>
        <w:t>right</w:t>
      </w:r>
      <w:proofErr w:type="spellEnd"/>
      <w:r w:rsidR="00833893">
        <w:rPr>
          <w:rFonts w:ascii="Times New Roman" w:hAnsi="Times New Roman" w:cs="Times New Roman"/>
          <w:sz w:val="24"/>
          <w:szCs w:val="24"/>
          <w:lang w:val="lt-LT"/>
        </w:rPr>
        <w:t xml:space="preserve"> </w:t>
      </w:r>
      <w:proofErr w:type="spellStart"/>
      <w:r w:rsidRPr="000D37F1">
        <w:rPr>
          <w:rFonts w:ascii="Times New Roman" w:hAnsi="Times New Roman" w:cs="Times New Roman"/>
          <w:sz w:val="24"/>
          <w:szCs w:val="24"/>
          <w:lang w:val="lt-LT"/>
        </w:rPr>
        <w:t>censored</w:t>
      </w:r>
      <w:proofErr w:type="spellEnd"/>
      <w:r w:rsidRPr="000D37F1">
        <w:rPr>
          <w:rFonts w:ascii="Times New Roman" w:hAnsi="Times New Roman" w:cs="Times New Roman"/>
          <w:sz w:val="24"/>
          <w:szCs w:val="24"/>
          <w:lang w:val="lt-LT"/>
        </w:rPr>
        <w:t>).</w:t>
      </w:r>
      <w:r w:rsidR="003E1CDE" w:rsidRPr="000D37F1">
        <w:rPr>
          <w:rFonts w:ascii="Times New Roman" w:hAnsi="Times New Roman" w:cs="Times New Roman"/>
          <w:sz w:val="24"/>
          <w:szCs w:val="24"/>
          <w:lang w:val="lt-LT"/>
        </w:rPr>
        <w:t xml:space="preserve"> Jų išlikimo trukmė ne trumpesnė nei nustatytas laikas. Išlikimo analizės požiūriu svarbus išlikimo laikas, būklė ir tam tikri stebimi veiksniai (Leonavičienė, 2008, 91p.). Išlikimo analiz</w:t>
      </w:r>
      <w:r w:rsidR="00A35F7E" w:rsidRPr="000D37F1">
        <w:rPr>
          <w:rFonts w:ascii="Times New Roman" w:hAnsi="Times New Roman" w:cs="Times New Roman"/>
          <w:sz w:val="24"/>
          <w:szCs w:val="24"/>
          <w:lang w:val="lt-LT"/>
        </w:rPr>
        <w:t>ė leidžia nustatyti tikimybes iš</w:t>
      </w:r>
      <w:r w:rsidR="003E1CDE" w:rsidRPr="000D37F1">
        <w:rPr>
          <w:rFonts w:ascii="Times New Roman" w:hAnsi="Times New Roman" w:cs="Times New Roman"/>
          <w:sz w:val="24"/>
          <w:szCs w:val="24"/>
          <w:lang w:val="lt-LT"/>
        </w:rPr>
        <w:t>likti tam tikrą</w:t>
      </w:r>
      <w:r w:rsidR="00833893">
        <w:rPr>
          <w:rFonts w:ascii="Times New Roman" w:hAnsi="Times New Roman" w:cs="Times New Roman"/>
          <w:sz w:val="24"/>
          <w:szCs w:val="24"/>
          <w:lang w:val="lt-LT"/>
        </w:rPr>
        <w:t xml:space="preserve"> </w:t>
      </w:r>
      <w:r w:rsidR="003E1CDE" w:rsidRPr="000D37F1">
        <w:rPr>
          <w:rFonts w:ascii="Times New Roman" w:hAnsi="Times New Roman" w:cs="Times New Roman"/>
          <w:sz w:val="24"/>
          <w:szCs w:val="24"/>
          <w:lang w:val="lt-LT"/>
        </w:rPr>
        <w:t>laiko tarpą veikiant tam tikriems veiksniams.</w:t>
      </w:r>
    </w:p>
    <w:p w:rsidR="009729E0" w:rsidRPr="000D37F1" w:rsidRDefault="009729E0" w:rsidP="00636B2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Analizuojant kredito unijų ri</w:t>
      </w:r>
      <w:r w:rsidR="008E22E7" w:rsidRPr="000D37F1">
        <w:rPr>
          <w:rFonts w:ascii="Times New Roman" w:hAnsi="Times New Roman" w:cs="Times New Roman"/>
          <w:sz w:val="24"/>
          <w:szCs w:val="24"/>
          <w:lang w:val="lt-LT"/>
        </w:rPr>
        <w:t>zi</w:t>
      </w:r>
      <w:r w:rsidRPr="000D37F1">
        <w:rPr>
          <w:rFonts w:ascii="Times New Roman" w:hAnsi="Times New Roman" w:cs="Times New Roman"/>
          <w:sz w:val="24"/>
          <w:szCs w:val="24"/>
          <w:lang w:val="lt-LT"/>
        </w:rPr>
        <w:t>kingumą, aktualu įvertinti kovariatės (</w:t>
      </w:r>
      <w:r w:rsidR="00B60F17" w:rsidRPr="000D37F1">
        <w:rPr>
          <w:rFonts w:ascii="Times New Roman" w:hAnsi="Times New Roman" w:cs="Times New Roman"/>
          <w:sz w:val="24"/>
          <w:szCs w:val="24"/>
          <w:lang w:val="lt-LT"/>
        </w:rPr>
        <w:t>veiksnio</w:t>
      </w:r>
      <w:r w:rsidRPr="000D37F1">
        <w:rPr>
          <w:rFonts w:ascii="Times New Roman" w:hAnsi="Times New Roman" w:cs="Times New Roman"/>
          <w:sz w:val="24"/>
          <w:szCs w:val="24"/>
          <w:lang w:val="lt-LT"/>
        </w:rPr>
        <w:t xml:space="preserve">) įtaką gyvavimo laikui. Sakykime, </w:t>
      </w:r>
      <w:r w:rsidRPr="000D37F1">
        <w:rPr>
          <w:rFonts w:ascii="Times New Roman" w:hAnsi="Times New Roman" w:cs="Times New Roman"/>
          <w:i/>
          <w:sz w:val="24"/>
          <w:szCs w:val="24"/>
          <w:lang w:val="lt-LT"/>
        </w:rPr>
        <w:t>x</w:t>
      </w:r>
      <w:r w:rsidRPr="000D37F1">
        <w:rPr>
          <w:rFonts w:ascii="Times New Roman" w:hAnsi="Times New Roman" w:cs="Times New Roman"/>
          <w:sz w:val="24"/>
          <w:szCs w:val="24"/>
          <w:lang w:val="lt-LT"/>
        </w:rPr>
        <w:t xml:space="preserve"> – kovariatės</w:t>
      </w:r>
      <w:r w:rsidR="006D7496" w:rsidRPr="000D37F1">
        <w:rPr>
          <w:rFonts w:ascii="Times New Roman" w:hAnsi="Times New Roman" w:cs="Times New Roman"/>
          <w:sz w:val="24"/>
          <w:szCs w:val="24"/>
          <w:lang w:val="lt-LT"/>
        </w:rPr>
        <w:t xml:space="preserve"> </w:t>
      </w:r>
      <w:r w:rsidRPr="000D37F1">
        <w:rPr>
          <w:rFonts w:ascii="Times New Roman" w:hAnsi="Times New Roman" w:cs="Times New Roman"/>
          <w:i/>
          <w:sz w:val="24"/>
          <w:szCs w:val="24"/>
          <w:lang w:val="lt-LT"/>
        </w:rPr>
        <w:t>X</w:t>
      </w:r>
      <w:r w:rsidRPr="000D37F1">
        <w:rPr>
          <w:rFonts w:ascii="Times New Roman" w:hAnsi="Times New Roman" w:cs="Times New Roman"/>
          <w:sz w:val="24"/>
          <w:szCs w:val="24"/>
          <w:lang w:val="lt-LT"/>
        </w:rPr>
        <w:t xml:space="preserve">, lemiančios kredito unijos būklę, reikšmė. Kokso proporcingos rizikos modelio prielaida – individo </w:t>
      </w:r>
      <w:r w:rsidR="00C5542B" w:rsidRPr="000D37F1">
        <w:rPr>
          <w:rFonts w:ascii="Times New Roman" w:hAnsi="Times New Roman" w:cs="Times New Roman"/>
          <w:sz w:val="24"/>
          <w:szCs w:val="24"/>
          <w:lang w:val="lt-LT"/>
        </w:rPr>
        <w:t xml:space="preserve">(šiuo atvejų kredito </w:t>
      </w:r>
      <w:r w:rsidR="008E22E7" w:rsidRPr="000D37F1">
        <w:rPr>
          <w:rFonts w:ascii="Times New Roman" w:hAnsi="Times New Roman" w:cs="Times New Roman"/>
          <w:sz w:val="24"/>
          <w:szCs w:val="24"/>
          <w:lang w:val="lt-LT"/>
        </w:rPr>
        <w:t>unijos</w:t>
      </w:r>
      <w:r w:rsidR="00C5542B" w:rsidRPr="000D37F1">
        <w:rPr>
          <w:rFonts w:ascii="Times New Roman" w:hAnsi="Times New Roman" w:cs="Times New Roman"/>
          <w:sz w:val="24"/>
          <w:szCs w:val="24"/>
          <w:lang w:val="lt-LT"/>
        </w:rPr>
        <w:t xml:space="preserve">), turinčio kovariatės reikšmę </w:t>
      </w:r>
      <w:r w:rsidR="00C5542B" w:rsidRPr="000D37F1">
        <w:rPr>
          <w:rFonts w:ascii="Times New Roman" w:hAnsi="Times New Roman" w:cs="Times New Roman"/>
          <w:i/>
          <w:sz w:val="24"/>
          <w:szCs w:val="24"/>
          <w:lang w:val="lt-LT"/>
        </w:rPr>
        <w:t>x</w:t>
      </w:r>
      <w:r w:rsidR="00C5542B" w:rsidRPr="000D37F1">
        <w:rPr>
          <w:rFonts w:ascii="Times New Roman" w:hAnsi="Times New Roman" w:cs="Times New Roman"/>
          <w:sz w:val="24"/>
          <w:szCs w:val="24"/>
          <w:lang w:val="lt-LT"/>
        </w:rPr>
        <w:t xml:space="preserve">, rizikos funkcija </w:t>
      </w:r>
      <w:proofErr w:type="spellStart"/>
      <w:r w:rsidR="00C5542B" w:rsidRPr="000D37F1">
        <w:rPr>
          <w:rFonts w:ascii="Times New Roman" w:hAnsi="Times New Roman" w:cs="Times New Roman"/>
          <w:i/>
          <w:sz w:val="24"/>
          <w:szCs w:val="24"/>
          <w:lang w:val="lt-LT"/>
        </w:rPr>
        <w:t>h(t;x</w:t>
      </w:r>
      <w:proofErr w:type="spellEnd"/>
      <w:r w:rsidR="00C5542B" w:rsidRPr="000D37F1">
        <w:rPr>
          <w:rFonts w:ascii="Times New Roman" w:hAnsi="Times New Roman" w:cs="Times New Roman"/>
          <w:i/>
          <w:sz w:val="24"/>
          <w:szCs w:val="24"/>
          <w:lang w:val="lt-LT"/>
        </w:rPr>
        <w:t>)</w:t>
      </w:r>
      <w:r w:rsidR="00C5542B" w:rsidRPr="000D37F1">
        <w:rPr>
          <w:rFonts w:ascii="Times New Roman" w:hAnsi="Times New Roman" w:cs="Times New Roman"/>
          <w:sz w:val="24"/>
          <w:szCs w:val="24"/>
          <w:lang w:val="lt-LT"/>
        </w:rPr>
        <w:t xml:space="preserve"> lygi:</w:t>
      </w:r>
    </w:p>
    <w:p w:rsidR="00C5542B" w:rsidRPr="000D37F1" w:rsidRDefault="00C5542B" w:rsidP="006D7496">
      <w:pPr>
        <w:spacing w:line="360" w:lineRule="auto"/>
        <w:jc w:val="right"/>
        <w:rPr>
          <w:rFonts w:ascii="Times New Roman" w:eastAsiaTheme="minorEastAsia" w:hAnsi="Times New Roman" w:cs="Times New Roman"/>
          <w:i/>
          <w:sz w:val="24"/>
          <w:szCs w:val="24"/>
          <w:lang w:val="lt-LT"/>
        </w:rPr>
      </w:pPr>
      <w:proofErr w:type="spellStart"/>
      <w:r w:rsidRPr="000D37F1">
        <w:rPr>
          <w:rFonts w:ascii="Times New Roman" w:hAnsi="Times New Roman" w:cs="Times New Roman"/>
          <w:i/>
          <w:sz w:val="24"/>
          <w:szCs w:val="24"/>
          <w:lang w:val="lt-LT"/>
        </w:rPr>
        <w:t>h(t;x</w:t>
      </w:r>
      <w:proofErr w:type="spellEnd"/>
      <w:r w:rsidRPr="000D37F1">
        <w:rPr>
          <w:rFonts w:ascii="Times New Roman" w:hAnsi="Times New Roman" w:cs="Times New Roman"/>
          <w:i/>
          <w:sz w:val="24"/>
          <w:szCs w:val="24"/>
          <w:lang w:val="lt-LT"/>
        </w:rPr>
        <w:t>)=</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oMath>
      <w:r w:rsidRPr="000D37F1">
        <w:rPr>
          <w:rFonts w:ascii="Times New Roman" w:eastAsiaTheme="minorEastAsia" w:hAnsi="Times New Roman" w:cs="Times New Roman"/>
          <w:i/>
          <w:sz w:val="24"/>
          <w:szCs w:val="24"/>
          <w:lang w:val="lt-LT"/>
        </w:rPr>
        <w:t>(t)exp(βx);</w:t>
      </w:r>
      <w:r w:rsidR="006D7496" w:rsidRPr="000D37F1">
        <w:rPr>
          <w:rFonts w:ascii="Times New Roman" w:eastAsiaTheme="minorEastAsia" w:hAnsi="Times New Roman" w:cs="Times New Roman"/>
          <w:i/>
          <w:sz w:val="24"/>
          <w:szCs w:val="24"/>
          <w:lang w:val="lt-LT"/>
        </w:rPr>
        <w:tab/>
      </w:r>
      <w:r w:rsidR="006D7496" w:rsidRPr="000D37F1">
        <w:rPr>
          <w:rFonts w:ascii="Times New Roman" w:eastAsiaTheme="minorEastAsia" w:hAnsi="Times New Roman" w:cs="Times New Roman"/>
          <w:i/>
          <w:sz w:val="24"/>
          <w:szCs w:val="24"/>
          <w:lang w:val="lt-LT"/>
        </w:rPr>
        <w:tab/>
      </w:r>
      <w:r w:rsidR="006D7496" w:rsidRPr="000D37F1">
        <w:rPr>
          <w:rFonts w:ascii="Times New Roman" w:eastAsiaTheme="minorEastAsia" w:hAnsi="Times New Roman" w:cs="Times New Roman"/>
          <w:i/>
          <w:sz w:val="24"/>
          <w:szCs w:val="24"/>
          <w:lang w:val="lt-LT"/>
        </w:rPr>
        <w:tab/>
      </w:r>
      <w:r w:rsidR="006D7496" w:rsidRPr="000D37F1">
        <w:rPr>
          <w:rFonts w:ascii="Times New Roman" w:eastAsiaTheme="minorEastAsia" w:hAnsi="Times New Roman" w:cs="Times New Roman"/>
          <w:i/>
          <w:sz w:val="24"/>
          <w:szCs w:val="24"/>
          <w:lang w:val="lt-LT"/>
        </w:rPr>
        <w:tab/>
      </w:r>
      <w:r w:rsidR="006D7496" w:rsidRPr="000D37F1">
        <w:rPr>
          <w:rFonts w:ascii="Times New Roman" w:eastAsiaTheme="minorEastAsia" w:hAnsi="Times New Roman" w:cs="Times New Roman"/>
          <w:i/>
          <w:sz w:val="24"/>
          <w:szCs w:val="24"/>
          <w:lang w:val="lt-LT"/>
        </w:rPr>
        <w:tab/>
      </w:r>
      <w:r w:rsidR="006D7496" w:rsidRPr="000D37F1">
        <w:rPr>
          <w:rFonts w:ascii="Times New Roman" w:eastAsiaTheme="minorEastAsia" w:hAnsi="Times New Roman" w:cs="Times New Roman"/>
          <w:i/>
          <w:sz w:val="24"/>
          <w:szCs w:val="24"/>
          <w:lang w:val="lt-LT"/>
        </w:rPr>
        <w:tab/>
        <w:t>(1)</w:t>
      </w:r>
    </w:p>
    <w:p w:rsidR="00636B2C" w:rsidRPr="000D37F1" w:rsidRDefault="00C5542B" w:rsidP="00CF3899">
      <w:pPr>
        <w:spacing w:line="360" w:lineRule="auto"/>
        <w:jc w:val="both"/>
        <w:rPr>
          <w:rFonts w:ascii="Times New Roman" w:hAnsi="Times New Roman" w:cs="Times New Roman"/>
          <w:sz w:val="24"/>
          <w:szCs w:val="24"/>
          <w:lang w:val="lt-LT"/>
        </w:rPr>
      </w:pPr>
      <w:r w:rsidRPr="000D37F1">
        <w:rPr>
          <w:rFonts w:ascii="Times New Roman" w:eastAsiaTheme="minorEastAsia" w:hAnsi="Times New Roman" w:cs="Times New Roman"/>
          <w:sz w:val="24"/>
          <w:szCs w:val="24"/>
          <w:lang w:val="lt-LT"/>
        </w:rPr>
        <w:t xml:space="preserve">čia </w:t>
      </w:r>
      <w:r w:rsidRPr="000D37F1">
        <w:rPr>
          <w:rFonts w:ascii="Times New Roman" w:eastAsiaTheme="minorEastAsia" w:hAnsi="Times New Roman" w:cs="Times New Roman"/>
          <w:i/>
          <w:sz w:val="24"/>
          <w:szCs w:val="24"/>
          <w:lang w:val="lt-LT"/>
        </w:rPr>
        <w:t>β</w:t>
      </w:r>
      <w:r w:rsidRPr="000D37F1">
        <w:rPr>
          <w:rFonts w:ascii="Times New Roman" w:eastAsiaTheme="minorEastAsia" w:hAnsi="Times New Roman" w:cs="Times New Roman"/>
          <w:sz w:val="24"/>
          <w:szCs w:val="24"/>
          <w:lang w:val="lt-LT"/>
        </w:rPr>
        <w:t xml:space="preserve"> – regresijos koeficientas,</w:t>
      </w:r>
      <m:oMath>
        <m:r>
          <w:rPr>
            <w:rFonts w:ascii="Cambria Math" w:eastAsiaTheme="minorEastAsia" w:hAnsi="Cambria Math" w:cs="Times New Roman"/>
            <w:sz w:val="24"/>
            <w:szCs w:val="24"/>
            <w:lang w:val="lt-LT"/>
          </w:rPr>
          <m:t xml:space="preserve"> </m:t>
        </m:r>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oMath>
      <w:r w:rsidRPr="000D37F1">
        <w:rPr>
          <w:rFonts w:ascii="Times New Roman" w:eastAsiaTheme="minorEastAsia" w:hAnsi="Times New Roman" w:cs="Times New Roman"/>
          <w:i/>
          <w:sz w:val="24"/>
          <w:szCs w:val="24"/>
          <w:lang w:val="lt-LT"/>
        </w:rPr>
        <w:t>(t)</w:t>
      </w:r>
      <w:r w:rsidRPr="000D37F1">
        <w:rPr>
          <w:rFonts w:ascii="Times New Roman" w:eastAsiaTheme="minorEastAsia" w:hAnsi="Times New Roman" w:cs="Times New Roman"/>
          <w:sz w:val="24"/>
          <w:szCs w:val="24"/>
          <w:lang w:val="lt-LT"/>
        </w:rPr>
        <w:t xml:space="preserve"> – neneigiama </w:t>
      </w:r>
      <w:r w:rsidRPr="000D37F1">
        <w:rPr>
          <w:rFonts w:ascii="Times New Roman" w:eastAsiaTheme="minorEastAsia" w:hAnsi="Times New Roman" w:cs="Times New Roman"/>
          <w:i/>
          <w:sz w:val="24"/>
          <w:szCs w:val="24"/>
          <w:lang w:val="lt-LT"/>
        </w:rPr>
        <w:t>t</w:t>
      </w:r>
      <w:r w:rsidRPr="000D37F1">
        <w:rPr>
          <w:rFonts w:ascii="Times New Roman" w:eastAsiaTheme="minorEastAsia" w:hAnsi="Times New Roman" w:cs="Times New Roman"/>
          <w:sz w:val="24"/>
          <w:szCs w:val="24"/>
          <w:lang w:val="lt-LT"/>
        </w:rPr>
        <w:t xml:space="preserve"> funkcija, vadinama bazine rizikos funkcija (</w:t>
      </w:r>
      <w:proofErr w:type="spellStart"/>
      <w:r w:rsidRPr="000D37F1">
        <w:rPr>
          <w:rFonts w:ascii="Times New Roman" w:eastAsiaTheme="minorEastAsia" w:hAnsi="Times New Roman" w:cs="Times New Roman"/>
          <w:i/>
          <w:sz w:val="24"/>
          <w:szCs w:val="24"/>
          <w:lang w:val="lt-LT"/>
        </w:rPr>
        <w:t>baseline</w:t>
      </w:r>
      <w:proofErr w:type="spellEnd"/>
      <w:r w:rsidR="00833893">
        <w:rPr>
          <w:rFonts w:ascii="Times New Roman" w:eastAsiaTheme="minorEastAsia" w:hAnsi="Times New Roman" w:cs="Times New Roman"/>
          <w:i/>
          <w:sz w:val="24"/>
          <w:szCs w:val="24"/>
          <w:lang w:val="lt-LT"/>
        </w:rPr>
        <w:t xml:space="preserve"> </w:t>
      </w:r>
      <w:proofErr w:type="spellStart"/>
      <w:r w:rsidRPr="000D37F1">
        <w:rPr>
          <w:rFonts w:ascii="Times New Roman" w:eastAsiaTheme="minorEastAsia" w:hAnsi="Times New Roman" w:cs="Times New Roman"/>
          <w:i/>
          <w:sz w:val="24"/>
          <w:szCs w:val="24"/>
          <w:lang w:val="lt-LT"/>
        </w:rPr>
        <w:t>hazard</w:t>
      </w:r>
      <w:proofErr w:type="spellEnd"/>
      <w:r w:rsidRPr="000D37F1">
        <w:rPr>
          <w:rFonts w:ascii="Times New Roman" w:eastAsiaTheme="minorEastAsia" w:hAnsi="Times New Roman" w:cs="Times New Roman"/>
          <w:sz w:val="24"/>
          <w:szCs w:val="24"/>
          <w:lang w:val="lt-LT"/>
        </w:rPr>
        <w:t>).</w:t>
      </w:r>
      <w:r w:rsidR="006D7496" w:rsidRPr="000D37F1">
        <w:rPr>
          <w:rFonts w:ascii="Times New Roman" w:eastAsiaTheme="minorEastAsia" w:hAnsi="Times New Roman" w:cs="Times New Roman"/>
          <w:sz w:val="24"/>
          <w:szCs w:val="24"/>
          <w:lang w:val="lt-LT"/>
        </w:rPr>
        <w:t xml:space="preserve"> Baz</w:t>
      </w:r>
      <w:r w:rsidR="00636B2C" w:rsidRPr="000D37F1">
        <w:rPr>
          <w:rFonts w:ascii="Times New Roman" w:eastAsiaTheme="minorEastAsia" w:hAnsi="Times New Roman" w:cs="Times New Roman"/>
          <w:sz w:val="24"/>
          <w:szCs w:val="24"/>
          <w:lang w:val="lt-LT"/>
        </w:rPr>
        <w:t>inės rizikos funkcijos</w:t>
      </w:r>
      <m:oMath>
        <m:r>
          <w:rPr>
            <w:rFonts w:ascii="Cambria Math" w:eastAsiaTheme="minorEastAsia" w:hAnsi="Cambria Math" w:cs="Times New Roman"/>
            <w:sz w:val="24"/>
            <w:szCs w:val="24"/>
            <w:lang w:val="lt-LT"/>
          </w:rPr>
          <m:t xml:space="preserve"> </m:t>
        </m:r>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oMath>
      <w:r w:rsidRPr="000D37F1">
        <w:rPr>
          <w:rFonts w:ascii="Times New Roman" w:eastAsiaTheme="minorEastAsia" w:hAnsi="Times New Roman" w:cs="Times New Roman"/>
          <w:i/>
          <w:sz w:val="24"/>
          <w:szCs w:val="24"/>
          <w:lang w:val="lt-LT"/>
        </w:rPr>
        <w:t>(t)</w:t>
      </w:r>
      <w:r w:rsidRPr="000D37F1">
        <w:rPr>
          <w:rFonts w:ascii="Times New Roman" w:eastAsiaTheme="minorEastAsia" w:hAnsi="Times New Roman" w:cs="Times New Roman"/>
          <w:sz w:val="24"/>
          <w:szCs w:val="24"/>
          <w:lang w:val="lt-LT"/>
        </w:rPr>
        <w:t xml:space="preserve"> parametrinė išraiška nėra žinoma; </w:t>
      </w:r>
      <m:oMath>
        <m:sSub>
          <m:sSubPr>
            <m:ctrlPr>
              <w:rPr>
                <w:rFonts w:ascii="Cambria Math" w:hAnsi="Cambria Math" w:cs="Times New Roman"/>
                <w:sz w:val="24"/>
                <w:szCs w:val="24"/>
                <w:lang w:val="lt-LT"/>
              </w:rPr>
            </m:ctrlPr>
          </m:sSubPr>
          <m:e>
            <m:r>
              <m:rPr>
                <m:sty m:val="p"/>
              </m:rPr>
              <w:rPr>
                <w:rFonts w:ascii="Cambria Math" w:hAnsi="Cambria Math" w:cs="Times New Roman"/>
                <w:sz w:val="24"/>
                <w:szCs w:val="24"/>
                <w:lang w:val="lt-LT"/>
              </w:rPr>
              <m:t>h</m:t>
            </m:r>
          </m:e>
          <m:sub>
            <m:r>
              <m:rPr>
                <m:sty m:val="p"/>
              </m:rPr>
              <w:rPr>
                <w:rFonts w:ascii="Cambria Math" w:hAnsi="Cambria Math" w:cs="Times New Roman"/>
                <w:sz w:val="24"/>
                <w:szCs w:val="24"/>
                <w:lang w:val="lt-LT"/>
              </w:rPr>
              <m:t>0</m:t>
            </m:r>
          </m:sub>
        </m:sSub>
      </m:oMath>
      <w:r w:rsidRPr="000D37F1">
        <w:rPr>
          <w:rFonts w:ascii="Times New Roman" w:eastAsiaTheme="minorEastAsia" w:hAnsi="Times New Roman" w:cs="Times New Roman"/>
          <w:sz w:val="24"/>
          <w:szCs w:val="24"/>
          <w:lang w:val="lt-LT"/>
        </w:rPr>
        <w:t>(t) interpretuojaam kaip individo su nuline kovaria</w:t>
      </w:r>
      <w:r w:rsidR="00636B2C" w:rsidRPr="000D37F1">
        <w:rPr>
          <w:rFonts w:ascii="Times New Roman" w:eastAsiaTheme="minorEastAsia" w:hAnsi="Times New Roman" w:cs="Times New Roman"/>
          <w:sz w:val="24"/>
          <w:szCs w:val="24"/>
          <w:lang w:val="lt-LT"/>
        </w:rPr>
        <w:t>n</w:t>
      </w:r>
      <w:r w:rsidRPr="000D37F1">
        <w:rPr>
          <w:rFonts w:ascii="Times New Roman" w:eastAsiaTheme="minorEastAsia" w:hAnsi="Times New Roman" w:cs="Times New Roman"/>
          <w:sz w:val="24"/>
          <w:szCs w:val="24"/>
          <w:lang w:val="lt-LT"/>
        </w:rPr>
        <w:t>tės reikšme rizikos funkcija</w:t>
      </w:r>
      <w:r w:rsidR="006222A1" w:rsidRPr="000D37F1">
        <w:rPr>
          <w:rFonts w:ascii="Times New Roman" w:eastAsiaTheme="minorEastAsia" w:hAnsi="Times New Roman" w:cs="Times New Roman"/>
          <w:i/>
          <w:sz w:val="24"/>
          <w:szCs w:val="24"/>
          <w:lang w:val="lt-LT"/>
        </w:rPr>
        <w:t xml:space="preserve">. </w:t>
      </w:r>
      <w:r w:rsidR="006222A1" w:rsidRPr="000D37F1">
        <w:rPr>
          <w:rFonts w:ascii="Times New Roman" w:eastAsiaTheme="minorEastAsia" w:hAnsi="Times New Roman" w:cs="Times New Roman"/>
          <w:sz w:val="24"/>
          <w:szCs w:val="24"/>
          <w:lang w:val="lt-LT"/>
        </w:rPr>
        <w:t xml:space="preserve">Rizikos funkcija apibrėžia momentinę tikimybę žlugti iki numatyto </w:t>
      </w:r>
      <w:r w:rsidR="006222A1" w:rsidRPr="000D37F1">
        <w:rPr>
          <w:rFonts w:ascii="Times New Roman" w:eastAsiaTheme="minorEastAsia" w:hAnsi="Times New Roman" w:cs="Times New Roman"/>
          <w:i/>
          <w:sz w:val="24"/>
          <w:szCs w:val="24"/>
          <w:lang w:val="lt-LT"/>
        </w:rPr>
        <w:t>t</w:t>
      </w:r>
      <w:r w:rsidR="006222A1" w:rsidRPr="000D37F1">
        <w:rPr>
          <w:rFonts w:ascii="Times New Roman" w:eastAsiaTheme="minorEastAsia" w:hAnsi="Times New Roman" w:cs="Times New Roman"/>
          <w:sz w:val="24"/>
          <w:szCs w:val="24"/>
          <w:lang w:val="lt-LT"/>
        </w:rPr>
        <w:t xml:space="preserve"> laiko.</w:t>
      </w:r>
    </w:p>
    <w:p w:rsidR="000C2EBD" w:rsidRPr="000D37F1" w:rsidRDefault="005B4A3C" w:rsidP="00636B2C">
      <w:pPr>
        <w:spacing w:line="360" w:lineRule="auto"/>
        <w:ind w:firstLine="720"/>
        <w:jc w:val="both"/>
        <w:rPr>
          <w:rFonts w:ascii="Times New Roman" w:hAnsi="Times New Roman" w:cs="Times New Roman"/>
          <w:sz w:val="24"/>
          <w:szCs w:val="24"/>
          <w:lang w:val="lt-LT"/>
        </w:rPr>
      </w:pPr>
      <w:r>
        <w:rPr>
          <w:rFonts w:ascii="Times New Roman" w:eastAsiaTheme="minorEastAsia" w:hAnsi="Times New Roman" w:cs="Times New Roman"/>
          <w:sz w:val="24"/>
          <w:szCs w:val="24"/>
          <w:lang w:val="lt-LT"/>
        </w:rPr>
        <w:t>Jeigu</w:t>
      </w:r>
      <w:r w:rsidR="000C2EBD" w:rsidRPr="000D37F1">
        <w:rPr>
          <w:rFonts w:ascii="Times New Roman" w:eastAsiaTheme="minorEastAsia" w:hAnsi="Times New Roman" w:cs="Times New Roman"/>
          <w:sz w:val="24"/>
          <w:szCs w:val="24"/>
          <w:lang w:val="lt-LT"/>
        </w:rPr>
        <w:t xml:space="preserve"> </w:t>
      </w:r>
      <w:proofErr w:type="spellStart"/>
      <w:r w:rsidR="000C2EBD" w:rsidRPr="000D37F1">
        <w:rPr>
          <w:rFonts w:ascii="Times New Roman" w:eastAsiaTheme="minorEastAsia" w:hAnsi="Times New Roman" w:cs="Times New Roman"/>
          <w:sz w:val="24"/>
          <w:szCs w:val="24"/>
          <w:lang w:val="lt-LT"/>
        </w:rPr>
        <w:t>kovariatė</w:t>
      </w:r>
      <w:proofErr w:type="spellEnd"/>
      <w:r w:rsidR="00A4278E" w:rsidRPr="000D37F1">
        <w:rPr>
          <w:rFonts w:ascii="Times New Roman" w:eastAsiaTheme="minorEastAsia" w:hAnsi="Times New Roman" w:cs="Times New Roman"/>
          <w:sz w:val="24"/>
          <w:szCs w:val="24"/>
          <w:lang w:val="lt-LT"/>
        </w:rPr>
        <w:t xml:space="preserve"> </w:t>
      </w:r>
      <w:r w:rsidR="000C2EBD" w:rsidRPr="000D37F1">
        <w:rPr>
          <w:rFonts w:ascii="Times New Roman" w:eastAsiaTheme="minorEastAsia" w:hAnsi="Times New Roman" w:cs="Times New Roman"/>
          <w:i/>
          <w:sz w:val="24"/>
          <w:szCs w:val="24"/>
          <w:lang w:val="lt-LT"/>
        </w:rPr>
        <w:t>X</w:t>
      </w:r>
      <w:r w:rsidR="000C2EBD" w:rsidRPr="000D37F1">
        <w:rPr>
          <w:rFonts w:ascii="Times New Roman" w:eastAsiaTheme="minorEastAsia" w:hAnsi="Times New Roman" w:cs="Times New Roman"/>
          <w:sz w:val="24"/>
          <w:szCs w:val="24"/>
          <w:lang w:val="lt-LT"/>
        </w:rPr>
        <w:t xml:space="preserve"> yra kokybinis kintamasis, pavyzdžiui </w:t>
      </w:r>
      <w:r w:rsidR="000C2EBD" w:rsidRPr="000D37F1">
        <w:rPr>
          <w:rFonts w:ascii="Times New Roman" w:eastAsiaTheme="minorEastAsia" w:hAnsi="Times New Roman" w:cs="Times New Roman"/>
          <w:i/>
          <w:sz w:val="24"/>
          <w:szCs w:val="24"/>
          <w:lang w:val="lt-LT"/>
        </w:rPr>
        <w:t>x=1</w:t>
      </w:r>
      <w:r w:rsidR="00D91D86" w:rsidRPr="000D37F1">
        <w:rPr>
          <w:rFonts w:ascii="Times New Roman" w:eastAsiaTheme="minorEastAsia" w:hAnsi="Times New Roman" w:cs="Times New Roman"/>
          <w:sz w:val="24"/>
          <w:szCs w:val="24"/>
          <w:lang w:val="lt-LT"/>
        </w:rPr>
        <w:t xml:space="preserve"> – kredito unija buvo įspėta Lietuvos</w:t>
      </w:r>
      <w:r w:rsidR="000C2EBD" w:rsidRPr="000D37F1">
        <w:rPr>
          <w:rFonts w:ascii="Times New Roman" w:eastAsiaTheme="minorEastAsia" w:hAnsi="Times New Roman" w:cs="Times New Roman"/>
          <w:sz w:val="24"/>
          <w:szCs w:val="24"/>
          <w:lang w:val="lt-LT"/>
        </w:rPr>
        <w:t xml:space="preserve"> banko dėl normatyvų nesilaikymo, </w:t>
      </w:r>
      <w:r w:rsidR="000C2EBD" w:rsidRPr="000D37F1">
        <w:rPr>
          <w:rFonts w:ascii="Times New Roman" w:eastAsiaTheme="minorEastAsia" w:hAnsi="Times New Roman" w:cs="Times New Roman"/>
          <w:i/>
          <w:sz w:val="24"/>
          <w:szCs w:val="24"/>
          <w:lang w:val="lt-LT"/>
        </w:rPr>
        <w:t>x=0</w:t>
      </w:r>
      <w:r w:rsidR="000C2EBD" w:rsidRPr="000D37F1">
        <w:rPr>
          <w:rFonts w:ascii="Times New Roman" w:eastAsiaTheme="minorEastAsia" w:hAnsi="Times New Roman" w:cs="Times New Roman"/>
          <w:sz w:val="24"/>
          <w:szCs w:val="24"/>
          <w:lang w:val="lt-LT"/>
        </w:rPr>
        <w:t xml:space="preserve"> – nebuvo įspėta. Tuomet neįs</w:t>
      </w:r>
      <w:r w:rsidR="008E22E7" w:rsidRPr="000D37F1">
        <w:rPr>
          <w:rFonts w:ascii="Times New Roman" w:eastAsiaTheme="minorEastAsia" w:hAnsi="Times New Roman" w:cs="Times New Roman"/>
          <w:sz w:val="24"/>
          <w:szCs w:val="24"/>
          <w:lang w:val="lt-LT"/>
        </w:rPr>
        <w:t>p</w:t>
      </w:r>
      <w:r w:rsidR="000C2EBD" w:rsidRPr="000D37F1">
        <w:rPr>
          <w:rFonts w:ascii="Times New Roman" w:eastAsiaTheme="minorEastAsia" w:hAnsi="Times New Roman" w:cs="Times New Roman"/>
          <w:sz w:val="24"/>
          <w:szCs w:val="24"/>
          <w:lang w:val="lt-LT"/>
        </w:rPr>
        <w:t xml:space="preserve">ėtų kredito unijų rizikos funkcija lygi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oMath>
      <w:r w:rsidR="000C2EBD" w:rsidRPr="000D37F1">
        <w:rPr>
          <w:rFonts w:ascii="Times New Roman" w:eastAsiaTheme="minorEastAsia" w:hAnsi="Times New Roman" w:cs="Times New Roman"/>
          <w:i/>
          <w:sz w:val="24"/>
          <w:szCs w:val="24"/>
          <w:lang w:val="lt-LT"/>
        </w:rPr>
        <w:t xml:space="preserve">(t), o įspėtų -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oMath>
      <w:r w:rsidR="000C2EBD" w:rsidRPr="000D37F1">
        <w:rPr>
          <w:rFonts w:ascii="Times New Roman" w:eastAsiaTheme="minorEastAsia" w:hAnsi="Times New Roman" w:cs="Times New Roman"/>
          <w:i/>
          <w:sz w:val="24"/>
          <w:szCs w:val="24"/>
          <w:lang w:val="lt-LT"/>
        </w:rPr>
        <w:t>(</w:t>
      </w:r>
      <w:proofErr w:type="spellStart"/>
      <w:r w:rsidR="000C2EBD" w:rsidRPr="000D37F1">
        <w:rPr>
          <w:rFonts w:ascii="Times New Roman" w:eastAsiaTheme="minorEastAsia" w:hAnsi="Times New Roman" w:cs="Times New Roman"/>
          <w:i/>
          <w:sz w:val="24"/>
          <w:szCs w:val="24"/>
          <w:lang w:val="lt-LT"/>
        </w:rPr>
        <w:t>t)</w:t>
      </w:r>
      <w:r w:rsidR="000C2EBD" w:rsidRPr="000D37F1">
        <w:rPr>
          <w:rFonts w:ascii="Times New Roman" w:eastAsiaTheme="minorEastAsia" w:hAnsi="Times New Roman" w:cs="Times New Roman"/>
          <w:sz w:val="24"/>
          <w:szCs w:val="24"/>
          <w:lang w:val="lt-LT"/>
        </w:rPr>
        <w:t>exp(β</w:t>
      </w:r>
      <w:proofErr w:type="spellEnd"/>
      <w:r w:rsidR="000C2EBD" w:rsidRPr="000D37F1">
        <w:rPr>
          <w:rFonts w:ascii="Times New Roman" w:eastAsiaTheme="minorEastAsia" w:hAnsi="Times New Roman" w:cs="Times New Roman"/>
          <w:sz w:val="24"/>
          <w:szCs w:val="24"/>
          <w:lang w:val="lt-LT"/>
        </w:rPr>
        <w:t xml:space="preserve">). Šiuo atveju dydis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oMath>
      <w:r w:rsidR="000C2EBD" w:rsidRPr="000D37F1">
        <w:rPr>
          <w:rFonts w:ascii="Times New Roman" w:eastAsiaTheme="minorEastAsia" w:hAnsi="Times New Roman" w:cs="Times New Roman"/>
          <w:i/>
          <w:sz w:val="24"/>
          <w:szCs w:val="24"/>
          <w:lang w:val="lt-LT"/>
        </w:rPr>
        <w:t>(</w:t>
      </w:r>
      <w:proofErr w:type="spellStart"/>
      <w:r w:rsidR="000C2EBD" w:rsidRPr="000D37F1">
        <w:rPr>
          <w:rFonts w:ascii="Times New Roman" w:eastAsiaTheme="minorEastAsia" w:hAnsi="Times New Roman" w:cs="Times New Roman"/>
          <w:i/>
          <w:sz w:val="24"/>
          <w:szCs w:val="24"/>
          <w:lang w:val="lt-LT"/>
        </w:rPr>
        <w:t>t)</w:t>
      </w:r>
      <w:r w:rsidR="000C2EBD" w:rsidRPr="000D37F1">
        <w:rPr>
          <w:rFonts w:ascii="Times New Roman" w:eastAsiaTheme="minorEastAsia" w:hAnsi="Times New Roman" w:cs="Times New Roman"/>
          <w:sz w:val="24"/>
          <w:szCs w:val="24"/>
          <w:lang w:val="lt-LT"/>
        </w:rPr>
        <w:t>exp(β</w:t>
      </w:r>
      <w:proofErr w:type="spellEnd"/>
      <w:r w:rsidR="000C2EBD" w:rsidRPr="000D37F1">
        <w:rPr>
          <w:rFonts w:ascii="Times New Roman" w:eastAsiaTheme="minorEastAsia" w:hAnsi="Times New Roman" w:cs="Times New Roman"/>
          <w:sz w:val="24"/>
          <w:szCs w:val="24"/>
          <w:lang w:val="lt-LT"/>
        </w:rPr>
        <w:t>) parodo, kiek kartų įspėtų kredito unijų rizikos funkcija yra didesnė nei neįspėtų.</w:t>
      </w:r>
    </w:p>
    <w:p w:rsidR="00897652" w:rsidRPr="000D37F1" w:rsidRDefault="00D91D86" w:rsidP="00636B2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lastRenderedPageBreak/>
        <w:t xml:space="preserve">Kokso proporcingosios rizikos modelyje yra vienintelis priklausomas kintamasis - </w:t>
      </w:r>
      <w:r w:rsidR="00072DB6" w:rsidRPr="000D37F1">
        <w:rPr>
          <w:rFonts w:ascii="Times New Roman" w:hAnsi="Times New Roman" w:cs="Times New Roman"/>
          <w:i/>
          <w:sz w:val="24"/>
          <w:szCs w:val="24"/>
          <w:lang w:val="lt-LT"/>
        </w:rPr>
        <w:t>T</w:t>
      </w:r>
      <w:r w:rsidR="00072DB6" w:rsidRPr="000D37F1">
        <w:rPr>
          <w:rFonts w:ascii="Times New Roman" w:hAnsi="Times New Roman" w:cs="Times New Roman"/>
          <w:sz w:val="24"/>
          <w:szCs w:val="24"/>
          <w:lang w:val="lt-LT"/>
        </w:rPr>
        <w:t>, kuris matuoja laiką iki atskiro banko žlugimo. Išlikimo funkcija</w:t>
      </w:r>
      <w:r w:rsidR="00833893">
        <w:rPr>
          <w:rFonts w:ascii="Times New Roman" w:hAnsi="Times New Roman" w:cs="Times New Roman"/>
          <w:sz w:val="24"/>
          <w:szCs w:val="24"/>
          <w:lang w:val="lt-LT"/>
        </w:rPr>
        <w:t xml:space="preserve"> </w:t>
      </w:r>
      <w:proofErr w:type="spellStart"/>
      <w:r w:rsidR="000C2EBD" w:rsidRPr="000D37F1">
        <w:rPr>
          <w:rFonts w:ascii="Times New Roman" w:hAnsi="Times New Roman" w:cs="Times New Roman"/>
          <w:i/>
          <w:sz w:val="24"/>
          <w:szCs w:val="24"/>
          <w:lang w:val="lt-LT"/>
        </w:rPr>
        <w:t>S(t;x</w:t>
      </w:r>
      <w:proofErr w:type="spellEnd"/>
      <w:r w:rsidR="000C2EBD" w:rsidRPr="000D37F1">
        <w:rPr>
          <w:rFonts w:ascii="Times New Roman" w:hAnsi="Times New Roman" w:cs="Times New Roman"/>
          <w:i/>
          <w:sz w:val="24"/>
          <w:szCs w:val="24"/>
          <w:lang w:val="lt-LT"/>
        </w:rPr>
        <w:t>)</w:t>
      </w:r>
      <w:r w:rsidR="00833893">
        <w:rPr>
          <w:rFonts w:ascii="Times New Roman" w:hAnsi="Times New Roman" w:cs="Times New Roman"/>
          <w:i/>
          <w:sz w:val="24"/>
          <w:szCs w:val="24"/>
          <w:lang w:val="lt-LT"/>
        </w:rPr>
        <w:t xml:space="preserve"> </w:t>
      </w:r>
      <w:r w:rsidR="00332DB8" w:rsidRPr="000D37F1">
        <w:rPr>
          <w:rFonts w:ascii="Times New Roman" w:hAnsi="Times New Roman" w:cs="Times New Roman"/>
          <w:sz w:val="24"/>
          <w:szCs w:val="24"/>
          <w:lang w:val="lt-LT"/>
        </w:rPr>
        <w:t>(</w:t>
      </w:r>
      <w:proofErr w:type="spellStart"/>
      <w:r w:rsidR="00332DB8" w:rsidRPr="000D37F1">
        <w:rPr>
          <w:rFonts w:ascii="Times New Roman" w:hAnsi="Times New Roman" w:cs="Times New Roman"/>
          <w:i/>
          <w:sz w:val="24"/>
          <w:szCs w:val="24"/>
          <w:lang w:val="lt-LT"/>
        </w:rPr>
        <w:t>survival</w:t>
      </w:r>
      <w:proofErr w:type="spellEnd"/>
      <w:r w:rsidR="00833893">
        <w:rPr>
          <w:rFonts w:ascii="Times New Roman" w:hAnsi="Times New Roman" w:cs="Times New Roman"/>
          <w:i/>
          <w:sz w:val="24"/>
          <w:szCs w:val="24"/>
          <w:lang w:val="lt-LT"/>
        </w:rPr>
        <w:t xml:space="preserve"> </w:t>
      </w:r>
      <w:proofErr w:type="spellStart"/>
      <w:r w:rsidR="00332DB8" w:rsidRPr="000D37F1">
        <w:rPr>
          <w:rFonts w:ascii="Times New Roman" w:hAnsi="Times New Roman" w:cs="Times New Roman"/>
          <w:i/>
          <w:sz w:val="24"/>
          <w:szCs w:val="24"/>
          <w:lang w:val="lt-LT"/>
        </w:rPr>
        <w:t>function</w:t>
      </w:r>
      <w:proofErr w:type="spellEnd"/>
      <w:r w:rsidR="00332DB8" w:rsidRPr="000D37F1">
        <w:rPr>
          <w:rFonts w:ascii="Times New Roman" w:hAnsi="Times New Roman" w:cs="Times New Roman"/>
          <w:sz w:val="24"/>
          <w:szCs w:val="24"/>
          <w:lang w:val="lt-LT"/>
        </w:rPr>
        <w:t>)</w:t>
      </w:r>
      <w:r w:rsidR="00833893">
        <w:rPr>
          <w:rFonts w:ascii="Times New Roman" w:hAnsi="Times New Roman" w:cs="Times New Roman"/>
          <w:sz w:val="24"/>
          <w:szCs w:val="24"/>
          <w:lang w:val="lt-LT"/>
        </w:rPr>
        <w:t xml:space="preserve"> </w:t>
      </w:r>
      <w:r w:rsidR="00CD778B" w:rsidRPr="000D37F1">
        <w:rPr>
          <w:rFonts w:ascii="Times New Roman" w:hAnsi="Times New Roman" w:cs="Times New Roman"/>
          <w:sz w:val="24"/>
          <w:szCs w:val="24"/>
          <w:lang w:val="lt-LT"/>
        </w:rPr>
        <w:t xml:space="preserve">apibrėžiama: </w:t>
      </w:r>
    </w:p>
    <w:p w:rsidR="000C2EBD" w:rsidRPr="000D37F1" w:rsidRDefault="000C2EBD" w:rsidP="00A4278E">
      <w:pPr>
        <w:spacing w:line="360" w:lineRule="auto"/>
        <w:jc w:val="right"/>
        <w:rPr>
          <w:rFonts w:ascii="Times New Roman" w:eastAsiaTheme="minorEastAsia" w:hAnsi="Times New Roman" w:cs="Times New Roman"/>
          <w:i/>
          <w:sz w:val="24"/>
          <w:szCs w:val="24"/>
          <w:lang w:val="lt-LT"/>
        </w:rPr>
      </w:pPr>
      <w:proofErr w:type="spellStart"/>
      <w:r w:rsidRPr="000D37F1">
        <w:rPr>
          <w:rFonts w:ascii="Times New Roman" w:hAnsi="Times New Roman" w:cs="Times New Roman"/>
          <w:i/>
          <w:sz w:val="24"/>
          <w:szCs w:val="24"/>
          <w:lang w:val="lt-LT"/>
        </w:rPr>
        <w:t>S(t;x)</w:t>
      </w:r>
      <w:r w:rsidR="002552E0" w:rsidRPr="000D37F1">
        <w:rPr>
          <w:rFonts w:ascii="Times New Roman" w:hAnsi="Times New Roman" w:cs="Times New Roman"/>
          <w:i/>
          <w:sz w:val="24"/>
          <w:szCs w:val="24"/>
          <w:lang w:val="lt-LT"/>
        </w:rPr>
        <w:t>=exp</w:t>
      </w:r>
      <w:proofErr w:type="spellEnd"/>
      <w:r w:rsidR="002552E0" w:rsidRPr="000D37F1">
        <w:rPr>
          <w:rFonts w:ascii="Times New Roman" w:hAnsi="Times New Roman" w:cs="Times New Roman"/>
          <w:i/>
          <w:sz w:val="24"/>
          <w:szCs w:val="24"/>
          <w:lang w:val="lt-LT"/>
        </w:rPr>
        <w:t>(</w:t>
      </w:r>
      <m:oMath>
        <m:r>
          <w:rPr>
            <w:rFonts w:ascii="Cambria Math" w:hAnsi="Cambria Math" w:cs="Times New Roman"/>
            <w:sz w:val="24"/>
            <w:szCs w:val="24"/>
            <w:lang w:val="lt-LT"/>
          </w:rPr>
          <m:t>-</m:t>
        </m:r>
        <m:nary>
          <m:naryPr>
            <m:limLoc m:val="subSup"/>
            <m:ctrlPr>
              <w:rPr>
                <w:rFonts w:ascii="Cambria Math" w:hAnsi="Cambria Math" w:cs="Times New Roman"/>
                <w:i/>
                <w:sz w:val="24"/>
                <w:szCs w:val="24"/>
                <w:lang w:val="lt-LT"/>
              </w:rPr>
            </m:ctrlPr>
          </m:naryPr>
          <m:sub>
            <m:r>
              <w:rPr>
                <w:rFonts w:ascii="Cambria Math" w:hAnsi="Cambria Math" w:cs="Times New Roman"/>
                <w:sz w:val="24"/>
                <w:szCs w:val="24"/>
                <w:lang w:val="lt-LT"/>
              </w:rPr>
              <m:t>0</m:t>
            </m:r>
          </m:sub>
          <m:sup>
            <m:r>
              <w:rPr>
                <w:rFonts w:ascii="Cambria Math" w:hAnsi="Cambria Math" w:cs="Times New Roman"/>
                <w:sz w:val="24"/>
                <w:szCs w:val="24"/>
                <w:lang w:val="lt-LT"/>
              </w:rPr>
              <m:t>t</m:t>
            </m:r>
          </m:sup>
          <m:e>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d>
              <m:dPr>
                <m:ctrlPr>
                  <w:rPr>
                    <w:rFonts w:ascii="Cambria Math" w:hAnsi="Cambria Math" w:cs="Times New Roman"/>
                    <w:i/>
                    <w:sz w:val="24"/>
                    <w:szCs w:val="24"/>
                    <w:lang w:val="lt-LT"/>
                  </w:rPr>
                </m:ctrlPr>
              </m:dPr>
              <m:e>
                <m:r>
                  <w:rPr>
                    <w:rFonts w:ascii="Cambria Math" w:hAnsi="Cambria Math" w:cs="Times New Roman"/>
                    <w:sz w:val="24"/>
                    <w:szCs w:val="24"/>
                    <w:lang w:val="lt-LT"/>
                  </w:rPr>
                  <m:t>u</m:t>
                </m:r>
              </m:e>
            </m:d>
            <m:r>
              <w:rPr>
                <w:rFonts w:ascii="Cambria Math" w:hAnsi="Cambria Math" w:cs="Times New Roman"/>
                <w:sz w:val="24"/>
                <w:szCs w:val="24"/>
                <w:lang w:val="lt-LT"/>
              </w:rPr>
              <m:t>exp⁡(</m:t>
            </m:r>
          </m:e>
        </m:nary>
        <m:r>
          <w:rPr>
            <w:rFonts w:ascii="Cambria Math" w:eastAsiaTheme="minorEastAsia" w:hAnsi="Cambria Math" w:cs="Times New Roman"/>
            <w:sz w:val="24"/>
            <w:szCs w:val="24"/>
            <w:lang w:val="lt-LT"/>
          </w:rPr>
          <m:t>βx)du))=</m:t>
        </m:r>
        <m:func>
          <m:funcPr>
            <m:ctrlPr>
              <w:rPr>
                <w:rFonts w:ascii="Cambria Math" w:eastAsiaTheme="minorEastAsia" w:hAnsi="Cambria Math" w:cs="Times New Roman"/>
                <w:i/>
                <w:sz w:val="24"/>
                <w:szCs w:val="24"/>
                <w:lang w:val="lt-LT"/>
              </w:rPr>
            </m:ctrlPr>
          </m:funcPr>
          <m:fName>
            <m:r>
              <w:rPr>
                <w:rFonts w:ascii="Cambria Math" w:eastAsiaTheme="minorEastAsia" w:hAnsi="Cambria Math" w:cs="Times New Roman"/>
                <w:sz w:val="24"/>
                <w:szCs w:val="24"/>
                <w:lang w:val="lt-LT"/>
              </w:rPr>
              <m:t>exp</m:t>
            </m:r>
          </m:fName>
          <m:e>
            <m:d>
              <m:dPr>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m:t>
                </m:r>
                <m:nary>
                  <m:naryPr>
                    <m:limLoc m:val="subSup"/>
                    <m:ctrlPr>
                      <w:rPr>
                        <w:rFonts w:ascii="Cambria Math" w:hAnsi="Cambria Math" w:cs="Times New Roman"/>
                        <w:i/>
                        <w:sz w:val="24"/>
                        <w:szCs w:val="24"/>
                        <w:lang w:val="lt-LT"/>
                      </w:rPr>
                    </m:ctrlPr>
                  </m:naryPr>
                  <m:sub>
                    <m:r>
                      <w:rPr>
                        <w:rFonts w:ascii="Cambria Math" w:hAnsi="Cambria Math" w:cs="Times New Roman"/>
                        <w:sz w:val="24"/>
                        <w:szCs w:val="24"/>
                        <w:lang w:val="lt-LT"/>
                      </w:rPr>
                      <m:t>0</m:t>
                    </m:r>
                  </m:sub>
                  <m:sup>
                    <m:r>
                      <w:rPr>
                        <w:rFonts w:ascii="Cambria Math" w:hAnsi="Cambria Math" w:cs="Times New Roman"/>
                        <w:sz w:val="24"/>
                        <w:szCs w:val="24"/>
                        <w:lang w:val="lt-LT"/>
                      </w:rPr>
                      <m:t>t</m:t>
                    </m:r>
                  </m:sup>
                  <m:e>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d>
                      <m:dPr>
                        <m:ctrlPr>
                          <w:rPr>
                            <w:rFonts w:ascii="Cambria Math" w:hAnsi="Cambria Math" w:cs="Times New Roman"/>
                            <w:i/>
                            <w:sz w:val="24"/>
                            <w:szCs w:val="24"/>
                            <w:lang w:val="lt-LT"/>
                          </w:rPr>
                        </m:ctrlPr>
                      </m:dPr>
                      <m:e>
                        <m:r>
                          <w:rPr>
                            <w:rFonts w:ascii="Cambria Math" w:hAnsi="Cambria Math" w:cs="Times New Roman"/>
                            <w:sz w:val="24"/>
                            <w:szCs w:val="24"/>
                            <w:lang w:val="lt-LT"/>
                          </w:rPr>
                          <m:t>u</m:t>
                        </m:r>
                      </m:e>
                    </m:d>
                    <m:r>
                      <w:rPr>
                        <w:rFonts w:ascii="Cambria Math" w:hAnsi="Cambria Math" w:cs="Times New Roman"/>
                        <w:sz w:val="24"/>
                        <w:szCs w:val="24"/>
                        <w:lang w:val="lt-LT"/>
                      </w:rPr>
                      <m:t>du)exp⁡(</m:t>
                    </m:r>
                  </m:e>
                </m:nary>
                <m:r>
                  <w:rPr>
                    <w:rFonts w:ascii="Cambria Math" w:eastAsiaTheme="minorEastAsia" w:hAnsi="Cambria Math" w:cs="Times New Roman"/>
                    <w:sz w:val="24"/>
                    <w:szCs w:val="24"/>
                    <w:lang w:val="lt-LT"/>
                  </w:rPr>
                  <m:t>βx</m:t>
                </m:r>
              </m:e>
            </m:d>
          </m:e>
        </m:func>
        <m:r>
          <w:rPr>
            <w:rFonts w:ascii="Cambria Math" w:eastAsiaTheme="minorEastAsia" w:hAnsi="Cambria Math" w:cs="Times New Roman"/>
            <w:sz w:val="24"/>
            <w:szCs w:val="24"/>
            <w:lang w:val="lt-LT"/>
          </w:rPr>
          <m:t>=</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S</m:t>
            </m:r>
          </m:e>
          <m:sub>
            <m:r>
              <w:rPr>
                <w:rFonts w:ascii="Cambria Math" w:eastAsiaTheme="minorEastAsia" w:hAnsi="Cambria Math" w:cs="Times New Roman"/>
                <w:sz w:val="24"/>
                <w:szCs w:val="24"/>
                <w:lang w:val="lt-LT"/>
              </w:rPr>
              <m:t>0</m:t>
            </m:r>
          </m:sub>
        </m:sSub>
        <m:d>
          <m:dPr>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t</m:t>
            </m:r>
          </m:e>
        </m:d>
        <m:r>
          <w:rPr>
            <w:rFonts w:ascii="Cambria Math" w:eastAsiaTheme="minorEastAsia" w:hAnsi="Cambria Math" w:cs="Times New Roman"/>
            <w:sz w:val="24"/>
            <w:szCs w:val="24"/>
            <w:lang w:val="lt-LT"/>
          </w:rPr>
          <m:t>=exp⁡(-</m:t>
        </m:r>
        <m:nary>
          <m:naryPr>
            <m:limLoc m:val="subSup"/>
            <m:ctrlPr>
              <w:rPr>
                <w:rFonts w:ascii="Cambria Math" w:hAnsi="Cambria Math" w:cs="Times New Roman"/>
                <w:i/>
                <w:sz w:val="24"/>
                <w:szCs w:val="24"/>
                <w:lang w:val="lt-LT"/>
              </w:rPr>
            </m:ctrlPr>
          </m:naryPr>
          <m:sub>
            <m:r>
              <w:rPr>
                <w:rFonts w:ascii="Cambria Math" w:hAnsi="Cambria Math" w:cs="Times New Roman"/>
                <w:sz w:val="24"/>
                <w:szCs w:val="24"/>
                <w:lang w:val="lt-LT"/>
              </w:rPr>
              <m:t>0</m:t>
            </m:r>
          </m:sub>
          <m:sup>
            <m:r>
              <w:rPr>
                <w:rFonts w:ascii="Cambria Math" w:hAnsi="Cambria Math" w:cs="Times New Roman"/>
                <w:sz w:val="24"/>
                <w:szCs w:val="24"/>
                <w:lang w:val="lt-LT"/>
              </w:rPr>
              <m:t>t</m:t>
            </m:r>
          </m:sup>
          <m:e>
            <m:sSub>
              <m:sSubPr>
                <m:ctrlPr>
                  <w:rPr>
                    <w:rFonts w:ascii="Cambria Math" w:hAnsi="Cambria Math" w:cs="Times New Roman"/>
                    <w:i/>
                    <w:sz w:val="24"/>
                    <w:szCs w:val="24"/>
                    <w:lang w:val="lt-LT"/>
                  </w:rPr>
                </m:ctrlPr>
              </m:sSubPr>
              <m:e>
                <m:r>
                  <w:rPr>
                    <w:rFonts w:ascii="Cambria Math" w:hAnsi="Cambria Math" w:cs="Times New Roman"/>
                    <w:sz w:val="24"/>
                    <w:szCs w:val="24"/>
                    <w:lang w:val="lt-LT"/>
                  </w:rPr>
                  <m:t>h</m:t>
                </m:r>
              </m:e>
              <m:sub>
                <m:r>
                  <w:rPr>
                    <w:rFonts w:ascii="Cambria Math" w:hAnsi="Cambria Math" w:cs="Times New Roman"/>
                    <w:sz w:val="24"/>
                    <w:szCs w:val="24"/>
                    <w:lang w:val="lt-LT"/>
                  </w:rPr>
                  <m:t>0</m:t>
                </m:r>
              </m:sub>
            </m:sSub>
            <m:d>
              <m:dPr>
                <m:ctrlPr>
                  <w:rPr>
                    <w:rFonts w:ascii="Cambria Math" w:hAnsi="Cambria Math" w:cs="Times New Roman"/>
                    <w:i/>
                    <w:sz w:val="24"/>
                    <w:szCs w:val="24"/>
                    <w:lang w:val="lt-LT"/>
                  </w:rPr>
                </m:ctrlPr>
              </m:dPr>
              <m:e>
                <m:r>
                  <w:rPr>
                    <w:rFonts w:ascii="Cambria Math" w:hAnsi="Cambria Math" w:cs="Times New Roman"/>
                    <w:sz w:val="24"/>
                    <w:szCs w:val="24"/>
                    <w:lang w:val="lt-LT"/>
                  </w:rPr>
                  <m:t>u</m:t>
                </m:r>
              </m:e>
            </m:d>
            <m:r>
              <w:rPr>
                <w:rFonts w:ascii="Cambria Math" w:hAnsi="Cambria Math" w:cs="Times New Roman"/>
                <w:sz w:val="24"/>
                <w:szCs w:val="24"/>
                <w:lang w:val="lt-LT"/>
              </w:rPr>
              <m:t>du)</m:t>
            </m:r>
          </m:e>
        </m:nary>
      </m:oMath>
      <w:r w:rsidR="00A4278E" w:rsidRPr="000D37F1">
        <w:rPr>
          <w:rFonts w:ascii="Times New Roman" w:eastAsiaTheme="minorEastAsia" w:hAnsi="Times New Roman" w:cs="Times New Roman"/>
          <w:i/>
          <w:sz w:val="24"/>
          <w:szCs w:val="24"/>
          <w:lang w:val="lt-LT"/>
        </w:rPr>
        <w:tab/>
      </w:r>
      <w:r w:rsidR="00A4278E" w:rsidRPr="000D37F1">
        <w:rPr>
          <w:rFonts w:ascii="Times New Roman" w:eastAsiaTheme="minorEastAsia" w:hAnsi="Times New Roman" w:cs="Times New Roman"/>
          <w:i/>
          <w:sz w:val="24"/>
          <w:szCs w:val="24"/>
          <w:lang w:val="lt-LT"/>
        </w:rPr>
        <w:tab/>
      </w:r>
      <w:r w:rsidR="00A4278E" w:rsidRPr="000D37F1">
        <w:rPr>
          <w:rFonts w:ascii="Times New Roman" w:eastAsiaTheme="minorEastAsia" w:hAnsi="Times New Roman" w:cs="Times New Roman"/>
          <w:i/>
          <w:sz w:val="24"/>
          <w:szCs w:val="24"/>
          <w:lang w:val="lt-LT"/>
        </w:rPr>
        <w:tab/>
      </w:r>
      <w:r w:rsidR="00A4278E" w:rsidRPr="000D37F1">
        <w:rPr>
          <w:rFonts w:ascii="Times New Roman" w:eastAsiaTheme="minorEastAsia" w:hAnsi="Times New Roman" w:cs="Times New Roman"/>
          <w:i/>
          <w:sz w:val="24"/>
          <w:szCs w:val="24"/>
          <w:lang w:val="lt-LT"/>
        </w:rPr>
        <w:tab/>
      </w:r>
      <w:r w:rsidR="00A4278E" w:rsidRPr="000D37F1">
        <w:rPr>
          <w:rFonts w:ascii="Times New Roman" w:eastAsiaTheme="minorEastAsia" w:hAnsi="Times New Roman" w:cs="Times New Roman"/>
          <w:i/>
          <w:sz w:val="24"/>
          <w:szCs w:val="24"/>
          <w:lang w:val="lt-LT"/>
        </w:rPr>
        <w:tab/>
      </w:r>
      <w:r w:rsidR="00A4278E" w:rsidRPr="000D37F1">
        <w:rPr>
          <w:rFonts w:ascii="Times New Roman" w:eastAsiaTheme="minorEastAsia" w:hAnsi="Times New Roman" w:cs="Times New Roman"/>
          <w:i/>
          <w:sz w:val="24"/>
          <w:szCs w:val="24"/>
          <w:lang w:val="lt-LT"/>
        </w:rPr>
        <w:tab/>
        <w:t>(2)</w:t>
      </w:r>
    </w:p>
    <w:p w:rsidR="00F4794E" w:rsidRPr="000D37F1" w:rsidRDefault="00D91D86" w:rsidP="00B16945">
      <w:pPr>
        <w:spacing w:line="360" w:lineRule="auto"/>
        <w:ind w:firstLine="720"/>
        <w:jc w:val="both"/>
        <w:rPr>
          <w:rFonts w:ascii="Times New Roman" w:hAnsi="Times New Roman" w:cs="Times New Roman"/>
          <w:i/>
          <w:sz w:val="24"/>
          <w:szCs w:val="24"/>
          <w:lang w:val="lt-LT"/>
        </w:rPr>
      </w:pPr>
      <w:r w:rsidRPr="000D37F1">
        <w:rPr>
          <w:rFonts w:ascii="Times New Roman" w:eastAsiaTheme="minorEastAsia" w:hAnsi="Times New Roman" w:cs="Times New Roman"/>
          <w:sz w:val="24"/>
          <w:szCs w:val="24"/>
          <w:lang w:val="lt-LT"/>
        </w:rPr>
        <w:t>Taigi remiantis  šia</w:t>
      </w:r>
      <w:r w:rsidR="00F4794E" w:rsidRPr="000D37F1">
        <w:rPr>
          <w:rFonts w:ascii="Times New Roman" w:eastAsiaTheme="minorEastAsia" w:hAnsi="Times New Roman" w:cs="Times New Roman"/>
          <w:sz w:val="24"/>
          <w:szCs w:val="24"/>
          <w:lang w:val="lt-LT"/>
        </w:rPr>
        <w:t xml:space="preserve"> formule, galima tvirtinti, kad kai </w:t>
      </w:r>
      <m:oMath>
        <m:r>
          <w:rPr>
            <w:rFonts w:ascii="Cambria Math" w:eastAsiaTheme="minorEastAsia" w:hAnsi="Cambria Math" w:cs="Times New Roman"/>
            <w:sz w:val="24"/>
            <w:szCs w:val="24"/>
            <w:lang w:val="lt-LT"/>
          </w:rPr>
          <m:t>β</m:t>
        </m:r>
      </m:oMath>
      <w:r w:rsidR="00F4794E" w:rsidRPr="000D37F1">
        <w:rPr>
          <w:rFonts w:ascii="Times New Roman" w:eastAsiaTheme="minorEastAsia" w:hAnsi="Times New Roman" w:cs="Times New Roman"/>
          <w:i/>
          <w:sz w:val="24"/>
          <w:szCs w:val="24"/>
          <w:lang w:val="lt-LT"/>
        </w:rPr>
        <w:t>&gt;0</w:t>
      </w:r>
      <w:r w:rsidR="00F4794E" w:rsidRPr="000D37F1">
        <w:rPr>
          <w:rFonts w:ascii="Times New Roman" w:eastAsiaTheme="minorEastAsia" w:hAnsi="Times New Roman" w:cs="Times New Roman"/>
          <w:sz w:val="24"/>
          <w:szCs w:val="24"/>
          <w:lang w:val="lt-LT"/>
        </w:rPr>
        <w:t xml:space="preserve">, tai didėjant </w:t>
      </w:r>
      <w:r w:rsidR="00F4794E" w:rsidRPr="000D37F1">
        <w:rPr>
          <w:rFonts w:ascii="Times New Roman" w:eastAsiaTheme="minorEastAsia" w:hAnsi="Times New Roman" w:cs="Times New Roman"/>
          <w:i/>
          <w:sz w:val="24"/>
          <w:szCs w:val="24"/>
          <w:lang w:val="lt-LT"/>
        </w:rPr>
        <w:t>x</w:t>
      </w:r>
      <w:r w:rsidR="00F4794E" w:rsidRPr="000D37F1">
        <w:rPr>
          <w:rFonts w:ascii="Times New Roman" w:eastAsiaTheme="minorEastAsia" w:hAnsi="Times New Roman" w:cs="Times New Roman"/>
          <w:sz w:val="24"/>
          <w:szCs w:val="24"/>
          <w:lang w:val="lt-LT"/>
        </w:rPr>
        <w:t xml:space="preserve">, subjekto išlikimas prastėja, nes </w:t>
      </w:r>
      <m:oMath>
        <m:sSub>
          <m:sSubPr>
            <m:ctrlPr>
              <w:rPr>
                <w:rFonts w:ascii="Cambria Math" w:eastAsiaTheme="minorEastAsia" w:hAnsi="Cambria Math" w:cs="Times New Roman"/>
                <w:sz w:val="24"/>
                <w:szCs w:val="24"/>
                <w:lang w:val="lt-LT"/>
              </w:rPr>
            </m:ctrlPr>
          </m:sSubPr>
          <m:e>
            <m:r>
              <m:rPr>
                <m:sty m:val="p"/>
              </m:rPr>
              <w:rPr>
                <w:rFonts w:ascii="Cambria Math" w:eastAsiaTheme="minorEastAsia" w:hAnsi="Cambria Math" w:cs="Times New Roman"/>
                <w:sz w:val="24"/>
                <w:szCs w:val="24"/>
                <w:lang w:val="lt-LT"/>
              </w:rPr>
              <m:t>S</m:t>
            </m:r>
          </m:e>
          <m:sub>
            <m:r>
              <m:rPr>
                <m:sty m:val="p"/>
              </m:rPr>
              <w:rPr>
                <w:rFonts w:ascii="Cambria Math" w:eastAsiaTheme="minorEastAsia" w:hAnsi="Cambria Math" w:cs="Times New Roman"/>
                <w:sz w:val="24"/>
                <w:szCs w:val="24"/>
                <w:lang w:val="lt-LT"/>
              </w:rPr>
              <m:t>0</m:t>
            </m:r>
          </m:sub>
        </m:sSub>
        <m:d>
          <m:dPr>
            <m:ctrlPr>
              <w:rPr>
                <w:rFonts w:ascii="Cambria Math" w:eastAsiaTheme="minorEastAsia" w:hAnsi="Cambria Math" w:cs="Times New Roman"/>
                <w:sz w:val="24"/>
                <w:szCs w:val="24"/>
                <w:lang w:val="lt-LT"/>
              </w:rPr>
            </m:ctrlPr>
          </m:dPr>
          <m:e>
            <m:r>
              <m:rPr>
                <m:sty m:val="p"/>
              </m:rPr>
              <w:rPr>
                <w:rFonts w:ascii="Cambria Math" w:eastAsiaTheme="minorEastAsia" w:hAnsi="Cambria Math" w:cs="Times New Roman"/>
                <w:sz w:val="24"/>
                <w:szCs w:val="24"/>
                <w:lang w:val="lt-LT"/>
              </w:rPr>
              <m:t>t</m:t>
            </m:r>
          </m:e>
        </m:d>
        <m:r>
          <m:rPr>
            <m:sty m:val="p"/>
          </m:rPr>
          <w:rPr>
            <w:rFonts w:ascii="Cambria Math" w:eastAsiaTheme="minorEastAsia" w:hAnsi="Cambria Math" w:cs="Times New Roman"/>
            <w:sz w:val="24"/>
            <w:szCs w:val="24"/>
            <w:lang w:val="lt-LT"/>
          </w:rPr>
          <m:t>&lt;</m:t>
        </m:r>
        <m:r>
          <w:rPr>
            <w:rFonts w:ascii="Cambria Math" w:eastAsiaTheme="minorEastAsia" w:hAnsi="Cambria Math" w:cs="Times New Roman"/>
            <w:sz w:val="24"/>
            <w:szCs w:val="24"/>
            <w:lang w:val="lt-LT"/>
          </w:rPr>
          <m:t>1, o jei β</m:t>
        </m:r>
      </m:oMath>
      <w:r w:rsidR="00F4794E" w:rsidRPr="000D37F1">
        <w:rPr>
          <w:rFonts w:ascii="Times New Roman" w:eastAsiaTheme="minorEastAsia" w:hAnsi="Times New Roman" w:cs="Times New Roman"/>
          <w:i/>
          <w:sz w:val="24"/>
          <w:szCs w:val="24"/>
          <w:lang w:val="lt-LT"/>
        </w:rPr>
        <w:t>&lt;0</w:t>
      </w:r>
      <w:r w:rsidR="00F4794E" w:rsidRPr="000D37F1">
        <w:rPr>
          <w:rFonts w:ascii="Times New Roman" w:eastAsiaTheme="minorEastAsia" w:hAnsi="Times New Roman" w:cs="Times New Roman"/>
          <w:sz w:val="24"/>
          <w:szCs w:val="24"/>
          <w:lang w:val="lt-LT"/>
        </w:rPr>
        <w:t xml:space="preserve">, tai didėjant </w:t>
      </w:r>
      <w:r w:rsidR="00F4794E" w:rsidRPr="000D37F1">
        <w:rPr>
          <w:rFonts w:ascii="Times New Roman" w:eastAsiaTheme="minorEastAsia" w:hAnsi="Times New Roman" w:cs="Times New Roman"/>
          <w:i/>
          <w:sz w:val="24"/>
          <w:szCs w:val="24"/>
          <w:lang w:val="lt-LT"/>
        </w:rPr>
        <w:t>x</w:t>
      </w:r>
      <w:r w:rsidR="00F4794E" w:rsidRPr="000D37F1">
        <w:rPr>
          <w:rFonts w:ascii="Times New Roman" w:eastAsiaTheme="minorEastAsia" w:hAnsi="Times New Roman" w:cs="Times New Roman"/>
          <w:sz w:val="24"/>
          <w:szCs w:val="24"/>
          <w:lang w:val="lt-LT"/>
        </w:rPr>
        <w:t>, subjekto išlikimas gerėja.</w:t>
      </w:r>
      <m:oMath>
        <m:sSub>
          <m:sSubPr>
            <m:ctrlPr>
              <w:rPr>
                <w:rFonts w:ascii="Cambria Math" w:eastAsiaTheme="minorEastAsia" w:hAnsi="Cambria Math" w:cs="Times New Roman"/>
                <w:sz w:val="24"/>
                <w:szCs w:val="24"/>
                <w:lang w:val="lt-LT"/>
              </w:rPr>
            </m:ctrlPr>
          </m:sSubPr>
          <m:e>
            <m:r>
              <w:rPr>
                <w:rFonts w:ascii="Cambria Math" w:eastAsiaTheme="minorEastAsia" w:hAnsi="Cambria Math" w:cs="Times New Roman"/>
                <w:sz w:val="24"/>
                <w:szCs w:val="24"/>
                <w:lang w:val="lt-LT"/>
              </w:rPr>
              <m:t>S</m:t>
            </m:r>
          </m:e>
          <m:sub>
            <m:r>
              <w:rPr>
                <w:rFonts w:ascii="Cambria Math" w:eastAsiaTheme="minorEastAsia" w:hAnsi="Cambria Math" w:cs="Times New Roman"/>
                <w:sz w:val="24"/>
                <w:szCs w:val="24"/>
                <w:lang w:val="lt-LT"/>
              </w:rPr>
              <m:t>0</m:t>
            </m:r>
          </m:sub>
        </m:sSub>
        <m:d>
          <m:dPr>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t</m:t>
            </m:r>
          </m:e>
        </m:d>
      </m:oMath>
      <w:r w:rsidR="006222A1" w:rsidRPr="000D37F1">
        <w:rPr>
          <w:rFonts w:ascii="Times New Roman" w:eastAsiaTheme="minorEastAsia" w:hAnsi="Times New Roman" w:cs="Times New Roman"/>
          <w:sz w:val="24"/>
          <w:szCs w:val="24"/>
          <w:lang w:val="lt-LT"/>
        </w:rPr>
        <w:t xml:space="preserve"> vadinama bazine išlikimo tikimybe ir priklauso tk nuo išlikimo laiko.</w:t>
      </w:r>
      <w:r w:rsidR="00B16945" w:rsidRPr="000D37F1">
        <w:rPr>
          <w:rFonts w:ascii="Times New Roman" w:hAnsi="Times New Roman" w:cs="Times New Roman"/>
          <w:sz w:val="24"/>
          <w:szCs w:val="24"/>
          <w:lang w:val="lt-LT"/>
        </w:rPr>
        <w:t xml:space="preserve"> Ji nusako tikimybę, kad stebimasis išgyvens laiko momentą </w:t>
      </w:r>
      <w:r w:rsidR="00B16945" w:rsidRPr="000D37F1">
        <w:rPr>
          <w:rFonts w:ascii="Times New Roman" w:hAnsi="Times New Roman" w:cs="Times New Roman"/>
          <w:i/>
          <w:sz w:val="24"/>
          <w:szCs w:val="24"/>
          <w:lang w:val="lt-LT"/>
        </w:rPr>
        <w:t>t</w:t>
      </w:r>
      <w:r w:rsidR="00B16945" w:rsidRPr="000D37F1">
        <w:rPr>
          <w:rFonts w:ascii="Times New Roman" w:hAnsi="Times New Roman" w:cs="Times New Roman"/>
          <w:sz w:val="24"/>
          <w:szCs w:val="24"/>
          <w:lang w:val="lt-LT"/>
        </w:rPr>
        <w:t xml:space="preserve">, t.y. išliks ilgiau nei </w:t>
      </w:r>
      <w:r w:rsidR="00B16945" w:rsidRPr="000D37F1">
        <w:rPr>
          <w:rFonts w:ascii="Times New Roman" w:hAnsi="Times New Roman" w:cs="Times New Roman"/>
          <w:i/>
          <w:sz w:val="24"/>
          <w:szCs w:val="24"/>
          <w:lang w:val="lt-LT"/>
        </w:rPr>
        <w:t>t</w:t>
      </w:r>
      <w:r w:rsidR="00B16945" w:rsidRPr="000D37F1">
        <w:rPr>
          <w:rFonts w:ascii="Times New Roman" w:hAnsi="Times New Roman" w:cs="Times New Roman"/>
          <w:sz w:val="24"/>
          <w:szCs w:val="24"/>
          <w:lang w:val="lt-LT"/>
        </w:rPr>
        <w:t xml:space="preserve"> laiko periodas.</w:t>
      </w:r>
    </w:p>
    <w:p w:rsidR="00CD778B" w:rsidRPr="000D37F1" w:rsidRDefault="00CD778B" w:rsidP="00A4278E">
      <w:pPr>
        <w:spacing w:line="360" w:lineRule="auto"/>
        <w:jc w:val="right"/>
        <w:rPr>
          <w:rFonts w:ascii="Times New Roman" w:hAnsi="Times New Roman" w:cs="Times New Roman"/>
          <w:sz w:val="24"/>
          <w:szCs w:val="24"/>
          <w:lang w:val="lt-LT"/>
        </w:rPr>
      </w:pPr>
      <w:r w:rsidRPr="000D37F1">
        <w:rPr>
          <w:rFonts w:ascii="Times New Roman" w:hAnsi="Times New Roman" w:cs="Times New Roman"/>
          <w:i/>
          <w:sz w:val="24"/>
          <w:szCs w:val="24"/>
          <w:lang w:val="lt-LT"/>
        </w:rPr>
        <w:t>S(t)</w:t>
      </w:r>
      <w:r w:rsidR="00EE1E9B" w:rsidRPr="000D37F1">
        <w:rPr>
          <w:rFonts w:ascii="Times New Roman" w:hAnsi="Times New Roman" w:cs="Times New Roman"/>
          <w:i/>
          <w:sz w:val="24"/>
          <w:szCs w:val="24"/>
          <w:lang w:val="lt-LT"/>
        </w:rPr>
        <w:t>=</w:t>
      </w:r>
      <w:r w:rsidR="00897652" w:rsidRPr="000D37F1">
        <w:rPr>
          <w:rFonts w:ascii="Times New Roman" w:hAnsi="Times New Roman" w:cs="Times New Roman"/>
          <w:i/>
          <w:sz w:val="24"/>
          <w:szCs w:val="24"/>
          <w:lang w:val="lt-LT"/>
        </w:rPr>
        <w:t>1-</w:t>
      </w:r>
      <w:proofErr w:type="spellStart"/>
      <w:r w:rsidR="00897652" w:rsidRPr="000D37F1">
        <w:rPr>
          <w:rFonts w:ascii="Times New Roman" w:hAnsi="Times New Roman" w:cs="Times New Roman"/>
          <w:i/>
          <w:sz w:val="24"/>
          <w:szCs w:val="24"/>
          <w:lang w:val="lt-LT"/>
        </w:rPr>
        <w:t>F(t)=P(T≥</w:t>
      </w:r>
      <w:r w:rsidRPr="000D37F1">
        <w:rPr>
          <w:rFonts w:ascii="Times New Roman" w:hAnsi="Times New Roman" w:cs="Times New Roman"/>
          <w:i/>
          <w:sz w:val="24"/>
          <w:szCs w:val="24"/>
          <w:lang w:val="lt-LT"/>
        </w:rPr>
        <w:t>t</w:t>
      </w:r>
      <w:proofErr w:type="spellEnd"/>
      <w:r w:rsidRPr="000D37F1">
        <w:rPr>
          <w:rFonts w:ascii="Times New Roman" w:hAnsi="Times New Roman" w:cs="Times New Roman"/>
          <w:i/>
          <w:sz w:val="24"/>
          <w:szCs w:val="24"/>
          <w:lang w:val="lt-LT"/>
        </w:rPr>
        <w:t>)</w:t>
      </w:r>
      <w:r w:rsidR="00A4278E" w:rsidRPr="000D37F1">
        <w:rPr>
          <w:rFonts w:ascii="Times New Roman" w:hAnsi="Times New Roman" w:cs="Times New Roman"/>
          <w:i/>
          <w:sz w:val="24"/>
          <w:szCs w:val="24"/>
          <w:lang w:val="lt-LT"/>
        </w:rPr>
        <w:tab/>
      </w:r>
      <w:r w:rsidR="00A4278E" w:rsidRPr="000D37F1">
        <w:rPr>
          <w:rFonts w:ascii="Times New Roman" w:hAnsi="Times New Roman" w:cs="Times New Roman"/>
          <w:i/>
          <w:sz w:val="24"/>
          <w:szCs w:val="24"/>
          <w:lang w:val="lt-LT"/>
        </w:rPr>
        <w:tab/>
      </w:r>
      <w:r w:rsidR="00A4278E" w:rsidRPr="000D37F1">
        <w:rPr>
          <w:rFonts w:ascii="Times New Roman" w:hAnsi="Times New Roman" w:cs="Times New Roman"/>
          <w:i/>
          <w:sz w:val="24"/>
          <w:szCs w:val="24"/>
          <w:lang w:val="lt-LT"/>
        </w:rPr>
        <w:tab/>
      </w:r>
      <w:r w:rsidR="00A4278E" w:rsidRPr="000D37F1">
        <w:rPr>
          <w:rFonts w:ascii="Times New Roman" w:hAnsi="Times New Roman" w:cs="Times New Roman"/>
          <w:i/>
          <w:sz w:val="24"/>
          <w:szCs w:val="24"/>
          <w:lang w:val="lt-LT"/>
        </w:rPr>
        <w:tab/>
      </w:r>
      <w:r w:rsidR="00A4278E" w:rsidRPr="000D37F1">
        <w:rPr>
          <w:rFonts w:ascii="Times New Roman" w:hAnsi="Times New Roman" w:cs="Times New Roman"/>
          <w:i/>
          <w:sz w:val="24"/>
          <w:szCs w:val="24"/>
          <w:lang w:val="lt-LT"/>
        </w:rPr>
        <w:tab/>
      </w:r>
      <w:r w:rsidR="00A4278E" w:rsidRPr="000D37F1">
        <w:rPr>
          <w:rFonts w:ascii="Times New Roman" w:hAnsi="Times New Roman" w:cs="Times New Roman"/>
          <w:i/>
          <w:sz w:val="24"/>
          <w:szCs w:val="24"/>
          <w:lang w:val="lt-LT"/>
        </w:rPr>
        <w:tab/>
        <w:t>(3)</w:t>
      </w:r>
    </w:p>
    <w:p w:rsidR="00EE1E9B" w:rsidRPr="000D37F1" w:rsidRDefault="00EE1E9B" w:rsidP="00B16945">
      <w:pPr>
        <w:spacing w:line="360" w:lineRule="auto"/>
        <w:ind w:firstLine="720"/>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 xml:space="preserve">Išlikimo analizėje </w:t>
      </w:r>
      <w:r w:rsidR="00A647E5" w:rsidRPr="000D37F1">
        <w:rPr>
          <w:rFonts w:ascii="Times New Roman" w:eastAsiaTheme="minorEastAsia" w:hAnsi="Times New Roman" w:cs="Times New Roman"/>
          <w:sz w:val="24"/>
          <w:szCs w:val="24"/>
          <w:lang w:val="lt-LT"/>
        </w:rPr>
        <w:t xml:space="preserve">ne mažiau svarbi ir intensyvumo </w:t>
      </w:r>
      <w:r w:rsidRPr="000D37F1">
        <w:rPr>
          <w:rFonts w:ascii="Times New Roman" w:eastAsiaTheme="minorEastAsia" w:hAnsi="Times New Roman" w:cs="Times New Roman"/>
          <w:sz w:val="24"/>
          <w:szCs w:val="24"/>
          <w:lang w:val="lt-LT"/>
        </w:rPr>
        <w:t xml:space="preserve">funkcija </w:t>
      </w:r>
      <w:proofErr w:type="spellStart"/>
      <w:r w:rsidRPr="005B4A3C">
        <w:rPr>
          <w:rFonts w:ascii="Times New Roman" w:eastAsiaTheme="minorEastAsia" w:hAnsi="Times New Roman" w:cs="Times New Roman"/>
          <w:i/>
          <w:sz w:val="24"/>
          <w:szCs w:val="24"/>
          <w:lang w:val="lt-LT"/>
        </w:rPr>
        <w:t>h(t</w:t>
      </w:r>
      <w:proofErr w:type="spellEnd"/>
      <w:r w:rsidRPr="005B4A3C">
        <w:rPr>
          <w:rFonts w:ascii="Times New Roman" w:eastAsiaTheme="minorEastAsia" w:hAnsi="Times New Roman" w:cs="Times New Roman"/>
          <w:i/>
          <w:sz w:val="24"/>
          <w:szCs w:val="24"/>
          <w:lang w:val="lt-LT"/>
        </w:rPr>
        <w:t>) (</w:t>
      </w:r>
      <w:proofErr w:type="spellStart"/>
      <w:r w:rsidRPr="005B4A3C">
        <w:rPr>
          <w:rFonts w:ascii="Times New Roman" w:eastAsiaTheme="minorEastAsia" w:hAnsi="Times New Roman" w:cs="Times New Roman"/>
          <w:i/>
          <w:sz w:val="24"/>
          <w:szCs w:val="24"/>
          <w:lang w:val="lt-LT"/>
        </w:rPr>
        <w:t>hazard</w:t>
      </w:r>
      <w:proofErr w:type="spellEnd"/>
      <w:r w:rsidRPr="005B4A3C">
        <w:rPr>
          <w:rFonts w:ascii="Times New Roman" w:eastAsiaTheme="minorEastAsia" w:hAnsi="Times New Roman" w:cs="Times New Roman"/>
          <w:i/>
          <w:sz w:val="24"/>
          <w:szCs w:val="24"/>
          <w:lang w:val="lt-LT"/>
        </w:rPr>
        <w:t>)</w:t>
      </w:r>
      <w:r w:rsidRPr="000D37F1">
        <w:rPr>
          <w:rFonts w:ascii="Times New Roman" w:eastAsiaTheme="minorEastAsia" w:hAnsi="Times New Roman" w:cs="Times New Roman"/>
          <w:sz w:val="24"/>
          <w:szCs w:val="24"/>
          <w:lang w:val="lt-LT"/>
        </w:rPr>
        <w:t xml:space="preserve">, </w:t>
      </w:r>
      <w:proofErr w:type="spellStart"/>
      <w:r w:rsidRPr="000D37F1">
        <w:rPr>
          <w:rFonts w:ascii="Times New Roman" w:eastAsiaTheme="minorEastAsia" w:hAnsi="Times New Roman" w:cs="Times New Roman"/>
          <w:sz w:val="24"/>
          <w:szCs w:val="24"/>
          <w:lang w:val="lt-LT"/>
        </w:rPr>
        <w:t>t.y</w:t>
      </w:r>
      <w:proofErr w:type="spellEnd"/>
      <w:r w:rsidRPr="000D37F1">
        <w:rPr>
          <w:rFonts w:ascii="Times New Roman" w:eastAsiaTheme="minorEastAsia" w:hAnsi="Times New Roman" w:cs="Times New Roman"/>
          <w:sz w:val="24"/>
          <w:szCs w:val="24"/>
          <w:lang w:val="lt-LT"/>
        </w:rPr>
        <w:t>. tikimybė neišlikti laiko momentu T, jei žinome, kad iki to momento stebimasis išgyveno (sąlyginė tikimybė).</w:t>
      </w:r>
    </w:p>
    <w:p w:rsidR="00EE1E9B" w:rsidRPr="000D37F1" w:rsidRDefault="00EE1E9B" w:rsidP="00A4278E">
      <w:pPr>
        <w:spacing w:line="360" w:lineRule="auto"/>
        <w:jc w:val="right"/>
        <w:rPr>
          <w:rFonts w:ascii="Times New Roman" w:hAnsi="Times New Roman" w:cs="Times New Roman"/>
          <w:i/>
          <w:sz w:val="24"/>
          <w:szCs w:val="24"/>
          <w:lang w:val="lt-LT"/>
        </w:rPr>
      </w:pPr>
      <w:proofErr w:type="spellStart"/>
      <w:r w:rsidRPr="000D37F1">
        <w:rPr>
          <w:rFonts w:ascii="Times New Roman" w:eastAsiaTheme="minorEastAsia" w:hAnsi="Times New Roman" w:cs="Times New Roman"/>
          <w:i/>
          <w:sz w:val="24"/>
          <w:szCs w:val="24"/>
          <w:lang w:val="lt-LT"/>
        </w:rPr>
        <w:t>h(t</w:t>
      </w:r>
      <w:proofErr w:type="spellEnd"/>
      <w:r w:rsidRPr="000D37F1">
        <w:rPr>
          <w:rFonts w:ascii="Times New Roman" w:eastAsiaTheme="minorEastAsia" w:hAnsi="Times New Roman" w:cs="Times New Roman"/>
          <w:i/>
          <w:sz w:val="24"/>
          <w:szCs w:val="24"/>
          <w:lang w:val="lt-LT"/>
        </w:rPr>
        <w:t>)=</w:t>
      </w:r>
      <m:oMath>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p(t)</m:t>
            </m:r>
          </m:num>
          <m:den>
            <m:r>
              <w:rPr>
                <w:rFonts w:ascii="Cambria Math" w:eastAsiaTheme="minorEastAsia" w:hAnsi="Cambria Math" w:cs="Times New Roman"/>
                <w:sz w:val="24"/>
                <w:szCs w:val="24"/>
                <w:lang w:val="lt-LT"/>
              </w:rPr>
              <m:t>S(t)</m:t>
            </m:r>
          </m:den>
        </m:f>
      </m:oMath>
      <w:r w:rsidRPr="000D37F1">
        <w:rPr>
          <w:rFonts w:ascii="Times New Roman" w:eastAsiaTheme="minorEastAsia" w:hAnsi="Times New Roman" w:cs="Times New Roman"/>
          <w:i/>
          <w:sz w:val="24"/>
          <w:szCs w:val="24"/>
          <w:lang w:val="lt-LT"/>
        </w:rPr>
        <w:t>=P(T=t|T</w:t>
      </w:r>
      <w:r w:rsidRPr="000D37F1">
        <w:rPr>
          <w:rFonts w:ascii="Times New Roman" w:hAnsi="Times New Roman" w:cs="Times New Roman"/>
          <w:i/>
          <w:sz w:val="24"/>
          <w:szCs w:val="24"/>
          <w:lang w:val="lt-LT"/>
        </w:rPr>
        <w:t>≥t).</w:t>
      </w:r>
      <w:r w:rsidR="007670DB">
        <w:rPr>
          <w:rFonts w:ascii="Times New Roman" w:hAnsi="Times New Roman" w:cs="Times New Roman"/>
          <w:i/>
          <w:sz w:val="24"/>
          <w:szCs w:val="24"/>
          <w:lang w:val="lt-LT"/>
        </w:rPr>
        <w:tab/>
      </w:r>
      <w:r w:rsidR="007670DB">
        <w:rPr>
          <w:rFonts w:ascii="Times New Roman" w:hAnsi="Times New Roman" w:cs="Times New Roman"/>
          <w:i/>
          <w:sz w:val="24"/>
          <w:szCs w:val="24"/>
          <w:lang w:val="lt-LT"/>
        </w:rPr>
        <w:tab/>
      </w:r>
      <w:r w:rsidR="007670DB">
        <w:rPr>
          <w:rFonts w:ascii="Times New Roman" w:hAnsi="Times New Roman" w:cs="Times New Roman"/>
          <w:i/>
          <w:sz w:val="24"/>
          <w:szCs w:val="24"/>
          <w:lang w:val="lt-LT"/>
        </w:rPr>
        <w:tab/>
      </w:r>
      <w:r w:rsidR="007670DB">
        <w:rPr>
          <w:rFonts w:ascii="Times New Roman" w:hAnsi="Times New Roman" w:cs="Times New Roman"/>
          <w:i/>
          <w:sz w:val="24"/>
          <w:szCs w:val="24"/>
          <w:lang w:val="lt-LT"/>
        </w:rPr>
        <w:tab/>
      </w:r>
      <w:r w:rsidR="007670DB">
        <w:rPr>
          <w:rFonts w:ascii="Times New Roman" w:hAnsi="Times New Roman" w:cs="Times New Roman"/>
          <w:i/>
          <w:sz w:val="24"/>
          <w:szCs w:val="24"/>
          <w:lang w:val="lt-LT"/>
        </w:rPr>
        <w:tab/>
        <w:t>(</w:t>
      </w:r>
      <w:r w:rsidR="007670DB" w:rsidRPr="003832D2">
        <w:rPr>
          <w:rFonts w:ascii="Times New Roman" w:hAnsi="Times New Roman" w:cs="Times New Roman"/>
          <w:i/>
          <w:sz w:val="24"/>
          <w:szCs w:val="24"/>
          <w:lang w:val="lt-LT"/>
        </w:rPr>
        <w:t>4</w:t>
      </w:r>
      <w:r w:rsidR="00A4278E" w:rsidRPr="000D37F1">
        <w:rPr>
          <w:rFonts w:ascii="Times New Roman" w:hAnsi="Times New Roman" w:cs="Times New Roman"/>
          <w:i/>
          <w:sz w:val="24"/>
          <w:szCs w:val="24"/>
          <w:lang w:val="lt-LT"/>
        </w:rPr>
        <w:t>)</w:t>
      </w:r>
    </w:p>
    <w:p w:rsidR="007670DB" w:rsidRDefault="002040E0" w:rsidP="007670DB">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Jei intensyvumas mažas, tai rizikos funkciją galime laikyti apytiksliai lygia intensyvumo funkcijai. Tuo atveju, kai didėja išlikimo funkcija, mažėja rizikos funkcija, ir atvirkščiai. Intensyvumo funkcija parodo stebimojo rizikos laipsnį tam tikru laiko momentu ir dažniau naudojama kalbant apie išlikimo funkcijos skirtumus tam tikrose grupėse.</w:t>
      </w:r>
    </w:p>
    <w:p w:rsidR="00906A56" w:rsidRPr="007670DB" w:rsidRDefault="00906A56" w:rsidP="007670DB">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Tam, kad Kokso proporcingos  rizikos modelio pagalba būtų galima nustatyti ne vieno veiksnio įtaką</w:t>
      </w:r>
      <w:r w:rsidR="007670DB">
        <w:rPr>
          <w:rFonts w:ascii="Times New Roman" w:eastAsiaTheme="minorEastAsia" w:hAnsi="Times New Roman" w:cs="Times New Roman"/>
          <w:sz w:val="24"/>
          <w:szCs w:val="24"/>
          <w:lang w:val="lt-LT"/>
        </w:rPr>
        <w:t xml:space="preserve"> subjekto išlikimui, naudojamas </w:t>
      </w:r>
      <w:r w:rsidRPr="000D37F1">
        <w:rPr>
          <w:rFonts w:ascii="Times New Roman" w:eastAsiaTheme="minorEastAsia" w:hAnsi="Times New Roman" w:cs="Times New Roman"/>
          <w:sz w:val="24"/>
          <w:szCs w:val="24"/>
          <w:lang w:val="lt-LT"/>
        </w:rPr>
        <w:t xml:space="preserve">daugiamatis Kokso modelis. Tokiu atveju  subjekto rizikos funkcija </w:t>
      </w:r>
      <w:proofErr w:type="spellStart"/>
      <w:r w:rsidRPr="000D37F1">
        <w:rPr>
          <w:rFonts w:ascii="Times New Roman" w:eastAsiaTheme="minorEastAsia" w:hAnsi="Times New Roman" w:cs="Times New Roman"/>
          <w:i/>
          <w:sz w:val="24"/>
          <w:szCs w:val="24"/>
          <w:lang w:val="lt-LT"/>
        </w:rPr>
        <w:t>h</w:t>
      </w:r>
      <w:r w:rsidR="0031622E" w:rsidRPr="000D37F1">
        <w:rPr>
          <w:rFonts w:ascii="Times New Roman" w:eastAsiaTheme="minorEastAsia" w:hAnsi="Times New Roman" w:cs="Times New Roman"/>
          <w:i/>
          <w:sz w:val="24"/>
          <w:szCs w:val="24"/>
          <w:lang w:val="lt-LT"/>
        </w:rPr>
        <w:t>(t;x</w:t>
      </w:r>
      <w:proofErr w:type="spellEnd"/>
      <w:r w:rsidR="0031622E" w:rsidRPr="000D37F1">
        <w:rPr>
          <w:rFonts w:ascii="Times New Roman" w:eastAsiaTheme="minorEastAsia" w:hAnsi="Times New Roman" w:cs="Times New Roman"/>
          <w:i/>
          <w:sz w:val="24"/>
          <w:szCs w:val="24"/>
          <w:lang w:val="lt-LT"/>
        </w:rPr>
        <w:t>) lygi:</w:t>
      </w:r>
    </w:p>
    <w:p w:rsidR="0031622E" w:rsidRPr="000D37F1" w:rsidRDefault="0031622E" w:rsidP="00A4278E">
      <w:pPr>
        <w:spacing w:line="360" w:lineRule="auto"/>
        <w:jc w:val="right"/>
        <w:rPr>
          <w:rFonts w:ascii="Times New Roman" w:eastAsiaTheme="minorEastAsia" w:hAnsi="Times New Roman" w:cs="Times New Roman"/>
          <w:i/>
          <w:sz w:val="24"/>
          <w:szCs w:val="24"/>
          <w:lang w:val="lt-LT"/>
        </w:rPr>
      </w:pPr>
      <w:proofErr w:type="spellStart"/>
      <w:r w:rsidRPr="000D37F1">
        <w:rPr>
          <w:rFonts w:ascii="Times New Roman" w:eastAsiaTheme="minorEastAsia" w:hAnsi="Times New Roman" w:cs="Times New Roman"/>
          <w:i/>
          <w:sz w:val="24"/>
          <w:szCs w:val="24"/>
          <w:lang w:val="lt-LT"/>
        </w:rPr>
        <w:t>h(t;x</w:t>
      </w:r>
      <w:proofErr w:type="spellEnd"/>
      <w:r w:rsidRPr="000D37F1">
        <w:rPr>
          <w:rFonts w:ascii="Times New Roman" w:eastAsiaTheme="minorEastAsia" w:hAnsi="Times New Roman" w:cs="Times New Roman"/>
          <w:i/>
          <w:sz w:val="24"/>
          <w:szCs w:val="24"/>
          <w:lang w:val="lt-LT"/>
        </w:rPr>
        <w:t>)=</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h</m:t>
            </m:r>
          </m:e>
          <m:sub>
            <m:r>
              <w:rPr>
                <w:rFonts w:ascii="Cambria Math" w:eastAsiaTheme="minorEastAsia" w:hAnsi="Cambria Math" w:cs="Times New Roman"/>
                <w:sz w:val="24"/>
                <w:szCs w:val="24"/>
                <w:lang w:val="lt-LT"/>
              </w:rPr>
              <m:t>0</m:t>
            </m:r>
          </m:sub>
        </m:sSub>
      </m:oMath>
      <w:r w:rsidRPr="000D37F1">
        <w:rPr>
          <w:rFonts w:ascii="Times New Roman" w:eastAsiaTheme="minorEastAsia" w:hAnsi="Times New Roman" w:cs="Times New Roman"/>
          <w:i/>
          <w:sz w:val="24"/>
          <w:szCs w:val="24"/>
          <w:lang w:val="lt-LT"/>
        </w:rPr>
        <w:t>(t)exp(</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1</m:t>
            </m:r>
          </m:sub>
        </m:sSub>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(1)</m:t>
            </m:r>
          </m:sup>
        </m:sSup>
      </m:oMath>
      <w:r w:rsidRPr="000D37F1">
        <w:rPr>
          <w:rFonts w:ascii="Times New Roman" w:eastAsiaTheme="minorEastAsia" w:hAnsi="Times New Roman" w:cs="Times New Roman"/>
          <w:i/>
          <w:sz w:val="24"/>
          <w:szCs w:val="24"/>
          <w:lang w:val="lt-LT"/>
        </w:rPr>
        <w:t>+</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2</m:t>
            </m:r>
          </m:sub>
        </m:sSub>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(2)</m:t>
            </m:r>
          </m:sup>
        </m:sSup>
      </m:oMath>
      <w:r w:rsidRPr="000D37F1">
        <w:rPr>
          <w:rFonts w:ascii="Times New Roman" w:eastAsiaTheme="minorEastAsia" w:hAnsi="Times New Roman" w:cs="Times New Roman"/>
          <w:i/>
          <w:sz w:val="24"/>
          <w:szCs w:val="24"/>
          <w:lang w:val="lt-LT"/>
        </w:rPr>
        <w:t>+...+</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p</m:t>
            </m:r>
          </m:sub>
        </m:sSub>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(p)</m:t>
            </m:r>
          </m:sup>
        </m:sSup>
      </m:oMath>
      <w:r w:rsidRPr="000D37F1">
        <w:rPr>
          <w:rFonts w:ascii="Times New Roman" w:eastAsiaTheme="minorEastAsia" w:hAnsi="Times New Roman" w:cs="Times New Roman"/>
          <w:i/>
          <w:sz w:val="24"/>
          <w:szCs w:val="24"/>
          <w:lang w:val="lt-LT"/>
        </w:rPr>
        <w:t>);</w:t>
      </w:r>
      <w:r w:rsidR="007670DB">
        <w:rPr>
          <w:rFonts w:ascii="Times New Roman" w:eastAsiaTheme="minorEastAsia" w:hAnsi="Times New Roman" w:cs="Times New Roman"/>
          <w:i/>
          <w:sz w:val="24"/>
          <w:szCs w:val="24"/>
          <w:lang w:val="lt-LT"/>
        </w:rPr>
        <w:tab/>
      </w:r>
      <w:r w:rsidR="007670DB">
        <w:rPr>
          <w:rFonts w:ascii="Times New Roman" w:eastAsiaTheme="minorEastAsia" w:hAnsi="Times New Roman" w:cs="Times New Roman"/>
          <w:i/>
          <w:sz w:val="24"/>
          <w:szCs w:val="24"/>
          <w:lang w:val="lt-LT"/>
        </w:rPr>
        <w:tab/>
      </w:r>
      <w:r w:rsidR="007670DB">
        <w:rPr>
          <w:rFonts w:ascii="Times New Roman" w:eastAsiaTheme="minorEastAsia" w:hAnsi="Times New Roman" w:cs="Times New Roman"/>
          <w:i/>
          <w:sz w:val="24"/>
          <w:szCs w:val="24"/>
          <w:lang w:val="lt-LT"/>
        </w:rPr>
        <w:tab/>
        <w:t>(5</w:t>
      </w:r>
      <w:r w:rsidR="00A4278E" w:rsidRPr="000D37F1">
        <w:rPr>
          <w:rFonts w:ascii="Times New Roman" w:eastAsiaTheme="minorEastAsia" w:hAnsi="Times New Roman" w:cs="Times New Roman"/>
          <w:i/>
          <w:sz w:val="24"/>
          <w:szCs w:val="24"/>
          <w:lang w:val="lt-LT"/>
        </w:rPr>
        <w:t>)</w:t>
      </w:r>
    </w:p>
    <w:p w:rsidR="0031622E" w:rsidRPr="000D37F1" w:rsidRDefault="0031622E" w:rsidP="002040E0">
      <w:pPr>
        <w:spacing w:line="360" w:lineRule="auto"/>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 xml:space="preserve">čia </w:t>
      </w:r>
      <m:oMath>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(1)</m:t>
            </m:r>
          </m:sup>
        </m:sSup>
        <m:r>
          <w:rPr>
            <w:rFonts w:ascii="Cambria Math" w:eastAsiaTheme="minorEastAsia" w:hAnsi="Cambria Math" w:cs="Times New Roman"/>
            <w:sz w:val="24"/>
            <w:szCs w:val="24"/>
            <w:lang w:val="lt-LT"/>
          </w:rPr>
          <m:t>,</m:t>
        </m:r>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(2)</m:t>
            </m:r>
          </m:sup>
        </m:sSup>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(p)</m:t>
            </m:r>
          </m:sup>
        </m:sSup>
      </m:oMath>
      <w:r w:rsidRPr="000D37F1">
        <w:rPr>
          <w:rFonts w:ascii="Times New Roman" w:eastAsiaTheme="minorEastAsia" w:hAnsi="Times New Roman" w:cs="Times New Roman"/>
          <w:sz w:val="24"/>
          <w:szCs w:val="24"/>
          <w:lang w:val="lt-LT"/>
        </w:rPr>
        <w:t xml:space="preserve"> – subjekto kovarčių reikšmės, x=</w:t>
      </w:r>
      <m:oMath>
        <m:r>
          <w:rPr>
            <w:rFonts w:ascii="Cambria Math" w:eastAsiaTheme="minorEastAsia" w:hAnsi="Cambria Math" w:cs="Times New Roman"/>
            <w:sz w:val="24"/>
            <w:szCs w:val="24"/>
            <w:lang w:val="lt-LT"/>
          </w:rPr>
          <m:t>(</m:t>
        </m:r>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(1)</m:t>
            </m:r>
          </m:sup>
        </m:sSup>
        <m:r>
          <w:rPr>
            <w:rFonts w:ascii="Cambria Math" w:eastAsiaTheme="minorEastAsia" w:hAnsi="Cambria Math" w:cs="Times New Roman"/>
            <w:sz w:val="24"/>
            <w:szCs w:val="24"/>
            <w:lang w:val="lt-LT"/>
          </w:rPr>
          <m:t>,</m:t>
        </m:r>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(2)</m:t>
            </m:r>
          </m:sup>
        </m:sSup>
        <m:sSup>
          <m:sSupPr>
            <m:ctrlPr>
              <w:rPr>
                <w:rFonts w:ascii="Cambria Math" w:eastAsiaTheme="minorEastAsia" w:hAnsi="Cambria Math" w:cs="Times New Roman"/>
                <w:i/>
                <w:sz w:val="24"/>
                <w:szCs w:val="24"/>
                <w:lang w:val="lt-LT"/>
              </w:rPr>
            </m:ctrlPr>
          </m:sSupPr>
          <m:e>
            <m:r>
              <w:rPr>
                <w:rFonts w:ascii="Cambria Math" w:eastAsiaTheme="minorEastAsia" w:hAnsi="Cambria Math" w:cs="Times New Roman"/>
                <w:sz w:val="24"/>
                <w:szCs w:val="24"/>
                <w:lang w:val="lt-LT"/>
              </w:rPr>
              <m:t>…x</m:t>
            </m:r>
          </m:e>
          <m:sup>
            <m:r>
              <w:rPr>
                <w:rFonts w:ascii="Cambria Math" w:eastAsiaTheme="minorEastAsia" w:hAnsi="Cambria Math" w:cs="Times New Roman"/>
                <w:sz w:val="24"/>
                <w:szCs w:val="24"/>
                <w:lang w:val="lt-LT"/>
              </w:rPr>
              <m:t>(p)</m:t>
            </m:r>
          </m:sup>
        </m:sSup>
      </m:oMath>
      <w:r w:rsidRPr="000D37F1">
        <w:rPr>
          <w:rFonts w:ascii="Times New Roman" w:eastAsiaTheme="minorEastAsia" w:hAnsi="Times New Roman" w:cs="Times New Roman"/>
          <w:sz w:val="24"/>
          <w:szCs w:val="24"/>
          <w:lang w:val="lt-LT"/>
        </w:rPr>
        <w:t xml:space="preserve">) – kovariačių vektorius, </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1</m:t>
            </m:r>
          </m:sub>
        </m:sSub>
        <m:r>
          <w:rPr>
            <w:rFonts w:ascii="Cambria Math" w:eastAsiaTheme="minorEastAsia" w:hAnsi="Cambria Math" w:cs="Times New Roman"/>
            <w:sz w:val="24"/>
            <w:szCs w:val="24"/>
            <w:lang w:val="lt-LT"/>
          </w:rPr>
          <m:t xml:space="preserve">, </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2</m:t>
            </m:r>
          </m:sub>
        </m:sSub>
        <m:r>
          <w:rPr>
            <w:rFonts w:ascii="Cambria Math" w:eastAsiaTheme="minorEastAsia" w:hAnsi="Cambria Math" w:cs="Times New Roman"/>
            <w:sz w:val="24"/>
            <w:szCs w:val="24"/>
            <w:lang w:val="lt-LT"/>
          </w:rPr>
          <m:t xml:space="preserve">… </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p</m:t>
            </m:r>
          </m:sub>
        </m:sSub>
      </m:oMath>
      <w:r w:rsidRPr="000D37F1">
        <w:rPr>
          <w:rFonts w:ascii="Times New Roman" w:eastAsiaTheme="minorEastAsia" w:hAnsi="Times New Roman" w:cs="Times New Roman"/>
          <w:sz w:val="24"/>
          <w:szCs w:val="24"/>
          <w:lang w:val="lt-LT"/>
        </w:rPr>
        <w:t xml:space="preserve"> – regresijos koeficientai, </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h</m:t>
            </m:r>
          </m:e>
          <m:sub>
            <m:r>
              <w:rPr>
                <w:rFonts w:ascii="Cambria Math" w:eastAsiaTheme="minorEastAsia" w:hAnsi="Cambria Math" w:cs="Times New Roman"/>
                <w:sz w:val="24"/>
                <w:szCs w:val="24"/>
                <w:lang w:val="lt-LT"/>
              </w:rPr>
              <m:t>0</m:t>
            </m:r>
          </m:sub>
        </m:sSub>
      </m:oMath>
      <w:r w:rsidRPr="000D37F1">
        <w:rPr>
          <w:rFonts w:ascii="Times New Roman" w:eastAsiaTheme="minorEastAsia" w:hAnsi="Times New Roman" w:cs="Times New Roman"/>
          <w:i/>
          <w:sz w:val="24"/>
          <w:szCs w:val="24"/>
          <w:lang w:val="lt-LT"/>
        </w:rPr>
        <w:t xml:space="preserve">(t) – </w:t>
      </w:r>
      <w:r w:rsidRPr="000D37F1">
        <w:rPr>
          <w:rFonts w:ascii="Times New Roman" w:eastAsiaTheme="minorEastAsia" w:hAnsi="Times New Roman" w:cs="Times New Roman"/>
          <w:sz w:val="24"/>
          <w:szCs w:val="24"/>
          <w:lang w:val="lt-LT"/>
        </w:rPr>
        <w:t>bazinė rizikos funkcija.</w:t>
      </w:r>
      <w:r w:rsidR="000958B7" w:rsidRPr="000D37F1">
        <w:rPr>
          <w:rFonts w:ascii="Times New Roman" w:eastAsiaTheme="minorEastAsia" w:hAnsi="Times New Roman" w:cs="Times New Roman"/>
          <w:sz w:val="24"/>
          <w:szCs w:val="24"/>
          <w:lang w:val="lt-LT"/>
        </w:rPr>
        <w:t xml:space="preserve"> Daugiamačio modelio parametrai </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1</m:t>
            </m:r>
          </m:sub>
        </m:sSub>
        <m:r>
          <w:rPr>
            <w:rFonts w:ascii="Cambria Math" w:eastAsiaTheme="minorEastAsia" w:hAnsi="Cambria Math" w:cs="Times New Roman"/>
            <w:sz w:val="24"/>
            <w:szCs w:val="24"/>
            <w:lang w:val="lt-LT"/>
          </w:rPr>
          <m:t xml:space="preserve">, </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2</m:t>
            </m:r>
          </m:sub>
        </m:sSub>
        <m:r>
          <w:rPr>
            <w:rFonts w:ascii="Cambria Math" w:eastAsiaTheme="minorEastAsia" w:hAnsi="Cambria Math" w:cs="Times New Roman"/>
            <w:sz w:val="24"/>
            <w:szCs w:val="24"/>
            <w:lang w:val="lt-LT"/>
          </w:rPr>
          <m:t xml:space="preserve">… </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p</m:t>
            </m:r>
          </m:sub>
        </m:sSub>
      </m:oMath>
      <w:r w:rsidR="000958B7" w:rsidRPr="000D37F1">
        <w:rPr>
          <w:rFonts w:ascii="Times New Roman" w:eastAsiaTheme="minorEastAsia" w:hAnsi="Times New Roman" w:cs="Times New Roman"/>
          <w:sz w:val="24"/>
          <w:szCs w:val="24"/>
          <w:lang w:val="lt-LT"/>
        </w:rPr>
        <w:t xml:space="preserve"> interpretuojami taip: dydis  </w:t>
      </w:r>
      <w:proofErr w:type="spellStart"/>
      <w:r w:rsidR="000958B7" w:rsidRPr="000D37F1">
        <w:rPr>
          <w:rFonts w:ascii="Times New Roman" w:eastAsiaTheme="minorEastAsia" w:hAnsi="Times New Roman" w:cs="Times New Roman"/>
          <w:i/>
          <w:sz w:val="24"/>
          <w:szCs w:val="24"/>
          <w:lang w:val="lt-LT"/>
        </w:rPr>
        <w:t>exp</w:t>
      </w:r>
      <w:proofErr w:type="spellEnd"/>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i</m:t>
            </m:r>
          </m:sub>
        </m:sSub>
      </m:oMath>
      <w:r w:rsidR="000958B7" w:rsidRPr="000D37F1">
        <w:rPr>
          <w:rFonts w:ascii="Times New Roman" w:eastAsiaTheme="minorEastAsia" w:hAnsi="Times New Roman" w:cs="Times New Roman"/>
          <w:sz w:val="24"/>
          <w:szCs w:val="24"/>
          <w:lang w:val="lt-LT"/>
        </w:rPr>
        <w:t xml:space="preserve">) parodo, kiek kartų padidėja subjekto individo rizikos funkcija, i-tosios kovariatės reikšmei padidėjus 1, o kitoms kovariatės nekintant. </w:t>
      </w:r>
      <w:r w:rsidR="000958B7" w:rsidRPr="000D37F1">
        <w:rPr>
          <w:rFonts w:ascii="Times New Roman" w:eastAsiaTheme="minorEastAsia" w:hAnsi="Times New Roman" w:cs="Times New Roman"/>
          <w:sz w:val="24"/>
          <w:szCs w:val="24"/>
          <w:lang w:val="lt-LT"/>
        </w:rPr>
        <w:lastRenderedPageBreak/>
        <w:t xml:space="preserve">Taigi </w:t>
      </w:r>
      <w:proofErr w:type="spellStart"/>
      <w:r w:rsidR="000958B7" w:rsidRPr="000D37F1">
        <w:rPr>
          <w:rFonts w:ascii="Times New Roman" w:eastAsiaTheme="minorEastAsia" w:hAnsi="Times New Roman" w:cs="Times New Roman"/>
          <w:i/>
          <w:sz w:val="24"/>
          <w:szCs w:val="24"/>
          <w:lang w:val="lt-LT"/>
        </w:rPr>
        <w:t>exp</w:t>
      </w:r>
      <w:proofErr w:type="spellEnd"/>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i</m:t>
            </m:r>
          </m:sub>
        </m:sSub>
      </m:oMath>
      <w:r w:rsidR="000958B7" w:rsidRPr="000D37F1">
        <w:rPr>
          <w:rFonts w:ascii="Times New Roman" w:eastAsiaTheme="minorEastAsia" w:hAnsi="Times New Roman" w:cs="Times New Roman"/>
          <w:sz w:val="24"/>
          <w:szCs w:val="24"/>
          <w:lang w:val="lt-LT"/>
        </w:rPr>
        <w:t>) laikoma i-tosios kovariatės pavojaus rizika, o vienmačiame Kokso modelyje – rodo rodiklių keliamą pavojaus riziką neatsižvelgiant į kitų rodiklių įtaką (izoliuota pavojaus rizika).</w:t>
      </w:r>
    </w:p>
    <w:p w:rsidR="000958B7" w:rsidRPr="000D37F1" w:rsidRDefault="00212F0B" w:rsidP="00A647E5">
      <w:pPr>
        <w:spacing w:line="360" w:lineRule="auto"/>
        <w:ind w:firstLine="720"/>
        <w:jc w:val="both"/>
        <w:rPr>
          <w:rFonts w:ascii="Times New Roman" w:eastAsiaTheme="minorEastAsia" w:hAnsi="Times New Roman" w:cs="Times New Roman"/>
          <w:i/>
          <w:sz w:val="24"/>
          <w:szCs w:val="24"/>
          <w:lang w:val="lt-LT"/>
        </w:rPr>
      </w:pPr>
      <w:r w:rsidRPr="000D37F1">
        <w:rPr>
          <w:rFonts w:ascii="Times New Roman" w:eastAsiaTheme="minorEastAsia" w:hAnsi="Times New Roman" w:cs="Times New Roman"/>
          <w:sz w:val="24"/>
          <w:szCs w:val="24"/>
          <w:lang w:val="lt-LT"/>
        </w:rPr>
        <w:t>Statistiniuose paketuose taip pat pateikiami</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h</m:t>
            </m:r>
          </m:e>
          <m:sub>
            <m:r>
              <w:rPr>
                <w:rFonts w:ascii="Cambria Math" w:eastAsiaTheme="minorEastAsia" w:hAnsi="Cambria Math" w:cs="Times New Roman"/>
                <w:sz w:val="24"/>
                <w:szCs w:val="24"/>
                <w:lang w:val="lt-LT"/>
              </w:rPr>
              <m:t>0</m:t>
            </m:r>
          </m:sub>
        </m:sSub>
      </m:oMath>
      <w:r w:rsidRPr="000D37F1">
        <w:rPr>
          <w:rFonts w:ascii="Times New Roman" w:eastAsiaTheme="minorEastAsia" w:hAnsi="Times New Roman" w:cs="Times New Roman"/>
          <w:i/>
          <w:sz w:val="24"/>
          <w:szCs w:val="24"/>
          <w:lang w:val="lt-LT"/>
        </w:rPr>
        <w:t xml:space="preserve">(t) bei </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S</m:t>
            </m:r>
          </m:e>
          <m:sub>
            <m:r>
              <w:rPr>
                <w:rFonts w:ascii="Cambria Math" w:eastAsiaTheme="minorEastAsia" w:hAnsi="Cambria Math" w:cs="Times New Roman"/>
                <w:sz w:val="24"/>
                <w:szCs w:val="24"/>
                <w:lang w:val="lt-LT"/>
              </w:rPr>
              <m:t>0</m:t>
            </m:r>
          </m:sub>
        </m:sSub>
      </m:oMath>
      <w:r w:rsidRPr="000D37F1">
        <w:rPr>
          <w:rFonts w:ascii="Times New Roman" w:eastAsiaTheme="minorEastAsia" w:hAnsi="Times New Roman" w:cs="Times New Roman"/>
          <w:i/>
          <w:sz w:val="24"/>
          <w:szCs w:val="24"/>
          <w:lang w:val="lt-LT"/>
        </w:rPr>
        <w:t xml:space="preserve">(t) </w:t>
      </w:r>
      <w:r w:rsidRPr="000D37F1">
        <w:rPr>
          <w:rFonts w:ascii="Times New Roman" w:eastAsiaTheme="minorEastAsia" w:hAnsi="Times New Roman" w:cs="Times New Roman"/>
          <w:sz w:val="24"/>
          <w:szCs w:val="24"/>
          <w:lang w:val="lt-LT"/>
        </w:rPr>
        <w:t>įverčia</w:t>
      </w:r>
      <w:r w:rsidR="002040E0" w:rsidRPr="000D37F1">
        <w:rPr>
          <w:rFonts w:ascii="Times New Roman" w:eastAsiaTheme="minorEastAsia" w:hAnsi="Times New Roman" w:cs="Times New Roman"/>
          <w:sz w:val="24"/>
          <w:szCs w:val="24"/>
          <w:lang w:val="lt-LT"/>
        </w:rPr>
        <w:t>i</w:t>
      </w:r>
      <w:r w:rsidRPr="000D37F1">
        <w:rPr>
          <w:rFonts w:ascii="Times New Roman" w:eastAsiaTheme="minorEastAsia" w:hAnsi="Times New Roman" w:cs="Times New Roman"/>
          <w:sz w:val="24"/>
          <w:szCs w:val="24"/>
          <w:lang w:val="lt-LT"/>
        </w:rPr>
        <w:t xml:space="preserve"> taškuose</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t</m:t>
            </m:r>
          </m:e>
          <m:sub>
            <m:r>
              <w:rPr>
                <w:rFonts w:ascii="Cambria Math" w:eastAsiaTheme="minorEastAsia" w:hAnsi="Cambria Math" w:cs="Times New Roman"/>
                <w:sz w:val="24"/>
                <w:szCs w:val="24"/>
                <w:lang w:val="lt-LT"/>
              </w:rPr>
              <m:t>1</m:t>
            </m:r>
          </m:sub>
        </m:sSub>
        <m:r>
          <w:rPr>
            <w:rFonts w:ascii="Cambria Math" w:eastAsiaTheme="minorEastAsia" w:hAnsi="Cambria Math" w:cs="Times New Roman"/>
            <w:sz w:val="24"/>
            <w:szCs w:val="24"/>
            <w:lang w:val="lt-LT"/>
          </w:rPr>
          <m:t>&lt;</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t</m:t>
            </m:r>
          </m:e>
          <m:sub>
            <m:r>
              <w:rPr>
                <w:rFonts w:ascii="Cambria Math" w:eastAsiaTheme="minorEastAsia" w:hAnsi="Cambria Math" w:cs="Times New Roman"/>
                <w:sz w:val="24"/>
                <w:szCs w:val="24"/>
                <w:lang w:val="lt-LT"/>
              </w:rPr>
              <m:t>2</m:t>
            </m:r>
          </m:sub>
        </m:sSub>
        <m:r>
          <w:rPr>
            <w:rFonts w:ascii="Cambria Math" w:eastAsiaTheme="minorEastAsia" w:hAnsi="Cambria Math" w:cs="Times New Roman"/>
            <w:sz w:val="24"/>
            <w:szCs w:val="24"/>
            <w:lang w:val="lt-LT"/>
          </w:rPr>
          <m:t>&lt;…&lt;</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t</m:t>
            </m:r>
          </m:e>
          <m:sub>
            <m:r>
              <w:rPr>
                <w:rFonts w:ascii="Cambria Math" w:eastAsiaTheme="minorEastAsia" w:hAnsi="Cambria Math" w:cs="Times New Roman"/>
                <w:sz w:val="24"/>
                <w:szCs w:val="24"/>
                <w:lang w:val="lt-LT"/>
              </w:rPr>
              <m:t>k</m:t>
            </m:r>
          </m:sub>
        </m:sSub>
      </m:oMath>
      <w:r w:rsidRPr="000D37F1">
        <w:rPr>
          <w:rFonts w:ascii="Times New Roman" w:eastAsiaTheme="minorEastAsia" w:hAnsi="Times New Roman" w:cs="Times New Roman"/>
          <w:i/>
          <w:sz w:val="24"/>
          <w:szCs w:val="24"/>
          <w:lang w:val="lt-LT"/>
        </w:rPr>
        <w:t xml:space="preserve">; </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t</m:t>
            </m:r>
          </m:e>
          <m:sub>
            <m:r>
              <w:rPr>
                <w:rFonts w:ascii="Cambria Math" w:eastAsiaTheme="minorEastAsia" w:hAnsi="Cambria Math" w:cs="Times New Roman"/>
                <w:sz w:val="24"/>
                <w:szCs w:val="24"/>
                <w:lang w:val="lt-LT"/>
              </w:rPr>
              <m:t>i</m:t>
            </m:r>
          </m:sub>
        </m:sSub>
      </m:oMath>
      <w:r w:rsidRPr="000D37F1">
        <w:rPr>
          <w:rFonts w:ascii="Times New Roman" w:eastAsiaTheme="minorEastAsia" w:hAnsi="Times New Roman" w:cs="Times New Roman"/>
          <w:i/>
          <w:sz w:val="24"/>
          <w:szCs w:val="24"/>
          <w:lang w:val="lt-LT"/>
        </w:rPr>
        <w:t xml:space="preserve"> – </w:t>
      </w:r>
      <w:r w:rsidRPr="000D37F1">
        <w:rPr>
          <w:rFonts w:ascii="Times New Roman" w:eastAsiaTheme="minorEastAsia" w:hAnsi="Times New Roman" w:cs="Times New Roman"/>
          <w:sz w:val="24"/>
          <w:szCs w:val="24"/>
          <w:lang w:val="lt-LT"/>
        </w:rPr>
        <w:t>skirtingi gyvavimo ar stebėjimo laikai</w:t>
      </w:r>
      <w:r w:rsidRPr="000D37F1">
        <w:rPr>
          <w:rFonts w:ascii="Times New Roman" w:eastAsiaTheme="minorEastAsia" w:hAnsi="Times New Roman" w:cs="Times New Roman"/>
          <w:i/>
          <w:sz w:val="24"/>
          <w:szCs w:val="24"/>
          <w:lang w:val="lt-LT"/>
        </w:rPr>
        <w:t>.</w:t>
      </w:r>
    </w:p>
    <w:p w:rsidR="006D0877" w:rsidRPr="000D37F1" w:rsidRDefault="006D0877" w:rsidP="00A647E5">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Kadangi kredito unijų rizikingumui nustatyti naudojami 2011-2013 finansiniai rodikliai, kurie kasmet kinta, tai taikysime ir Kokso proporcinės rizikos modelį su nuo laiko priklausančiomis kovariatėmis. Tuomet rizikos funkcija bus išreikšta sekančiai:</w:t>
      </w:r>
    </w:p>
    <w:p w:rsidR="006D0877" w:rsidRPr="000D37F1" w:rsidRDefault="00F20243" w:rsidP="00A4278E">
      <w:pPr>
        <w:spacing w:line="360" w:lineRule="auto"/>
        <w:ind w:firstLine="720"/>
        <w:jc w:val="right"/>
        <w:rPr>
          <w:rFonts w:ascii="Times New Roman" w:eastAsiaTheme="minorEastAsia" w:hAnsi="Times New Roman" w:cs="Times New Roman"/>
          <w:i/>
          <w:sz w:val="24"/>
          <w:szCs w:val="24"/>
          <w:lang w:val="lt-LT"/>
        </w:rPr>
      </w:pP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h</m:t>
            </m:r>
          </m:e>
          <m:sub>
            <m:r>
              <w:rPr>
                <w:rFonts w:ascii="Cambria Math" w:eastAsiaTheme="minorEastAsia" w:hAnsi="Cambria Math" w:cs="Times New Roman"/>
                <w:sz w:val="24"/>
                <w:szCs w:val="24"/>
                <w:lang w:val="lt-LT"/>
              </w:rPr>
              <m:t>i</m:t>
            </m:r>
          </m:sub>
        </m:sSub>
        <m:d>
          <m:dPr>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t</m:t>
            </m:r>
          </m:e>
          <m:e>
            <m:r>
              <w:rPr>
                <w:rFonts w:ascii="Cambria Math" w:eastAsiaTheme="minorEastAsia" w:hAnsi="Cambria Math" w:cs="Times New Roman"/>
                <w:sz w:val="24"/>
                <w:szCs w:val="24"/>
                <w:lang w:val="lt-LT"/>
              </w:rPr>
              <m:t>z</m:t>
            </m:r>
            <m:d>
              <m:dPr>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t</m:t>
                </m:r>
              </m:e>
            </m:d>
          </m:e>
        </m:d>
        <m:r>
          <w:rPr>
            <w:rFonts w:ascii="Cambria Math" w:eastAsiaTheme="minorEastAsia" w:hAnsi="Cambria Math" w:cs="Times New Roman"/>
            <w:sz w:val="24"/>
            <w:szCs w:val="24"/>
            <w:lang w:val="lt-LT"/>
          </w:rPr>
          <m:t>=</m:t>
        </m:r>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h</m:t>
            </m:r>
          </m:e>
          <m:sub>
            <m:r>
              <w:rPr>
                <w:rFonts w:ascii="Cambria Math" w:eastAsiaTheme="minorEastAsia" w:hAnsi="Cambria Math" w:cs="Times New Roman"/>
                <w:sz w:val="24"/>
                <w:szCs w:val="24"/>
                <w:lang w:val="lt-LT"/>
              </w:rPr>
              <m:t>0</m:t>
            </m:r>
          </m:sub>
        </m:sSub>
      </m:oMath>
      <w:r w:rsidR="006D0877" w:rsidRPr="000D37F1">
        <w:rPr>
          <w:rFonts w:ascii="Times New Roman" w:eastAsiaTheme="minorEastAsia" w:hAnsi="Times New Roman" w:cs="Times New Roman"/>
          <w:i/>
          <w:sz w:val="24"/>
          <w:szCs w:val="24"/>
          <w:lang w:val="lt-LT"/>
        </w:rPr>
        <w:t>(t)*exp</w:t>
      </w:r>
      <m:oMath>
        <m:d>
          <m:dPr>
            <m:begChr m:val="{"/>
            <m:endChr m:val=""/>
            <m:ctrlPr>
              <w:rPr>
                <w:rFonts w:ascii="Cambria Math" w:eastAsiaTheme="minorEastAsia" w:hAnsi="Cambria Math" w:cs="Times New Roman"/>
                <w:i/>
                <w:sz w:val="24"/>
                <w:szCs w:val="24"/>
                <w:lang w:val="lt-LT"/>
              </w:rPr>
            </m:ctrlPr>
          </m:dPr>
          <m:e>
            <m:nary>
              <m:naryPr>
                <m:chr m:val="∑"/>
                <m:limLoc m:val="undOvr"/>
                <m:ctrlPr>
                  <w:rPr>
                    <w:rFonts w:ascii="Cambria Math" w:eastAsiaTheme="minorEastAsia" w:hAnsi="Cambria Math" w:cs="Times New Roman"/>
                    <w:i/>
                    <w:sz w:val="24"/>
                    <w:szCs w:val="24"/>
                    <w:lang w:val="lt-LT"/>
                  </w:rPr>
                </m:ctrlPr>
              </m:naryPr>
              <m:sub>
                <m:r>
                  <w:rPr>
                    <w:rFonts w:ascii="Cambria Math" w:eastAsiaTheme="minorEastAsia" w:hAnsi="Cambria Math" w:cs="Times New Roman"/>
                    <w:sz w:val="24"/>
                    <w:szCs w:val="24"/>
                    <w:lang w:val="lt-LT"/>
                  </w:rPr>
                  <m:t>j=1</m:t>
                </m:r>
              </m:sub>
              <m:sup>
                <m:r>
                  <w:rPr>
                    <w:rFonts w:ascii="Cambria Math" w:eastAsiaTheme="minorEastAsia" w:hAnsi="Cambria Math" w:cs="Times New Roman"/>
                    <w:sz w:val="24"/>
                    <w:szCs w:val="24"/>
                    <w:lang w:val="lt-LT"/>
                  </w:rPr>
                  <m:t>p</m:t>
                </m:r>
              </m:sup>
              <m:e>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j</m:t>
                    </m:r>
                  </m:sub>
                </m:sSub>
              </m:e>
            </m:nary>
          </m:e>
        </m:d>
        <m:sSubSup>
          <m:sSubSupPr>
            <m:ctrlPr>
              <w:rPr>
                <w:rFonts w:ascii="Cambria Math" w:eastAsiaTheme="minorEastAsia" w:hAnsi="Cambria Math" w:cs="Times New Roman"/>
                <w:i/>
                <w:sz w:val="24"/>
                <w:szCs w:val="24"/>
                <w:lang w:val="lt-LT"/>
              </w:rPr>
            </m:ctrlPr>
          </m:sSubSupPr>
          <m:e>
            <m:r>
              <w:rPr>
                <w:rFonts w:ascii="Cambria Math" w:eastAsiaTheme="minorEastAsia" w:hAnsi="Cambria Math" w:cs="Times New Roman"/>
                <w:sz w:val="24"/>
                <w:szCs w:val="24"/>
                <w:lang w:val="lt-LT"/>
              </w:rPr>
              <m:t>z</m:t>
            </m:r>
          </m:e>
          <m:sub>
            <m:r>
              <w:rPr>
                <w:rFonts w:ascii="Cambria Math" w:eastAsiaTheme="minorEastAsia" w:hAnsi="Cambria Math" w:cs="Times New Roman"/>
                <w:sz w:val="24"/>
                <w:szCs w:val="24"/>
                <w:lang w:val="lt-LT"/>
              </w:rPr>
              <m:t>j</m:t>
            </m:r>
          </m:sub>
          <m:sup>
            <m:r>
              <w:rPr>
                <w:rFonts w:ascii="Cambria Math" w:eastAsiaTheme="minorEastAsia" w:hAnsi="Cambria Math" w:cs="Times New Roman"/>
                <w:sz w:val="24"/>
                <w:szCs w:val="24"/>
                <w:lang w:val="lt-LT"/>
              </w:rPr>
              <m:t>i</m:t>
            </m:r>
          </m:sup>
        </m:sSubSup>
        <m:d>
          <m:dPr>
            <m:begChr m:val=""/>
            <m:endChr m:val="}"/>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(t)</m:t>
            </m:r>
          </m:e>
        </m:d>
      </m:oMath>
      <w:r w:rsidR="007670DB">
        <w:rPr>
          <w:rFonts w:ascii="Times New Roman" w:eastAsiaTheme="minorEastAsia" w:hAnsi="Times New Roman" w:cs="Times New Roman"/>
          <w:i/>
          <w:sz w:val="24"/>
          <w:szCs w:val="24"/>
          <w:lang w:val="lt-LT"/>
        </w:rPr>
        <w:tab/>
      </w:r>
      <w:r w:rsidR="007670DB">
        <w:rPr>
          <w:rFonts w:ascii="Times New Roman" w:eastAsiaTheme="minorEastAsia" w:hAnsi="Times New Roman" w:cs="Times New Roman"/>
          <w:i/>
          <w:sz w:val="24"/>
          <w:szCs w:val="24"/>
          <w:lang w:val="lt-LT"/>
        </w:rPr>
        <w:tab/>
      </w:r>
      <w:r w:rsidR="007670DB">
        <w:rPr>
          <w:rFonts w:ascii="Times New Roman" w:eastAsiaTheme="minorEastAsia" w:hAnsi="Times New Roman" w:cs="Times New Roman"/>
          <w:i/>
          <w:sz w:val="24"/>
          <w:szCs w:val="24"/>
          <w:lang w:val="lt-LT"/>
        </w:rPr>
        <w:tab/>
      </w:r>
      <w:r w:rsidR="007670DB">
        <w:rPr>
          <w:rFonts w:ascii="Times New Roman" w:eastAsiaTheme="minorEastAsia" w:hAnsi="Times New Roman" w:cs="Times New Roman"/>
          <w:i/>
          <w:sz w:val="24"/>
          <w:szCs w:val="24"/>
          <w:lang w:val="lt-LT"/>
        </w:rPr>
        <w:tab/>
        <w:t>(6</w:t>
      </w:r>
      <w:r w:rsidR="00A4278E" w:rsidRPr="000D37F1">
        <w:rPr>
          <w:rFonts w:ascii="Times New Roman" w:eastAsiaTheme="minorEastAsia" w:hAnsi="Times New Roman" w:cs="Times New Roman"/>
          <w:i/>
          <w:sz w:val="24"/>
          <w:szCs w:val="24"/>
          <w:lang w:val="lt-LT"/>
        </w:rPr>
        <w:t>)</w:t>
      </w:r>
    </w:p>
    <w:p w:rsidR="000B1861" w:rsidRPr="000D37F1" w:rsidRDefault="000B1861" w:rsidP="00A647E5">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Čia</w:t>
      </w:r>
      <w:r w:rsidR="005B4A3C">
        <w:rPr>
          <w:rFonts w:ascii="Times New Roman" w:eastAsiaTheme="minorEastAsia" w:hAnsi="Times New Roman" w:cs="Times New Roman"/>
          <w:sz w:val="24"/>
          <w:szCs w:val="24"/>
          <w:lang w:val="lt-LT"/>
        </w:rPr>
        <w:t xml:space="preserve"> </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h</m:t>
            </m:r>
          </m:e>
          <m:sub>
            <m:r>
              <w:rPr>
                <w:rFonts w:ascii="Cambria Math" w:eastAsiaTheme="minorEastAsia" w:hAnsi="Cambria Math" w:cs="Times New Roman"/>
                <w:sz w:val="24"/>
                <w:szCs w:val="24"/>
                <w:lang w:val="lt-LT"/>
              </w:rPr>
              <m:t>i</m:t>
            </m:r>
          </m:sub>
        </m:sSub>
        <m:d>
          <m:dPr>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t</m:t>
            </m:r>
          </m:e>
          <m:e>
            <m:r>
              <w:rPr>
                <w:rFonts w:ascii="Cambria Math" w:eastAsiaTheme="minorEastAsia" w:hAnsi="Cambria Math" w:cs="Times New Roman"/>
                <w:sz w:val="24"/>
                <w:szCs w:val="24"/>
                <w:lang w:val="lt-LT"/>
              </w:rPr>
              <m:t>z</m:t>
            </m:r>
            <m:d>
              <m:dPr>
                <m:ctrlPr>
                  <w:rPr>
                    <w:rFonts w:ascii="Cambria Math" w:eastAsiaTheme="minorEastAsia" w:hAnsi="Cambria Math" w:cs="Times New Roman"/>
                    <w:i/>
                    <w:sz w:val="24"/>
                    <w:szCs w:val="24"/>
                    <w:lang w:val="lt-LT"/>
                  </w:rPr>
                </m:ctrlPr>
              </m:dPr>
              <m:e>
                <m:r>
                  <w:rPr>
                    <w:rFonts w:ascii="Cambria Math" w:eastAsiaTheme="minorEastAsia" w:hAnsi="Cambria Math" w:cs="Times New Roman"/>
                    <w:sz w:val="24"/>
                    <w:szCs w:val="24"/>
                    <w:lang w:val="lt-LT"/>
                  </w:rPr>
                  <m:t>t</m:t>
                </m:r>
              </m:e>
            </m:d>
          </m:e>
        </m:d>
      </m:oMath>
      <w:r w:rsidR="005B4A3C">
        <w:rPr>
          <w:rFonts w:ascii="Times New Roman" w:eastAsiaTheme="minorEastAsia" w:hAnsi="Times New Roman" w:cs="Times New Roman"/>
          <w:sz w:val="24"/>
          <w:szCs w:val="24"/>
          <w:lang w:val="lt-LT"/>
        </w:rPr>
        <w:t xml:space="preserve"> </w:t>
      </w:r>
      <w:r w:rsidRPr="000D37F1">
        <w:rPr>
          <w:rFonts w:ascii="Times New Roman" w:eastAsiaTheme="minorEastAsia" w:hAnsi="Times New Roman" w:cs="Times New Roman"/>
          <w:sz w:val="24"/>
          <w:szCs w:val="24"/>
          <w:lang w:val="lt-LT"/>
        </w:rPr>
        <w:t xml:space="preserve">yra nuo laiko priklausanti rizikos funkcija </w:t>
      </w:r>
      <w:r w:rsidRPr="000D37F1">
        <w:rPr>
          <w:rFonts w:ascii="Times New Roman" w:eastAsiaTheme="minorEastAsia" w:hAnsi="Times New Roman" w:cs="Times New Roman"/>
          <w:i/>
          <w:sz w:val="24"/>
          <w:szCs w:val="24"/>
          <w:lang w:val="lt-LT"/>
        </w:rPr>
        <w:t xml:space="preserve">i </w:t>
      </w:r>
      <w:r w:rsidRPr="000D37F1">
        <w:rPr>
          <w:rFonts w:ascii="Times New Roman" w:eastAsiaTheme="minorEastAsia" w:hAnsi="Times New Roman" w:cs="Times New Roman"/>
          <w:sz w:val="24"/>
          <w:szCs w:val="24"/>
          <w:lang w:val="lt-LT"/>
        </w:rPr>
        <w:t xml:space="preserve">kredito unijos </w:t>
      </w:r>
      <w:r w:rsidRPr="000D37F1">
        <w:rPr>
          <w:rFonts w:ascii="Times New Roman" w:eastAsiaTheme="minorEastAsia" w:hAnsi="Times New Roman" w:cs="Times New Roman"/>
          <w:i/>
          <w:sz w:val="24"/>
          <w:szCs w:val="24"/>
          <w:lang w:val="lt-LT"/>
        </w:rPr>
        <w:t xml:space="preserve">t </w:t>
      </w:r>
      <w:r w:rsidRPr="000D37F1">
        <w:rPr>
          <w:rFonts w:ascii="Times New Roman" w:eastAsiaTheme="minorEastAsia" w:hAnsi="Times New Roman" w:cs="Times New Roman"/>
          <w:sz w:val="24"/>
          <w:szCs w:val="24"/>
          <w:lang w:val="lt-LT"/>
        </w:rPr>
        <w:t>laike.</w:t>
      </w:r>
    </w:p>
    <w:p w:rsidR="00F4794E" w:rsidRPr="000D37F1" w:rsidRDefault="00F4794E" w:rsidP="00A647E5">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Siekiant nustatyti, ar Kokso proporcingosios rizikos modelis reikšmingai mažina imties tikėt</w:t>
      </w:r>
      <w:r w:rsidR="00CF59EE" w:rsidRPr="000D37F1">
        <w:rPr>
          <w:rFonts w:ascii="Times New Roman" w:hAnsi="Times New Roman" w:cs="Times New Roman"/>
          <w:sz w:val="24"/>
          <w:szCs w:val="24"/>
          <w:lang w:val="lt-LT"/>
        </w:rPr>
        <w:t xml:space="preserve">inumo funkciją, pasitelkiamas tikėtinumo santykio kriterijus </w:t>
      </w:r>
      <w:r w:rsidR="00CF59EE" w:rsidRPr="005B4A3C">
        <w:rPr>
          <w:rFonts w:ascii="Times New Roman" w:hAnsi="Times New Roman" w:cs="Times New Roman"/>
          <w:i/>
          <w:sz w:val="24"/>
          <w:szCs w:val="24"/>
          <w:lang w:val="lt-LT"/>
        </w:rPr>
        <w:t>p</w:t>
      </w:r>
      <w:r w:rsidR="00CF59EE" w:rsidRPr="000D37F1">
        <w:rPr>
          <w:rFonts w:ascii="Times New Roman" w:hAnsi="Times New Roman" w:cs="Times New Roman"/>
          <w:sz w:val="24"/>
          <w:szCs w:val="24"/>
          <w:lang w:val="lt-LT"/>
        </w:rPr>
        <w:t xml:space="preserve">, jeigu </w:t>
      </w:r>
      <w:r w:rsidR="00CF59EE" w:rsidRPr="005B4A3C">
        <w:rPr>
          <w:rFonts w:ascii="Times New Roman" w:hAnsi="Times New Roman" w:cs="Times New Roman"/>
          <w:i/>
          <w:sz w:val="24"/>
          <w:szCs w:val="24"/>
          <w:lang w:val="lt-LT"/>
        </w:rPr>
        <w:t>p&lt;0.05</w:t>
      </w:r>
      <w:r w:rsidR="005B4A3C">
        <w:rPr>
          <w:rFonts w:ascii="Times New Roman" w:hAnsi="Times New Roman" w:cs="Times New Roman"/>
          <w:sz w:val="24"/>
          <w:szCs w:val="24"/>
          <w:lang w:val="lt-LT"/>
        </w:rPr>
        <w:t xml:space="preserve"> – </w:t>
      </w:r>
      <w:r w:rsidR="00CF59EE" w:rsidRPr="000D37F1">
        <w:rPr>
          <w:rFonts w:ascii="Times New Roman" w:hAnsi="Times New Roman" w:cs="Times New Roman"/>
          <w:sz w:val="24"/>
          <w:szCs w:val="24"/>
          <w:lang w:val="lt-LT"/>
        </w:rPr>
        <w:t xml:space="preserve"> modelis reikšmingai mažina tikėt</w:t>
      </w:r>
      <w:r w:rsidR="005B4A3C">
        <w:rPr>
          <w:rFonts w:ascii="Times New Roman" w:hAnsi="Times New Roman" w:cs="Times New Roman"/>
          <w:sz w:val="24"/>
          <w:szCs w:val="24"/>
          <w:lang w:val="lt-LT"/>
        </w:rPr>
        <w:t xml:space="preserve">inumo funkciją, jei p&gt;0.05 – </w:t>
      </w:r>
      <w:proofErr w:type="spellStart"/>
      <w:r w:rsidR="005B4A3C">
        <w:rPr>
          <w:rFonts w:ascii="Times New Roman" w:hAnsi="Times New Roman" w:cs="Times New Roman"/>
          <w:sz w:val="24"/>
          <w:szCs w:val="24"/>
          <w:lang w:val="lt-LT"/>
        </w:rPr>
        <w:t>kova</w:t>
      </w:r>
      <w:r w:rsidR="00CF59EE" w:rsidRPr="000D37F1">
        <w:rPr>
          <w:rFonts w:ascii="Times New Roman" w:hAnsi="Times New Roman" w:cs="Times New Roman"/>
          <w:sz w:val="24"/>
          <w:szCs w:val="24"/>
          <w:lang w:val="lt-LT"/>
        </w:rPr>
        <w:t>riat</w:t>
      </w:r>
      <w:r w:rsidR="005B4A3C">
        <w:rPr>
          <w:rFonts w:ascii="Times New Roman" w:hAnsi="Times New Roman" w:cs="Times New Roman"/>
          <w:sz w:val="24"/>
          <w:szCs w:val="24"/>
          <w:lang w:val="lt-LT"/>
        </w:rPr>
        <w:t>ę</w:t>
      </w:r>
      <w:proofErr w:type="spellEnd"/>
      <w:r w:rsidR="00212F0B" w:rsidRPr="000D37F1">
        <w:rPr>
          <w:rFonts w:ascii="Times New Roman" w:hAnsi="Times New Roman" w:cs="Times New Roman"/>
          <w:sz w:val="24"/>
          <w:szCs w:val="24"/>
          <w:lang w:val="lt-LT"/>
        </w:rPr>
        <w:t xml:space="preserve"> įtraukus į modelį, </w:t>
      </w:r>
      <w:r w:rsidR="005B4A3C">
        <w:rPr>
          <w:rFonts w:ascii="Times New Roman" w:hAnsi="Times New Roman" w:cs="Times New Roman"/>
          <w:sz w:val="24"/>
          <w:szCs w:val="24"/>
          <w:lang w:val="lt-LT"/>
        </w:rPr>
        <w:t xml:space="preserve">jo </w:t>
      </w:r>
      <w:r w:rsidR="00212F0B" w:rsidRPr="000D37F1">
        <w:rPr>
          <w:rFonts w:ascii="Times New Roman" w:hAnsi="Times New Roman" w:cs="Times New Roman"/>
          <w:sz w:val="24"/>
          <w:szCs w:val="24"/>
          <w:lang w:val="lt-LT"/>
        </w:rPr>
        <w:t>tikėtinumo</w:t>
      </w:r>
      <w:r w:rsidR="00CF59EE" w:rsidRPr="000D37F1">
        <w:rPr>
          <w:rFonts w:ascii="Times New Roman" w:hAnsi="Times New Roman" w:cs="Times New Roman"/>
          <w:sz w:val="24"/>
          <w:szCs w:val="24"/>
          <w:lang w:val="lt-LT"/>
        </w:rPr>
        <w:t xml:space="preserve"> funkcija reikšmingai</w:t>
      </w:r>
      <w:r w:rsidR="00FA0D12">
        <w:rPr>
          <w:rFonts w:ascii="Times New Roman" w:hAnsi="Times New Roman" w:cs="Times New Roman"/>
          <w:sz w:val="24"/>
          <w:szCs w:val="24"/>
          <w:lang w:val="lt-LT"/>
        </w:rPr>
        <w:t xml:space="preserve"> nesumažėja, tokiu atveju Kokso proporcingosios rizikos </w:t>
      </w:r>
      <w:r w:rsidR="00CF59EE" w:rsidRPr="000D37F1">
        <w:rPr>
          <w:rFonts w:ascii="Times New Roman" w:hAnsi="Times New Roman" w:cs="Times New Roman"/>
          <w:sz w:val="24"/>
          <w:szCs w:val="24"/>
          <w:lang w:val="lt-LT"/>
        </w:rPr>
        <w:t>modelį takyti netikslinga.</w:t>
      </w:r>
    </w:p>
    <w:p w:rsidR="00F70241" w:rsidRPr="000D37F1" w:rsidRDefault="00CF59EE" w:rsidP="00F70241">
      <w:pPr>
        <w:spacing w:line="360" w:lineRule="auto"/>
        <w:ind w:firstLine="720"/>
        <w:jc w:val="both"/>
        <w:rPr>
          <w:rFonts w:ascii="Times New Roman" w:eastAsiaTheme="minorEastAsia" w:hAnsi="Times New Roman" w:cs="Times New Roman"/>
          <w:sz w:val="24"/>
          <w:szCs w:val="24"/>
          <w:lang w:val="lt-LT"/>
        </w:rPr>
      </w:pPr>
      <w:r w:rsidRPr="000D37F1">
        <w:rPr>
          <w:rFonts w:ascii="Times New Roman" w:hAnsi="Times New Roman" w:cs="Times New Roman"/>
          <w:sz w:val="24"/>
          <w:szCs w:val="24"/>
          <w:lang w:val="lt-LT"/>
        </w:rPr>
        <w:t xml:space="preserve">Interpretuojant Kokso modelio rezultatus, svarbu pavojaus rizikos </w:t>
      </w:r>
      <m:oMath>
        <m:func>
          <m:funcPr>
            <m:ctrlPr>
              <w:rPr>
                <w:rFonts w:ascii="Cambria Math" w:hAnsi="Cambria Math" w:cs="Times New Roman"/>
                <w:i/>
                <w:sz w:val="24"/>
                <w:szCs w:val="24"/>
                <w:lang w:val="lt-LT"/>
              </w:rPr>
            </m:ctrlPr>
          </m:funcPr>
          <m:fName>
            <m:r>
              <w:rPr>
                <w:rFonts w:ascii="Cambria Math" w:hAnsi="Cambria Math" w:cs="Times New Roman"/>
                <w:sz w:val="24"/>
                <w:szCs w:val="24"/>
                <w:lang w:val="lt-LT"/>
              </w:rPr>
              <m:t>exp</m:t>
            </m:r>
          </m:fName>
          <m:e>
            <m:d>
              <m:dPr>
                <m:ctrlPr>
                  <w:rPr>
                    <w:rFonts w:ascii="Cambria Math" w:hAnsi="Cambria Math" w:cs="Times New Roman"/>
                    <w:i/>
                    <w:sz w:val="24"/>
                    <w:szCs w:val="24"/>
                    <w:lang w:val="lt-LT"/>
                  </w:rPr>
                </m:ctrlPr>
              </m:dPr>
              <m:e>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i</m:t>
                    </m:r>
                  </m:sub>
                </m:sSub>
                <m:ctrlPr>
                  <w:rPr>
                    <w:rFonts w:ascii="Cambria Math" w:eastAsiaTheme="minorEastAsia" w:hAnsi="Cambria Math" w:cs="Times New Roman"/>
                    <w:i/>
                    <w:sz w:val="24"/>
                    <w:szCs w:val="24"/>
                    <w:lang w:val="lt-LT"/>
                  </w:rPr>
                </m:ctrlPr>
              </m:e>
            </m:d>
          </m:e>
        </m:func>
      </m:oMath>
      <w:r w:rsidRPr="000D37F1">
        <w:rPr>
          <w:rFonts w:ascii="Times New Roman" w:eastAsiaTheme="minorEastAsia" w:hAnsi="Times New Roman" w:cs="Times New Roman"/>
          <w:sz w:val="24"/>
          <w:szCs w:val="24"/>
          <w:lang w:val="lt-LT"/>
        </w:rPr>
        <w:t xml:space="preserve"> patikimumas, todėl statistiniuose paketuose pateikiami dydžiai </w:t>
      </w:r>
      <m:oMath>
        <m:func>
          <m:funcPr>
            <m:ctrlPr>
              <w:rPr>
                <w:rFonts w:ascii="Cambria Math" w:hAnsi="Cambria Math" w:cs="Times New Roman"/>
                <w:i/>
                <w:sz w:val="24"/>
                <w:szCs w:val="24"/>
                <w:lang w:val="lt-LT"/>
              </w:rPr>
            </m:ctrlPr>
          </m:funcPr>
          <m:fName>
            <m:r>
              <w:rPr>
                <w:rFonts w:ascii="Cambria Math" w:hAnsi="Cambria Math" w:cs="Times New Roman"/>
                <w:sz w:val="24"/>
                <w:szCs w:val="24"/>
                <w:lang w:val="lt-LT"/>
              </w:rPr>
              <m:t>exp</m:t>
            </m:r>
          </m:fName>
          <m:e>
            <m:d>
              <m:dPr>
                <m:ctrlPr>
                  <w:rPr>
                    <w:rFonts w:ascii="Cambria Math" w:hAnsi="Cambria Math" w:cs="Times New Roman"/>
                    <w:i/>
                    <w:sz w:val="24"/>
                    <w:szCs w:val="24"/>
                    <w:lang w:val="lt-LT"/>
                  </w:rPr>
                </m:ctrlPr>
              </m:dPr>
              <m:e>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i</m:t>
                    </m:r>
                  </m:sub>
                </m:sSub>
                <m:ctrlPr>
                  <w:rPr>
                    <w:rFonts w:ascii="Cambria Math" w:eastAsiaTheme="minorEastAsia" w:hAnsi="Cambria Math" w:cs="Times New Roman"/>
                    <w:i/>
                    <w:sz w:val="24"/>
                    <w:szCs w:val="24"/>
                    <w:lang w:val="lt-LT"/>
                  </w:rPr>
                </m:ctrlPr>
              </m:e>
            </m:d>
          </m:e>
        </m:func>
      </m:oMath>
      <w:r w:rsidRPr="000D37F1">
        <w:rPr>
          <w:rFonts w:ascii="Times New Roman" w:eastAsiaTheme="minorEastAsia" w:hAnsi="Times New Roman" w:cs="Times New Roman"/>
          <w:sz w:val="24"/>
          <w:szCs w:val="24"/>
          <w:lang w:val="lt-LT"/>
        </w:rPr>
        <w:t xml:space="preserve"> su pasikliautinaisiais intervalais. Jei </w:t>
      </w:r>
      <m:oMath>
        <m:func>
          <m:funcPr>
            <m:ctrlPr>
              <w:rPr>
                <w:rFonts w:ascii="Cambria Math" w:hAnsi="Cambria Math" w:cs="Times New Roman"/>
                <w:i/>
                <w:sz w:val="24"/>
                <w:szCs w:val="24"/>
                <w:lang w:val="lt-LT"/>
              </w:rPr>
            </m:ctrlPr>
          </m:funcPr>
          <m:fName>
            <m:r>
              <w:rPr>
                <w:rFonts w:ascii="Cambria Math" w:hAnsi="Cambria Math" w:cs="Times New Roman"/>
                <w:sz w:val="24"/>
                <w:szCs w:val="24"/>
                <w:lang w:val="lt-LT"/>
              </w:rPr>
              <m:t>exp</m:t>
            </m:r>
          </m:fName>
          <m:e>
            <m:d>
              <m:dPr>
                <m:ctrlPr>
                  <w:rPr>
                    <w:rFonts w:ascii="Cambria Math" w:hAnsi="Cambria Math" w:cs="Times New Roman"/>
                    <w:i/>
                    <w:sz w:val="24"/>
                    <w:szCs w:val="24"/>
                    <w:lang w:val="lt-LT"/>
                  </w:rPr>
                </m:ctrlPr>
              </m:dPr>
              <m:e>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i</m:t>
                    </m:r>
                  </m:sub>
                </m:sSub>
                <m:ctrlPr>
                  <w:rPr>
                    <w:rFonts w:ascii="Cambria Math" w:eastAsiaTheme="minorEastAsia" w:hAnsi="Cambria Math" w:cs="Times New Roman"/>
                    <w:i/>
                    <w:sz w:val="24"/>
                    <w:szCs w:val="24"/>
                    <w:lang w:val="lt-LT"/>
                  </w:rPr>
                </m:ctrlPr>
              </m:e>
            </m:d>
          </m:e>
        </m:func>
      </m:oMath>
      <w:r w:rsidRPr="000D37F1">
        <w:rPr>
          <w:rFonts w:ascii="Times New Roman" w:eastAsiaTheme="minorEastAsia" w:hAnsi="Times New Roman" w:cs="Times New Roman"/>
          <w:sz w:val="24"/>
          <w:szCs w:val="24"/>
          <w:lang w:val="lt-LT"/>
        </w:rPr>
        <w:t xml:space="preserve"> pasikliautinojo intervalo ribos mažesnės bei 1, i-tajai kovariatei didėjant, rizika reikšmingai mažėja. Jei į </w:t>
      </w:r>
      <m:oMath>
        <m:func>
          <m:funcPr>
            <m:ctrlPr>
              <w:rPr>
                <w:rFonts w:ascii="Cambria Math" w:hAnsi="Cambria Math" w:cs="Times New Roman"/>
                <w:i/>
                <w:sz w:val="24"/>
                <w:szCs w:val="24"/>
                <w:lang w:val="lt-LT"/>
              </w:rPr>
            </m:ctrlPr>
          </m:funcPr>
          <m:fName>
            <m:r>
              <w:rPr>
                <w:rFonts w:ascii="Cambria Math" w:hAnsi="Cambria Math" w:cs="Times New Roman"/>
                <w:sz w:val="24"/>
                <w:szCs w:val="24"/>
                <w:lang w:val="lt-LT"/>
              </w:rPr>
              <m:t>exp</m:t>
            </m:r>
          </m:fName>
          <m:e>
            <m:d>
              <m:dPr>
                <m:ctrlPr>
                  <w:rPr>
                    <w:rFonts w:ascii="Cambria Math" w:hAnsi="Cambria Math" w:cs="Times New Roman"/>
                    <w:i/>
                    <w:sz w:val="24"/>
                    <w:szCs w:val="24"/>
                    <w:lang w:val="lt-LT"/>
                  </w:rPr>
                </m:ctrlPr>
              </m:dPr>
              <m:e>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i</m:t>
                    </m:r>
                  </m:sub>
                </m:sSub>
                <m:ctrlPr>
                  <w:rPr>
                    <w:rFonts w:ascii="Cambria Math" w:eastAsiaTheme="minorEastAsia" w:hAnsi="Cambria Math" w:cs="Times New Roman"/>
                    <w:i/>
                    <w:sz w:val="24"/>
                    <w:szCs w:val="24"/>
                    <w:lang w:val="lt-LT"/>
                  </w:rPr>
                </m:ctrlPr>
              </m:e>
            </m:d>
          </m:e>
        </m:func>
      </m:oMath>
      <w:r w:rsidRPr="000D37F1">
        <w:rPr>
          <w:rFonts w:ascii="Times New Roman" w:eastAsiaTheme="minorEastAsia" w:hAnsi="Times New Roman" w:cs="Times New Roman"/>
          <w:sz w:val="24"/>
          <w:szCs w:val="24"/>
          <w:lang w:val="lt-LT"/>
        </w:rPr>
        <w:t xml:space="preserve"> pasikliautinąjį intervalą patenka </w:t>
      </w:r>
      <w:r w:rsidR="00EA0BC9" w:rsidRPr="000D37F1">
        <w:rPr>
          <w:rFonts w:ascii="Times New Roman" w:eastAsiaTheme="minorEastAsia" w:hAnsi="Times New Roman" w:cs="Times New Roman"/>
          <w:sz w:val="24"/>
          <w:szCs w:val="24"/>
          <w:lang w:val="lt-LT"/>
        </w:rPr>
        <w:t>1,  i-toji kovariatė</w:t>
      </w:r>
      <w:r w:rsidR="00833893">
        <w:rPr>
          <w:rFonts w:ascii="Times New Roman" w:eastAsiaTheme="minorEastAsia" w:hAnsi="Times New Roman" w:cs="Times New Roman"/>
          <w:sz w:val="24"/>
          <w:szCs w:val="24"/>
          <w:lang w:val="lt-LT"/>
        </w:rPr>
        <w:t xml:space="preserve"> </w:t>
      </w:r>
      <w:r w:rsidR="008E22E7" w:rsidRPr="000D37F1">
        <w:rPr>
          <w:rFonts w:ascii="Times New Roman" w:eastAsiaTheme="minorEastAsia" w:hAnsi="Times New Roman" w:cs="Times New Roman"/>
          <w:sz w:val="24"/>
          <w:szCs w:val="24"/>
          <w:lang w:val="lt-LT"/>
        </w:rPr>
        <w:t>išlikimui</w:t>
      </w:r>
      <w:r w:rsidR="00EA0BC9" w:rsidRPr="000D37F1">
        <w:rPr>
          <w:rFonts w:ascii="Times New Roman" w:eastAsiaTheme="minorEastAsia" w:hAnsi="Times New Roman" w:cs="Times New Roman"/>
          <w:sz w:val="24"/>
          <w:szCs w:val="24"/>
          <w:lang w:val="lt-LT"/>
        </w:rPr>
        <w:t xml:space="preserve"> reikšmingos įtakos neturi. Optimaliu laikomas tas modelis, kuris turi mažiausią tikėti</w:t>
      </w:r>
      <w:r w:rsidR="00BC2B38" w:rsidRPr="000D37F1">
        <w:rPr>
          <w:rFonts w:ascii="Times New Roman" w:eastAsiaTheme="minorEastAsia" w:hAnsi="Times New Roman" w:cs="Times New Roman"/>
          <w:sz w:val="24"/>
          <w:szCs w:val="24"/>
          <w:lang w:val="lt-LT"/>
        </w:rPr>
        <w:t>numų santykio kriterijaus p rei</w:t>
      </w:r>
      <w:r w:rsidR="00EA0BC9" w:rsidRPr="000D37F1">
        <w:rPr>
          <w:rFonts w:ascii="Times New Roman" w:eastAsiaTheme="minorEastAsia" w:hAnsi="Times New Roman" w:cs="Times New Roman"/>
          <w:sz w:val="24"/>
          <w:szCs w:val="24"/>
          <w:lang w:val="lt-LT"/>
        </w:rPr>
        <w:t>k</w:t>
      </w:r>
      <w:r w:rsidR="00BC2B38" w:rsidRPr="000D37F1">
        <w:rPr>
          <w:rFonts w:ascii="Times New Roman" w:eastAsiaTheme="minorEastAsia" w:hAnsi="Times New Roman" w:cs="Times New Roman"/>
          <w:sz w:val="24"/>
          <w:szCs w:val="24"/>
          <w:lang w:val="lt-LT"/>
        </w:rPr>
        <w:t>š</w:t>
      </w:r>
      <w:r w:rsidR="00EA0BC9" w:rsidRPr="000D37F1">
        <w:rPr>
          <w:rFonts w:ascii="Times New Roman" w:eastAsiaTheme="minorEastAsia" w:hAnsi="Times New Roman" w:cs="Times New Roman"/>
          <w:sz w:val="24"/>
          <w:szCs w:val="24"/>
          <w:lang w:val="lt-LT"/>
        </w:rPr>
        <w:t xml:space="preserve">mę bei visus reikšmingus </w:t>
      </w:r>
      <m:oMath>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β</m:t>
            </m:r>
          </m:e>
          <m:sub>
            <m:r>
              <w:rPr>
                <w:rFonts w:ascii="Cambria Math" w:eastAsiaTheme="minorEastAsia" w:hAnsi="Cambria Math" w:cs="Times New Roman"/>
                <w:sz w:val="24"/>
                <w:szCs w:val="24"/>
                <w:lang w:val="lt-LT"/>
              </w:rPr>
              <m:t>i</m:t>
            </m:r>
          </m:sub>
        </m:sSub>
        <m:r>
          <w:rPr>
            <w:rFonts w:ascii="Cambria Math" w:eastAsiaTheme="minorEastAsia" w:hAnsi="Cambria Math" w:cs="Times New Roman"/>
            <w:sz w:val="24"/>
            <w:szCs w:val="24"/>
            <w:lang w:val="lt-LT"/>
          </w:rPr>
          <m:t>.</m:t>
        </m:r>
      </m:oMath>
    </w:p>
    <w:p w:rsidR="00F70241" w:rsidRPr="000D37F1" w:rsidRDefault="00240EF1" w:rsidP="00F70241">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 xml:space="preserve">Modelio taikymo eiga - </w:t>
      </w:r>
      <w:r w:rsidR="00BC2B38" w:rsidRPr="000D37F1">
        <w:rPr>
          <w:rFonts w:ascii="Times New Roman" w:eastAsiaTheme="minorEastAsia" w:hAnsi="Times New Roman" w:cs="Times New Roman"/>
          <w:sz w:val="24"/>
          <w:szCs w:val="24"/>
          <w:lang w:val="lt-LT"/>
        </w:rPr>
        <w:t xml:space="preserve">atrenkami kintamieji (turintys įtakos išlikimui), jie nustatomi remiantis </w:t>
      </w:r>
      <w:proofErr w:type="spellStart"/>
      <w:r w:rsidR="00BC2B38" w:rsidRPr="000D37F1">
        <w:rPr>
          <w:rFonts w:ascii="Times New Roman" w:eastAsiaTheme="minorEastAsia" w:hAnsi="Times New Roman" w:cs="Times New Roman"/>
          <w:sz w:val="24"/>
          <w:szCs w:val="24"/>
          <w:lang w:val="lt-LT"/>
        </w:rPr>
        <w:t>vienmačiu</w:t>
      </w:r>
      <w:proofErr w:type="spellEnd"/>
      <w:r w:rsidR="00BC2B38" w:rsidRPr="000D37F1">
        <w:rPr>
          <w:rFonts w:ascii="Times New Roman" w:eastAsiaTheme="minorEastAsia" w:hAnsi="Times New Roman" w:cs="Times New Roman"/>
          <w:sz w:val="24"/>
          <w:szCs w:val="24"/>
          <w:lang w:val="lt-LT"/>
        </w:rPr>
        <w:t xml:space="preserve"> Kokso modeliu (tikrinamas kiekvienas kintamasis).</w:t>
      </w:r>
      <w:r w:rsidRPr="000D37F1">
        <w:rPr>
          <w:rFonts w:ascii="Times New Roman" w:eastAsiaTheme="minorEastAsia" w:hAnsi="Times New Roman" w:cs="Times New Roman"/>
          <w:sz w:val="24"/>
          <w:szCs w:val="24"/>
          <w:lang w:val="lt-LT"/>
        </w:rPr>
        <w:t xml:space="preserve"> Jei koeficientas </w:t>
      </w:r>
      <m:oMath>
        <m:r>
          <m:rPr>
            <m:sty m:val="p"/>
          </m:rPr>
          <w:rPr>
            <w:rFonts w:ascii="Cambria Math" w:eastAsiaTheme="minorEastAsia" w:hAnsi="Cambria Math" w:cs="Times New Roman"/>
            <w:sz w:val="24"/>
            <w:szCs w:val="24"/>
            <w:lang w:val="lt-LT"/>
          </w:rPr>
          <m:t>β</m:t>
        </m:r>
      </m:oMath>
      <w:r w:rsidR="007670DB">
        <w:rPr>
          <w:rFonts w:ascii="Times New Roman" w:eastAsiaTheme="minorEastAsia" w:hAnsi="Times New Roman" w:cs="Times New Roman"/>
          <w:sz w:val="24"/>
          <w:szCs w:val="24"/>
          <w:lang w:val="lt-LT"/>
        </w:rPr>
        <w:t xml:space="preserve"> </w:t>
      </w:r>
      <w:r w:rsidRPr="000D37F1">
        <w:rPr>
          <w:rFonts w:ascii="Times New Roman" w:eastAsiaTheme="minorEastAsia" w:hAnsi="Times New Roman" w:cs="Times New Roman"/>
          <w:sz w:val="24"/>
          <w:szCs w:val="24"/>
          <w:lang w:val="lt-LT"/>
        </w:rPr>
        <w:t>reikšmingai skiriasi n</w:t>
      </w:r>
      <w:r w:rsidR="008E22E7" w:rsidRPr="000D37F1">
        <w:rPr>
          <w:rFonts w:ascii="Times New Roman" w:eastAsiaTheme="minorEastAsia" w:hAnsi="Times New Roman" w:cs="Times New Roman"/>
          <w:sz w:val="24"/>
          <w:szCs w:val="24"/>
          <w:lang w:val="lt-LT"/>
        </w:rPr>
        <w:t>uo 0, kintamasis turi įtakos išlikimui ir jį</w:t>
      </w:r>
      <w:r w:rsidRPr="000D37F1">
        <w:rPr>
          <w:rFonts w:ascii="Times New Roman" w:eastAsiaTheme="minorEastAsia" w:hAnsi="Times New Roman" w:cs="Times New Roman"/>
          <w:sz w:val="24"/>
          <w:szCs w:val="24"/>
          <w:lang w:val="lt-LT"/>
        </w:rPr>
        <w:t xml:space="preserve"> galima naudoti daugiama</w:t>
      </w:r>
      <w:r w:rsidR="00E33D69" w:rsidRPr="000D37F1">
        <w:rPr>
          <w:rFonts w:ascii="Times New Roman" w:eastAsiaTheme="minorEastAsia" w:hAnsi="Times New Roman" w:cs="Times New Roman"/>
          <w:sz w:val="24"/>
          <w:szCs w:val="24"/>
          <w:lang w:val="lt-LT"/>
        </w:rPr>
        <w:t xml:space="preserve">tį </w:t>
      </w:r>
      <w:r w:rsidRPr="000D37F1">
        <w:rPr>
          <w:rFonts w:ascii="Times New Roman" w:eastAsiaTheme="minorEastAsia" w:hAnsi="Times New Roman" w:cs="Times New Roman"/>
          <w:sz w:val="24"/>
          <w:szCs w:val="24"/>
          <w:lang w:val="lt-LT"/>
        </w:rPr>
        <w:t>model</w:t>
      </w:r>
      <w:r w:rsidR="00E33D69" w:rsidRPr="000D37F1">
        <w:rPr>
          <w:rFonts w:ascii="Times New Roman" w:eastAsiaTheme="minorEastAsia" w:hAnsi="Times New Roman" w:cs="Times New Roman"/>
          <w:sz w:val="24"/>
          <w:szCs w:val="24"/>
          <w:lang w:val="lt-LT"/>
        </w:rPr>
        <w:t>į</w:t>
      </w:r>
      <w:r w:rsidRPr="000D37F1">
        <w:rPr>
          <w:rFonts w:ascii="Times New Roman" w:eastAsiaTheme="minorEastAsia" w:hAnsi="Times New Roman" w:cs="Times New Roman"/>
          <w:sz w:val="24"/>
          <w:szCs w:val="24"/>
          <w:lang w:val="lt-LT"/>
        </w:rPr>
        <w:t xml:space="preserve"> sudaryti.</w:t>
      </w:r>
      <w:r w:rsidR="007E0C1E" w:rsidRPr="000D37F1">
        <w:rPr>
          <w:rFonts w:ascii="Times New Roman" w:eastAsiaTheme="minorEastAsia" w:hAnsi="Times New Roman" w:cs="Times New Roman"/>
          <w:sz w:val="24"/>
          <w:szCs w:val="24"/>
          <w:lang w:val="lt-LT"/>
        </w:rPr>
        <w:t xml:space="preserve"> Naudojant informatyvius rodiklius, optimalus daugiamatis Kokso modelis sudaromas analogiškai daugialypės tiesinės regresijos modeliui, tik kintamieji įtraukiami arba pašalinami remiantis koeficientų reikšmingumo kriterijaus </w:t>
      </w:r>
      <w:r w:rsidR="007E0C1E" w:rsidRPr="005B4A3C">
        <w:rPr>
          <w:rFonts w:ascii="Times New Roman" w:eastAsiaTheme="minorEastAsia" w:hAnsi="Times New Roman" w:cs="Times New Roman"/>
          <w:i/>
          <w:sz w:val="24"/>
          <w:szCs w:val="24"/>
          <w:lang w:val="lt-LT"/>
        </w:rPr>
        <w:t>p</w:t>
      </w:r>
      <w:r w:rsidR="007E0C1E" w:rsidRPr="000D37F1">
        <w:rPr>
          <w:rFonts w:ascii="Times New Roman" w:eastAsiaTheme="minorEastAsia" w:hAnsi="Times New Roman" w:cs="Times New Roman"/>
          <w:sz w:val="24"/>
          <w:szCs w:val="24"/>
          <w:lang w:val="lt-LT"/>
        </w:rPr>
        <w:t xml:space="preserve"> reikšme.</w:t>
      </w:r>
    </w:p>
    <w:p w:rsidR="00ED07D5" w:rsidRPr="000D37F1" w:rsidRDefault="00ED07D5" w:rsidP="00B46885">
      <w:pPr>
        <w:spacing w:line="360" w:lineRule="auto"/>
        <w:ind w:firstLine="720"/>
        <w:jc w:val="both"/>
        <w:rPr>
          <w:rFonts w:ascii="Times New Roman" w:hAnsi="Times New Roman" w:cs="Times New Roman"/>
          <w:i/>
          <w:sz w:val="24"/>
          <w:szCs w:val="24"/>
          <w:lang w:val="lt-LT"/>
        </w:rPr>
      </w:pPr>
      <w:r w:rsidRPr="000D37F1">
        <w:rPr>
          <w:rFonts w:ascii="Times New Roman" w:hAnsi="Times New Roman" w:cs="Times New Roman"/>
          <w:i/>
          <w:sz w:val="24"/>
          <w:szCs w:val="24"/>
          <w:lang w:val="lt-LT"/>
        </w:rPr>
        <w:t>Modelio tikrinimo metodika</w:t>
      </w:r>
    </w:p>
    <w:p w:rsidR="00EA2D3F" w:rsidRDefault="008E22E7" w:rsidP="00B46885">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lastRenderedPageBreak/>
        <w:t>Kokso proporcing</w:t>
      </w:r>
      <w:r w:rsidR="005B4A3C">
        <w:rPr>
          <w:rFonts w:ascii="Times New Roman" w:hAnsi="Times New Roman" w:cs="Times New Roman"/>
          <w:sz w:val="24"/>
          <w:szCs w:val="24"/>
          <w:lang w:val="lt-LT"/>
        </w:rPr>
        <w:t>osios</w:t>
      </w:r>
      <w:r w:rsidRPr="000D37F1">
        <w:rPr>
          <w:rFonts w:ascii="Times New Roman" w:hAnsi="Times New Roman" w:cs="Times New Roman"/>
          <w:sz w:val="24"/>
          <w:szCs w:val="24"/>
          <w:lang w:val="lt-LT"/>
        </w:rPr>
        <w:t xml:space="preserve"> rizikos</w:t>
      </w:r>
      <w:r w:rsidR="003B3F20" w:rsidRPr="000D37F1">
        <w:rPr>
          <w:rFonts w:ascii="Times New Roman" w:hAnsi="Times New Roman" w:cs="Times New Roman"/>
          <w:sz w:val="24"/>
          <w:szCs w:val="24"/>
          <w:lang w:val="lt-LT"/>
        </w:rPr>
        <w:t xml:space="preserve"> modelyje naudojami ir kiti metodai, kurių pagrindinė užduotis - </w:t>
      </w:r>
      <w:r w:rsidR="005A5C73" w:rsidRPr="000D37F1">
        <w:rPr>
          <w:rFonts w:ascii="Times New Roman" w:hAnsi="Times New Roman" w:cs="Times New Roman"/>
          <w:sz w:val="24"/>
          <w:szCs w:val="24"/>
          <w:lang w:val="lt-LT"/>
        </w:rPr>
        <w:t xml:space="preserve"> ištirti tam tikrų požymių</w:t>
      </w:r>
      <w:r w:rsidR="003B3F20" w:rsidRPr="000D37F1">
        <w:rPr>
          <w:rFonts w:ascii="Times New Roman" w:hAnsi="Times New Roman" w:cs="Times New Roman"/>
          <w:sz w:val="24"/>
          <w:szCs w:val="24"/>
          <w:lang w:val="lt-LT"/>
        </w:rPr>
        <w:t xml:space="preserve"> (</w:t>
      </w:r>
      <w:r w:rsidR="003B3F20" w:rsidRPr="000D37F1">
        <w:rPr>
          <w:rFonts w:ascii="Times New Roman" w:hAnsi="Times New Roman" w:cs="Times New Roman"/>
          <w:i/>
          <w:sz w:val="24"/>
          <w:szCs w:val="24"/>
          <w:lang w:val="lt-LT"/>
        </w:rPr>
        <w:t>covariates</w:t>
      </w:r>
      <w:r w:rsidR="003B3F20" w:rsidRPr="000D37F1">
        <w:rPr>
          <w:rFonts w:ascii="Times New Roman" w:hAnsi="Times New Roman" w:cs="Times New Roman"/>
          <w:sz w:val="24"/>
          <w:szCs w:val="24"/>
          <w:lang w:val="lt-LT"/>
        </w:rPr>
        <w:t>)</w:t>
      </w:r>
      <w:r w:rsidR="005A5C73" w:rsidRPr="000D37F1">
        <w:rPr>
          <w:rFonts w:ascii="Times New Roman" w:hAnsi="Times New Roman" w:cs="Times New Roman"/>
          <w:sz w:val="24"/>
          <w:szCs w:val="24"/>
          <w:lang w:val="lt-LT"/>
        </w:rPr>
        <w:t xml:space="preserve"> įtaką</w:t>
      </w:r>
      <w:r w:rsidR="00833893">
        <w:rPr>
          <w:rFonts w:ascii="Times New Roman" w:hAnsi="Times New Roman" w:cs="Times New Roman"/>
          <w:sz w:val="24"/>
          <w:szCs w:val="24"/>
          <w:lang w:val="lt-LT"/>
        </w:rPr>
        <w:t xml:space="preserve"> </w:t>
      </w:r>
      <w:r w:rsidR="000864D4" w:rsidRPr="000D37F1">
        <w:rPr>
          <w:rFonts w:ascii="Times New Roman" w:hAnsi="Times New Roman" w:cs="Times New Roman"/>
          <w:sz w:val="24"/>
          <w:szCs w:val="24"/>
          <w:lang w:val="lt-LT"/>
        </w:rPr>
        <w:t>bankroto prognozavimo modelyje. Taigi šiam tikslui</w:t>
      </w:r>
      <w:r w:rsidR="005A5C73" w:rsidRPr="000D37F1">
        <w:rPr>
          <w:rFonts w:ascii="Times New Roman" w:hAnsi="Times New Roman" w:cs="Times New Roman"/>
          <w:sz w:val="24"/>
          <w:szCs w:val="24"/>
          <w:lang w:val="lt-LT"/>
        </w:rPr>
        <w:t xml:space="preserve"> taikomi įvairūs išlikimo analizės metodai: išlikimo </w:t>
      </w:r>
      <w:r w:rsidR="000864D4" w:rsidRPr="000D37F1">
        <w:rPr>
          <w:rFonts w:ascii="Times New Roman" w:hAnsi="Times New Roman" w:cs="Times New Roman"/>
          <w:sz w:val="24"/>
          <w:szCs w:val="24"/>
          <w:lang w:val="lt-LT"/>
        </w:rPr>
        <w:t>lentelės (Life</w:t>
      </w:r>
      <w:r w:rsidR="00833893">
        <w:rPr>
          <w:rFonts w:ascii="Times New Roman" w:hAnsi="Times New Roman" w:cs="Times New Roman"/>
          <w:sz w:val="24"/>
          <w:szCs w:val="24"/>
          <w:lang w:val="lt-LT"/>
        </w:rPr>
        <w:t xml:space="preserve"> </w:t>
      </w:r>
      <w:r w:rsidR="000864D4" w:rsidRPr="000D37F1">
        <w:rPr>
          <w:rFonts w:ascii="Times New Roman" w:hAnsi="Times New Roman" w:cs="Times New Roman"/>
          <w:sz w:val="24"/>
          <w:szCs w:val="24"/>
          <w:lang w:val="lt-LT"/>
        </w:rPr>
        <w:t xml:space="preserve">tables), Kaplano </w:t>
      </w:r>
      <w:r w:rsidR="005A5C73" w:rsidRPr="000D37F1">
        <w:rPr>
          <w:rFonts w:ascii="Times New Roman" w:hAnsi="Times New Roman" w:cs="Times New Roman"/>
          <w:sz w:val="24"/>
          <w:szCs w:val="24"/>
          <w:lang w:val="lt-LT"/>
        </w:rPr>
        <w:t>Majerio statistinis įvertin</w:t>
      </w:r>
      <w:r w:rsidR="00833893">
        <w:rPr>
          <w:rFonts w:ascii="Times New Roman" w:hAnsi="Times New Roman" w:cs="Times New Roman"/>
          <w:sz w:val="24"/>
          <w:szCs w:val="24"/>
          <w:lang w:val="lt-LT"/>
        </w:rPr>
        <w:t>imas (Kaplan – Maier), Vilkokso</w:t>
      </w:r>
      <w:r w:rsidR="005A5C73" w:rsidRPr="000D37F1">
        <w:rPr>
          <w:rFonts w:ascii="Times New Roman" w:hAnsi="Times New Roman" w:cs="Times New Roman"/>
          <w:sz w:val="24"/>
          <w:szCs w:val="24"/>
          <w:lang w:val="lt-LT"/>
        </w:rPr>
        <w:t>no (Gehano) testas (Wilcoxon (Gehan))</w:t>
      </w:r>
      <w:r w:rsidR="003C71AB" w:rsidRPr="000D37F1">
        <w:rPr>
          <w:rFonts w:ascii="Times New Roman" w:hAnsi="Times New Roman" w:cs="Times New Roman"/>
          <w:sz w:val="24"/>
          <w:szCs w:val="24"/>
          <w:lang w:val="lt-LT"/>
        </w:rPr>
        <w:t xml:space="preserve"> – naudojamas išlikimo funkcijų grupėse palyginimui. </w:t>
      </w:r>
    </w:p>
    <w:p w:rsidR="000D1BE0" w:rsidRPr="00FA0D12" w:rsidRDefault="001460EB" w:rsidP="00FA0D12">
      <w:pPr>
        <w:spacing w:line="360" w:lineRule="auto"/>
        <w:ind w:firstLine="720"/>
        <w:jc w:val="both"/>
        <w:rPr>
          <w:rFonts w:ascii="Times New Roman" w:hAnsi="Times New Roman" w:cs="Times New Roman"/>
          <w:sz w:val="24"/>
          <w:szCs w:val="24"/>
          <w:lang w:val="lt-LT"/>
        </w:rPr>
      </w:pPr>
      <w:proofErr w:type="spellStart"/>
      <w:r w:rsidRPr="000D37F1">
        <w:rPr>
          <w:rFonts w:ascii="Times New Roman" w:hAnsi="Times New Roman" w:cs="Times New Roman"/>
          <w:sz w:val="24"/>
          <w:szCs w:val="24"/>
          <w:lang w:val="lt-LT"/>
        </w:rPr>
        <w:t>Vilkoksono</w:t>
      </w:r>
      <w:proofErr w:type="spellEnd"/>
      <w:r w:rsidRPr="000D37F1">
        <w:rPr>
          <w:rFonts w:ascii="Times New Roman" w:hAnsi="Times New Roman" w:cs="Times New Roman"/>
          <w:sz w:val="24"/>
          <w:szCs w:val="24"/>
          <w:lang w:val="lt-LT"/>
        </w:rPr>
        <w:t xml:space="preserve"> </w:t>
      </w:r>
      <w:r w:rsidR="00EA2D3F" w:rsidRPr="000D37F1">
        <w:rPr>
          <w:rFonts w:ascii="Times New Roman" w:hAnsi="Times New Roman" w:cs="Times New Roman"/>
          <w:sz w:val="24"/>
          <w:szCs w:val="24"/>
          <w:lang w:val="lt-LT"/>
        </w:rPr>
        <w:t>metodas skirtas nustatyti skirtumo tarp dviejų susietų imčių (tiems patiems</w:t>
      </w:r>
      <w:r w:rsidR="00FA0D12">
        <w:rPr>
          <w:rFonts w:ascii="Times New Roman" w:hAnsi="Times New Roman" w:cs="Times New Roman"/>
          <w:sz w:val="24"/>
          <w:szCs w:val="24"/>
          <w:lang w:val="lt-LT"/>
        </w:rPr>
        <w:t xml:space="preserve"> tiriamiesiems) reikšmingumui. </w:t>
      </w:r>
      <w:r w:rsidR="009A79A3" w:rsidRPr="000D37F1">
        <w:rPr>
          <w:rFonts w:ascii="Times New Roman" w:hAnsi="Times New Roman" w:cs="Times New Roman"/>
          <w:sz w:val="24"/>
          <w:szCs w:val="24"/>
          <w:lang w:val="lt-LT"/>
        </w:rPr>
        <w:t>Kokso proporcingos</w:t>
      </w:r>
      <w:r w:rsidR="00F95152" w:rsidRPr="000D37F1">
        <w:rPr>
          <w:rFonts w:ascii="Times New Roman" w:hAnsi="Times New Roman" w:cs="Times New Roman"/>
          <w:sz w:val="24"/>
          <w:szCs w:val="24"/>
          <w:lang w:val="lt-LT"/>
        </w:rPr>
        <w:t xml:space="preserve"> rizikos modelyje naudojam</w:t>
      </w:r>
      <w:r w:rsidR="009A79A3" w:rsidRPr="000D37F1">
        <w:rPr>
          <w:rFonts w:ascii="Times New Roman" w:hAnsi="Times New Roman" w:cs="Times New Roman"/>
          <w:sz w:val="24"/>
          <w:szCs w:val="24"/>
          <w:lang w:val="lt-LT"/>
        </w:rPr>
        <w:t>a</w:t>
      </w:r>
      <w:r w:rsidR="00D36052" w:rsidRPr="000D37F1">
        <w:rPr>
          <w:rFonts w:ascii="Times New Roman" w:hAnsi="Times New Roman" w:cs="Times New Roman"/>
          <w:sz w:val="24"/>
          <w:szCs w:val="24"/>
          <w:lang w:val="lt-LT"/>
        </w:rPr>
        <w:t>s Vo</w:t>
      </w:r>
      <w:r w:rsidR="00F95152" w:rsidRPr="000D37F1">
        <w:rPr>
          <w:rFonts w:ascii="Times New Roman" w:hAnsi="Times New Roman" w:cs="Times New Roman"/>
          <w:sz w:val="24"/>
          <w:szCs w:val="24"/>
          <w:lang w:val="lt-LT"/>
        </w:rPr>
        <w:t>ldo (WA</w:t>
      </w:r>
      <w:r w:rsidR="009A79A3" w:rsidRPr="000D37F1">
        <w:rPr>
          <w:rFonts w:ascii="Times New Roman" w:hAnsi="Times New Roman" w:cs="Times New Roman"/>
          <w:sz w:val="24"/>
          <w:szCs w:val="24"/>
          <w:lang w:val="lt-LT"/>
        </w:rPr>
        <w:t>LD) testas, kuris leidžia patikrin</w:t>
      </w:r>
      <w:r w:rsidR="00F95152" w:rsidRPr="000D37F1">
        <w:rPr>
          <w:rFonts w:ascii="Times New Roman" w:hAnsi="Times New Roman" w:cs="Times New Roman"/>
          <w:sz w:val="24"/>
          <w:szCs w:val="24"/>
          <w:lang w:val="lt-LT"/>
        </w:rPr>
        <w:t>ti ar modeliuojamas reiškinys tenkina modeliuotojo keliamas prielaidas. Naudojant šį testą išsiaiškinama ar regresijos modelio ko</w:t>
      </w:r>
      <w:r w:rsidR="009A79A3" w:rsidRPr="000D37F1">
        <w:rPr>
          <w:rFonts w:ascii="Times New Roman" w:hAnsi="Times New Roman" w:cs="Times New Roman"/>
          <w:sz w:val="24"/>
          <w:szCs w:val="24"/>
          <w:lang w:val="lt-LT"/>
        </w:rPr>
        <w:t xml:space="preserve">eficientas yra nelygus nuliui, </w:t>
      </w:r>
      <w:r w:rsidR="00F95152" w:rsidRPr="000D37F1">
        <w:rPr>
          <w:rFonts w:ascii="Times New Roman" w:hAnsi="Times New Roman" w:cs="Times New Roman"/>
          <w:sz w:val="24"/>
          <w:szCs w:val="24"/>
          <w:lang w:val="lt-LT"/>
        </w:rPr>
        <w:t>t.y</w:t>
      </w:r>
      <w:r w:rsidR="009A79A3" w:rsidRPr="000D37F1">
        <w:rPr>
          <w:rFonts w:ascii="Times New Roman" w:hAnsi="Times New Roman" w:cs="Times New Roman"/>
          <w:sz w:val="24"/>
          <w:szCs w:val="24"/>
          <w:lang w:val="lt-LT"/>
        </w:rPr>
        <w:t>.</w:t>
      </w:r>
      <w:r w:rsidR="00F95152" w:rsidRPr="000D37F1">
        <w:rPr>
          <w:rFonts w:ascii="Times New Roman" w:hAnsi="Times New Roman" w:cs="Times New Roman"/>
          <w:sz w:val="24"/>
          <w:szCs w:val="24"/>
          <w:lang w:val="lt-LT"/>
        </w:rPr>
        <w:t xml:space="preserve"> ar nagrinėjamas veiksnys turi įtakos rizikos funkcijai. </w:t>
      </w:r>
    </w:p>
    <w:p w:rsidR="000D1BE0" w:rsidRPr="000D37F1" w:rsidRDefault="00FF6AC2" w:rsidP="00B46885">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Iš</w:t>
      </w:r>
      <w:r w:rsidR="000D1BE0" w:rsidRPr="000D37F1">
        <w:rPr>
          <w:rFonts w:ascii="Times New Roman" w:eastAsiaTheme="minorEastAsia" w:hAnsi="Times New Roman" w:cs="Times New Roman"/>
          <w:sz w:val="24"/>
          <w:szCs w:val="24"/>
          <w:lang w:val="lt-LT"/>
        </w:rPr>
        <w:t xml:space="preserve"> LML (</w:t>
      </w:r>
      <w:proofErr w:type="spellStart"/>
      <w:r w:rsidR="000D1BE0" w:rsidRPr="000D37F1">
        <w:rPr>
          <w:rFonts w:ascii="Times New Roman" w:eastAsiaTheme="minorEastAsia" w:hAnsi="Times New Roman" w:cs="Times New Roman"/>
          <w:sz w:val="24"/>
          <w:szCs w:val="24"/>
          <w:lang w:val="lt-LT"/>
        </w:rPr>
        <w:t>log-minus-log)</w:t>
      </w:r>
      <w:proofErr w:type="spellEnd"/>
      <w:r w:rsidR="000D1BE0" w:rsidRPr="000D37F1">
        <w:rPr>
          <w:rFonts w:ascii="Times New Roman" w:eastAsiaTheme="minorEastAsia" w:hAnsi="Times New Roman" w:cs="Times New Roman"/>
          <w:sz w:val="24"/>
          <w:szCs w:val="24"/>
          <w:lang w:val="lt-LT"/>
        </w:rPr>
        <w:t xml:space="preserve"> grafiko, kuriame pateikiamos </w:t>
      </w:r>
      <w:proofErr w:type="spellStart"/>
      <w:r w:rsidR="000D1BE0" w:rsidRPr="000D37F1">
        <w:rPr>
          <w:rFonts w:ascii="Times New Roman" w:eastAsiaTheme="minorEastAsia" w:hAnsi="Times New Roman" w:cs="Times New Roman"/>
          <w:i/>
          <w:sz w:val="24"/>
          <w:szCs w:val="24"/>
          <w:lang w:val="lt-LT"/>
        </w:rPr>
        <w:t>ln(-ln(S(T))</w:t>
      </w:r>
      <w:proofErr w:type="spellEnd"/>
      <w:r w:rsidR="000D1BE0" w:rsidRPr="000D37F1">
        <w:rPr>
          <w:rFonts w:ascii="Times New Roman" w:eastAsiaTheme="minorEastAsia" w:hAnsi="Times New Roman" w:cs="Times New Roman"/>
          <w:sz w:val="24"/>
          <w:szCs w:val="24"/>
          <w:lang w:val="lt-LT"/>
        </w:rPr>
        <w:t xml:space="preserve"> reik</w:t>
      </w:r>
      <w:r w:rsidR="00ED07D5" w:rsidRPr="000D37F1">
        <w:rPr>
          <w:rFonts w:ascii="Times New Roman" w:eastAsiaTheme="minorEastAsia" w:hAnsi="Times New Roman" w:cs="Times New Roman"/>
          <w:sz w:val="24"/>
          <w:szCs w:val="24"/>
          <w:lang w:val="lt-LT"/>
        </w:rPr>
        <w:t>š</w:t>
      </w:r>
      <w:r w:rsidR="009F0939" w:rsidRPr="000D37F1">
        <w:rPr>
          <w:rFonts w:ascii="Times New Roman" w:eastAsiaTheme="minorEastAsia" w:hAnsi="Times New Roman" w:cs="Times New Roman"/>
          <w:sz w:val="24"/>
          <w:szCs w:val="24"/>
          <w:lang w:val="lt-LT"/>
        </w:rPr>
        <w:t>mės</w:t>
      </w:r>
      <w:r w:rsidRPr="000D37F1">
        <w:rPr>
          <w:rFonts w:ascii="Times New Roman" w:eastAsiaTheme="minorEastAsia" w:hAnsi="Times New Roman" w:cs="Times New Roman"/>
          <w:sz w:val="24"/>
          <w:szCs w:val="24"/>
          <w:lang w:val="lt-LT"/>
        </w:rPr>
        <w:t xml:space="preserve">, galima patikrinti, Kokso proporcingosios rizikos modelio tinkamumą. Jeigu kreivės yra lygiagrečios ir nesusikerta bei atstumai tarp kreivių vienodi kiekvienu laiko momentu, tai proporcingosios rizikos modeli laikomas tinkamu ir atvirkščiai. </w:t>
      </w:r>
    </w:p>
    <w:p w:rsidR="00B17F67" w:rsidRPr="000D37F1" w:rsidRDefault="00B17F67" w:rsidP="00B46885">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Taikant šį modelį galima susiduriama su neatitikimai analizuojant klasifikaciją, jie skirstomi į I (pirmojo) ir II (antrojo) tipų klaidas. Pirmojo tipo klaida laikoma, kai modelis nenustato, kad neišlikęs stebimasis yra iš tikro neišlikęs (šiame tyrime – apribota kredito unijos veikla). Antrojo tipo klaida fiksuojama tada, kai nustatoma, kai modelis mokias („sveikas“) kredito unijas nurodo kaip neišlikusias.</w:t>
      </w:r>
    </w:p>
    <w:p w:rsidR="00B17F67" w:rsidRDefault="00B17F67" w:rsidP="00B46885">
      <w:pPr>
        <w:spacing w:line="360" w:lineRule="auto"/>
        <w:ind w:firstLine="720"/>
        <w:jc w:val="both"/>
        <w:rPr>
          <w:rFonts w:ascii="Times New Roman" w:eastAsiaTheme="minorEastAsia" w:hAnsi="Times New Roman" w:cs="Times New Roman"/>
          <w:sz w:val="24"/>
          <w:szCs w:val="24"/>
          <w:lang w:val="lt-LT"/>
        </w:rPr>
      </w:pPr>
      <w:r w:rsidRPr="000D37F1">
        <w:rPr>
          <w:rFonts w:ascii="Times New Roman" w:eastAsiaTheme="minorEastAsia" w:hAnsi="Times New Roman" w:cs="Times New Roman"/>
          <w:sz w:val="24"/>
          <w:szCs w:val="24"/>
          <w:lang w:val="lt-LT"/>
        </w:rPr>
        <w:t xml:space="preserve">Anot </w:t>
      </w:r>
      <w:proofErr w:type="spellStart"/>
      <w:r w:rsidRPr="000D37F1">
        <w:rPr>
          <w:rFonts w:ascii="Times New Roman" w:eastAsiaTheme="minorEastAsia" w:hAnsi="Times New Roman" w:cs="Times New Roman"/>
          <w:sz w:val="24"/>
          <w:szCs w:val="24"/>
          <w:lang w:val="lt-LT"/>
        </w:rPr>
        <w:t>Whalen</w:t>
      </w:r>
      <w:proofErr w:type="spellEnd"/>
      <w:r w:rsidRPr="000D37F1">
        <w:rPr>
          <w:rFonts w:ascii="Times New Roman" w:eastAsiaTheme="minorEastAsia" w:hAnsi="Times New Roman" w:cs="Times New Roman"/>
          <w:sz w:val="24"/>
          <w:szCs w:val="24"/>
          <w:lang w:val="lt-LT"/>
        </w:rPr>
        <w:t xml:space="preserve"> (1991), </w:t>
      </w:r>
      <w:r w:rsidR="001460EB" w:rsidRPr="000D37F1">
        <w:rPr>
          <w:rFonts w:ascii="Times New Roman" w:eastAsiaTheme="minorEastAsia" w:hAnsi="Times New Roman" w:cs="Times New Roman"/>
          <w:sz w:val="24"/>
          <w:szCs w:val="24"/>
          <w:lang w:val="lt-LT"/>
        </w:rPr>
        <w:t>geras modelis turi turėti žemą pirmojo tipo klaidų kiekį. Didelis pirmojo tipo klaidų dažnis reiškia, kad modelis neteisingai skaido duomenis Anot kitų autorių, pirmojo tipo klaidos yra kur kas svarbesnės nei bendros klasifikacijos tikslumą ar antrojo tipo klaidos. Antrojo tipo klaidos yra rodiklis, kuris leidžia nustatyti, ar modelio prognozavimo tinkamumą, o šiame darbe kredito unijų žlugimus santykinai greitu metu.</w:t>
      </w:r>
    </w:p>
    <w:p w:rsidR="00EA2D3F" w:rsidRPr="00676AE9" w:rsidRDefault="00EA2D3F" w:rsidP="00676AE9">
      <w:pPr>
        <w:spacing w:line="360" w:lineRule="auto"/>
        <w:ind w:firstLine="720"/>
        <w:jc w:val="both"/>
        <w:rPr>
          <w:rFonts w:ascii="Times New Roman" w:hAnsi="Times New Roman" w:cs="Times New Roman"/>
          <w:sz w:val="24"/>
          <w:szCs w:val="24"/>
          <w:lang w:val="lt-LT"/>
        </w:rPr>
      </w:pPr>
      <w:r w:rsidRPr="00C23FDA">
        <w:rPr>
          <w:rFonts w:ascii="Times New Roman" w:hAnsi="Times New Roman" w:cs="Times New Roman"/>
          <w:sz w:val="24"/>
          <w:szCs w:val="24"/>
          <w:lang w:val="lt-LT"/>
        </w:rPr>
        <w:t xml:space="preserve">Atlikus mokslinės literatūros analizę, pasirinktas vienas iš išlikimo analizės metodų – Kokso proporcingosios rizikos modelis. Pastarasis yra pranašesnis už kitus bankroto prognozavimo modelius, kad gali būti taikomas bet kuriam įvykiui prognozuoti, taip pat į modelį galima įtraukti nefinansinius kriterijus. Jis nustato ne tik rizikos veiksnių įtaką tikėtinam įvykiui įvykti, tačiau ir laiko trukmė iki jo. </w:t>
      </w:r>
    </w:p>
    <w:p w:rsidR="00640B45" w:rsidRDefault="009A79A3" w:rsidP="00450C32">
      <w:pPr>
        <w:pStyle w:val="Heading2"/>
        <w:jc w:val="center"/>
        <w:rPr>
          <w:rFonts w:ascii="Times New Roman" w:hAnsi="Times New Roman" w:cs="Times New Roman"/>
          <w:color w:val="auto"/>
          <w:sz w:val="24"/>
          <w:szCs w:val="24"/>
          <w:lang w:val="lt-LT"/>
        </w:rPr>
      </w:pPr>
      <w:bookmarkStart w:id="52" w:name="_Toc383782874"/>
      <w:bookmarkStart w:id="53" w:name="_Toc384567304"/>
      <w:bookmarkStart w:id="54" w:name="_Toc384570741"/>
      <w:r w:rsidRPr="00450C32">
        <w:rPr>
          <w:rFonts w:ascii="Times New Roman" w:hAnsi="Times New Roman" w:cs="Times New Roman"/>
          <w:color w:val="auto"/>
          <w:sz w:val="24"/>
          <w:szCs w:val="24"/>
          <w:lang w:val="lt-LT"/>
        </w:rPr>
        <w:lastRenderedPageBreak/>
        <w:t>2.3.</w:t>
      </w:r>
      <w:bookmarkEnd w:id="52"/>
      <w:bookmarkEnd w:id="53"/>
      <w:r w:rsidR="00676AE9">
        <w:rPr>
          <w:rFonts w:ascii="Times New Roman" w:hAnsi="Times New Roman" w:cs="Times New Roman"/>
          <w:color w:val="auto"/>
          <w:sz w:val="24"/>
          <w:szCs w:val="24"/>
          <w:lang w:val="lt-LT"/>
        </w:rPr>
        <w:t xml:space="preserve"> KOKSO PROPORCINGOSIOS RIZIKOS MODELYJE NAUDOJAMŲ RODIKLIŲ ATRANKA</w:t>
      </w:r>
      <w:bookmarkEnd w:id="54"/>
    </w:p>
    <w:p w:rsidR="00C95A87" w:rsidRPr="00C95A87" w:rsidRDefault="00C95A87" w:rsidP="00C95A87">
      <w:pPr>
        <w:rPr>
          <w:lang w:val="lt-LT"/>
        </w:rPr>
      </w:pPr>
    </w:p>
    <w:p w:rsidR="00ED07D5" w:rsidRPr="000D37F1" w:rsidRDefault="00ED07D5" w:rsidP="00640B45">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Modelyje turėtų būti tas rodiklių derinys, kuris atspindėtų visą kredito unijos veiklą, </w:t>
      </w:r>
      <w:r w:rsidR="001717AB" w:rsidRPr="000D37F1">
        <w:rPr>
          <w:rFonts w:ascii="Times New Roman" w:eastAsiaTheme="minorEastAsia" w:hAnsi="Times New Roman" w:cs="Times New Roman"/>
          <w:sz w:val="24"/>
          <w:szCs w:val="24"/>
          <w:lang w:val="lt-LT"/>
        </w:rPr>
        <w:t xml:space="preserve"> taip pat jie turi būti </w:t>
      </w:r>
      <w:r w:rsidRPr="000D37F1">
        <w:rPr>
          <w:rFonts w:ascii="Times New Roman" w:hAnsi="Times New Roman" w:cs="Times New Roman"/>
          <w:sz w:val="24"/>
          <w:szCs w:val="24"/>
          <w:lang w:val="lt-LT"/>
        </w:rPr>
        <w:t>statistiškai reikšmingi vertinant kredito unijų riziką. Kai kurie autoriai modeliuoja žlugimo tikimybę remdamiesi E. I. Altman (1968) atrinktais 22 finansiniais rodikliais</w:t>
      </w:r>
      <w:r w:rsidR="00C23FDA">
        <w:rPr>
          <w:rFonts w:ascii="Times New Roman" w:hAnsi="Times New Roman" w:cs="Times New Roman"/>
          <w:sz w:val="24"/>
          <w:szCs w:val="24"/>
          <w:lang w:val="lt-LT"/>
        </w:rPr>
        <w:t xml:space="preserve"> ir atlikę skaičiavimus eliminuoja iš modelio</w:t>
      </w:r>
      <w:r w:rsidRPr="000D37F1">
        <w:rPr>
          <w:rFonts w:ascii="Times New Roman" w:hAnsi="Times New Roman" w:cs="Times New Roman"/>
          <w:sz w:val="24"/>
          <w:szCs w:val="24"/>
          <w:lang w:val="lt-LT"/>
        </w:rPr>
        <w:t>, o kiti jau patikrintais – 5 rodikliais, kurie naudojami Altman Z modelyje, bankroto tikimybei prognozuoti. CPH modeliu, paprastai kaip kintamuosius (rodiklius) renkasi Altman 22 svarbiausius skirsto rodiklius į tris dalis: kapitalizacijos, sąnaudų ir išlaidų  bei augimo.</w:t>
      </w:r>
    </w:p>
    <w:p w:rsidR="001717AB" w:rsidRPr="000D37F1" w:rsidRDefault="001717AB" w:rsidP="001717AB">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R. Ginevičiaus ir A. Podviezko (2012), savo tyrime naudojo tarptautinę komercinių bankų stabilumo kriterijų kategorizaciją – CAMEL (C – kapitalo pakankamumas (capital</w:t>
      </w:r>
      <w:r w:rsidR="00833893">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adequacy), A – turto kokybė (asset</w:t>
      </w:r>
      <w:r w:rsidR="00833893">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quality), M –  valdymas (management), E – pelningumas (earnings), L – likvidumas (Liquidity)). Kriterijai paskirstomi į kategorijas prieš kriterijų atranką, tai supaprastina jų pasirinkimą. </w:t>
      </w:r>
    </w:p>
    <w:p w:rsidR="00670690" w:rsidRPr="000D37F1" w:rsidRDefault="000E1327" w:rsidP="000E1327">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Siekiant Kokso proporcingosios rizikos modelio pagalba parengti kredito unijų veiklos rizikingumą nustatantį modelį, reikalingi rodikliai, kurie įvairiap</w:t>
      </w:r>
      <w:r w:rsidR="0089170C">
        <w:rPr>
          <w:rFonts w:ascii="Times New Roman" w:hAnsi="Times New Roman" w:cs="Times New Roman"/>
          <w:sz w:val="24"/>
          <w:szCs w:val="24"/>
          <w:lang w:val="lt-LT"/>
        </w:rPr>
        <w:t>usiškai apibūdintų kredito unijų</w:t>
      </w:r>
      <w:r>
        <w:rPr>
          <w:rFonts w:ascii="Times New Roman" w:hAnsi="Times New Roman" w:cs="Times New Roman"/>
          <w:sz w:val="24"/>
          <w:szCs w:val="24"/>
          <w:lang w:val="lt-LT"/>
        </w:rPr>
        <w:t xml:space="preserve"> veiklos profilį. </w:t>
      </w:r>
      <w:r w:rsidR="00365D1B" w:rsidRPr="000D37F1">
        <w:rPr>
          <w:rFonts w:ascii="Times New Roman" w:hAnsi="Times New Roman" w:cs="Times New Roman"/>
          <w:sz w:val="24"/>
          <w:szCs w:val="24"/>
          <w:lang w:val="lt-LT"/>
        </w:rPr>
        <w:t xml:space="preserve">Kredito unijų veikla yra specifinė ir tai atsispindi kai kuriuose finansiniuose rodikliuose. </w:t>
      </w:r>
      <w:r w:rsidR="008C1126" w:rsidRPr="000D37F1">
        <w:rPr>
          <w:rFonts w:ascii="Times New Roman" w:hAnsi="Times New Roman" w:cs="Times New Roman"/>
          <w:sz w:val="24"/>
          <w:szCs w:val="24"/>
          <w:lang w:val="lt-LT"/>
        </w:rPr>
        <w:t xml:space="preserve">Atlikus mokslinių straipsnių analizę, autorė išrinko dažniausiai naudojamus </w:t>
      </w:r>
      <w:r w:rsidR="000C05D3" w:rsidRPr="000D37F1">
        <w:rPr>
          <w:rFonts w:ascii="Times New Roman" w:hAnsi="Times New Roman" w:cs="Times New Roman"/>
          <w:sz w:val="24"/>
          <w:szCs w:val="24"/>
          <w:lang w:val="lt-LT"/>
        </w:rPr>
        <w:t xml:space="preserve"> </w:t>
      </w:r>
      <w:r w:rsidR="008C1126" w:rsidRPr="000D37F1">
        <w:rPr>
          <w:rFonts w:ascii="Times New Roman" w:hAnsi="Times New Roman" w:cs="Times New Roman"/>
          <w:sz w:val="24"/>
          <w:szCs w:val="24"/>
          <w:lang w:val="lt-LT"/>
        </w:rPr>
        <w:t>santykinius finansinius rodiklius</w:t>
      </w:r>
      <w:r w:rsidR="0089170C">
        <w:rPr>
          <w:rFonts w:ascii="Times New Roman" w:hAnsi="Times New Roman" w:cs="Times New Roman"/>
          <w:sz w:val="24"/>
          <w:szCs w:val="24"/>
          <w:lang w:val="lt-LT"/>
        </w:rPr>
        <w:t xml:space="preserve"> (</w:t>
      </w:r>
      <w:proofErr w:type="spellStart"/>
      <w:r w:rsidR="0089170C">
        <w:rPr>
          <w:rFonts w:ascii="Times New Roman" w:hAnsi="Times New Roman" w:cs="Times New Roman"/>
          <w:sz w:val="24"/>
          <w:szCs w:val="24"/>
          <w:lang w:val="lt-LT"/>
        </w:rPr>
        <w:t>žr</w:t>
      </w:r>
      <w:proofErr w:type="spellEnd"/>
      <w:r w:rsidR="0089170C">
        <w:rPr>
          <w:rFonts w:ascii="Times New Roman" w:hAnsi="Times New Roman" w:cs="Times New Roman"/>
          <w:sz w:val="24"/>
          <w:szCs w:val="24"/>
          <w:lang w:val="lt-LT"/>
        </w:rPr>
        <w:t xml:space="preserve">. </w:t>
      </w:r>
      <w:r w:rsidR="0089170C">
        <w:rPr>
          <w:rFonts w:ascii="Times New Roman" w:hAnsi="Times New Roman" w:cs="Times New Roman"/>
          <w:sz w:val="24"/>
          <w:szCs w:val="24"/>
        </w:rPr>
        <w:t>6 pried</w:t>
      </w:r>
      <w:r w:rsidR="0089170C">
        <w:rPr>
          <w:rFonts w:ascii="Times New Roman" w:hAnsi="Times New Roman" w:cs="Times New Roman"/>
          <w:sz w:val="24"/>
          <w:szCs w:val="24"/>
          <w:lang w:val="lt-LT"/>
        </w:rPr>
        <w:t>ą)</w:t>
      </w:r>
      <w:r w:rsidR="000C05D3" w:rsidRPr="000D37F1">
        <w:rPr>
          <w:rFonts w:ascii="Times New Roman" w:hAnsi="Times New Roman" w:cs="Times New Roman"/>
          <w:sz w:val="24"/>
          <w:szCs w:val="24"/>
          <w:lang w:val="lt-LT"/>
        </w:rPr>
        <w:t xml:space="preserve">, </w:t>
      </w:r>
      <w:r w:rsidR="0089170C">
        <w:rPr>
          <w:rFonts w:ascii="Times New Roman" w:hAnsi="Times New Roman" w:cs="Times New Roman"/>
          <w:sz w:val="24"/>
          <w:szCs w:val="24"/>
          <w:lang w:val="lt-LT"/>
        </w:rPr>
        <w:t>kurie naudojami vertinant kredito įstaigų (komercinių bankų ir kredito unijų)  ir kitų įmonių (</w:t>
      </w:r>
      <w:proofErr w:type="spellStart"/>
      <w:r w:rsidR="0089170C">
        <w:rPr>
          <w:rFonts w:ascii="Times New Roman" w:hAnsi="Times New Roman" w:cs="Times New Roman"/>
          <w:sz w:val="24"/>
          <w:szCs w:val="24"/>
          <w:lang w:val="lt-LT"/>
        </w:rPr>
        <w:t>Altman</w:t>
      </w:r>
      <w:proofErr w:type="spellEnd"/>
      <w:r w:rsidR="0089170C">
        <w:rPr>
          <w:rFonts w:ascii="Times New Roman" w:hAnsi="Times New Roman" w:cs="Times New Roman"/>
          <w:sz w:val="24"/>
          <w:szCs w:val="24"/>
          <w:lang w:val="lt-LT"/>
        </w:rPr>
        <w:t xml:space="preserve"> Z modelio rodikliai) bankroto grėsmę bei veiklos rizikingumą. </w:t>
      </w:r>
      <w:r w:rsidR="000C05D3" w:rsidRPr="000D37F1">
        <w:rPr>
          <w:rFonts w:ascii="Times New Roman" w:hAnsi="Times New Roman" w:cs="Times New Roman"/>
          <w:sz w:val="24"/>
          <w:szCs w:val="24"/>
          <w:lang w:val="lt-LT"/>
        </w:rPr>
        <w:t>Kiekvieno rodiklio tinkamumas bus patikrintas taikant Kokso proporcingosios rizikos modelį.</w:t>
      </w:r>
      <w:r w:rsidR="00833893">
        <w:rPr>
          <w:rFonts w:ascii="Times New Roman" w:hAnsi="Times New Roman" w:cs="Times New Roman"/>
          <w:sz w:val="24"/>
          <w:szCs w:val="24"/>
          <w:lang w:val="lt-LT"/>
        </w:rPr>
        <w:t xml:space="preserve"> </w:t>
      </w:r>
      <w:r w:rsidR="002910B7" w:rsidRPr="000D37F1">
        <w:rPr>
          <w:rFonts w:ascii="Times New Roman" w:hAnsi="Times New Roman" w:cs="Times New Roman"/>
          <w:sz w:val="24"/>
          <w:szCs w:val="24"/>
          <w:lang w:val="lt-LT"/>
        </w:rPr>
        <w:t>Įprastinė informacija daugiausiai grindžiama praėjusių laikotarpių finansine veikla, tačiau renkantis vertinimo kriterijus svarbu, kad vertinimas padėtų numatyti būsimą veiklą, o ne tik fiksuotų praeities rezultatus.</w:t>
      </w:r>
    </w:p>
    <w:p w:rsidR="0014728F" w:rsidRPr="00734657" w:rsidRDefault="005D2C7E" w:rsidP="00734657">
      <w:pPr>
        <w:pStyle w:val="Heading1"/>
        <w:jc w:val="center"/>
        <w:rPr>
          <w:rFonts w:ascii="Times New Roman" w:hAnsi="Times New Roman" w:cs="Times New Roman"/>
          <w:sz w:val="24"/>
          <w:szCs w:val="24"/>
        </w:rPr>
      </w:pPr>
      <w:bookmarkStart w:id="55" w:name="_Toc383784093"/>
      <w:bookmarkStart w:id="56" w:name="_Toc384567305"/>
      <w:bookmarkStart w:id="57" w:name="_Toc384570742"/>
      <w:r>
        <w:rPr>
          <w:rFonts w:ascii="Times New Roman" w:hAnsi="Times New Roman" w:cs="Times New Roman"/>
          <w:sz w:val="24"/>
          <w:szCs w:val="24"/>
        </w:rPr>
        <w:t>2</w:t>
      </w:r>
      <w:r w:rsidR="008A3F9D" w:rsidRPr="00734657">
        <w:rPr>
          <w:rFonts w:ascii="Times New Roman" w:hAnsi="Times New Roman" w:cs="Times New Roman"/>
          <w:sz w:val="24"/>
          <w:szCs w:val="24"/>
        </w:rPr>
        <w:t xml:space="preserve"> </w:t>
      </w:r>
      <w:r w:rsidR="00CF51C8" w:rsidRPr="00734657">
        <w:rPr>
          <w:rFonts w:ascii="Times New Roman" w:hAnsi="Times New Roman" w:cs="Times New Roman"/>
          <w:sz w:val="24"/>
          <w:szCs w:val="24"/>
        </w:rPr>
        <w:t>Lentelė. Finansiniai rodikliai</w:t>
      </w:r>
      <w:bookmarkEnd w:id="55"/>
      <w:bookmarkEnd w:id="56"/>
      <w:bookmarkEnd w:id="57"/>
    </w:p>
    <w:tbl>
      <w:tblPr>
        <w:tblStyle w:val="LightShading"/>
        <w:tblW w:w="0" w:type="auto"/>
        <w:tblLook w:val="04A0" w:firstRow="1" w:lastRow="0" w:firstColumn="1" w:lastColumn="0" w:noHBand="0" w:noVBand="1"/>
      </w:tblPr>
      <w:tblGrid>
        <w:gridCol w:w="516"/>
        <w:gridCol w:w="2711"/>
        <w:gridCol w:w="1984"/>
        <w:gridCol w:w="3878"/>
      </w:tblGrid>
      <w:tr w:rsidR="00640B45" w:rsidRPr="000D37F1" w:rsidTr="00640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p>
        </w:tc>
        <w:tc>
          <w:tcPr>
            <w:tcW w:w="2711" w:type="dxa"/>
          </w:tcPr>
          <w:p w:rsidR="00640B45" w:rsidRPr="000D37F1" w:rsidRDefault="00640B45" w:rsidP="00AF013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Rodiklis</w:t>
            </w:r>
          </w:p>
        </w:tc>
        <w:tc>
          <w:tcPr>
            <w:tcW w:w="1984" w:type="dxa"/>
          </w:tcPr>
          <w:p w:rsidR="00640B45" w:rsidRPr="000D37F1" w:rsidRDefault="00640B45" w:rsidP="00AF013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Kodas</w:t>
            </w:r>
          </w:p>
        </w:tc>
        <w:tc>
          <w:tcPr>
            <w:tcW w:w="3878" w:type="dxa"/>
          </w:tcPr>
          <w:p w:rsidR="00640B45" w:rsidRPr="000D37F1" w:rsidRDefault="00640B45" w:rsidP="00AF013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Apskaičiavimas</w:t>
            </w:r>
          </w:p>
        </w:tc>
      </w:tr>
      <w:tr w:rsidR="00640B45" w:rsidRPr="000D37F1" w:rsidTr="0064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1.</w:t>
            </w:r>
          </w:p>
        </w:tc>
        <w:tc>
          <w:tcPr>
            <w:tcW w:w="2711" w:type="dxa"/>
          </w:tcPr>
          <w:p w:rsidR="00640B45" w:rsidRPr="000D37F1" w:rsidRDefault="00640B45" w:rsidP="00640B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Turto grąža </w:t>
            </w:r>
          </w:p>
        </w:tc>
        <w:tc>
          <w:tcPr>
            <w:tcW w:w="1984" w:type="dxa"/>
          </w:tcPr>
          <w:p w:rsidR="00640B45" w:rsidRPr="000D37F1" w:rsidRDefault="00640B45"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ROA</w:t>
            </w:r>
          </w:p>
        </w:tc>
        <w:tc>
          <w:tcPr>
            <w:tcW w:w="3878" w:type="dxa"/>
          </w:tcPr>
          <w:p w:rsidR="00640B45" w:rsidRPr="000D37F1" w:rsidRDefault="00640B45"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Grynasis pelnas / Turtas</w:t>
            </w:r>
          </w:p>
        </w:tc>
      </w:tr>
      <w:tr w:rsidR="00640B45" w:rsidRPr="000D37F1" w:rsidTr="00640B45">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2.</w:t>
            </w:r>
          </w:p>
        </w:tc>
        <w:tc>
          <w:tcPr>
            <w:tcW w:w="2711" w:type="dxa"/>
          </w:tcPr>
          <w:p w:rsidR="00640B45" w:rsidRPr="000D37F1" w:rsidRDefault="00640B45" w:rsidP="00640B4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Kapitalo grąža </w:t>
            </w:r>
          </w:p>
        </w:tc>
        <w:tc>
          <w:tcPr>
            <w:tcW w:w="1984" w:type="dxa"/>
          </w:tcPr>
          <w:p w:rsidR="00640B45" w:rsidRPr="000D37F1" w:rsidRDefault="00640B45"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ROE</w:t>
            </w:r>
          </w:p>
        </w:tc>
        <w:tc>
          <w:tcPr>
            <w:tcW w:w="3878" w:type="dxa"/>
          </w:tcPr>
          <w:p w:rsidR="00640B45" w:rsidRPr="000D37F1" w:rsidRDefault="00640B45"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Grynasis pelnas / Pajinis kapitalas</w:t>
            </w:r>
          </w:p>
        </w:tc>
      </w:tr>
      <w:tr w:rsidR="00640B45" w:rsidRPr="000D37F1" w:rsidTr="0064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3.</w:t>
            </w:r>
          </w:p>
        </w:tc>
        <w:tc>
          <w:tcPr>
            <w:tcW w:w="2711" w:type="dxa"/>
          </w:tcPr>
          <w:p w:rsidR="00640B45" w:rsidRPr="000D37F1" w:rsidRDefault="00640B45"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Apyvartinio kapitalo ir </w:t>
            </w:r>
            <w:r w:rsidRPr="000D37F1">
              <w:rPr>
                <w:rFonts w:ascii="Times New Roman" w:hAnsi="Times New Roman" w:cs="Times New Roman"/>
                <w:sz w:val="24"/>
                <w:szCs w:val="24"/>
                <w:lang w:val="lt-LT"/>
              </w:rPr>
              <w:lastRenderedPageBreak/>
              <w:t>viso turto santykis</w:t>
            </w:r>
          </w:p>
        </w:tc>
        <w:tc>
          <w:tcPr>
            <w:tcW w:w="1984" w:type="dxa"/>
          </w:tcPr>
          <w:p w:rsidR="00640B45" w:rsidRPr="000D37F1" w:rsidRDefault="00640B45" w:rsidP="00F732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lastRenderedPageBreak/>
              <w:t>AKT</w:t>
            </w:r>
          </w:p>
        </w:tc>
        <w:tc>
          <w:tcPr>
            <w:tcW w:w="3878" w:type="dxa"/>
          </w:tcPr>
          <w:p w:rsidR="00640B45" w:rsidRPr="000D37F1" w:rsidRDefault="00640B45" w:rsidP="00F732A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(Trumpalaikis turtas – </w:t>
            </w:r>
            <w:r w:rsidRPr="000D37F1">
              <w:rPr>
                <w:rFonts w:ascii="Times New Roman" w:hAnsi="Times New Roman" w:cs="Times New Roman"/>
                <w:sz w:val="24"/>
                <w:szCs w:val="24"/>
                <w:lang w:val="lt-LT"/>
              </w:rPr>
              <w:lastRenderedPageBreak/>
              <w:t>įsipareigojimai)/ turtas</w:t>
            </w:r>
          </w:p>
        </w:tc>
      </w:tr>
      <w:tr w:rsidR="00640B45" w:rsidRPr="003832D2" w:rsidTr="00640B45">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lastRenderedPageBreak/>
              <w:t>4.</w:t>
            </w:r>
          </w:p>
        </w:tc>
        <w:tc>
          <w:tcPr>
            <w:tcW w:w="2711" w:type="dxa"/>
          </w:tcPr>
          <w:p w:rsidR="00640B45" w:rsidRPr="000D37F1" w:rsidRDefault="00640B45"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Likvidumas</w:t>
            </w:r>
          </w:p>
        </w:tc>
        <w:tc>
          <w:tcPr>
            <w:tcW w:w="1984" w:type="dxa"/>
          </w:tcPr>
          <w:p w:rsidR="00640B45" w:rsidRPr="000D37F1" w:rsidRDefault="00640B45"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LIKV</w:t>
            </w:r>
          </w:p>
        </w:tc>
        <w:tc>
          <w:tcPr>
            <w:tcW w:w="3878" w:type="dxa"/>
          </w:tcPr>
          <w:p w:rsidR="00640B45" w:rsidRPr="000D37F1" w:rsidRDefault="002E216F"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lt-LT"/>
              </w:rPr>
            </w:pPr>
            <w:r w:rsidRPr="000D37F1">
              <w:rPr>
                <w:rFonts w:ascii="Times New Roman" w:hAnsi="Times New Roman" w:cs="Times New Roman"/>
                <w:sz w:val="24"/>
                <w:szCs w:val="24"/>
                <w:lang w:val="lt-LT"/>
              </w:rPr>
              <w:t>Likvidus turtas / Einamieji įsipareigojimai</w:t>
            </w:r>
            <w:r w:rsidRPr="000D37F1">
              <w:rPr>
                <w:rFonts w:ascii="Times New Roman" w:hAnsi="Times New Roman" w:cs="Times New Roman"/>
                <w:i/>
                <w:sz w:val="24"/>
                <w:szCs w:val="24"/>
                <w:lang w:val="lt-LT"/>
              </w:rPr>
              <w:t xml:space="preserve"> (pagal LB rekomendacijas)</w:t>
            </w:r>
          </w:p>
        </w:tc>
      </w:tr>
      <w:tr w:rsidR="00640B45" w:rsidRPr="003832D2" w:rsidTr="0064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5.</w:t>
            </w:r>
          </w:p>
        </w:tc>
        <w:tc>
          <w:tcPr>
            <w:tcW w:w="2711" w:type="dxa"/>
          </w:tcPr>
          <w:p w:rsidR="00640B45" w:rsidRPr="000D37F1" w:rsidRDefault="002E216F"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Specialiųjų atidėjinių</w:t>
            </w:r>
            <w:r w:rsidR="00640B45" w:rsidRPr="000D37F1">
              <w:rPr>
                <w:rFonts w:ascii="Times New Roman" w:hAnsi="Times New Roman" w:cs="Times New Roman"/>
                <w:sz w:val="24"/>
                <w:szCs w:val="24"/>
                <w:lang w:val="lt-LT"/>
              </w:rPr>
              <w:t xml:space="preserve"> ir paskolų santykis</w:t>
            </w:r>
          </w:p>
        </w:tc>
        <w:tc>
          <w:tcPr>
            <w:tcW w:w="1984" w:type="dxa"/>
          </w:tcPr>
          <w:p w:rsidR="00640B45" w:rsidRPr="000D37F1" w:rsidRDefault="002E216F"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SAP</w:t>
            </w:r>
            <w:r w:rsidR="00640B45" w:rsidRPr="000D37F1">
              <w:rPr>
                <w:rFonts w:ascii="Times New Roman" w:hAnsi="Times New Roman" w:cs="Times New Roman"/>
                <w:sz w:val="24"/>
                <w:szCs w:val="24"/>
                <w:lang w:val="lt-LT"/>
              </w:rPr>
              <w:t>S</w:t>
            </w:r>
          </w:p>
        </w:tc>
        <w:tc>
          <w:tcPr>
            <w:tcW w:w="3878" w:type="dxa"/>
          </w:tcPr>
          <w:p w:rsidR="00640B45" w:rsidRPr="000D37F1" w:rsidRDefault="00640B45"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Specialiųjų atidėjinių sąnaudos/visos suteiktos paskolos</w:t>
            </w:r>
          </w:p>
        </w:tc>
      </w:tr>
      <w:tr w:rsidR="00640B45" w:rsidRPr="003832D2" w:rsidTr="00640B45">
        <w:trPr>
          <w:trHeight w:val="504"/>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6.</w:t>
            </w:r>
          </w:p>
        </w:tc>
        <w:tc>
          <w:tcPr>
            <w:tcW w:w="2711" w:type="dxa"/>
          </w:tcPr>
          <w:p w:rsidR="00640B45" w:rsidRPr="000D37F1" w:rsidRDefault="00640B45"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Kapitalo pakankamumas</w:t>
            </w:r>
          </w:p>
        </w:tc>
        <w:tc>
          <w:tcPr>
            <w:tcW w:w="1984" w:type="dxa"/>
          </w:tcPr>
          <w:p w:rsidR="00640B45" w:rsidRPr="000D37F1" w:rsidRDefault="00640B45" w:rsidP="000D176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KP</w:t>
            </w:r>
          </w:p>
        </w:tc>
        <w:tc>
          <w:tcPr>
            <w:tcW w:w="3878" w:type="dxa"/>
          </w:tcPr>
          <w:p w:rsidR="00640B45" w:rsidRPr="000D37F1" w:rsidRDefault="00640B45" w:rsidP="000D176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Skaičiuotinas kapitalas / (Įvertinti aktyvai  + nebalansiniai įsipareigojimai)</w:t>
            </w:r>
          </w:p>
        </w:tc>
      </w:tr>
      <w:tr w:rsidR="00640B45" w:rsidRPr="003832D2" w:rsidTr="0064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7.</w:t>
            </w:r>
          </w:p>
        </w:tc>
        <w:tc>
          <w:tcPr>
            <w:tcW w:w="2711" w:type="dxa"/>
          </w:tcPr>
          <w:p w:rsidR="00640B45" w:rsidRPr="000D37F1" w:rsidRDefault="004F6353" w:rsidP="004F63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Grynųjų p</w:t>
            </w:r>
            <w:r w:rsidR="00640B45" w:rsidRPr="000D37F1">
              <w:rPr>
                <w:rFonts w:ascii="Times New Roman" w:hAnsi="Times New Roman" w:cs="Times New Roman"/>
                <w:sz w:val="24"/>
                <w:szCs w:val="24"/>
                <w:lang w:val="lt-LT"/>
              </w:rPr>
              <w:t xml:space="preserve">alūkanų </w:t>
            </w:r>
            <w:r w:rsidRPr="000D37F1">
              <w:rPr>
                <w:rFonts w:ascii="Times New Roman" w:hAnsi="Times New Roman" w:cs="Times New Roman"/>
                <w:sz w:val="24"/>
                <w:szCs w:val="24"/>
                <w:lang w:val="lt-LT"/>
              </w:rPr>
              <w:t>pajamų marža</w:t>
            </w:r>
          </w:p>
        </w:tc>
        <w:tc>
          <w:tcPr>
            <w:tcW w:w="1984" w:type="dxa"/>
          </w:tcPr>
          <w:p w:rsidR="00640B45" w:rsidRPr="000D37F1" w:rsidRDefault="004F6353"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GPPM</w:t>
            </w:r>
          </w:p>
        </w:tc>
        <w:tc>
          <w:tcPr>
            <w:tcW w:w="3878" w:type="dxa"/>
          </w:tcPr>
          <w:p w:rsidR="00640B45" w:rsidRPr="000D37F1" w:rsidRDefault="00640B45" w:rsidP="004F635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(Palūkanų pajamos – palūkanų sąnaudos)/</w:t>
            </w:r>
            <w:r w:rsidR="004F6353" w:rsidRPr="000D37F1">
              <w:rPr>
                <w:rFonts w:ascii="Times New Roman" w:hAnsi="Times New Roman" w:cs="Times New Roman"/>
                <w:sz w:val="24"/>
                <w:szCs w:val="24"/>
                <w:lang w:val="lt-LT"/>
              </w:rPr>
              <w:t xml:space="preserve"> Turtas</w:t>
            </w:r>
          </w:p>
        </w:tc>
      </w:tr>
      <w:tr w:rsidR="00640B45" w:rsidRPr="000D37F1" w:rsidTr="00640B45">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F732A7">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8.</w:t>
            </w:r>
          </w:p>
        </w:tc>
        <w:tc>
          <w:tcPr>
            <w:tcW w:w="2711" w:type="dxa"/>
          </w:tcPr>
          <w:p w:rsidR="00640B45" w:rsidRPr="000D37F1" w:rsidRDefault="00640B45" w:rsidP="009D09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Paskolų ir indėlių kredito unijos nariams santykis</w:t>
            </w:r>
          </w:p>
        </w:tc>
        <w:tc>
          <w:tcPr>
            <w:tcW w:w="1984" w:type="dxa"/>
          </w:tcPr>
          <w:p w:rsidR="00640B45" w:rsidRPr="000D37F1" w:rsidRDefault="0004220C"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PI</w:t>
            </w:r>
          </w:p>
        </w:tc>
        <w:tc>
          <w:tcPr>
            <w:tcW w:w="3878" w:type="dxa"/>
          </w:tcPr>
          <w:p w:rsidR="00640B45" w:rsidRPr="000D37F1" w:rsidRDefault="00640B45"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Suteiktos paskolos kredito unijų nariams/ Mokėtinos sumos k. u. nariams</w:t>
            </w:r>
          </w:p>
        </w:tc>
      </w:tr>
      <w:tr w:rsidR="00640B45" w:rsidRPr="00AF5FEF" w:rsidTr="0064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AF0135">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9.</w:t>
            </w:r>
          </w:p>
        </w:tc>
        <w:tc>
          <w:tcPr>
            <w:tcW w:w="2711" w:type="dxa"/>
          </w:tcPr>
          <w:p w:rsidR="00640B45" w:rsidRPr="000D37F1" w:rsidRDefault="00742F5B"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Veiklos p</w:t>
            </w:r>
            <w:r w:rsidR="00640B45" w:rsidRPr="000D37F1">
              <w:rPr>
                <w:rFonts w:ascii="Times New Roman" w:hAnsi="Times New Roman" w:cs="Times New Roman"/>
                <w:sz w:val="24"/>
                <w:szCs w:val="24"/>
                <w:lang w:val="lt-LT"/>
              </w:rPr>
              <w:t>ajamų ir turto santykis</w:t>
            </w:r>
          </w:p>
        </w:tc>
        <w:tc>
          <w:tcPr>
            <w:tcW w:w="1984" w:type="dxa"/>
          </w:tcPr>
          <w:p w:rsidR="00640B45" w:rsidRPr="000D37F1" w:rsidRDefault="00075F00"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VP</w:t>
            </w:r>
            <w:r w:rsidR="0004220C" w:rsidRPr="000D37F1">
              <w:rPr>
                <w:rFonts w:ascii="Times New Roman" w:hAnsi="Times New Roman" w:cs="Times New Roman"/>
                <w:sz w:val="24"/>
                <w:szCs w:val="24"/>
                <w:lang w:val="lt-LT"/>
              </w:rPr>
              <w:t>T</w:t>
            </w:r>
          </w:p>
        </w:tc>
        <w:tc>
          <w:tcPr>
            <w:tcW w:w="3878" w:type="dxa"/>
          </w:tcPr>
          <w:p w:rsidR="00640B45" w:rsidRPr="000D37F1" w:rsidRDefault="00742F5B" w:rsidP="00742F5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Palūkanų ir ne</w:t>
            </w:r>
            <w:r w:rsidR="00833893">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palūkanų pajamos / T</w:t>
            </w:r>
            <w:r w:rsidR="00640B45" w:rsidRPr="000D37F1">
              <w:rPr>
                <w:rFonts w:ascii="Times New Roman" w:hAnsi="Times New Roman" w:cs="Times New Roman"/>
                <w:sz w:val="24"/>
                <w:szCs w:val="24"/>
                <w:lang w:val="lt-LT"/>
              </w:rPr>
              <w:t>urtas</w:t>
            </w:r>
          </w:p>
        </w:tc>
      </w:tr>
      <w:tr w:rsidR="00640B45" w:rsidRPr="000D37F1" w:rsidTr="00640B45">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4D0429">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1</w:t>
            </w:r>
            <w:r w:rsidR="004D0429" w:rsidRPr="000D37F1">
              <w:rPr>
                <w:rFonts w:ascii="Times New Roman" w:hAnsi="Times New Roman" w:cs="Times New Roman"/>
                <w:sz w:val="24"/>
                <w:szCs w:val="24"/>
                <w:lang w:val="lt-LT"/>
              </w:rPr>
              <w:t>1</w:t>
            </w:r>
            <w:r w:rsidRPr="000D37F1">
              <w:rPr>
                <w:rFonts w:ascii="Times New Roman" w:hAnsi="Times New Roman" w:cs="Times New Roman"/>
                <w:sz w:val="24"/>
                <w:szCs w:val="24"/>
                <w:lang w:val="lt-LT"/>
              </w:rPr>
              <w:t>.</w:t>
            </w:r>
          </w:p>
        </w:tc>
        <w:tc>
          <w:tcPr>
            <w:tcW w:w="2711" w:type="dxa"/>
          </w:tcPr>
          <w:p w:rsidR="00640B45" w:rsidRPr="000D37F1" w:rsidRDefault="00640B45" w:rsidP="003B44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Investicijų į vertybinius popierius ir </w:t>
            </w:r>
            <w:r w:rsidR="003B4439" w:rsidRPr="000D37F1">
              <w:rPr>
                <w:rFonts w:ascii="Times New Roman" w:hAnsi="Times New Roman" w:cs="Times New Roman"/>
                <w:sz w:val="24"/>
                <w:szCs w:val="24"/>
                <w:lang w:val="lt-LT"/>
              </w:rPr>
              <w:t>turto</w:t>
            </w:r>
            <w:r w:rsidRPr="000D37F1">
              <w:rPr>
                <w:rFonts w:ascii="Times New Roman" w:hAnsi="Times New Roman" w:cs="Times New Roman"/>
                <w:sz w:val="24"/>
                <w:szCs w:val="24"/>
                <w:lang w:val="lt-LT"/>
              </w:rPr>
              <w:t xml:space="preserve"> santykis</w:t>
            </w:r>
          </w:p>
        </w:tc>
        <w:tc>
          <w:tcPr>
            <w:tcW w:w="1984" w:type="dxa"/>
          </w:tcPr>
          <w:p w:rsidR="00640B45" w:rsidRPr="000D37F1" w:rsidRDefault="0004220C"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IVPA</w:t>
            </w:r>
          </w:p>
        </w:tc>
        <w:tc>
          <w:tcPr>
            <w:tcW w:w="3878" w:type="dxa"/>
          </w:tcPr>
          <w:p w:rsidR="00640B45" w:rsidRPr="000D37F1" w:rsidRDefault="00640B45" w:rsidP="00075F0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Investicijos į vertybinius popierius / </w:t>
            </w:r>
            <w:r w:rsidR="00075F00" w:rsidRPr="000D37F1">
              <w:rPr>
                <w:rFonts w:ascii="Times New Roman" w:hAnsi="Times New Roman" w:cs="Times New Roman"/>
                <w:sz w:val="24"/>
                <w:szCs w:val="24"/>
                <w:lang w:val="lt-LT"/>
              </w:rPr>
              <w:t>Turtas</w:t>
            </w:r>
          </w:p>
        </w:tc>
      </w:tr>
      <w:tr w:rsidR="00640B45" w:rsidRPr="000D37F1" w:rsidTr="0064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3B4439">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1</w:t>
            </w:r>
            <w:r w:rsidR="003B4439" w:rsidRPr="000D37F1">
              <w:rPr>
                <w:rFonts w:ascii="Times New Roman" w:hAnsi="Times New Roman" w:cs="Times New Roman"/>
                <w:sz w:val="24"/>
                <w:szCs w:val="24"/>
                <w:lang w:val="lt-LT"/>
              </w:rPr>
              <w:t>2</w:t>
            </w:r>
            <w:r w:rsidRPr="000D37F1">
              <w:rPr>
                <w:rFonts w:ascii="Times New Roman" w:hAnsi="Times New Roman" w:cs="Times New Roman"/>
                <w:sz w:val="24"/>
                <w:szCs w:val="24"/>
                <w:lang w:val="lt-LT"/>
              </w:rPr>
              <w:t xml:space="preserve">. </w:t>
            </w:r>
          </w:p>
        </w:tc>
        <w:tc>
          <w:tcPr>
            <w:tcW w:w="2711" w:type="dxa"/>
          </w:tcPr>
          <w:p w:rsidR="00640B45" w:rsidRPr="000D37F1" w:rsidRDefault="00640B45" w:rsidP="00F053D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Bendrųjų ir administracinių sąnaudų dalis visose sąnaudose</w:t>
            </w:r>
          </w:p>
        </w:tc>
        <w:tc>
          <w:tcPr>
            <w:tcW w:w="1984" w:type="dxa"/>
          </w:tcPr>
          <w:p w:rsidR="00640B45" w:rsidRPr="000D37F1" w:rsidRDefault="0004220C"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BAS</w:t>
            </w:r>
          </w:p>
        </w:tc>
        <w:tc>
          <w:tcPr>
            <w:tcW w:w="3878" w:type="dxa"/>
          </w:tcPr>
          <w:p w:rsidR="00640B45" w:rsidRPr="000D37F1" w:rsidRDefault="00640B45"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Bendrosios ir administracinės sąnaudos / Visos sąnaudos</w:t>
            </w:r>
          </w:p>
        </w:tc>
      </w:tr>
      <w:tr w:rsidR="00640B45" w:rsidRPr="000D37F1" w:rsidTr="00640B45">
        <w:tc>
          <w:tcPr>
            <w:cnfStyle w:val="001000000000" w:firstRow="0" w:lastRow="0" w:firstColumn="1" w:lastColumn="0" w:oddVBand="0" w:evenVBand="0" w:oddHBand="0" w:evenHBand="0" w:firstRowFirstColumn="0" w:firstRowLastColumn="0" w:lastRowFirstColumn="0" w:lastRowLastColumn="0"/>
            <w:tcW w:w="516" w:type="dxa"/>
          </w:tcPr>
          <w:p w:rsidR="00640B45" w:rsidRPr="000D37F1" w:rsidRDefault="00640B45" w:rsidP="003B4439">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1</w:t>
            </w:r>
            <w:r w:rsidR="003B4439" w:rsidRPr="000D37F1">
              <w:rPr>
                <w:rFonts w:ascii="Times New Roman" w:hAnsi="Times New Roman" w:cs="Times New Roman"/>
                <w:sz w:val="24"/>
                <w:szCs w:val="24"/>
                <w:lang w:val="lt-LT"/>
              </w:rPr>
              <w:t>3</w:t>
            </w:r>
            <w:r w:rsidRPr="000D37F1">
              <w:rPr>
                <w:rFonts w:ascii="Times New Roman" w:hAnsi="Times New Roman" w:cs="Times New Roman"/>
                <w:sz w:val="24"/>
                <w:szCs w:val="24"/>
                <w:lang w:val="lt-LT"/>
              </w:rPr>
              <w:t xml:space="preserve">. </w:t>
            </w:r>
          </w:p>
        </w:tc>
        <w:tc>
          <w:tcPr>
            <w:tcW w:w="2711" w:type="dxa"/>
          </w:tcPr>
          <w:p w:rsidR="00640B45" w:rsidRPr="000D37F1" w:rsidRDefault="00640B45" w:rsidP="00F053D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Grynojo pelno grąža</w:t>
            </w:r>
          </w:p>
        </w:tc>
        <w:tc>
          <w:tcPr>
            <w:tcW w:w="1984" w:type="dxa"/>
          </w:tcPr>
          <w:p w:rsidR="00640B45" w:rsidRPr="000D37F1" w:rsidRDefault="0004220C"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GPG</w:t>
            </w:r>
          </w:p>
        </w:tc>
        <w:tc>
          <w:tcPr>
            <w:tcW w:w="3878" w:type="dxa"/>
          </w:tcPr>
          <w:p w:rsidR="00640B45" w:rsidRPr="000D37F1" w:rsidRDefault="00640B45" w:rsidP="00AF013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Grynasis pelnas/ Palūkanų pajamos</w:t>
            </w:r>
          </w:p>
        </w:tc>
      </w:tr>
      <w:tr w:rsidR="00A4278E" w:rsidRPr="000D37F1" w:rsidTr="00640B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tcPr>
          <w:p w:rsidR="00A4278E" w:rsidRPr="000D37F1" w:rsidRDefault="00A4278E" w:rsidP="003B4439">
            <w:pPr>
              <w:spacing w:line="360" w:lineRule="auto"/>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14.</w:t>
            </w:r>
          </w:p>
        </w:tc>
        <w:tc>
          <w:tcPr>
            <w:tcW w:w="2711" w:type="dxa"/>
          </w:tcPr>
          <w:p w:rsidR="00A4278E" w:rsidRPr="000D37F1" w:rsidRDefault="00A4278E" w:rsidP="00F053D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Turtas (tūkst. Lt)</w:t>
            </w:r>
          </w:p>
        </w:tc>
        <w:tc>
          <w:tcPr>
            <w:tcW w:w="1984" w:type="dxa"/>
          </w:tcPr>
          <w:p w:rsidR="00A4278E" w:rsidRPr="000D37F1" w:rsidRDefault="00A4278E"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T</w:t>
            </w:r>
          </w:p>
        </w:tc>
        <w:tc>
          <w:tcPr>
            <w:tcW w:w="3878" w:type="dxa"/>
          </w:tcPr>
          <w:p w:rsidR="00A4278E" w:rsidRPr="000D37F1" w:rsidRDefault="00A4278E" w:rsidP="00AF013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Absoliuti reikšmė</w:t>
            </w:r>
          </w:p>
        </w:tc>
      </w:tr>
    </w:tbl>
    <w:p w:rsidR="00C966F7" w:rsidRPr="009C579C" w:rsidRDefault="009C579C" w:rsidP="00AF0135">
      <w:pPr>
        <w:spacing w:line="360" w:lineRule="auto"/>
        <w:jc w:val="both"/>
        <w:rPr>
          <w:rFonts w:ascii="Times New Roman" w:hAnsi="Times New Roman" w:cs="Times New Roman"/>
          <w:i/>
          <w:sz w:val="24"/>
          <w:szCs w:val="24"/>
          <w:lang w:val="lt-LT"/>
        </w:rPr>
      </w:pPr>
      <w:r w:rsidRPr="009C579C">
        <w:rPr>
          <w:rFonts w:ascii="Times New Roman" w:hAnsi="Times New Roman" w:cs="Times New Roman"/>
          <w:i/>
          <w:sz w:val="24"/>
          <w:szCs w:val="24"/>
          <w:lang w:val="lt-LT"/>
        </w:rPr>
        <w:t>Parengta autorės</w:t>
      </w:r>
    </w:p>
    <w:p w:rsidR="002352FD" w:rsidRDefault="000E1327" w:rsidP="002352FD">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Šiame darbe analizuojant bankų ir kredito unijų žlugimus tyrusių mokslininkų straipsnius ir buvo nustatyta</w:t>
      </w:r>
      <w:r w:rsidR="002352FD">
        <w:rPr>
          <w:rFonts w:ascii="Times New Roman" w:hAnsi="Times New Roman" w:cs="Times New Roman"/>
          <w:sz w:val="24"/>
          <w:szCs w:val="24"/>
          <w:lang w:val="lt-LT"/>
        </w:rPr>
        <w:t xml:space="preserve"> (</w:t>
      </w:r>
      <w:proofErr w:type="spellStart"/>
      <w:r w:rsidR="002352FD">
        <w:rPr>
          <w:rFonts w:ascii="Times New Roman" w:hAnsi="Times New Roman" w:cs="Times New Roman"/>
          <w:sz w:val="24"/>
          <w:szCs w:val="24"/>
          <w:lang w:val="lt-LT"/>
        </w:rPr>
        <w:t>žr</w:t>
      </w:r>
      <w:proofErr w:type="spellEnd"/>
      <w:r w:rsidR="002352FD">
        <w:rPr>
          <w:rFonts w:ascii="Times New Roman" w:hAnsi="Times New Roman" w:cs="Times New Roman"/>
          <w:sz w:val="24"/>
          <w:szCs w:val="24"/>
          <w:lang w:val="lt-LT"/>
        </w:rPr>
        <w:t>. 6 priedą)</w:t>
      </w:r>
      <w:r w:rsidRPr="000D37F1">
        <w:rPr>
          <w:rFonts w:ascii="Times New Roman" w:hAnsi="Times New Roman" w:cs="Times New Roman"/>
          <w:sz w:val="24"/>
          <w:szCs w:val="24"/>
          <w:lang w:val="lt-LT"/>
        </w:rPr>
        <w:t>, jog dažniausiai naudojami  turto grąža (ROA), kapitalo grąža (ROE), kapitalo ir turto santykis, abejotinų paskolų dalis visame turte, taip pat paskolų dalis visuose aktyvuose bei pajamų ir turto santykis. Kiti autorių pateikiami rodikliai yra rečiau pasikartojantys</w:t>
      </w:r>
      <w:r w:rsidR="002352FD">
        <w:rPr>
          <w:rFonts w:ascii="Times New Roman" w:hAnsi="Times New Roman" w:cs="Times New Roman"/>
          <w:sz w:val="24"/>
          <w:szCs w:val="24"/>
          <w:lang w:val="lt-LT"/>
        </w:rPr>
        <w:t xml:space="preserve">, tačiau kredito įstaigų rizikingumui vertinti galėtų būti naudingi. Tie rodikliai, kurių </w:t>
      </w:r>
      <w:r w:rsidRPr="000D37F1">
        <w:rPr>
          <w:rFonts w:ascii="Times New Roman" w:hAnsi="Times New Roman" w:cs="Times New Roman"/>
          <w:sz w:val="24"/>
          <w:szCs w:val="24"/>
          <w:lang w:val="lt-LT"/>
        </w:rPr>
        <w:t xml:space="preserve">apskaičiavimui reikalinga papildoma </w:t>
      </w:r>
      <w:r w:rsidR="002352FD">
        <w:rPr>
          <w:rFonts w:ascii="Times New Roman" w:hAnsi="Times New Roman" w:cs="Times New Roman"/>
          <w:sz w:val="24"/>
          <w:szCs w:val="24"/>
          <w:lang w:val="lt-LT"/>
        </w:rPr>
        <w:t xml:space="preserve">ar konfidenciali informacija, </w:t>
      </w:r>
      <w:r w:rsidRPr="000D37F1">
        <w:rPr>
          <w:rFonts w:ascii="Times New Roman" w:hAnsi="Times New Roman" w:cs="Times New Roman"/>
          <w:sz w:val="24"/>
          <w:szCs w:val="24"/>
          <w:lang w:val="lt-LT"/>
        </w:rPr>
        <w:t>pasirinkti nebuvo</w:t>
      </w:r>
      <w:r w:rsidR="002352FD">
        <w:rPr>
          <w:rFonts w:ascii="Times New Roman" w:hAnsi="Times New Roman" w:cs="Times New Roman"/>
          <w:sz w:val="24"/>
          <w:szCs w:val="24"/>
          <w:lang w:val="lt-LT"/>
        </w:rPr>
        <w:t xml:space="preserve">. Taigi </w:t>
      </w:r>
      <w:r w:rsidR="002352FD">
        <w:rPr>
          <w:rFonts w:ascii="Times New Roman" w:hAnsi="Times New Roman" w:cs="Times New Roman"/>
          <w:sz w:val="24"/>
          <w:szCs w:val="24"/>
          <w:lang w:val="lt-LT"/>
        </w:rPr>
        <w:lastRenderedPageBreak/>
        <w:t>trumpai apibūdinami rodikliai, kurie turėtų būti svarbus prognozuojant kredito unijų veiklos rizikingumą:</w:t>
      </w:r>
    </w:p>
    <w:p w:rsidR="00670690" w:rsidRPr="000D37F1" w:rsidRDefault="00670690" w:rsidP="002352FD">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Turto grąža (ROA)</w:t>
      </w:r>
      <w:r w:rsidRPr="000D37F1">
        <w:rPr>
          <w:rFonts w:ascii="Times New Roman" w:hAnsi="Times New Roman" w:cs="Times New Roman"/>
          <w:sz w:val="24"/>
          <w:szCs w:val="24"/>
          <w:lang w:val="lt-LT"/>
        </w:rPr>
        <w:t xml:space="preserve"> parodo, kiek grynojo pelno įmonė uždirba vienam litui turto. Šis dydis naudojamas kaip įmonės turto panaudojimo efektyvumo matas. Kuo didesnė ROA reikšmė, tuo turtas efektyviau naudojamas turtas. Visgi ROA gali būti paveiktas įmonės vadovybės, nes jie gali manipuliuoti įmonės pelnu.</w:t>
      </w:r>
    </w:p>
    <w:p w:rsidR="00670690" w:rsidRPr="000D37F1" w:rsidRDefault="00670690" w:rsidP="009579D1">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Nuosavybės grąža (ROE)</w:t>
      </w:r>
      <w:r w:rsidRPr="000D37F1">
        <w:rPr>
          <w:rFonts w:ascii="Times New Roman" w:hAnsi="Times New Roman" w:cs="Times New Roman"/>
          <w:sz w:val="24"/>
          <w:szCs w:val="24"/>
          <w:lang w:val="lt-LT"/>
        </w:rPr>
        <w:t xml:space="preserve"> parodo, kokią grąžą sukuria įmonė vienam investuotam savininkų nuosavybės litui. Kuo didesnė rodiklio reikšmė, tuo daugiau pelno įmonė uždirba savo akcininkams.</w:t>
      </w:r>
    </w:p>
    <w:p w:rsidR="006E1589" w:rsidRPr="000D37F1" w:rsidRDefault="00670690" w:rsidP="009579D1">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Apyvar</w:t>
      </w:r>
      <w:r w:rsidR="006E1589" w:rsidRPr="000D37F1">
        <w:rPr>
          <w:rFonts w:ascii="Times New Roman" w:hAnsi="Times New Roman" w:cs="Times New Roman"/>
          <w:i/>
          <w:sz w:val="24"/>
          <w:szCs w:val="24"/>
          <w:lang w:val="lt-LT"/>
        </w:rPr>
        <w:t>tinio kapitalo ir turto santykio rodiklis</w:t>
      </w:r>
      <w:r w:rsidR="006E1589" w:rsidRPr="000D37F1">
        <w:rPr>
          <w:rFonts w:ascii="Times New Roman" w:hAnsi="Times New Roman" w:cs="Times New Roman"/>
          <w:sz w:val="24"/>
          <w:szCs w:val="24"/>
          <w:lang w:val="lt-LT"/>
        </w:rPr>
        <w:t xml:space="preserve"> parodo įmonės likvidumo lygį. Jis skiriasi nuo apyvartinio kapitalo rodiklio tuo, kad nėra absoliutus dydis, o tai leidžia palyginti įvairaus dydžio įmones. Šio rodiklio dinamika atspindi didėjančią ar mažėjančią tikimybę, kad įmonė bankrutuos.</w:t>
      </w:r>
    </w:p>
    <w:p w:rsidR="002352FD" w:rsidRPr="000D37F1" w:rsidRDefault="002E216F" w:rsidP="002352FD">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Likvidumo normatyvas</w:t>
      </w:r>
      <w:r w:rsidRPr="000D37F1">
        <w:rPr>
          <w:rFonts w:ascii="Times New Roman" w:hAnsi="Times New Roman" w:cs="Times New Roman"/>
          <w:sz w:val="24"/>
          <w:szCs w:val="24"/>
          <w:lang w:val="lt-LT"/>
        </w:rPr>
        <w:t xml:space="preserve"> skirtas likvidumo rizikai valdyti, tai reiškia rizikai, kad kredito įstaiga nesugebės laiku įvykdyti savo įsipareigojimų.</w:t>
      </w:r>
      <w:r w:rsidR="002352FD">
        <w:rPr>
          <w:rFonts w:ascii="Times New Roman" w:hAnsi="Times New Roman" w:cs="Times New Roman"/>
          <w:sz w:val="24"/>
          <w:szCs w:val="24"/>
          <w:lang w:val="lt-LT"/>
        </w:rPr>
        <w:t xml:space="preserve"> </w:t>
      </w:r>
      <w:r w:rsidR="002352FD" w:rsidRPr="000D37F1">
        <w:rPr>
          <w:rFonts w:ascii="Times New Roman" w:hAnsi="Times New Roman" w:cs="Times New Roman"/>
          <w:sz w:val="24"/>
          <w:szCs w:val="24"/>
          <w:lang w:val="lt-LT"/>
        </w:rPr>
        <w:t>Jeigu įmonė neturi galimybių mobilizuoti lėšų ir neturi pakankamai trumpalaikio turto savo finansinėms prievolėms atlikti, tai ji laikoma nemokia. Kredito įstaigų nemokumas yra grėsmingas ir dėl to, kad indėlininkai sužinoję apie kredito įstaigos finansinius sunkumus skuba atsiimti laikytus pinigus ir indėlius, todėl kredito įstaiga tampa nemokia.</w:t>
      </w:r>
    </w:p>
    <w:p w:rsidR="002352FD" w:rsidRPr="000D37F1" w:rsidRDefault="002352FD" w:rsidP="002352FD">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Visgi retais atvejais reikia padengti visus įsipareigojimus vienu metu, todėl per didelis likvidumo nėra naudingas kredito įstaigai. Nepagrįstai didelis likvidumo koeficientas liudija, jog skolintos lėšos nėra optimaliai naudojamos pajamoms uždirbti. Kita vertus, kredito įstaigos turi stabiliai dirbti, todėl turėtų būti nustatyti ne tik žem</w:t>
      </w:r>
      <w:r>
        <w:rPr>
          <w:rFonts w:ascii="Times New Roman" w:hAnsi="Times New Roman" w:cs="Times New Roman"/>
          <w:sz w:val="24"/>
          <w:szCs w:val="24"/>
          <w:lang w:val="lt-LT"/>
        </w:rPr>
        <w:t>iausia, bet ir didžiausia riba.</w:t>
      </w:r>
    </w:p>
    <w:p w:rsidR="00D84E41" w:rsidRDefault="002E216F" w:rsidP="009579D1">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Specialių atidėjinių</w:t>
      </w:r>
      <w:r w:rsidR="00A4278E" w:rsidRPr="000D37F1">
        <w:rPr>
          <w:rFonts w:ascii="Times New Roman" w:hAnsi="Times New Roman" w:cs="Times New Roman"/>
          <w:i/>
          <w:sz w:val="24"/>
          <w:szCs w:val="24"/>
          <w:lang w:val="lt-LT"/>
        </w:rPr>
        <w:t xml:space="preserve"> </w:t>
      </w:r>
      <w:r w:rsidR="00D349BF" w:rsidRPr="000D37F1">
        <w:rPr>
          <w:rFonts w:ascii="Times New Roman" w:hAnsi="Times New Roman" w:cs="Times New Roman"/>
          <w:i/>
          <w:sz w:val="24"/>
          <w:szCs w:val="24"/>
          <w:lang w:val="lt-LT"/>
        </w:rPr>
        <w:t>ir paskolų santykis</w:t>
      </w:r>
      <w:r w:rsidR="00D349BF" w:rsidRPr="000D37F1">
        <w:rPr>
          <w:rFonts w:ascii="Times New Roman" w:hAnsi="Times New Roman" w:cs="Times New Roman"/>
          <w:sz w:val="24"/>
          <w:szCs w:val="24"/>
          <w:lang w:val="lt-LT"/>
        </w:rPr>
        <w:t xml:space="preserve"> parodo, rizikingų finansinių paskolų santykį su visomis paskolomis. </w:t>
      </w:r>
      <w:r w:rsidR="00D84E41" w:rsidRPr="000D37F1">
        <w:rPr>
          <w:rFonts w:ascii="Times New Roman" w:hAnsi="Times New Roman" w:cs="Times New Roman"/>
          <w:sz w:val="24"/>
          <w:szCs w:val="24"/>
          <w:lang w:val="lt-LT"/>
        </w:rPr>
        <w:t>Kredito unijų paskolos pagal Lietuvos Banko rekomendacijas skirstomos į penkias g</w:t>
      </w:r>
      <w:r w:rsidR="00FA0D12">
        <w:rPr>
          <w:rFonts w:ascii="Times New Roman" w:hAnsi="Times New Roman" w:cs="Times New Roman"/>
          <w:sz w:val="24"/>
          <w:szCs w:val="24"/>
          <w:lang w:val="lt-LT"/>
        </w:rPr>
        <w:t>rupes pagal galimą riziką.</w:t>
      </w:r>
    </w:p>
    <w:p w:rsidR="00FA0D12" w:rsidRPr="000D37F1" w:rsidRDefault="00FA0D12" w:rsidP="009579D1">
      <w:pPr>
        <w:spacing w:line="360" w:lineRule="auto"/>
        <w:ind w:firstLine="720"/>
        <w:jc w:val="both"/>
        <w:rPr>
          <w:rFonts w:ascii="Times New Roman" w:hAnsi="Times New Roman" w:cs="Times New Roman"/>
          <w:sz w:val="24"/>
          <w:szCs w:val="24"/>
          <w:lang w:val="lt-LT"/>
        </w:rPr>
      </w:pPr>
    </w:p>
    <w:p w:rsidR="00D84E41" w:rsidRPr="00734657" w:rsidRDefault="005D2C7E" w:rsidP="00734657">
      <w:pPr>
        <w:pStyle w:val="Heading1"/>
        <w:jc w:val="center"/>
        <w:rPr>
          <w:rFonts w:ascii="Times New Roman" w:hAnsi="Times New Roman" w:cs="Times New Roman"/>
          <w:sz w:val="24"/>
          <w:szCs w:val="24"/>
        </w:rPr>
      </w:pPr>
      <w:bookmarkStart w:id="58" w:name="_Toc383784094"/>
      <w:bookmarkStart w:id="59" w:name="_Toc384567306"/>
      <w:bookmarkStart w:id="60" w:name="_Toc384570743"/>
      <w:r>
        <w:rPr>
          <w:rFonts w:ascii="Times New Roman" w:hAnsi="Times New Roman" w:cs="Times New Roman"/>
          <w:sz w:val="24"/>
          <w:szCs w:val="24"/>
        </w:rPr>
        <w:lastRenderedPageBreak/>
        <w:t>3</w:t>
      </w:r>
      <w:r w:rsidR="00130053" w:rsidRPr="00734657">
        <w:rPr>
          <w:rFonts w:ascii="Times New Roman" w:hAnsi="Times New Roman" w:cs="Times New Roman"/>
          <w:sz w:val="24"/>
          <w:szCs w:val="24"/>
        </w:rPr>
        <w:t xml:space="preserve"> </w:t>
      </w:r>
      <w:r w:rsidR="00D84E41" w:rsidRPr="00734657">
        <w:rPr>
          <w:rFonts w:ascii="Times New Roman" w:hAnsi="Times New Roman" w:cs="Times New Roman"/>
          <w:sz w:val="24"/>
          <w:szCs w:val="24"/>
        </w:rPr>
        <w:t>Lentelė. Paskolų skirstymas į rizikos grupes</w:t>
      </w:r>
      <w:bookmarkEnd w:id="58"/>
      <w:bookmarkEnd w:id="59"/>
      <w:bookmarkEnd w:id="60"/>
    </w:p>
    <w:tbl>
      <w:tblPr>
        <w:tblStyle w:val="LightShading"/>
        <w:tblW w:w="8901" w:type="dxa"/>
        <w:jc w:val="center"/>
        <w:tblLook w:val="04A0" w:firstRow="1" w:lastRow="0" w:firstColumn="1" w:lastColumn="0" w:noHBand="0" w:noVBand="1"/>
      </w:tblPr>
      <w:tblGrid>
        <w:gridCol w:w="2927"/>
        <w:gridCol w:w="5974"/>
      </w:tblGrid>
      <w:tr w:rsidR="00D84E41" w:rsidRPr="000D37F1" w:rsidTr="009D09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7" w:type="dxa"/>
          </w:tcPr>
          <w:p w:rsidR="00D84E41" w:rsidRPr="000D37F1" w:rsidRDefault="00D84E41" w:rsidP="009D091C">
            <w:pPr>
              <w:pStyle w:val="ListParagraph"/>
              <w:spacing w:line="360" w:lineRule="auto"/>
              <w:ind w:left="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Rizikos grupė</w:t>
            </w:r>
          </w:p>
        </w:tc>
        <w:tc>
          <w:tcPr>
            <w:tcW w:w="5974" w:type="dxa"/>
          </w:tcPr>
          <w:p w:rsidR="00D84E41" w:rsidRPr="000D37F1" w:rsidRDefault="00D84E41" w:rsidP="009D091C">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Požymiai</w:t>
            </w:r>
          </w:p>
        </w:tc>
      </w:tr>
      <w:tr w:rsidR="00D84E41" w:rsidRPr="003832D2" w:rsidTr="009D0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7" w:type="dxa"/>
          </w:tcPr>
          <w:p w:rsidR="00D84E41" w:rsidRPr="000D37F1" w:rsidRDefault="00D84E41" w:rsidP="009D091C">
            <w:pPr>
              <w:pStyle w:val="ListParagraph"/>
              <w:spacing w:line="360" w:lineRule="auto"/>
              <w:ind w:left="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Standartinė (I)</w:t>
            </w:r>
          </w:p>
        </w:tc>
        <w:tc>
          <w:tcPr>
            <w:tcW w:w="5974" w:type="dxa"/>
          </w:tcPr>
          <w:p w:rsidR="00D84E41" w:rsidRPr="000D37F1" w:rsidRDefault="00D84E41" w:rsidP="009D091C">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Nenustatyta nuostolio įvykių ir dėl paskolos grąžinimo nekyla abejonių</w:t>
            </w:r>
          </w:p>
        </w:tc>
      </w:tr>
      <w:tr w:rsidR="00D84E41" w:rsidRPr="003832D2" w:rsidTr="009D091C">
        <w:trPr>
          <w:jc w:val="center"/>
        </w:trPr>
        <w:tc>
          <w:tcPr>
            <w:cnfStyle w:val="001000000000" w:firstRow="0" w:lastRow="0" w:firstColumn="1" w:lastColumn="0" w:oddVBand="0" w:evenVBand="0" w:oddHBand="0" w:evenHBand="0" w:firstRowFirstColumn="0" w:firstRowLastColumn="0" w:lastRowFirstColumn="0" w:lastRowLastColumn="0"/>
            <w:tcW w:w="2927" w:type="dxa"/>
          </w:tcPr>
          <w:p w:rsidR="00D84E41" w:rsidRPr="000D37F1" w:rsidRDefault="00D84E41" w:rsidP="009D091C">
            <w:pPr>
              <w:pStyle w:val="ListParagraph"/>
              <w:spacing w:line="360" w:lineRule="auto"/>
              <w:ind w:left="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Galimos rizikos (II)</w:t>
            </w:r>
          </w:p>
        </w:tc>
        <w:tc>
          <w:tcPr>
            <w:tcW w:w="5974" w:type="dxa"/>
          </w:tcPr>
          <w:p w:rsidR="00D84E41" w:rsidRPr="000D37F1" w:rsidRDefault="00D84E41" w:rsidP="009D091C">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Paskolos, dėl kurių bus turima tam tikrų (riboto dydžio) nuostolių</w:t>
            </w:r>
          </w:p>
        </w:tc>
      </w:tr>
      <w:tr w:rsidR="00D84E41" w:rsidRPr="003832D2" w:rsidTr="009D0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7" w:type="dxa"/>
          </w:tcPr>
          <w:p w:rsidR="00D84E41" w:rsidRPr="000D37F1" w:rsidRDefault="00D84E41" w:rsidP="009D091C">
            <w:pPr>
              <w:pStyle w:val="ListParagraph"/>
              <w:spacing w:line="360" w:lineRule="auto"/>
              <w:ind w:left="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Padidintos rizikos (III)</w:t>
            </w:r>
          </w:p>
        </w:tc>
        <w:tc>
          <w:tcPr>
            <w:tcW w:w="5974" w:type="dxa"/>
          </w:tcPr>
          <w:p w:rsidR="00D84E41" w:rsidRPr="000D37F1" w:rsidRDefault="00D84E41" w:rsidP="009D091C">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Paskolos, dėl kurių bus turima tam tikrų (vidutinio dydžio) nuostolių</w:t>
            </w:r>
          </w:p>
        </w:tc>
      </w:tr>
      <w:tr w:rsidR="00D84E41" w:rsidRPr="003832D2" w:rsidTr="009D091C">
        <w:trPr>
          <w:jc w:val="center"/>
        </w:trPr>
        <w:tc>
          <w:tcPr>
            <w:cnfStyle w:val="001000000000" w:firstRow="0" w:lastRow="0" w:firstColumn="1" w:lastColumn="0" w:oddVBand="0" w:evenVBand="0" w:oddHBand="0" w:evenHBand="0" w:firstRowFirstColumn="0" w:firstRowLastColumn="0" w:lastRowFirstColumn="0" w:lastRowLastColumn="0"/>
            <w:tcW w:w="2927" w:type="dxa"/>
          </w:tcPr>
          <w:p w:rsidR="00D84E41" w:rsidRPr="000D37F1" w:rsidRDefault="00D84E41" w:rsidP="009D091C">
            <w:pPr>
              <w:pStyle w:val="ListParagraph"/>
              <w:spacing w:line="360" w:lineRule="auto"/>
              <w:ind w:left="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Didelės rizikos (IV)</w:t>
            </w:r>
          </w:p>
        </w:tc>
        <w:tc>
          <w:tcPr>
            <w:tcW w:w="5974" w:type="dxa"/>
          </w:tcPr>
          <w:p w:rsidR="00D84E41" w:rsidRPr="000D37F1" w:rsidRDefault="00D84E41" w:rsidP="009D091C">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Paskolos, dėl kurių bus turima tam tikrų (reikšmingų) nuostolių</w:t>
            </w:r>
          </w:p>
        </w:tc>
      </w:tr>
      <w:tr w:rsidR="00D84E41" w:rsidRPr="003832D2" w:rsidTr="009D09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27" w:type="dxa"/>
          </w:tcPr>
          <w:p w:rsidR="00D84E41" w:rsidRPr="000D37F1" w:rsidRDefault="00D84E41" w:rsidP="009D091C">
            <w:pPr>
              <w:pStyle w:val="ListParagraph"/>
              <w:spacing w:line="360" w:lineRule="auto"/>
              <w:ind w:left="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Labai didelės rizikos (V)</w:t>
            </w:r>
          </w:p>
        </w:tc>
        <w:tc>
          <w:tcPr>
            <w:tcW w:w="5974" w:type="dxa"/>
          </w:tcPr>
          <w:p w:rsidR="00D84E41" w:rsidRPr="000D37F1" w:rsidRDefault="00D84E41" w:rsidP="009D091C">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0D37F1">
              <w:rPr>
                <w:rFonts w:ascii="Times New Roman" w:hAnsi="Times New Roman" w:cs="Times New Roman"/>
                <w:sz w:val="24"/>
                <w:szCs w:val="24"/>
                <w:lang w:val="lt-LT"/>
              </w:rPr>
              <w:t>Paskolos, kurias grąžinti pagal nustatytus nuostolio įvykius, galima tik iš turimų užtikrinimo priemonių</w:t>
            </w:r>
          </w:p>
        </w:tc>
      </w:tr>
    </w:tbl>
    <w:p w:rsidR="00D84E41" w:rsidRPr="00E00FAA" w:rsidRDefault="00E00FAA" w:rsidP="001717AB">
      <w:pPr>
        <w:spacing w:line="360" w:lineRule="auto"/>
        <w:jc w:val="both"/>
        <w:rPr>
          <w:rFonts w:ascii="Times New Roman" w:hAnsi="Times New Roman" w:cs="Times New Roman"/>
          <w:i/>
          <w:sz w:val="24"/>
          <w:szCs w:val="24"/>
          <w:lang w:val="lt-LT"/>
        </w:rPr>
      </w:pPr>
      <w:r w:rsidRPr="00E00FAA">
        <w:rPr>
          <w:rFonts w:ascii="Times New Roman" w:hAnsi="Times New Roman" w:cs="Times New Roman"/>
          <w:i/>
          <w:sz w:val="24"/>
          <w:szCs w:val="24"/>
          <w:lang w:val="lt-LT"/>
        </w:rPr>
        <w:t>Šaltinis: Kredito unijų paskolų vertinimo taisyklės, 2013.</w:t>
      </w:r>
    </w:p>
    <w:p w:rsidR="00D84E41" w:rsidRPr="000D37F1" w:rsidRDefault="00D84E41" w:rsidP="00A52C5A">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Kredito unijos valdydamos kredito riziką, turi laikytis šių Lietuvos banko valdybos patvirtintų  Kredito unijų paskolų vertinimo taisyklių. Paskolos pagal laikotarpį, kiek vėluojama mokėti periodines paskolos dalis (paskolos dalis arba palūkanos) taip pat atitinkamai priskiriamos tam tikrai rizikos grupei. </w:t>
      </w:r>
      <w:r w:rsidR="008303BE" w:rsidRPr="000D37F1">
        <w:rPr>
          <w:rFonts w:ascii="Times New Roman" w:hAnsi="Times New Roman" w:cs="Times New Roman"/>
          <w:sz w:val="24"/>
          <w:szCs w:val="24"/>
          <w:lang w:val="lt-LT"/>
        </w:rPr>
        <w:t xml:space="preserve">Pagal paskolų rizikos grupes įvertinamas paskolos vertės </w:t>
      </w:r>
      <w:r w:rsidR="00E413EE" w:rsidRPr="000D37F1">
        <w:rPr>
          <w:rFonts w:ascii="Times New Roman" w:hAnsi="Times New Roman" w:cs="Times New Roman"/>
          <w:sz w:val="24"/>
          <w:szCs w:val="24"/>
          <w:lang w:val="lt-LT"/>
        </w:rPr>
        <w:t xml:space="preserve">sumažėjimas, </w:t>
      </w:r>
      <w:r w:rsidR="00F240FE" w:rsidRPr="000D37F1">
        <w:rPr>
          <w:rFonts w:ascii="Times New Roman" w:hAnsi="Times New Roman" w:cs="Times New Roman"/>
          <w:sz w:val="24"/>
          <w:szCs w:val="24"/>
          <w:lang w:val="lt-LT"/>
        </w:rPr>
        <w:t>kuris</w:t>
      </w:r>
      <w:r w:rsidR="00E413EE" w:rsidRPr="000D37F1">
        <w:rPr>
          <w:rFonts w:ascii="Times New Roman" w:hAnsi="Times New Roman" w:cs="Times New Roman"/>
          <w:sz w:val="24"/>
          <w:szCs w:val="24"/>
          <w:lang w:val="lt-LT"/>
        </w:rPr>
        <w:t xml:space="preserve"> apskaičiuojamas</w:t>
      </w:r>
      <w:r w:rsidR="00F240FE" w:rsidRPr="000D37F1">
        <w:rPr>
          <w:rFonts w:ascii="Times New Roman" w:hAnsi="Times New Roman" w:cs="Times New Roman"/>
          <w:sz w:val="24"/>
          <w:szCs w:val="24"/>
          <w:lang w:val="lt-LT"/>
        </w:rPr>
        <w:t xml:space="preserve">: </w:t>
      </w:r>
      <w:r w:rsidR="00F240FE" w:rsidRPr="000D37F1">
        <w:rPr>
          <w:rFonts w:ascii="Times New Roman" w:hAnsi="Times New Roman" w:cs="Times New Roman"/>
          <w:i/>
          <w:sz w:val="24"/>
          <w:szCs w:val="24"/>
          <w:lang w:val="lt-LT"/>
        </w:rPr>
        <w:t>paskolos vertės sumažėjimas =</w:t>
      </w:r>
      <w:r w:rsidR="00E413EE" w:rsidRPr="000D37F1">
        <w:rPr>
          <w:rFonts w:ascii="Times New Roman" w:hAnsi="Times New Roman" w:cs="Times New Roman"/>
          <w:i/>
          <w:sz w:val="24"/>
          <w:szCs w:val="24"/>
          <w:lang w:val="lt-LT"/>
        </w:rPr>
        <w:t xml:space="preserve"> neapdraustoji paskolos dalis x nuostolingumo koeficientas</w:t>
      </w:r>
      <w:r w:rsidR="00E413EE" w:rsidRPr="000D37F1">
        <w:rPr>
          <w:rFonts w:ascii="Times New Roman" w:hAnsi="Times New Roman" w:cs="Times New Roman"/>
          <w:sz w:val="24"/>
          <w:szCs w:val="24"/>
          <w:lang w:val="lt-LT"/>
        </w:rPr>
        <w:t xml:space="preserve">. </w:t>
      </w:r>
      <w:r w:rsidR="004E4D9D" w:rsidRPr="000D37F1">
        <w:rPr>
          <w:rFonts w:ascii="Times New Roman" w:hAnsi="Times New Roman" w:cs="Times New Roman"/>
          <w:sz w:val="24"/>
          <w:szCs w:val="24"/>
          <w:lang w:val="lt-LT"/>
        </w:rPr>
        <w:t>Nuostolingumo koeficientas taikomas atitinkamai paskolos rizikos grupei ( II rizikos grupei – ne mažiau 5 proc. neapdraustos paskolos dalies, III grupei – ne mažiau 25 proc., IV g</w:t>
      </w:r>
      <w:r w:rsidR="004244FD" w:rsidRPr="000D37F1">
        <w:rPr>
          <w:rFonts w:ascii="Times New Roman" w:hAnsi="Times New Roman" w:cs="Times New Roman"/>
          <w:sz w:val="24"/>
          <w:szCs w:val="24"/>
          <w:lang w:val="lt-LT"/>
        </w:rPr>
        <w:t>r</w:t>
      </w:r>
      <w:r w:rsidR="004E4D9D" w:rsidRPr="000D37F1">
        <w:rPr>
          <w:rFonts w:ascii="Times New Roman" w:hAnsi="Times New Roman" w:cs="Times New Roman"/>
          <w:sz w:val="24"/>
          <w:szCs w:val="24"/>
          <w:lang w:val="lt-LT"/>
        </w:rPr>
        <w:t>upei. – 50 ne mažiau ir V grupei – 100 proc.). Taigi galime teigti, jog šis rodiklis atspindi kredito unijų suteiktų paskolų rizikingumą.</w:t>
      </w:r>
    </w:p>
    <w:p w:rsidR="004F6353" w:rsidRPr="000D37F1" w:rsidRDefault="004F6353" w:rsidP="004F63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Kapitalo pakankamumo rodiklis</w:t>
      </w:r>
      <w:r w:rsidRPr="000D37F1">
        <w:rPr>
          <w:rFonts w:ascii="Times New Roman" w:hAnsi="Times New Roman" w:cs="Times New Roman"/>
          <w:sz w:val="24"/>
          <w:szCs w:val="24"/>
          <w:lang w:val="lt-LT"/>
        </w:rPr>
        <w:t xml:space="preserve"> skirtas sumažinti kredito ir operacinę riziką, taip pat didinti kredito unijų stabilumą. Šis rodiklis yra susijęs su kapitalo planavimu, jis turi atskleisti esamą kapitalo, reikalingo rizikai padengti, poreikį, taip pat planuojamą kapitalo panaudojimą ir siekiamą kapitalo lygį, įvertinus numatomą prisiimti papildomą riziką. Remiantis Pasaulinės kredito unijų tarybos (WOCCU) parengtu kredito unijų veiklos modeliu, kapitalo pakankamumo rodiklis yra vienas svarbiausių įrankių siekiant efektyviai valdyti kredito unijų riziką.</w:t>
      </w:r>
    </w:p>
    <w:p w:rsidR="004F6353" w:rsidRPr="000D37F1" w:rsidRDefault="00F334B0" w:rsidP="004F63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Grynųjų palūkanų pajamų marža</w:t>
      </w:r>
      <w:r w:rsidRPr="000D37F1">
        <w:rPr>
          <w:rFonts w:ascii="Times New Roman" w:hAnsi="Times New Roman" w:cs="Times New Roman"/>
          <w:sz w:val="24"/>
          <w:szCs w:val="24"/>
          <w:lang w:val="lt-LT"/>
        </w:rPr>
        <w:t xml:space="preserve"> parodo kredito įstaigos finansinės veiklos pelningumą, kuri susijusi su paskolų teikimu ir indėlių pritraukimu. Šis rodiklis laikomas vienu iš svarbiausių </w:t>
      </w:r>
      <w:r w:rsidRPr="000D37F1">
        <w:rPr>
          <w:rFonts w:ascii="Times New Roman" w:hAnsi="Times New Roman" w:cs="Times New Roman"/>
          <w:sz w:val="24"/>
          <w:szCs w:val="24"/>
          <w:lang w:val="lt-LT"/>
        </w:rPr>
        <w:lastRenderedPageBreak/>
        <w:t>kredito įstaigų veiklos efektyvumą nustatančių rodiklių.</w:t>
      </w:r>
      <w:r w:rsidR="003D394A" w:rsidRPr="000D37F1">
        <w:rPr>
          <w:rFonts w:ascii="Times New Roman" w:hAnsi="Times New Roman" w:cs="Times New Roman"/>
          <w:sz w:val="24"/>
          <w:szCs w:val="24"/>
          <w:lang w:val="lt-LT"/>
        </w:rPr>
        <w:t xml:space="preserve"> Kuo didesnė grynosios palūkanų pajamos, t.y. palūkanų pajamų ir palūkanų sąnaudų skirtumas, tuo didesnis šis rodiklis.</w:t>
      </w:r>
    </w:p>
    <w:p w:rsidR="003D394A" w:rsidRPr="000D37F1" w:rsidRDefault="003D394A" w:rsidP="004F63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 xml:space="preserve">Paskolų ir indėlių kredito unijų nariams rodiklis </w:t>
      </w:r>
      <w:r w:rsidRPr="000D37F1">
        <w:rPr>
          <w:rFonts w:ascii="Times New Roman" w:hAnsi="Times New Roman" w:cs="Times New Roman"/>
          <w:sz w:val="24"/>
          <w:szCs w:val="24"/>
          <w:lang w:val="lt-LT"/>
        </w:rPr>
        <w:t>parodo, kokia dalimi kredito unijos paskolos yra finansuojamos indėliais.</w:t>
      </w:r>
    </w:p>
    <w:p w:rsidR="003D394A" w:rsidRPr="000D37F1" w:rsidRDefault="00742F5B" w:rsidP="004F63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Veiklos p</w:t>
      </w:r>
      <w:r w:rsidR="003D394A" w:rsidRPr="000D37F1">
        <w:rPr>
          <w:rFonts w:ascii="Times New Roman" w:hAnsi="Times New Roman" w:cs="Times New Roman"/>
          <w:i/>
          <w:sz w:val="24"/>
          <w:szCs w:val="24"/>
          <w:lang w:val="lt-LT"/>
        </w:rPr>
        <w:t xml:space="preserve">ajamų ir turto </w:t>
      </w:r>
      <w:r w:rsidRPr="000D37F1">
        <w:rPr>
          <w:rFonts w:ascii="Times New Roman" w:hAnsi="Times New Roman" w:cs="Times New Roman"/>
          <w:i/>
          <w:sz w:val="24"/>
          <w:szCs w:val="24"/>
          <w:lang w:val="lt-LT"/>
        </w:rPr>
        <w:t>santykio rodiklis</w:t>
      </w:r>
      <w:r w:rsidRPr="000D37F1">
        <w:rPr>
          <w:rFonts w:ascii="Times New Roman" w:hAnsi="Times New Roman" w:cs="Times New Roman"/>
          <w:sz w:val="24"/>
          <w:szCs w:val="24"/>
          <w:lang w:val="lt-LT"/>
        </w:rPr>
        <w:t xml:space="preserve"> parodo kiek  bendrų veiklos pajamų uždirba vienas investuotas į turtą litas. Kuo šis rodiklis didesnis, tuo geriau išvystyta ne tik kreditavimo, bet ir kita kredito įstaigos veikla.</w:t>
      </w:r>
    </w:p>
    <w:p w:rsidR="003B4439" w:rsidRPr="000D37F1" w:rsidRDefault="003B4439" w:rsidP="004F63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Investicijų į vertybinius popierius ir</w:t>
      </w:r>
      <w:r w:rsidR="00CF18EB" w:rsidRPr="000D37F1">
        <w:rPr>
          <w:rFonts w:ascii="Times New Roman" w:hAnsi="Times New Roman" w:cs="Times New Roman"/>
          <w:i/>
          <w:sz w:val="24"/>
          <w:szCs w:val="24"/>
          <w:lang w:val="lt-LT"/>
        </w:rPr>
        <w:t xml:space="preserve"> turto santykio rodiklis</w:t>
      </w:r>
      <w:r w:rsidR="00CF18EB" w:rsidRPr="000D37F1">
        <w:rPr>
          <w:rFonts w:ascii="Times New Roman" w:hAnsi="Times New Roman" w:cs="Times New Roman"/>
          <w:sz w:val="24"/>
          <w:szCs w:val="24"/>
          <w:lang w:val="lt-LT"/>
        </w:rPr>
        <w:t xml:space="preserve"> parodo </w:t>
      </w:r>
      <w:r w:rsidR="007819F0" w:rsidRPr="000D37F1">
        <w:rPr>
          <w:rFonts w:ascii="Times New Roman" w:hAnsi="Times New Roman" w:cs="Times New Roman"/>
          <w:sz w:val="24"/>
          <w:szCs w:val="24"/>
          <w:lang w:val="lt-LT"/>
        </w:rPr>
        <w:t>kredito unijos pajamų uždirbimo būdą, jeigu šio santykio reikšmė didesnė nei 50 proc., tai</w:t>
      </w:r>
      <w:r w:rsidR="00865359" w:rsidRPr="000D37F1">
        <w:rPr>
          <w:rFonts w:ascii="Times New Roman" w:hAnsi="Times New Roman" w:cs="Times New Roman"/>
          <w:sz w:val="24"/>
          <w:szCs w:val="24"/>
          <w:lang w:val="lt-LT"/>
        </w:rPr>
        <w:t xml:space="preserve"> kredito unija labiau linkusi pajamas uždirbti iš investicijų į vertybinius popierius.</w:t>
      </w:r>
    </w:p>
    <w:p w:rsidR="00865359" w:rsidRPr="000D37F1" w:rsidRDefault="00865359" w:rsidP="004F63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Bendrųjų ir administracinių veiklos sąnaudų dalis</w:t>
      </w:r>
      <w:r w:rsidRPr="000D37F1">
        <w:rPr>
          <w:rFonts w:ascii="Times New Roman" w:hAnsi="Times New Roman" w:cs="Times New Roman"/>
          <w:sz w:val="24"/>
          <w:szCs w:val="24"/>
          <w:lang w:val="lt-LT"/>
        </w:rPr>
        <w:t xml:space="preserve"> visose sąnaudose parodo kiek lėšų kredito unija skiria personalo išlaikymui ir kitiems mokesčiams. Didesnė šio rodiklio reikšmė rodo neefektyvų lėšų panaudojimą. Kuo mažesnė šio rodiklio reikšmė – tuo geresnė kredito unijos sąnaudų kontrolė.</w:t>
      </w:r>
    </w:p>
    <w:p w:rsidR="00A4278E" w:rsidRPr="000D37F1" w:rsidRDefault="009E7E20" w:rsidP="00A4278E">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Grynojo pelno grąža</w:t>
      </w:r>
      <w:r w:rsidRPr="000D37F1">
        <w:rPr>
          <w:rFonts w:ascii="Times New Roman" w:hAnsi="Times New Roman" w:cs="Times New Roman"/>
          <w:sz w:val="24"/>
          <w:szCs w:val="24"/>
          <w:lang w:val="lt-LT"/>
        </w:rPr>
        <w:t xml:space="preserve"> parodo, kiek grynojo pelno uždirbama vienam palūkanų ir </w:t>
      </w:r>
      <w:r w:rsidR="00A74B92" w:rsidRPr="000D37F1">
        <w:rPr>
          <w:rFonts w:ascii="Times New Roman" w:hAnsi="Times New Roman" w:cs="Times New Roman"/>
          <w:sz w:val="24"/>
          <w:szCs w:val="24"/>
          <w:lang w:val="lt-LT"/>
        </w:rPr>
        <w:t>ne</w:t>
      </w:r>
      <w:r w:rsidR="00833893">
        <w:rPr>
          <w:rFonts w:ascii="Times New Roman" w:hAnsi="Times New Roman" w:cs="Times New Roman"/>
          <w:sz w:val="24"/>
          <w:szCs w:val="24"/>
          <w:lang w:val="lt-LT"/>
        </w:rPr>
        <w:t xml:space="preserve"> </w:t>
      </w:r>
      <w:r w:rsidR="00A74B92" w:rsidRPr="000D37F1">
        <w:rPr>
          <w:rFonts w:ascii="Times New Roman" w:hAnsi="Times New Roman" w:cs="Times New Roman"/>
          <w:sz w:val="24"/>
          <w:szCs w:val="24"/>
          <w:lang w:val="lt-LT"/>
        </w:rPr>
        <w:t>palūkanų pajamų litui. Kuo</w:t>
      </w:r>
      <w:r w:rsidRPr="000D37F1">
        <w:rPr>
          <w:rFonts w:ascii="Times New Roman" w:hAnsi="Times New Roman" w:cs="Times New Roman"/>
          <w:sz w:val="24"/>
          <w:szCs w:val="24"/>
          <w:lang w:val="lt-LT"/>
        </w:rPr>
        <w:t xml:space="preserve"> aukštesnė rodiklio reikšmė – tuo </w:t>
      </w:r>
      <w:r w:rsidR="00A74B92" w:rsidRPr="000D37F1">
        <w:rPr>
          <w:rFonts w:ascii="Times New Roman" w:hAnsi="Times New Roman" w:cs="Times New Roman"/>
          <w:sz w:val="24"/>
          <w:szCs w:val="24"/>
          <w:lang w:val="lt-LT"/>
        </w:rPr>
        <w:t>pelningesnė</w:t>
      </w:r>
      <w:r w:rsidRPr="000D37F1">
        <w:rPr>
          <w:rFonts w:ascii="Times New Roman" w:hAnsi="Times New Roman" w:cs="Times New Roman"/>
          <w:sz w:val="24"/>
          <w:szCs w:val="24"/>
          <w:lang w:val="lt-LT"/>
        </w:rPr>
        <w:t xml:space="preserve"> kredito įstaiga </w:t>
      </w:r>
      <w:r w:rsidR="00A74B92" w:rsidRPr="000D37F1">
        <w:rPr>
          <w:rFonts w:ascii="Times New Roman" w:hAnsi="Times New Roman" w:cs="Times New Roman"/>
          <w:sz w:val="24"/>
          <w:szCs w:val="24"/>
          <w:lang w:val="lt-LT"/>
        </w:rPr>
        <w:t>ir geba valdyti savo išlaidas.</w:t>
      </w:r>
    </w:p>
    <w:p w:rsidR="00865359" w:rsidRDefault="00A4278E" w:rsidP="000F03BC">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 xml:space="preserve">Turto dydis – </w:t>
      </w:r>
      <w:r w:rsidRPr="000D37F1">
        <w:rPr>
          <w:rFonts w:ascii="Times New Roman" w:hAnsi="Times New Roman" w:cs="Times New Roman"/>
          <w:sz w:val="24"/>
          <w:szCs w:val="24"/>
          <w:lang w:val="lt-LT"/>
        </w:rPr>
        <w:t>absoliuti viso turto reikšmė. Šis rodiklis pasirinktas remiantis prielaida, jog rizikingesnės y</w:t>
      </w:r>
      <w:r w:rsidR="000F03BC">
        <w:rPr>
          <w:rFonts w:ascii="Times New Roman" w:hAnsi="Times New Roman" w:cs="Times New Roman"/>
          <w:sz w:val="24"/>
          <w:szCs w:val="24"/>
          <w:lang w:val="lt-LT"/>
        </w:rPr>
        <w:t xml:space="preserve">ra  didžiosios kredito unijos. </w:t>
      </w:r>
    </w:p>
    <w:p w:rsidR="002A5B69" w:rsidRPr="000D37F1" w:rsidRDefault="002A5B69" w:rsidP="000F03BC">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Kadangi Kokso proporcingosios rizikos modelis pateikia reikšmes kiek vienam ar kitam rodikliui padidėjus vienetu pasikeičia įvykio rizika, tai šiame tyrime negalime naudoti finansinių rodiklių procentine išraiška, nes gausime neadekvačius rezultatus (</w:t>
      </w:r>
      <w:proofErr w:type="spellStart"/>
      <w:r>
        <w:rPr>
          <w:rFonts w:ascii="Times New Roman" w:hAnsi="Times New Roman" w:cs="Times New Roman"/>
          <w:sz w:val="24"/>
          <w:szCs w:val="24"/>
          <w:lang w:val="lt-LT"/>
        </w:rPr>
        <w:t>pvz</w:t>
      </w:r>
      <w:proofErr w:type="spellEnd"/>
      <w:r>
        <w:rPr>
          <w:rFonts w:ascii="Times New Roman" w:hAnsi="Times New Roman" w:cs="Times New Roman"/>
          <w:sz w:val="24"/>
          <w:szCs w:val="24"/>
          <w:lang w:val="lt-LT"/>
        </w:rPr>
        <w:t>.: neįmanoma, kad investicijų į vertybinius popierius ir turto santykio rodiklis padidėtų vienetu). Taigi s</w:t>
      </w:r>
      <w:r w:rsidRPr="000D37F1">
        <w:rPr>
          <w:rFonts w:ascii="Times New Roman" w:hAnsi="Times New Roman" w:cs="Times New Roman"/>
          <w:sz w:val="24"/>
          <w:szCs w:val="24"/>
          <w:lang w:val="lt-LT"/>
        </w:rPr>
        <w:t xml:space="preserve">iekiant atlikti </w:t>
      </w:r>
      <w:r>
        <w:rPr>
          <w:rFonts w:ascii="Times New Roman" w:hAnsi="Times New Roman" w:cs="Times New Roman"/>
          <w:sz w:val="24"/>
          <w:szCs w:val="24"/>
          <w:lang w:val="lt-LT"/>
        </w:rPr>
        <w:t xml:space="preserve">kuo tikslesnį </w:t>
      </w:r>
      <w:r w:rsidRPr="000D37F1">
        <w:rPr>
          <w:rFonts w:ascii="Times New Roman" w:hAnsi="Times New Roman" w:cs="Times New Roman"/>
          <w:sz w:val="24"/>
          <w:szCs w:val="24"/>
          <w:lang w:val="lt-LT"/>
        </w:rPr>
        <w:t xml:space="preserve">tyrimą ir nustatyti rodiklių reikšmingumą, </w:t>
      </w:r>
      <w:r>
        <w:rPr>
          <w:rFonts w:ascii="Times New Roman" w:hAnsi="Times New Roman" w:cs="Times New Roman"/>
          <w:sz w:val="24"/>
          <w:szCs w:val="24"/>
          <w:lang w:val="lt-LT"/>
        </w:rPr>
        <w:t>rodikliai sugrupuojami</w:t>
      </w:r>
      <w:r w:rsidRPr="000D37F1">
        <w:rPr>
          <w:rFonts w:ascii="Times New Roman" w:hAnsi="Times New Roman" w:cs="Times New Roman"/>
          <w:sz w:val="24"/>
          <w:szCs w:val="24"/>
          <w:lang w:val="lt-LT"/>
        </w:rPr>
        <w:t>. Rod</w:t>
      </w:r>
      <w:r>
        <w:rPr>
          <w:rFonts w:ascii="Times New Roman" w:hAnsi="Times New Roman" w:cs="Times New Roman"/>
          <w:sz w:val="24"/>
          <w:szCs w:val="24"/>
          <w:lang w:val="lt-LT"/>
        </w:rPr>
        <w:t xml:space="preserve">ikliai, </w:t>
      </w:r>
      <w:r w:rsidRPr="000D37F1">
        <w:rPr>
          <w:rFonts w:ascii="Times New Roman" w:hAnsi="Times New Roman" w:cs="Times New Roman"/>
          <w:sz w:val="24"/>
          <w:szCs w:val="24"/>
          <w:lang w:val="lt-LT"/>
        </w:rPr>
        <w:t>kvartil</w:t>
      </w:r>
      <w:r>
        <w:rPr>
          <w:rFonts w:ascii="Times New Roman" w:hAnsi="Times New Roman" w:cs="Times New Roman"/>
          <w:sz w:val="24"/>
          <w:szCs w:val="24"/>
          <w:lang w:val="lt-LT"/>
        </w:rPr>
        <w:t>ių pagalba</w:t>
      </w:r>
      <w:r w:rsidRPr="000D37F1">
        <w:rPr>
          <w:rFonts w:ascii="Times New Roman" w:hAnsi="Times New Roman" w:cs="Times New Roman"/>
          <w:sz w:val="24"/>
          <w:szCs w:val="24"/>
          <w:lang w:val="lt-LT"/>
        </w:rPr>
        <w:t>, kurios dalina variacinę eilutę į keturias lygias dalis</w:t>
      </w:r>
      <w:r>
        <w:rPr>
          <w:rFonts w:ascii="Times New Roman" w:hAnsi="Times New Roman" w:cs="Times New Roman"/>
          <w:sz w:val="24"/>
          <w:szCs w:val="24"/>
          <w:lang w:val="lt-LT"/>
        </w:rPr>
        <w:t>, padalinti atitinkamai nuo mažiausios iki didžiausios reikšmė</w:t>
      </w:r>
      <w:r w:rsidRPr="000D37F1">
        <w:rPr>
          <w:rFonts w:ascii="Times New Roman" w:hAnsi="Times New Roman" w:cs="Times New Roman"/>
          <w:sz w:val="24"/>
          <w:szCs w:val="24"/>
          <w:lang w:val="lt-LT"/>
        </w:rPr>
        <w:t xml:space="preserve"> (1 grupė – atspindi 0-25 proc. atitinkamų metų rodiklio reikšmių, 2 grupė – 26-50 proc., 3 grupė 51-75 proc., 4 grupė – 76-100 proc.).</w:t>
      </w:r>
      <w:r>
        <w:rPr>
          <w:rFonts w:ascii="Times New Roman" w:hAnsi="Times New Roman" w:cs="Times New Roman"/>
          <w:sz w:val="24"/>
          <w:szCs w:val="24"/>
          <w:lang w:val="lt-LT"/>
        </w:rPr>
        <w:t xml:space="preserve"> Kvartilės </w:t>
      </w:r>
      <w:r>
        <w:rPr>
          <w:rFonts w:ascii="Times New Roman" w:hAnsi="Times New Roman" w:cs="Times New Roman"/>
          <w:sz w:val="24"/>
          <w:szCs w:val="24"/>
          <w:lang w:val="lt-LT"/>
        </w:rPr>
        <w:lastRenderedPageBreak/>
        <w:t>skaičiuojamos kiekvienam rodikliui skirtingu laikotarpiu atskirai, nes vidurkis neatspindėtų visos finansinio rodiklio variacijos.</w:t>
      </w:r>
    </w:p>
    <w:p w:rsidR="00130053" w:rsidRPr="000D37F1" w:rsidRDefault="00130053" w:rsidP="00130053">
      <w:pPr>
        <w:spacing w:line="360" w:lineRule="auto"/>
        <w:jc w:val="both"/>
        <w:rPr>
          <w:rFonts w:ascii="Times New Roman" w:hAnsi="Times New Roman" w:cs="Times New Roman"/>
          <w:i/>
          <w:sz w:val="24"/>
          <w:szCs w:val="24"/>
          <w:lang w:val="lt-LT"/>
        </w:rPr>
      </w:pPr>
      <w:r w:rsidRPr="000D37F1">
        <w:rPr>
          <w:rFonts w:ascii="Times New Roman" w:hAnsi="Times New Roman" w:cs="Times New Roman"/>
          <w:i/>
          <w:sz w:val="24"/>
          <w:szCs w:val="24"/>
          <w:lang w:val="lt-LT"/>
        </w:rPr>
        <w:t>Nefinansiniai veiksniai</w:t>
      </w:r>
    </w:p>
    <w:p w:rsidR="009E0626" w:rsidRPr="000D37F1" w:rsidRDefault="009E0626" w:rsidP="009E0626">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Anot V. Boguslausko ir A. Stundžienės (2006), prognozuojant bankroto riziką, svarbu įvertinti kiek įmanoma daugiau įmonės rodiklių tam, kad būtų įvertinta reali tikimybė bankrutuoti. Taip pat šie autoriai teigia, jog kiekviena įmonė turi silpnų ir stiprių savybių, todėl reikia vertinti rodiklių sistemą, o ne atskirus rodiklius. </w:t>
      </w:r>
      <w:r w:rsidR="008A1680" w:rsidRPr="000D37F1">
        <w:rPr>
          <w:rFonts w:ascii="Times New Roman" w:hAnsi="Times New Roman" w:cs="Times New Roman"/>
          <w:sz w:val="24"/>
          <w:szCs w:val="24"/>
          <w:lang w:val="lt-LT"/>
        </w:rPr>
        <w:t>Daugelis autorių, prognozuodami bankų kredito įstaigų mokumo problemas ir prognozuodami jų bankroto tikimybes, į modelį įtraukia makroekonominius rodiklius, kurie nusako rinkos situaciją. Visgi šio tyrimo atveju, makroekonominiai rodikliai būtų vienodi visoms kredito unijoms, todėl nedarytų reikšmingos įtakos jų rizikingumui.</w:t>
      </w:r>
    </w:p>
    <w:p w:rsidR="00130053" w:rsidRPr="000D37F1" w:rsidRDefault="008A1680" w:rsidP="001300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Autorės nuomone, kredito unijų nesėkmių dėsningumai nėra priklausomi tik nuo finansinių rodiklių, nes kaip jau minėta anksčiau, kredito unijos yra pelno nesi</w:t>
      </w:r>
      <w:r w:rsidR="00EC2E4A" w:rsidRPr="000D37F1">
        <w:rPr>
          <w:rFonts w:ascii="Times New Roman" w:hAnsi="Times New Roman" w:cs="Times New Roman"/>
          <w:sz w:val="24"/>
          <w:szCs w:val="24"/>
          <w:lang w:val="lt-LT"/>
        </w:rPr>
        <w:t xml:space="preserve">ekiančios organizacijos, kurių finansiniai rodikliai turėtų būti analizuojami kitaip nei įprastai analizuojami įmonių rodikliai.  Renkant duomenis tyrimui, buvo pastebėta, kad kredito </w:t>
      </w:r>
      <w:proofErr w:type="spellStart"/>
      <w:r w:rsidR="00EC2E4A" w:rsidRPr="000D37F1">
        <w:rPr>
          <w:rFonts w:ascii="Times New Roman" w:hAnsi="Times New Roman" w:cs="Times New Roman"/>
          <w:sz w:val="24"/>
          <w:szCs w:val="24"/>
          <w:lang w:val="lt-LT"/>
        </w:rPr>
        <w:t>kredito</w:t>
      </w:r>
      <w:proofErr w:type="spellEnd"/>
      <w:r w:rsidR="00EC2E4A" w:rsidRPr="000D37F1">
        <w:rPr>
          <w:rFonts w:ascii="Times New Roman" w:hAnsi="Times New Roman" w:cs="Times New Roman"/>
          <w:sz w:val="24"/>
          <w:szCs w:val="24"/>
          <w:lang w:val="lt-LT"/>
        </w:rPr>
        <w:t xml:space="preserve"> unijų nesėkmės gali priklausyti ir nuo </w:t>
      </w:r>
      <w:r w:rsidR="00FE6C20" w:rsidRPr="000D37F1">
        <w:rPr>
          <w:rFonts w:ascii="Times New Roman" w:hAnsi="Times New Roman" w:cs="Times New Roman"/>
          <w:sz w:val="24"/>
          <w:szCs w:val="24"/>
          <w:lang w:val="lt-LT"/>
        </w:rPr>
        <w:t xml:space="preserve">nefinansinių rodiklių, tokių kaip veiklos vieta ir pan. Autorė atrinko galimai </w:t>
      </w:r>
      <w:r w:rsidR="00130053" w:rsidRPr="000D37F1">
        <w:rPr>
          <w:rFonts w:ascii="Times New Roman" w:hAnsi="Times New Roman" w:cs="Times New Roman"/>
          <w:sz w:val="24"/>
          <w:szCs w:val="24"/>
          <w:lang w:val="lt-LT"/>
        </w:rPr>
        <w:t>svarbius papildomus rodiklius, vertinant kredito unijų rizikingumą:</w:t>
      </w:r>
    </w:p>
    <w:p w:rsidR="00130053" w:rsidRPr="000D37F1" w:rsidRDefault="00130053" w:rsidP="00130053">
      <w:pPr>
        <w:pStyle w:val="ListParagraph"/>
        <w:numPr>
          <w:ilvl w:val="0"/>
          <w:numId w:val="22"/>
        </w:numPr>
        <w:spacing w:line="360" w:lineRule="auto"/>
        <w:ind w:left="0" w:firstLine="108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 xml:space="preserve">Kredito unija veikia didžiuosiuose Lietuvos miestuose (apskrities centras –1, kitas miestas – 0). </w:t>
      </w:r>
      <w:r w:rsidRPr="000D37F1">
        <w:rPr>
          <w:rFonts w:ascii="Times New Roman" w:hAnsi="Times New Roman" w:cs="Times New Roman"/>
          <w:sz w:val="24"/>
          <w:szCs w:val="24"/>
          <w:lang w:val="lt-LT"/>
        </w:rPr>
        <w:t>Lietuvos Banko teigimu, dažniausiai nuo klasikinio kredito unijos modelio tolsta tos kredito unijos, kurios įsisteigusios didžiuosiuose miestuose.</w:t>
      </w:r>
    </w:p>
    <w:p w:rsidR="00130053" w:rsidRPr="000D37F1" w:rsidRDefault="00130053" w:rsidP="00130053">
      <w:pPr>
        <w:pStyle w:val="ListParagraph"/>
        <w:numPr>
          <w:ilvl w:val="0"/>
          <w:numId w:val="22"/>
        </w:numPr>
        <w:spacing w:line="360" w:lineRule="auto"/>
        <w:ind w:left="0" w:firstLine="108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t>Kredito unijos priklausomybė Centrinei kredito unijai</w:t>
      </w:r>
      <w:r w:rsidRPr="000D37F1">
        <w:rPr>
          <w:rFonts w:ascii="Times New Roman" w:hAnsi="Times New Roman" w:cs="Times New Roman"/>
          <w:sz w:val="24"/>
          <w:szCs w:val="24"/>
          <w:lang w:val="lt-LT"/>
        </w:rPr>
        <w:t>. Kadangi Centrinė kredito unija atlieka tam tikrą kredito unijų priežiūrą,  konsultuoja kredito unijas, inspektuoja , dalyvauja priimant sprendimus susijusius su kredito unijomis ir pan., tai, autorės nuomone, CKU yra kaip papildomas saugiklis identifikuojant rizikingas kredito unijas. V. Kėdaitis ir E. Žilinskas (2013) atlikę kredito unijų veiklos rizikingumo vertinimą, teigia, kad tikslinga būtų įtraukti savarankiškai veikiančias kredito unijas, nes anksčiau nebuvo skelbiamos viešai finansinės ataskaitos</w:t>
      </w:r>
      <w:r w:rsidRPr="000D37F1">
        <w:rPr>
          <w:rFonts w:ascii="Times New Roman" w:hAnsi="Times New Roman" w:cs="Times New Roman"/>
          <w:i/>
          <w:sz w:val="24"/>
          <w:szCs w:val="24"/>
          <w:lang w:val="lt-LT"/>
        </w:rPr>
        <w:t xml:space="preserve">. </w:t>
      </w:r>
    </w:p>
    <w:p w:rsidR="00130053" w:rsidRPr="000D37F1" w:rsidRDefault="00130053" w:rsidP="00130053">
      <w:pPr>
        <w:pStyle w:val="ListParagraph"/>
        <w:numPr>
          <w:ilvl w:val="0"/>
          <w:numId w:val="22"/>
        </w:numPr>
        <w:spacing w:line="360" w:lineRule="auto"/>
        <w:ind w:left="0" w:firstLine="1080"/>
        <w:jc w:val="both"/>
        <w:rPr>
          <w:rFonts w:ascii="Times New Roman" w:hAnsi="Times New Roman" w:cs="Times New Roman"/>
          <w:sz w:val="24"/>
          <w:szCs w:val="24"/>
          <w:lang w:val="lt-LT"/>
        </w:rPr>
      </w:pPr>
      <w:r w:rsidRPr="000D37F1">
        <w:rPr>
          <w:rFonts w:ascii="Times New Roman" w:hAnsi="Times New Roman" w:cs="Times New Roman"/>
          <w:i/>
          <w:sz w:val="24"/>
          <w:szCs w:val="24"/>
          <w:lang w:val="lt-LT"/>
        </w:rPr>
        <w:lastRenderedPageBreak/>
        <w:t>Gyvavimo laikotarpis (</w:t>
      </w:r>
      <w:r w:rsidRPr="000D37F1">
        <w:rPr>
          <w:rFonts w:ascii="Times New Roman" w:hAnsi="Times New Roman" w:cs="Times New Roman"/>
          <w:sz w:val="24"/>
          <w:szCs w:val="24"/>
          <w:lang w:val="lt-LT"/>
        </w:rPr>
        <w:t>P. Maggiolini ir P. E.  Mistrulli (2005) analizuodami Italijos kooperatinius bankus, teigia, kad naujai įsikūrę institucijos keletą metų pasižymi didesne rizika būti išstumtoms iš rinkos).</w:t>
      </w:r>
    </w:p>
    <w:p w:rsidR="00130053" w:rsidRPr="000D37F1" w:rsidRDefault="00990673" w:rsidP="00BA553D">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Tyrime </w:t>
      </w:r>
      <w:r w:rsidR="008E22E7" w:rsidRPr="000D37F1">
        <w:rPr>
          <w:rFonts w:ascii="Times New Roman" w:hAnsi="Times New Roman" w:cs="Times New Roman"/>
          <w:sz w:val="24"/>
          <w:szCs w:val="24"/>
          <w:lang w:val="lt-LT"/>
        </w:rPr>
        <w:t>naudojamos</w:t>
      </w:r>
      <w:r w:rsidRPr="000D37F1">
        <w:rPr>
          <w:rFonts w:ascii="Times New Roman" w:hAnsi="Times New Roman" w:cs="Times New Roman"/>
          <w:sz w:val="24"/>
          <w:szCs w:val="24"/>
          <w:lang w:val="lt-LT"/>
        </w:rPr>
        <w:t xml:space="preserve"> kredito unijų 2011-2013*</w:t>
      </w:r>
      <w:r w:rsidR="001717AB" w:rsidRPr="000D37F1">
        <w:rPr>
          <w:rFonts w:ascii="Times New Roman" w:hAnsi="Times New Roman" w:cs="Times New Roman"/>
          <w:sz w:val="24"/>
          <w:szCs w:val="24"/>
          <w:lang w:val="lt-LT"/>
        </w:rPr>
        <w:t xml:space="preserve"> metų</w:t>
      </w:r>
      <w:r w:rsidRPr="000D37F1">
        <w:rPr>
          <w:rFonts w:ascii="Times New Roman" w:hAnsi="Times New Roman" w:cs="Times New Roman"/>
          <w:sz w:val="24"/>
          <w:szCs w:val="24"/>
          <w:lang w:val="lt-LT"/>
        </w:rPr>
        <w:t xml:space="preserve"> finansinės ataskaitos (balansai ir pelno (nuostolio) ataskaitos bei aiškinamieji raštai). Finansinės ataskaitos nuo 2013 metų sausio 1 d. Lietuvos Banko sprendimu yra skelbiamos viešai kredito unijų ir jų asociacijos internetiniuose tinklalapiuose. Kadangi kredito unijos praėjusių metų finansines ataskaitos turi paskelbti viešai per keturis mėnesius pasibaigus metams, todėl darbe naudojami Lietuvos Banko paskelbti Pagrindiniai kredito unijų se</w:t>
      </w:r>
      <w:r w:rsidR="001717AB" w:rsidRPr="000D37F1">
        <w:rPr>
          <w:rFonts w:ascii="Times New Roman" w:hAnsi="Times New Roman" w:cs="Times New Roman"/>
          <w:sz w:val="24"/>
          <w:szCs w:val="24"/>
          <w:lang w:val="lt-LT"/>
        </w:rPr>
        <w:t>ktoriaus veiklos rodikliai</w:t>
      </w:r>
      <w:r w:rsidR="009843DD">
        <w:rPr>
          <w:rStyle w:val="FootnoteReference"/>
          <w:rFonts w:ascii="Times New Roman" w:hAnsi="Times New Roman" w:cs="Times New Roman"/>
          <w:sz w:val="24"/>
          <w:szCs w:val="24"/>
          <w:lang w:val="lt-LT"/>
        </w:rPr>
        <w:footnoteReference w:id="5"/>
      </w:r>
      <w:r w:rsidR="001717AB" w:rsidRPr="000D37F1">
        <w:rPr>
          <w:rFonts w:ascii="Times New Roman" w:hAnsi="Times New Roman" w:cs="Times New Roman"/>
          <w:sz w:val="24"/>
          <w:szCs w:val="24"/>
          <w:lang w:val="lt-LT"/>
        </w:rPr>
        <w:t xml:space="preserve">  2013</w:t>
      </w:r>
      <w:r w:rsidR="009843DD">
        <w:rPr>
          <w:rFonts w:ascii="Times New Roman" w:hAnsi="Times New Roman" w:cs="Times New Roman"/>
          <w:sz w:val="24"/>
          <w:szCs w:val="24"/>
          <w:lang w:val="lt-LT"/>
        </w:rPr>
        <w:t xml:space="preserve"> </w:t>
      </w:r>
      <w:proofErr w:type="spellStart"/>
      <w:r w:rsidRPr="000D37F1">
        <w:rPr>
          <w:rFonts w:ascii="Times New Roman" w:hAnsi="Times New Roman" w:cs="Times New Roman"/>
          <w:sz w:val="24"/>
          <w:szCs w:val="24"/>
          <w:lang w:val="lt-LT"/>
        </w:rPr>
        <w:t>m</w:t>
      </w:r>
      <w:proofErr w:type="spellEnd"/>
      <w:r w:rsidRPr="000D37F1">
        <w:rPr>
          <w:rFonts w:ascii="Times New Roman" w:hAnsi="Times New Roman" w:cs="Times New Roman"/>
          <w:sz w:val="24"/>
          <w:szCs w:val="24"/>
          <w:lang w:val="lt-LT"/>
        </w:rPr>
        <w:t xml:space="preserve">. </w:t>
      </w:r>
      <w:r w:rsidR="001717AB" w:rsidRPr="000D37F1">
        <w:rPr>
          <w:rFonts w:ascii="Times New Roman" w:hAnsi="Times New Roman" w:cs="Times New Roman"/>
          <w:sz w:val="24"/>
          <w:szCs w:val="24"/>
          <w:lang w:val="lt-LT"/>
        </w:rPr>
        <w:t>gruodžio</w:t>
      </w:r>
      <w:r w:rsidRPr="000D37F1">
        <w:rPr>
          <w:rFonts w:ascii="Times New Roman" w:hAnsi="Times New Roman" w:cs="Times New Roman"/>
          <w:sz w:val="24"/>
          <w:szCs w:val="24"/>
          <w:lang w:val="lt-LT"/>
        </w:rPr>
        <w:t xml:space="preserve"> 3</w:t>
      </w:r>
      <w:r w:rsidR="001717AB" w:rsidRPr="000D37F1">
        <w:rPr>
          <w:rFonts w:ascii="Times New Roman" w:hAnsi="Times New Roman" w:cs="Times New Roman"/>
          <w:sz w:val="24"/>
          <w:szCs w:val="24"/>
          <w:lang w:val="lt-LT"/>
        </w:rPr>
        <w:t>1</w:t>
      </w:r>
      <w:r w:rsidRPr="000D37F1">
        <w:rPr>
          <w:rFonts w:ascii="Times New Roman" w:hAnsi="Times New Roman" w:cs="Times New Roman"/>
          <w:sz w:val="24"/>
          <w:szCs w:val="24"/>
          <w:lang w:val="lt-LT"/>
        </w:rPr>
        <w:t xml:space="preserve"> dienai, duomenys apie įspėjimus kredito unijoms – Lietuvos Banko </w:t>
      </w:r>
      <w:r w:rsidR="008E22E7" w:rsidRPr="000D37F1">
        <w:rPr>
          <w:rFonts w:ascii="Times New Roman" w:hAnsi="Times New Roman" w:cs="Times New Roman"/>
          <w:sz w:val="24"/>
          <w:szCs w:val="24"/>
          <w:lang w:val="lt-LT"/>
        </w:rPr>
        <w:t>internetiniame</w:t>
      </w:r>
      <w:r w:rsidRPr="000D37F1">
        <w:rPr>
          <w:rFonts w:ascii="Times New Roman" w:hAnsi="Times New Roman" w:cs="Times New Roman"/>
          <w:sz w:val="24"/>
          <w:szCs w:val="24"/>
          <w:lang w:val="lt-LT"/>
        </w:rPr>
        <w:t xml:space="preserve"> tinklalapyje. Tyrime naudojami ne tik Centrinei Kredito unijai priklausančių kredito unijų duomenys, bet ir tų kredito unijų, kurios veikia savarankiškai. </w:t>
      </w:r>
    </w:p>
    <w:p w:rsidR="00990673" w:rsidRPr="000D37F1" w:rsidRDefault="00AC220F" w:rsidP="00130053">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Renkant duomenis, pastebėta, jog tos kredito unijos, kurios nepriklauso Kredito unijų tinklui </w:t>
      </w:r>
      <w:r w:rsidR="004244FD" w:rsidRPr="000D37F1">
        <w:rPr>
          <w:rFonts w:ascii="Times New Roman" w:hAnsi="Times New Roman" w:cs="Times New Roman"/>
          <w:sz w:val="24"/>
          <w:szCs w:val="24"/>
          <w:lang w:val="lt-LT"/>
        </w:rPr>
        <w:t xml:space="preserve">viešai </w:t>
      </w:r>
      <w:r w:rsidRPr="000D37F1">
        <w:rPr>
          <w:rFonts w:ascii="Times New Roman" w:hAnsi="Times New Roman" w:cs="Times New Roman"/>
          <w:sz w:val="24"/>
          <w:szCs w:val="24"/>
          <w:lang w:val="lt-LT"/>
        </w:rPr>
        <w:t xml:space="preserve">nėra pateikę </w:t>
      </w:r>
      <w:r w:rsidR="004244FD" w:rsidRPr="000D37F1">
        <w:rPr>
          <w:rFonts w:ascii="Times New Roman" w:hAnsi="Times New Roman" w:cs="Times New Roman"/>
          <w:sz w:val="24"/>
          <w:szCs w:val="24"/>
          <w:lang w:val="lt-LT"/>
        </w:rPr>
        <w:t xml:space="preserve">išsamių finansinių ataskaitų. </w:t>
      </w:r>
      <w:r w:rsidR="00990673" w:rsidRPr="000D37F1">
        <w:rPr>
          <w:rFonts w:ascii="Times New Roman" w:hAnsi="Times New Roman" w:cs="Times New Roman"/>
          <w:sz w:val="24"/>
          <w:szCs w:val="24"/>
          <w:lang w:val="lt-LT"/>
        </w:rPr>
        <w:t>Tyrime nenaudojami tų kredito unijų duomenys, kurios veiklą pradėjo analizuojamu laikotarpiu. Kadangi 2014 m. sausio 1 d. veikė 75 kredito unijos,</w:t>
      </w:r>
      <w:r w:rsidR="004244FD" w:rsidRPr="000D37F1">
        <w:rPr>
          <w:rFonts w:ascii="Times New Roman" w:hAnsi="Times New Roman" w:cs="Times New Roman"/>
          <w:sz w:val="24"/>
          <w:szCs w:val="24"/>
          <w:lang w:val="lt-LT"/>
        </w:rPr>
        <w:t xml:space="preserve"> tai tyrime naudojami 70 kredito unijų duomenys (tame skaičiuje ir bankrutavusios kredito unijos).</w:t>
      </w:r>
      <w:r w:rsidR="00BA553D" w:rsidRPr="000D37F1">
        <w:rPr>
          <w:rFonts w:ascii="Times New Roman" w:hAnsi="Times New Roman" w:cs="Times New Roman"/>
          <w:sz w:val="24"/>
          <w:szCs w:val="24"/>
          <w:lang w:val="lt-LT"/>
        </w:rPr>
        <w:t xml:space="preserve"> Šiame darbe, tyrimo imtis formuojama nepilnai laikantis atsitiktinumo principo pagal tikslines grupes dėl rizikos, kad atsitiktinai renkantis kredito unijas gali į imtį nepatekti bankrutavusios kredito unijos. Į tyrimo imtį įtraukiamos visos kredito unijos, kurių kurios veiklą pradėjo iki tiriamojo laikotarpio pradžios (63 – priklausančių CKU tinklui ir 7 savarankiškai veikiančių). </w:t>
      </w:r>
    </w:p>
    <w:p w:rsidR="00DB6C63" w:rsidRPr="000D37F1" w:rsidRDefault="00DB6C63" w:rsidP="00EB5D29">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Anot </w:t>
      </w:r>
      <w:proofErr w:type="spellStart"/>
      <w:r w:rsidRPr="000D37F1">
        <w:rPr>
          <w:rFonts w:ascii="Times New Roman" w:hAnsi="Times New Roman" w:cs="Times New Roman"/>
          <w:sz w:val="24"/>
          <w:szCs w:val="24"/>
          <w:lang w:val="lt-LT"/>
        </w:rPr>
        <w:t>Whalen</w:t>
      </w:r>
      <w:proofErr w:type="spellEnd"/>
      <w:r w:rsidRPr="000D37F1">
        <w:rPr>
          <w:rFonts w:ascii="Times New Roman" w:hAnsi="Times New Roman" w:cs="Times New Roman"/>
          <w:sz w:val="24"/>
          <w:szCs w:val="24"/>
          <w:lang w:val="lt-LT"/>
        </w:rPr>
        <w:t xml:space="preserve"> (1991), Kokso proporcingos rizikos modelis gali būti dviejų versijų. Pirmoji versija vadinama vienų metų modeliu, jis skirtas prognozuoti tikimybei, kad bankas su tam tikrų charakteristikų rinkiniu, išliks ilgiau nei 12 mėnesius. Kita versija vadinama dviejų metų modeliu, iš leidžia prognozuoti išlikimo tikimybę nuo 12 iki 24 mėnesių.  Anot R. </w:t>
      </w:r>
      <w:proofErr w:type="spellStart"/>
      <w:r w:rsidRPr="000D37F1">
        <w:rPr>
          <w:rFonts w:ascii="Times New Roman" w:hAnsi="Times New Roman" w:cs="Times New Roman"/>
          <w:sz w:val="24"/>
          <w:szCs w:val="24"/>
          <w:lang w:val="lt-LT"/>
        </w:rPr>
        <w:t>Lebedžinskaitės</w:t>
      </w:r>
      <w:proofErr w:type="spellEnd"/>
      <w:r w:rsidRPr="000D37F1">
        <w:rPr>
          <w:rFonts w:ascii="Times New Roman" w:hAnsi="Times New Roman" w:cs="Times New Roman"/>
          <w:sz w:val="24"/>
          <w:szCs w:val="24"/>
          <w:lang w:val="lt-LT"/>
        </w:rPr>
        <w:t xml:space="preserve"> (2007), įmonių nemokumo modelis yra tuo tikslesnis, kuo mažesnis yra parenkamas prognozavimo laikotarpis. </w:t>
      </w:r>
      <w:r w:rsidR="00F00EF3" w:rsidRPr="000D37F1">
        <w:rPr>
          <w:rFonts w:ascii="Times New Roman" w:hAnsi="Times New Roman" w:cs="Times New Roman"/>
          <w:sz w:val="24"/>
          <w:szCs w:val="24"/>
          <w:lang w:val="lt-LT"/>
        </w:rPr>
        <w:t>Todėl šiame darbe prognozavimui pasirinktas 12 mėnesių laikotarpis.</w:t>
      </w:r>
    </w:p>
    <w:p w:rsidR="00FA0E5C" w:rsidRDefault="00FA0E5C" w:rsidP="00FE6C20">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Atliekant tyrimą, pastebėtas pagrindinis šio modelio trūkumas -  pilnų stebėjimų (</w:t>
      </w:r>
      <w:proofErr w:type="spellStart"/>
      <w:r>
        <w:rPr>
          <w:rFonts w:ascii="Times New Roman" w:hAnsi="Times New Roman" w:cs="Times New Roman"/>
          <w:sz w:val="24"/>
          <w:szCs w:val="24"/>
          <w:lang w:val="lt-LT"/>
        </w:rPr>
        <w:t>pvz</w:t>
      </w:r>
      <w:proofErr w:type="spellEnd"/>
      <w:r>
        <w:rPr>
          <w:rFonts w:ascii="Times New Roman" w:hAnsi="Times New Roman" w:cs="Times New Roman"/>
          <w:sz w:val="24"/>
          <w:szCs w:val="24"/>
          <w:lang w:val="lt-LT"/>
        </w:rPr>
        <w:t xml:space="preserve">.: bankrotų) skaičius, kuris  turi būti pakankamai didelis (virš 20 </w:t>
      </w:r>
      <w:proofErr w:type="spellStart"/>
      <w:r>
        <w:rPr>
          <w:rFonts w:ascii="Times New Roman" w:hAnsi="Times New Roman" w:cs="Times New Roman"/>
          <w:sz w:val="24"/>
          <w:szCs w:val="24"/>
          <w:lang w:val="lt-LT"/>
        </w:rPr>
        <w:t>proc</w:t>
      </w:r>
      <w:proofErr w:type="spellEnd"/>
      <w:r>
        <w:rPr>
          <w:rFonts w:ascii="Times New Roman" w:hAnsi="Times New Roman" w:cs="Times New Roman"/>
          <w:sz w:val="24"/>
          <w:szCs w:val="24"/>
          <w:lang w:val="lt-LT"/>
        </w:rPr>
        <w:t xml:space="preserve">. visos imties), tam, kad modelį būtų galima taikyti ir jis generuotų tam tikrus rezultatus. Tuo tarpu Lietuvoje per tyrimo laikotarpį bankrutavo tik 6 </w:t>
      </w:r>
      <w:proofErr w:type="spellStart"/>
      <w:r>
        <w:rPr>
          <w:rFonts w:ascii="Times New Roman" w:hAnsi="Times New Roman" w:cs="Times New Roman"/>
          <w:sz w:val="24"/>
          <w:szCs w:val="24"/>
          <w:lang w:val="lt-LT"/>
        </w:rPr>
        <w:t>proc</w:t>
      </w:r>
      <w:proofErr w:type="spellEnd"/>
      <w:r>
        <w:rPr>
          <w:rFonts w:ascii="Times New Roman" w:hAnsi="Times New Roman" w:cs="Times New Roman"/>
          <w:sz w:val="24"/>
          <w:szCs w:val="24"/>
          <w:lang w:val="lt-LT"/>
        </w:rPr>
        <w:t>. kredito unijų</w:t>
      </w:r>
      <w:r w:rsidRPr="000D37F1">
        <w:rPr>
          <w:rFonts w:ascii="Times New Roman" w:hAnsi="Times New Roman" w:cs="Times New Roman"/>
          <w:sz w:val="24"/>
          <w:szCs w:val="24"/>
          <w:lang w:val="lt-LT"/>
        </w:rPr>
        <w:t xml:space="preserve">.  </w:t>
      </w:r>
      <w:r w:rsidR="00AD40F6" w:rsidRPr="000D37F1">
        <w:rPr>
          <w:rFonts w:ascii="Times New Roman" w:hAnsi="Times New Roman" w:cs="Times New Roman"/>
          <w:sz w:val="24"/>
          <w:szCs w:val="24"/>
          <w:lang w:val="lt-LT"/>
        </w:rPr>
        <w:t>Dėl</w:t>
      </w:r>
      <w:r w:rsidR="00130053" w:rsidRPr="000D37F1">
        <w:rPr>
          <w:rFonts w:ascii="Times New Roman" w:hAnsi="Times New Roman" w:cs="Times New Roman"/>
          <w:sz w:val="24"/>
          <w:szCs w:val="24"/>
          <w:lang w:val="lt-LT"/>
        </w:rPr>
        <w:t xml:space="preserve"> šios priežasties</w:t>
      </w:r>
      <w:r w:rsidR="00FE6C20" w:rsidRPr="000D37F1">
        <w:rPr>
          <w:rFonts w:ascii="Times New Roman" w:hAnsi="Times New Roman" w:cs="Times New Roman"/>
          <w:sz w:val="24"/>
          <w:szCs w:val="24"/>
          <w:lang w:val="lt-LT"/>
        </w:rPr>
        <w:t xml:space="preserve"> </w:t>
      </w:r>
      <w:r w:rsidR="001717AB" w:rsidRPr="000D37F1">
        <w:rPr>
          <w:rFonts w:ascii="Times New Roman" w:hAnsi="Times New Roman" w:cs="Times New Roman"/>
          <w:sz w:val="24"/>
          <w:szCs w:val="24"/>
          <w:lang w:val="lt-LT"/>
        </w:rPr>
        <w:t>būtina į tyrimą įtraukti papildomą kriterijų, kuris identifikuotų problemines kredito unijas.</w:t>
      </w:r>
    </w:p>
    <w:p w:rsidR="00FA0D12" w:rsidRDefault="001717AB" w:rsidP="00FA0D12">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 </w:t>
      </w:r>
      <w:r w:rsidR="00130053" w:rsidRPr="000D37F1">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Pasak Ragalevsky S.V. (2009), kai kuriose šalyse ba</w:t>
      </w:r>
      <w:r w:rsidR="00130053" w:rsidRPr="000D37F1">
        <w:rPr>
          <w:rFonts w:ascii="Times New Roman" w:hAnsi="Times New Roman" w:cs="Times New Roman"/>
          <w:sz w:val="24"/>
          <w:szCs w:val="24"/>
          <w:lang w:val="lt-LT"/>
        </w:rPr>
        <w:t>nkas laikomas nemokiu kai krit</w:t>
      </w:r>
      <w:r w:rsidRPr="000D37F1">
        <w:rPr>
          <w:rFonts w:ascii="Times New Roman" w:hAnsi="Times New Roman" w:cs="Times New Roman"/>
          <w:sz w:val="24"/>
          <w:szCs w:val="24"/>
          <w:lang w:val="lt-LT"/>
        </w:rPr>
        <w:t xml:space="preserve">inė kapitalizacija yra mažesnė nei 2 proc. (pajinio kapitalo ir turto santykis), bet </w:t>
      </w:r>
      <w:r w:rsidR="00130053" w:rsidRPr="000D37F1">
        <w:rPr>
          <w:rFonts w:ascii="Times New Roman" w:hAnsi="Times New Roman" w:cs="Times New Roman"/>
          <w:sz w:val="24"/>
          <w:szCs w:val="24"/>
          <w:lang w:val="lt-LT"/>
        </w:rPr>
        <w:t>kredito įstaiga yra moki</w:t>
      </w:r>
      <w:r w:rsidRPr="000D37F1">
        <w:rPr>
          <w:rFonts w:ascii="Times New Roman" w:hAnsi="Times New Roman" w:cs="Times New Roman"/>
          <w:sz w:val="24"/>
          <w:szCs w:val="24"/>
          <w:lang w:val="lt-LT"/>
        </w:rPr>
        <w:t xml:space="preserve"> pagal buhalterinę vertę arba likvidumo rodiklį.</w:t>
      </w:r>
      <w:r w:rsidR="005F11A3" w:rsidRPr="000D37F1">
        <w:rPr>
          <w:rFonts w:ascii="Times New Roman" w:hAnsi="Times New Roman" w:cs="Times New Roman"/>
          <w:sz w:val="24"/>
          <w:szCs w:val="24"/>
          <w:lang w:val="lt-LT"/>
        </w:rPr>
        <w:t xml:space="preserve"> Kredito unijų atveju pavojaus signalas yra mažesnė nei 6 proc. kapitalizacija, tačiau atlikus skaičiavimus nustatyta, jog šis rodiklis neidentifikuoja didelės rizikos kredito unijų (</w:t>
      </w:r>
      <w:r w:rsidR="00FE6C20" w:rsidRPr="000D37F1">
        <w:rPr>
          <w:rFonts w:ascii="Times New Roman" w:hAnsi="Times New Roman" w:cs="Times New Roman"/>
          <w:sz w:val="24"/>
          <w:szCs w:val="24"/>
          <w:lang w:val="lt-LT"/>
        </w:rPr>
        <w:t xml:space="preserve">pvz.: </w:t>
      </w:r>
      <w:r w:rsidR="005F11A3" w:rsidRPr="000D37F1">
        <w:rPr>
          <w:rFonts w:ascii="Times New Roman" w:hAnsi="Times New Roman" w:cs="Times New Roman"/>
          <w:sz w:val="24"/>
          <w:szCs w:val="24"/>
          <w:lang w:val="lt-LT"/>
        </w:rPr>
        <w:t>tų, kurios analizuojamu laikotarpiu bankrutavo).</w:t>
      </w:r>
      <w:r w:rsidR="00FE6C20" w:rsidRPr="000D37F1">
        <w:rPr>
          <w:rFonts w:ascii="Times New Roman" w:hAnsi="Times New Roman" w:cs="Times New Roman"/>
          <w:sz w:val="24"/>
          <w:szCs w:val="24"/>
          <w:lang w:val="lt-LT"/>
        </w:rPr>
        <w:t xml:space="preserve"> </w:t>
      </w:r>
      <w:r w:rsidR="00250D9B" w:rsidRPr="000D37F1">
        <w:rPr>
          <w:rFonts w:ascii="Times New Roman" w:hAnsi="Times New Roman" w:cs="Times New Roman"/>
          <w:sz w:val="24"/>
          <w:szCs w:val="24"/>
          <w:lang w:val="lt-LT"/>
        </w:rPr>
        <w:t xml:space="preserve">Taip pat analizuojamu atveju pastebėta, jog žemą kritinės kapitalizacijos rodiklį turinčios kredito unijos veikia pelningai ir vykdo visus Lietuvos Banko nustatytus veiklos riziką ribojančius normatyvus. </w:t>
      </w:r>
      <w:r w:rsidR="002D43FB" w:rsidRPr="000D37F1">
        <w:rPr>
          <w:rFonts w:ascii="Times New Roman" w:hAnsi="Times New Roman" w:cs="Times New Roman"/>
          <w:sz w:val="24"/>
          <w:szCs w:val="24"/>
          <w:lang w:val="lt-LT"/>
        </w:rPr>
        <w:t xml:space="preserve">Šiuo rodikliu nereikėtų pasitikėti ir dėl to, kad finansinėse ataskaitose atsispindi </w:t>
      </w:r>
      <w:r w:rsidR="00140887">
        <w:rPr>
          <w:rFonts w:ascii="Times New Roman" w:hAnsi="Times New Roman" w:cs="Times New Roman"/>
          <w:sz w:val="24"/>
          <w:szCs w:val="24"/>
          <w:lang w:val="lt-LT"/>
        </w:rPr>
        <w:t xml:space="preserve">tie </w:t>
      </w:r>
      <w:r w:rsidR="002D43FB" w:rsidRPr="000D37F1">
        <w:rPr>
          <w:rFonts w:ascii="Times New Roman" w:hAnsi="Times New Roman" w:cs="Times New Roman"/>
          <w:sz w:val="24"/>
          <w:szCs w:val="24"/>
          <w:lang w:val="lt-LT"/>
        </w:rPr>
        <w:t xml:space="preserve">grynieji pinigai, </w:t>
      </w:r>
      <w:r w:rsidR="00140887">
        <w:rPr>
          <w:rFonts w:ascii="Times New Roman" w:hAnsi="Times New Roman" w:cs="Times New Roman"/>
          <w:sz w:val="24"/>
          <w:szCs w:val="24"/>
          <w:lang w:val="lt-LT"/>
        </w:rPr>
        <w:t xml:space="preserve">kurie </w:t>
      </w:r>
      <w:r w:rsidR="002D43FB" w:rsidRPr="000D37F1">
        <w:rPr>
          <w:rFonts w:ascii="Times New Roman" w:hAnsi="Times New Roman" w:cs="Times New Roman"/>
          <w:sz w:val="24"/>
          <w:szCs w:val="24"/>
          <w:lang w:val="lt-LT"/>
        </w:rPr>
        <w:t>turimi p</w:t>
      </w:r>
      <w:r w:rsidR="00FE6C20" w:rsidRPr="000D37F1">
        <w:rPr>
          <w:rFonts w:ascii="Times New Roman" w:hAnsi="Times New Roman" w:cs="Times New Roman"/>
          <w:sz w:val="24"/>
          <w:szCs w:val="24"/>
          <w:lang w:val="lt-LT"/>
        </w:rPr>
        <w:t>askutinę finansinių metų dieną</w:t>
      </w:r>
      <w:r w:rsidR="00140887">
        <w:rPr>
          <w:rFonts w:ascii="Times New Roman" w:hAnsi="Times New Roman" w:cs="Times New Roman"/>
          <w:sz w:val="24"/>
          <w:szCs w:val="24"/>
          <w:lang w:val="lt-LT"/>
        </w:rPr>
        <w:t xml:space="preserve"> banko sąskaitose ar kasoje</w:t>
      </w:r>
      <w:r w:rsidR="00FE6C20" w:rsidRPr="000D37F1">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Taip pat </w:t>
      </w:r>
      <w:r w:rsidR="00130053" w:rsidRPr="000D37F1">
        <w:rPr>
          <w:rFonts w:ascii="Times New Roman" w:hAnsi="Times New Roman" w:cs="Times New Roman"/>
          <w:sz w:val="24"/>
          <w:szCs w:val="24"/>
          <w:lang w:val="lt-LT"/>
        </w:rPr>
        <w:t xml:space="preserve">daugelis mokslinių straipsnių autorių bei praktikų pritaria, jog </w:t>
      </w:r>
      <w:r w:rsidRPr="000D37F1">
        <w:rPr>
          <w:rFonts w:ascii="Times New Roman" w:hAnsi="Times New Roman" w:cs="Times New Roman"/>
          <w:sz w:val="24"/>
          <w:szCs w:val="24"/>
          <w:lang w:val="lt-LT"/>
        </w:rPr>
        <w:t>vienas iš probleminės kredito įstaigos požymių – didesnės nei vidutinės palūkanos už indėlius, tai rodo, k</w:t>
      </w:r>
      <w:r w:rsidR="00130053" w:rsidRPr="000D37F1">
        <w:rPr>
          <w:rFonts w:ascii="Times New Roman" w:hAnsi="Times New Roman" w:cs="Times New Roman"/>
          <w:sz w:val="24"/>
          <w:szCs w:val="24"/>
          <w:lang w:val="lt-LT"/>
        </w:rPr>
        <w:t>ad kredito unija</w:t>
      </w:r>
      <w:r w:rsidRPr="000D37F1">
        <w:rPr>
          <w:rFonts w:ascii="Times New Roman" w:hAnsi="Times New Roman" w:cs="Times New Roman"/>
          <w:sz w:val="24"/>
          <w:szCs w:val="24"/>
          <w:lang w:val="lt-LT"/>
        </w:rPr>
        <w:t xml:space="preserve"> yra pasiruošusi</w:t>
      </w:r>
      <w:r w:rsidR="00130053" w:rsidRPr="000D37F1">
        <w:rPr>
          <w:rFonts w:ascii="Times New Roman" w:hAnsi="Times New Roman" w:cs="Times New Roman"/>
          <w:sz w:val="24"/>
          <w:szCs w:val="24"/>
          <w:lang w:val="lt-LT"/>
        </w:rPr>
        <w:t xml:space="preserve"> brangiau skolintis už kitas kredito įstaigas.</w:t>
      </w:r>
      <w:r w:rsidR="00FE6C20" w:rsidRPr="000D37F1">
        <w:rPr>
          <w:rFonts w:ascii="Times New Roman" w:hAnsi="Times New Roman" w:cs="Times New Roman"/>
          <w:sz w:val="24"/>
          <w:szCs w:val="24"/>
          <w:lang w:val="lt-LT"/>
        </w:rPr>
        <w:t xml:space="preserve"> </w:t>
      </w:r>
      <w:r w:rsidR="00FE6C20" w:rsidRPr="009C7A7A">
        <w:rPr>
          <w:rFonts w:ascii="Times New Roman" w:hAnsi="Times New Roman" w:cs="Times New Roman"/>
          <w:sz w:val="24"/>
          <w:szCs w:val="24"/>
          <w:lang w:val="lt-LT"/>
        </w:rPr>
        <w:t>Pagal šį rodiklį pirmauja Centrinei kredito unijai nepriklausančios kredito unijos</w:t>
      </w:r>
      <w:r w:rsidR="00FE6C20" w:rsidRPr="000D37F1">
        <w:rPr>
          <w:rFonts w:ascii="Times New Roman" w:hAnsi="Times New Roman" w:cs="Times New Roman"/>
          <w:sz w:val="24"/>
          <w:szCs w:val="24"/>
          <w:lang w:val="lt-LT"/>
        </w:rPr>
        <w:t xml:space="preserve">, tačiau </w:t>
      </w:r>
      <w:r w:rsidR="00140887">
        <w:rPr>
          <w:rFonts w:ascii="Times New Roman" w:hAnsi="Times New Roman" w:cs="Times New Roman"/>
          <w:sz w:val="24"/>
          <w:szCs w:val="24"/>
          <w:lang w:val="lt-LT"/>
        </w:rPr>
        <w:t>pastarasis</w:t>
      </w:r>
      <w:r w:rsidR="00FE6C20" w:rsidRPr="000D37F1">
        <w:rPr>
          <w:rFonts w:ascii="Times New Roman" w:hAnsi="Times New Roman" w:cs="Times New Roman"/>
          <w:sz w:val="24"/>
          <w:szCs w:val="24"/>
          <w:lang w:val="lt-LT"/>
        </w:rPr>
        <w:t xml:space="preserve"> rodiklis neįtraukiamas dėl anksčiau pristatyto </w:t>
      </w:r>
      <w:r w:rsidR="00833893" w:rsidRPr="000D37F1">
        <w:rPr>
          <w:rFonts w:ascii="Times New Roman" w:hAnsi="Times New Roman" w:cs="Times New Roman"/>
          <w:sz w:val="24"/>
          <w:szCs w:val="24"/>
          <w:lang w:val="lt-LT"/>
        </w:rPr>
        <w:t>kriterijaus</w:t>
      </w:r>
      <w:r w:rsidR="00FE6C20" w:rsidRPr="000D37F1">
        <w:rPr>
          <w:rFonts w:ascii="Times New Roman" w:hAnsi="Times New Roman" w:cs="Times New Roman"/>
          <w:sz w:val="24"/>
          <w:szCs w:val="24"/>
          <w:lang w:val="lt-LT"/>
        </w:rPr>
        <w:t xml:space="preserve"> (priklausymas Centrinės kredito unijos tinklui).</w:t>
      </w:r>
    </w:p>
    <w:p w:rsidR="00AE5E3A" w:rsidRPr="00FA0D12" w:rsidRDefault="00FA0D12" w:rsidP="00FA0D12">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w:t>
      </w:r>
      <w:r w:rsidR="00FE6C20" w:rsidRPr="000D37F1">
        <w:rPr>
          <w:rFonts w:ascii="Times New Roman" w:hAnsi="Times New Roman" w:cs="Times New Roman"/>
          <w:sz w:val="24"/>
          <w:szCs w:val="24"/>
          <w:lang w:val="lt-LT"/>
        </w:rPr>
        <w:t xml:space="preserve">izikingas kredito unijas tinkamai </w:t>
      </w:r>
      <w:r w:rsidR="00140887">
        <w:rPr>
          <w:rFonts w:ascii="Times New Roman" w:hAnsi="Times New Roman" w:cs="Times New Roman"/>
          <w:sz w:val="24"/>
          <w:szCs w:val="24"/>
          <w:lang w:val="lt-LT"/>
        </w:rPr>
        <w:t xml:space="preserve">galėtų </w:t>
      </w:r>
      <w:r w:rsidR="00FE6C20" w:rsidRPr="000D37F1">
        <w:rPr>
          <w:rFonts w:ascii="Times New Roman" w:hAnsi="Times New Roman" w:cs="Times New Roman"/>
          <w:sz w:val="24"/>
          <w:szCs w:val="24"/>
          <w:lang w:val="lt-LT"/>
        </w:rPr>
        <w:t>atspind</w:t>
      </w:r>
      <w:r w:rsidR="00140887">
        <w:rPr>
          <w:rFonts w:ascii="Times New Roman" w:hAnsi="Times New Roman" w:cs="Times New Roman"/>
          <w:sz w:val="24"/>
          <w:szCs w:val="24"/>
          <w:lang w:val="lt-LT"/>
        </w:rPr>
        <w:t>ėti</w:t>
      </w:r>
      <w:r w:rsidR="00FE6C20" w:rsidRPr="000D37F1">
        <w:rPr>
          <w:rFonts w:ascii="Times New Roman" w:hAnsi="Times New Roman" w:cs="Times New Roman"/>
          <w:sz w:val="24"/>
          <w:szCs w:val="24"/>
          <w:lang w:val="lt-LT"/>
        </w:rPr>
        <w:t xml:space="preserve"> tiriamuoju laikotarpiu Lietuvos banko taikyti </w:t>
      </w:r>
      <w:r w:rsidR="00584E76">
        <w:rPr>
          <w:rFonts w:ascii="Times New Roman" w:hAnsi="Times New Roman" w:cs="Times New Roman"/>
          <w:sz w:val="24"/>
          <w:szCs w:val="24"/>
          <w:lang w:val="lt-LT"/>
        </w:rPr>
        <w:t xml:space="preserve">poveikio priemonės kredito unijoms, t.y. </w:t>
      </w:r>
      <w:r w:rsidR="00FE6C20" w:rsidRPr="000D37F1">
        <w:rPr>
          <w:rFonts w:ascii="Times New Roman" w:hAnsi="Times New Roman" w:cs="Times New Roman"/>
          <w:sz w:val="24"/>
          <w:szCs w:val="24"/>
          <w:lang w:val="lt-LT"/>
        </w:rPr>
        <w:t>veiklos</w:t>
      </w:r>
      <w:r w:rsidR="00140887">
        <w:rPr>
          <w:rFonts w:ascii="Times New Roman" w:hAnsi="Times New Roman" w:cs="Times New Roman"/>
          <w:sz w:val="24"/>
          <w:szCs w:val="24"/>
          <w:lang w:val="lt-LT"/>
        </w:rPr>
        <w:t xml:space="preserve"> apribojimai ir skirtos baudos. Pastarųjų </w:t>
      </w:r>
      <w:r w:rsidR="00140887" w:rsidRPr="00140887">
        <w:rPr>
          <w:rFonts w:ascii="Times New Roman" w:hAnsi="Times New Roman" w:cs="Times New Roman"/>
          <w:sz w:val="24"/>
          <w:szCs w:val="24"/>
          <w:lang w:val="lt-LT"/>
        </w:rPr>
        <w:t>taikymo pagrindai pristatyti šio darbo 1.2. poskyryje, informacija apie tas kredito unijos</w:t>
      </w:r>
      <w:r w:rsidR="00140887">
        <w:rPr>
          <w:rFonts w:ascii="Times New Roman" w:hAnsi="Times New Roman" w:cs="Times New Roman"/>
          <w:sz w:val="24"/>
          <w:szCs w:val="24"/>
          <w:lang w:val="lt-LT"/>
        </w:rPr>
        <w:t xml:space="preserve">, kurioms taikytos / taikomos poveikio priemonės, skelbiama </w:t>
      </w:r>
      <w:r w:rsidR="00140887" w:rsidRPr="007D4548">
        <w:rPr>
          <w:rFonts w:ascii="Times New Roman" w:hAnsi="Times New Roman" w:cs="Times New Roman"/>
          <w:sz w:val="24"/>
          <w:szCs w:val="24"/>
          <w:lang w:val="lt-LT"/>
        </w:rPr>
        <w:t>Lietuvos banko tinklalapyje.</w:t>
      </w:r>
    </w:p>
    <w:p w:rsidR="0015590E" w:rsidRPr="00FA0D12" w:rsidRDefault="00804783" w:rsidP="00FA0D12">
      <w:pPr>
        <w:spacing w:line="360" w:lineRule="auto"/>
        <w:ind w:firstLine="720"/>
        <w:jc w:val="both"/>
        <w:rPr>
          <w:rFonts w:ascii="Times New Roman" w:hAnsi="Times New Roman" w:cs="Times New Roman"/>
          <w:b/>
          <w:sz w:val="28"/>
          <w:szCs w:val="28"/>
        </w:rPr>
      </w:pPr>
      <w:r>
        <w:rPr>
          <w:rFonts w:ascii="Times New Roman" w:hAnsi="Times New Roman" w:cs="Times New Roman"/>
          <w:sz w:val="24"/>
          <w:szCs w:val="24"/>
          <w:lang w:val="lt-LT"/>
        </w:rPr>
        <w:t>Taigi s</w:t>
      </w:r>
      <w:r w:rsidR="002352FD" w:rsidRPr="00140887">
        <w:rPr>
          <w:rFonts w:ascii="Times New Roman" w:hAnsi="Times New Roman" w:cs="Times New Roman"/>
          <w:sz w:val="24"/>
          <w:szCs w:val="24"/>
          <w:lang w:val="lt-LT"/>
        </w:rPr>
        <w:t xml:space="preserve">udarant modelį, </w:t>
      </w:r>
      <w:r w:rsidR="00FA0E5C" w:rsidRPr="00140887">
        <w:rPr>
          <w:rFonts w:ascii="Times New Roman" w:hAnsi="Times New Roman" w:cs="Times New Roman"/>
          <w:sz w:val="24"/>
          <w:szCs w:val="24"/>
          <w:lang w:val="lt-LT"/>
        </w:rPr>
        <w:t xml:space="preserve">remtasi CAMEL bankų vertinimo principu, pagal kurį, į modelį įtraukiami rodikliai turi atspindėti visą organizacijos veiklą. Analizuojant mokslinę literatūrą bei atsižvelgiant į Lietuvos banko taikomus normatyvus, atrinkta </w:t>
      </w:r>
      <w:r w:rsidR="00FA0E5C" w:rsidRPr="00140887">
        <w:rPr>
          <w:rFonts w:ascii="Times New Roman" w:hAnsi="Times New Roman" w:cs="Times New Roman"/>
          <w:sz w:val="24"/>
          <w:szCs w:val="24"/>
        </w:rPr>
        <w:t>14 finansini</w:t>
      </w:r>
      <w:r w:rsidR="00FA0E5C" w:rsidRPr="00140887">
        <w:rPr>
          <w:rFonts w:ascii="Times New Roman" w:hAnsi="Times New Roman" w:cs="Times New Roman"/>
          <w:sz w:val="24"/>
          <w:szCs w:val="24"/>
          <w:lang w:val="lt-LT"/>
        </w:rPr>
        <w:t xml:space="preserve">ų rodiklių bankroto grėsmei kredito įstaigose prognozuoti. Taip pat 3 nefinansiniai kriterijai, pagal kuriuos kredito unijų veiklos rizikingumas turėtų skirtis. </w:t>
      </w:r>
      <w:r w:rsidR="00140887" w:rsidRPr="00140887">
        <w:rPr>
          <w:rFonts w:ascii="Times New Roman" w:hAnsi="Times New Roman" w:cs="Times New Roman"/>
          <w:sz w:val="24"/>
          <w:szCs w:val="24"/>
          <w:lang w:val="lt-LT"/>
        </w:rPr>
        <w:t>Dėl sąlyginai mažo kredito unijų bankroto skaičiaus šiam modeliui taikyti, pasirinktas papildomas kriterijus – Lietuvos banko poveikio priemonių taikymas.</w:t>
      </w:r>
    </w:p>
    <w:p w:rsidR="000F03BC" w:rsidRDefault="00584E76" w:rsidP="00FA0D12">
      <w:pPr>
        <w:pStyle w:val="Heading1"/>
        <w:jc w:val="center"/>
        <w:rPr>
          <w:rFonts w:ascii="Times New Roman" w:hAnsi="Times New Roman" w:cs="Times New Roman"/>
          <w:sz w:val="28"/>
          <w:szCs w:val="28"/>
        </w:rPr>
      </w:pPr>
      <w:bookmarkStart w:id="61" w:name="_Toc383782875"/>
      <w:bookmarkStart w:id="62" w:name="_Toc383783631"/>
      <w:bookmarkStart w:id="63" w:name="_Toc384567307"/>
      <w:bookmarkStart w:id="64" w:name="_Toc384570744"/>
      <w:r>
        <w:rPr>
          <w:rFonts w:ascii="Times New Roman" w:hAnsi="Times New Roman" w:cs="Times New Roman"/>
          <w:sz w:val="28"/>
          <w:szCs w:val="28"/>
        </w:rPr>
        <w:lastRenderedPageBreak/>
        <w:t>3.</w:t>
      </w:r>
      <w:r w:rsidR="00FA0D12">
        <w:rPr>
          <w:rFonts w:ascii="Times New Roman" w:hAnsi="Times New Roman" w:cs="Times New Roman"/>
          <w:sz w:val="28"/>
          <w:szCs w:val="28"/>
        </w:rPr>
        <w:t xml:space="preserve"> </w:t>
      </w:r>
      <w:r w:rsidR="00AE5E3A" w:rsidRPr="00450C32">
        <w:rPr>
          <w:rFonts w:ascii="Times New Roman" w:hAnsi="Times New Roman" w:cs="Times New Roman"/>
          <w:sz w:val="28"/>
          <w:szCs w:val="28"/>
        </w:rPr>
        <w:t>KREDITO UNIJŲ</w:t>
      </w:r>
      <w:r w:rsidR="0037020C" w:rsidRPr="00450C32">
        <w:rPr>
          <w:rFonts w:ascii="Times New Roman" w:hAnsi="Times New Roman" w:cs="Times New Roman"/>
          <w:sz w:val="28"/>
          <w:szCs w:val="28"/>
        </w:rPr>
        <w:t xml:space="preserve"> VEIKLOS RIZIKINGUMO VERTINIMO MODELIS</w:t>
      </w:r>
      <w:bookmarkEnd w:id="61"/>
      <w:bookmarkEnd w:id="62"/>
      <w:bookmarkEnd w:id="63"/>
      <w:bookmarkEnd w:id="64"/>
    </w:p>
    <w:p w:rsidR="00DA7D88" w:rsidRDefault="00AE5E3A" w:rsidP="00FA0D12">
      <w:pPr>
        <w:pStyle w:val="Heading2"/>
        <w:jc w:val="center"/>
        <w:rPr>
          <w:rFonts w:ascii="Times New Roman" w:hAnsi="Times New Roman" w:cs="Times New Roman"/>
          <w:color w:val="auto"/>
          <w:sz w:val="24"/>
          <w:szCs w:val="24"/>
          <w:lang w:val="lt-LT"/>
        </w:rPr>
      </w:pPr>
      <w:bookmarkStart w:id="65" w:name="_Toc383782876"/>
      <w:bookmarkStart w:id="66" w:name="_Toc384567308"/>
      <w:bookmarkStart w:id="67" w:name="_Toc384570745"/>
      <w:r w:rsidRPr="00450C32">
        <w:rPr>
          <w:rFonts w:ascii="Times New Roman" w:hAnsi="Times New Roman" w:cs="Times New Roman"/>
          <w:color w:val="auto"/>
          <w:sz w:val="24"/>
          <w:szCs w:val="24"/>
          <w:lang w:val="lt-LT"/>
        </w:rPr>
        <w:t>3.1. RODIKLIŲ ANALIZĖ</w:t>
      </w:r>
      <w:bookmarkEnd w:id="65"/>
      <w:bookmarkEnd w:id="66"/>
      <w:bookmarkEnd w:id="67"/>
    </w:p>
    <w:p w:rsidR="00804783" w:rsidRPr="00804783" w:rsidRDefault="00804783" w:rsidP="00804783">
      <w:pPr>
        <w:rPr>
          <w:lang w:val="lt-LT"/>
        </w:rPr>
      </w:pPr>
    </w:p>
    <w:p w:rsidR="00AE5E3A" w:rsidRPr="000D37F1" w:rsidRDefault="00AE5E3A" w:rsidP="00AE5E3A">
      <w:pPr>
        <w:spacing w:line="360" w:lineRule="auto"/>
        <w:ind w:firstLine="720"/>
        <w:rPr>
          <w:rFonts w:ascii="Times New Roman" w:hAnsi="Times New Roman" w:cs="Times New Roman"/>
          <w:sz w:val="24"/>
          <w:szCs w:val="24"/>
          <w:lang w:val="lt-LT"/>
        </w:rPr>
      </w:pPr>
      <w:r w:rsidRPr="000D37F1">
        <w:rPr>
          <w:rFonts w:ascii="Times New Roman" w:hAnsi="Times New Roman" w:cs="Times New Roman"/>
          <w:sz w:val="24"/>
          <w:szCs w:val="24"/>
          <w:lang w:val="lt-LT"/>
        </w:rPr>
        <w:t>Apskaičiavus kredito unijų finansinius  ir kitus rodiklius, jų charakteristikos pateikiamos 2 priede. Tų kredito unijų, kurių veikla buvo apribota ar skirtos naudos, tiriamuoju laikotarpiu, finansiniai rodiklių statist</w:t>
      </w:r>
      <w:r w:rsidR="00875BB9" w:rsidRPr="000D37F1">
        <w:rPr>
          <w:rFonts w:ascii="Times New Roman" w:hAnsi="Times New Roman" w:cs="Times New Roman"/>
          <w:sz w:val="24"/>
          <w:szCs w:val="24"/>
          <w:lang w:val="lt-LT"/>
        </w:rPr>
        <w:t>inės</w:t>
      </w:r>
      <w:r w:rsidRPr="000D37F1">
        <w:rPr>
          <w:rFonts w:ascii="Times New Roman" w:hAnsi="Times New Roman" w:cs="Times New Roman"/>
          <w:sz w:val="24"/>
          <w:szCs w:val="24"/>
          <w:lang w:val="lt-LT"/>
        </w:rPr>
        <w:t xml:space="preserve"> charakteristikos</w:t>
      </w:r>
      <w:r w:rsidR="00804783">
        <w:rPr>
          <w:rFonts w:ascii="Times New Roman" w:hAnsi="Times New Roman" w:cs="Times New Roman"/>
          <w:sz w:val="24"/>
          <w:szCs w:val="24"/>
          <w:lang w:val="lt-LT"/>
        </w:rPr>
        <w:t xml:space="preserve"> skaičiuotos dviem kredito unijų grupėms: kredito unijos, kurioms taikytos poveikio priemonės, ir kredito unijos, kurioms netaikytos poveikio priemonės.</w:t>
      </w:r>
    </w:p>
    <w:p w:rsidR="009E74FB" w:rsidRPr="000D37F1" w:rsidRDefault="009E74FB" w:rsidP="00AE5E3A">
      <w:pPr>
        <w:spacing w:line="360" w:lineRule="auto"/>
        <w:ind w:firstLine="720"/>
        <w:rPr>
          <w:rFonts w:ascii="Times New Roman" w:hAnsi="Times New Roman" w:cs="Times New Roman"/>
          <w:sz w:val="24"/>
          <w:szCs w:val="24"/>
          <w:lang w:val="lt-LT"/>
        </w:rPr>
      </w:pPr>
      <w:r w:rsidRPr="000D37F1">
        <w:rPr>
          <w:noProof/>
        </w:rPr>
        <w:drawing>
          <wp:inline distT="0" distB="0" distL="0" distR="0" wp14:anchorId="34CF0203" wp14:editId="048D0E20">
            <wp:extent cx="2609850" cy="1371600"/>
            <wp:effectExtent l="0" t="0" r="0" b="0"/>
            <wp:docPr id="8" name="Chart 8" title="RO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D37F1">
        <w:rPr>
          <w:noProof/>
        </w:rPr>
        <w:drawing>
          <wp:inline distT="0" distB="0" distL="0" distR="0" wp14:anchorId="32639DB8" wp14:editId="32A6693F">
            <wp:extent cx="2581275" cy="13716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5BB9" w:rsidRPr="00734657" w:rsidRDefault="00875BB9" w:rsidP="00734657">
      <w:pPr>
        <w:pStyle w:val="Heading1"/>
        <w:jc w:val="center"/>
        <w:rPr>
          <w:rFonts w:ascii="Times New Roman" w:hAnsi="Times New Roman" w:cs="Times New Roman"/>
          <w:sz w:val="24"/>
          <w:szCs w:val="24"/>
        </w:rPr>
      </w:pPr>
      <w:bookmarkStart w:id="68" w:name="_Toc383784097"/>
      <w:bookmarkStart w:id="69" w:name="_Toc384567309"/>
      <w:bookmarkStart w:id="70" w:name="_Toc384570746"/>
      <w:r w:rsidRPr="00734657">
        <w:rPr>
          <w:rFonts w:ascii="Times New Roman" w:hAnsi="Times New Roman" w:cs="Times New Roman"/>
          <w:sz w:val="24"/>
          <w:szCs w:val="24"/>
        </w:rPr>
        <w:t xml:space="preserve">3 </w:t>
      </w:r>
      <w:proofErr w:type="spellStart"/>
      <w:r w:rsidRPr="00734657">
        <w:rPr>
          <w:rFonts w:ascii="Times New Roman" w:hAnsi="Times New Roman" w:cs="Times New Roman"/>
          <w:sz w:val="24"/>
          <w:szCs w:val="24"/>
        </w:rPr>
        <w:t>pav</w:t>
      </w:r>
      <w:proofErr w:type="spellEnd"/>
      <w:r w:rsidRPr="00734657">
        <w:rPr>
          <w:rFonts w:ascii="Times New Roman" w:hAnsi="Times New Roman" w:cs="Times New Roman"/>
          <w:sz w:val="24"/>
          <w:szCs w:val="24"/>
        </w:rPr>
        <w:t>. ROA (</w:t>
      </w:r>
      <w:r w:rsidR="00135889" w:rsidRPr="00734657">
        <w:rPr>
          <w:rFonts w:ascii="Times New Roman" w:hAnsi="Times New Roman" w:cs="Times New Roman"/>
          <w:sz w:val="24"/>
          <w:szCs w:val="24"/>
        </w:rPr>
        <w:t>kairėje</w:t>
      </w:r>
      <w:r w:rsidRPr="00734657">
        <w:rPr>
          <w:rFonts w:ascii="Times New Roman" w:hAnsi="Times New Roman" w:cs="Times New Roman"/>
          <w:sz w:val="24"/>
          <w:szCs w:val="24"/>
        </w:rPr>
        <w:t>) ir ROE (</w:t>
      </w:r>
      <w:r w:rsidR="00135889" w:rsidRPr="00734657">
        <w:rPr>
          <w:rFonts w:ascii="Times New Roman" w:hAnsi="Times New Roman" w:cs="Times New Roman"/>
          <w:sz w:val="24"/>
          <w:szCs w:val="24"/>
        </w:rPr>
        <w:t>dešinėje</w:t>
      </w:r>
      <w:r w:rsidRPr="00734657">
        <w:rPr>
          <w:rFonts w:ascii="Times New Roman" w:hAnsi="Times New Roman" w:cs="Times New Roman"/>
          <w:sz w:val="24"/>
          <w:szCs w:val="24"/>
        </w:rPr>
        <w:t>) rodiklių vidurkiai</w:t>
      </w:r>
      <w:bookmarkEnd w:id="68"/>
      <w:bookmarkEnd w:id="69"/>
      <w:bookmarkEnd w:id="70"/>
    </w:p>
    <w:p w:rsidR="00875BB9" w:rsidRPr="000D37F1" w:rsidRDefault="00875BB9" w:rsidP="001067EA">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Pagal 3 paveiksle pateiktus duomenis, matome, jog turto ir kapitalo grąžos rodikliai yra  geresni tų kredito unijų, kurios veikla nebuvo apribota ar skirtos baudos už pažeidimus. Rizikingesnių kredito unijų rodikliai rodo nuostolingą veiklą visu tiriamuoju laikotarpiu. Visgi abiejų grupių pelningumo rodiklių vidurkiai yra neigiami.</w:t>
      </w:r>
      <w:r w:rsidR="00135889">
        <w:rPr>
          <w:rFonts w:ascii="Times New Roman" w:hAnsi="Times New Roman" w:cs="Times New Roman"/>
          <w:sz w:val="24"/>
          <w:szCs w:val="24"/>
          <w:lang w:val="lt-LT"/>
        </w:rPr>
        <w:t xml:space="preserve"> Lyginant ROA ir ROE rodiklius tarpusavyje, pastebima, jog kapitalo </w:t>
      </w:r>
      <w:r w:rsidR="00804783">
        <w:rPr>
          <w:rFonts w:ascii="Times New Roman" w:hAnsi="Times New Roman" w:cs="Times New Roman"/>
          <w:sz w:val="24"/>
          <w:szCs w:val="24"/>
          <w:lang w:val="lt-LT"/>
        </w:rPr>
        <w:t>grąžos rodiklis yra mažesnis už turto grąžos rodiklį.</w:t>
      </w:r>
    </w:p>
    <w:p w:rsidR="00875BB9" w:rsidRPr="000D37F1" w:rsidRDefault="00875BB9" w:rsidP="001067EA">
      <w:pPr>
        <w:spacing w:line="360" w:lineRule="auto"/>
        <w:ind w:firstLine="720"/>
        <w:jc w:val="both"/>
        <w:rPr>
          <w:rFonts w:ascii="Times New Roman" w:hAnsi="Times New Roman" w:cs="Times New Roman"/>
          <w:sz w:val="24"/>
          <w:szCs w:val="24"/>
          <w:lang w:val="lt-LT"/>
        </w:rPr>
      </w:pPr>
      <w:r w:rsidRPr="000D37F1">
        <w:rPr>
          <w:noProof/>
        </w:rPr>
        <w:drawing>
          <wp:inline distT="0" distB="0" distL="0" distR="0" wp14:anchorId="1252D3DA" wp14:editId="0E961496">
            <wp:extent cx="2543175" cy="16478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D37F1">
        <w:rPr>
          <w:noProof/>
        </w:rPr>
        <w:drawing>
          <wp:inline distT="0" distB="0" distL="0" distR="0" wp14:anchorId="2EA06F6C" wp14:editId="5BDF4D29">
            <wp:extent cx="2762250" cy="15430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5202" w:rsidRPr="00734657" w:rsidRDefault="00975202" w:rsidP="00734657">
      <w:pPr>
        <w:pStyle w:val="Heading1"/>
        <w:jc w:val="center"/>
        <w:rPr>
          <w:rFonts w:ascii="Times New Roman" w:hAnsi="Times New Roman" w:cs="Times New Roman"/>
          <w:sz w:val="24"/>
          <w:szCs w:val="24"/>
        </w:rPr>
      </w:pPr>
      <w:bookmarkStart w:id="71" w:name="_Toc383784098"/>
      <w:bookmarkStart w:id="72" w:name="_Toc384567310"/>
      <w:bookmarkStart w:id="73" w:name="_Toc384570747"/>
      <w:r w:rsidRPr="00734657">
        <w:rPr>
          <w:rFonts w:ascii="Times New Roman" w:hAnsi="Times New Roman" w:cs="Times New Roman"/>
          <w:sz w:val="24"/>
          <w:szCs w:val="24"/>
        </w:rPr>
        <w:t>4 pav. Kapitalo pakankamumo (</w:t>
      </w:r>
      <w:r w:rsidR="0089481B" w:rsidRPr="00734657">
        <w:rPr>
          <w:rFonts w:ascii="Times New Roman" w:hAnsi="Times New Roman" w:cs="Times New Roman"/>
          <w:sz w:val="24"/>
          <w:szCs w:val="24"/>
        </w:rPr>
        <w:t xml:space="preserve">kairėje) </w:t>
      </w:r>
      <w:r w:rsidRPr="00734657">
        <w:rPr>
          <w:rFonts w:ascii="Times New Roman" w:hAnsi="Times New Roman" w:cs="Times New Roman"/>
          <w:sz w:val="24"/>
          <w:szCs w:val="24"/>
        </w:rPr>
        <w:t>ir apyvartinio kapitalo ir turto santykio (</w:t>
      </w:r>
      <w:r w:rsidR="0089481B" w:rsidRPr="00734657">
        <w:rPr>
          <w:rFonts w:ascii="Times New Roman" w:hAnsi="Times New Roman" w:cs="Times New Roman"/>
          <w:sz w:val="24"/>
          <w:szCs w:val="24"/>
        </w:rPr>
        <w:t>dešinėje</w:t>
      </w:r>
      <w:r w:rsidRPr="00734657">
        <w:rPr>
          <w:rFonts w:ascii="Times New Roman" w:hAnsi="Times New Roman" w:cs="Times New Roman"/>
          <w:sz w:val="24"/>
          <w:szCs w:val="24"/>
        </w:rPr>
        <w:t>) rodiklių vidurkiai</w:t>
      </w:r>
      <w:bookmarkEnd w:id="71"/>
      <w:bookmarkEnd w:id="72"/>
      <w:bookmarkEnd w:id="73"/>
    </w:p>
    <w:p w:rsidR="00975202" w:rsidRDefault="00804783" w:rsidP="000D37F1">
      <w:pPr>
        <w:spacing w:line="360" w:lineRule="auto"/>
        <w:ind w:firstLine="720"/>
        <w:jc w:val="both"/>
        <w:rPr>
          <w:rFonts w:ascii="Times New Roman" w:hAnsi="Times New Roman" w:cs="Times New Roman"/>
          <w:sz w:val="24"/>
          <w:szCs w:val="24"/>
          <w:lang w:val="lt-LT"/>
        </w:rPr>
      </w:pPr>
      <w:r w:rsidRPr="00804783">
        <w:rPr>
          <w:rFonts w:ascii="Times New Roman" w:hAnsi="Times New Roman" w:cs="Times New Roman"/>
          <w:sz w:val="24"/>
          <w:szCs w:val="24"/>
          <w:lang w:val="lt-LT"/>
        </w:rPr>
        <w:t>4 paveiksle pateikiami kapitalo pakankamumo ir apyvartinio kapitalo ir turto santykio rodiklių kitimas</w:t>
      </w:r>
      <w:r>
        <w:rPr>
          <w:rFonts w:ascii="Times New Roman" w:hAnsi="Times New Roman" w:cs="Times New Roman"/>
          <w:sz w:val="24"/>
          <w:szCs w:val="24"/>
          <w:lang w:val="lt-LT"/>
        </w:rPr>
        <w:t xml:space="preserve"> dviejose kredito unijų grupėse. </w:t>
      </w:r>
      <w:r w:rsidR="00975202" w:rsidRPr="000D37F1">
        <w:rPr>
          <w:rFonts w:ascii="Times New Roman" w:hAnsi="Times New Roman" w:cs="Times New Roman"/>
          <w:sz w:val="24"/>
          <w:szCs w:val="24"/>
          <w:lang w:val="lt-LT"/>
        </w:rPr>
        <w:t>Kapitalo pakankamumo rodiklis</w:t>
      </w:r>
      <w:r>
        <w:rPr>
          <w:rFonts w:ascii="Times New Roman" w:hAnsi="Times New Roman" w:cs="Times New Roman"/>
          <w:sz w:val="24"/>
          <w:szCs w:val="24"/>
          <w:lang w:val="lt-LT"/>
        </w:rPr>
        <w:t>, kuris</w:t>
      </w:r>
      <w:r w:rsidR="00975202" w:rsidRPr="000D37F1">
        <w:rPr>
          <w:rFonts w:ascii="Times New Roman" w:hAnsi="Times New Roman" w:cs="Times New Roman"/>
          <w:sz w:val="24"/>
          <w:szCs w:val="24"/>
          <w:lang w:val="lt-LT"/>
        </w:rPr>
        <w:t xml:space="preserve"> </w:t>
      </w:r>
      <w:r w:rsidR="000D37F1" w:rsidRPr="000D37F1">
        <w:rPr>
          <w:rFonts w:ascii="Times New Roman" w:hAnsi="Times New Roman" w:cs="Times New Roman"/>
          <w:sz w:val="24"/>
          <w:szCs w:val="24"/>
          <w:lang w:val="lt-LT"/>
        </w:rPr>
        <w:t xml:space="preserve">skirtas </w:t>
      </w:r>
      <w:r w:rsidR="000D37F1" w:rsidRPr="000D37F1">
        <w:rPr>
          <w:rFonts w:ascii="Times New Roman" w:hAnsi="Times New Roman" w:cs="Times New Roman"/>
          <w:sz w:val="24"/>
          <w:szCs w:val="24"/>
          <w:lang w:val="lt-LT"/>
        </w:rPr>
        <w:lastRenderedPageBreak/>
        <w:t xml:space="preserve">kredito įstaigos stabilumui palaikyti, </w:t>
      </w:r>
      <w:r w:rsidR="00975202" w:rsidRPr="000D37F1">
        <w:rPr>
          <w:rFonts w:ascii="Times New Roman" w:hAnsi="Times New Roman" w:cs="Times New Roman"/>
          <w:sz w:val="24"/>
          <w:szCs w:val="24"/>
          <w:lang w:val="lt-LT"/>
        </w:rPr>
        <w:t>ap</w:t>
      </w:r>
      <w:r>
        <w:rPr>
          <w:rFonts w:ascii="Times New Roman" w:hAnsi="Times New Roman" w:cs="Times New Roman"/>
          <w:sz w:val="24"/>
          <w:szCs w:val="24"/>
          <w:lang w:val="lt-LT"/>
        </w:rPr>
        <w:t xml:space="preserve">skaičiuotas </w:t>
      </w:r>
      <w:r w:rsidR="00975202" w:rsidRPr="000D37F1">
        <w:rPr>
          <w:rFonts w:ascii="Times New Roman" w:hAnsi="Times New Roman" w:cs="Times New Roman"/>
          <w:sz w:val="24"/>
          <w:szCs w:val="24"/>
          <w:lang w:val="lt-LT"/>
        </w:rPr>
        <w:t xml:space="preserve">pagal Lietuvos Banko rekomendacijas, jis neturėtų būti mažiau nei 13 </w:t>
      </w:r>
      <w:proofErr w:type="spellStart"/>
      <w:r w:rsidR="00975202" w:rsidRPr="000D37F1">
        <w:rPr>
          <w:rFonts w:ascii="Times New Roman" w:hAnsi="Times New Roman" w:cs="Times New Roman"/>
          <w:sz w:val="24"/>
          <w:szCs w:val="24"/>
          <w:lang w:val="lt-LT"/>
        </w:rPr>
        <w:t>proc</w:t>
      </w:r>
      <w:proofErr w:type="spellEnd"/>
      <w:r w:rsidR="00975202" w:rsidRPr="000D37F1">
        <w:rPr>
          <w:rFonts w:ascii="Times New Roman" w:hAnsi="Times New Roman" w:cs="Times New Roman"/>
          <w:sz w:val="24"/>
          <w:szCs w:val="24"/>
          <w:lang w:val="lt-LT"/>
        </w:rPr>
        <w:t>., toms kredito unijoms, kurių suteiktos paskolos asocijuotiems nariams sudaro ne daug</w:t>
      </w:r>
      <w:r>
        <w:rPr>
          <w:rFonts w:ascii="Times New Roman" w:hAnsi="Times New Roman" w:cs="Times New Roman"/>
          <w:sz w:val="24"/>
          <w:szCs w:val="24"/>
          <w:lang w:val="lt-LT"/>
        </w:rPr>
        <w:t xml:space="preserve">iau nei  20 proc. visų paskolų, kredito unijoms, suteikusios didesnę dalį paskolų asocijuotiems nariams, taikomas didesnis kapitalo pakankamumo normatyvas. Pastarasis reikalavimas įvestas nuo </w:t>
      </w:r>
      <w:r>
        <w:rPr>
          <w:rFonts w:ascii="Times New Roman" w:hAnsi="Times New Roman" w:cs="Times New Roman"/>
          <w:sz w:val="24"/>
          <w:szCs w:val="24"/>
        </w:rPr>
        <w:t>2013 met</w:t>
      </w:r>
      <w:r>
        <w:rPr>
          <w:rFonts w:ascii="Times New Roman" w:hAnsi="Times New Roman" w:cs="Times New Roman"/>
          <w:sz w:val="24"/>
          <w:szCs w:val="24"/>
          <w:lang w:val="lt-LT"/>
        </w:rPr>
        <w:t xml:space="preserve">ų, taigi </w:t>
      </w:r>
      <w:r>
        <w:rPr>
          <w:rFonts w:ascii="Times New Roman" w:hAnsi="Times New Roman" w:cs="Times New Roman"/>
          <w:sz w:val="24"/>
          <w:szCs w:val="24"/>
        </w:rPr>
        <w:t xml:space="preserve">2011-2012 m. </w:t>
      </w:r>
      <w:r w:rsidR="00E566DF">
        <w:rPr>
          <w:rFonts w:ascii="Times New Roman" w:hAnsi="Times New Roman" w:cs="Times New Roman"/>
          <w:sz w:val="24"/>
          <w:szCs w:val="24"/>
          <w:lang w:val="lt-LT"/>
        </w:rPr>
        <w:t>š</w:t>
      </w:r>
      <w:r w:rsidR="00E566DF">
        <w:rPr>
          <w:rFonts w:ascii="Times New Roman" w:hAnsi="Times New Roman" w:cs="Times New Roman"/>
          <w:sz w:val="24"/>
          <w:szCs w:val="24"/>
        </w:rPr>
        <w:t xml:space="preserve">is </w:t>
      </w:r>
      <w:r w:rsidR="00E566DF" w:rsidRPr="00E566DF">
        <w:rPr>
          <w:rFonts w:ascii="Times New Roman" w:hAnsi="Times New Roman" w:cs="Times New Roman"/>
          <w:sz w:val="24"/>
          <w:szCs w:val="24"/>
          <w:lang w:val="lt-LT"/>
        </w:rPr>
        <w:t>rodiklis</w:t>
      </w:r>
      <w:r w:rsidR="0076668A" w:rsidRPr="00E566DF">
        <w:rPr>
          <w:rFonts w:ascii="Times New Roman" w:hAnsi="Times New Roman" w:cs="Times New Roman"/>
          <w:sz w:val="24"/>
          <w:szCs w:val="24"/>
          <w:lang w:val="lt-LT"/>
        </w:rPr>
        <w:t xml:space="preserve"> turi būti</w:t>
      </w:r>
      <w:r w:rsidR="0076668A">
        <w:rPr>
          <w:rFonts w:ascii="Times New Roman" w:hAnsi="Times New Roman" w:cs="Times New Roman"/>
          <w:sz w:val="24"/>
          <w:szCs w:val="24"/>
          <w:lang w:val="lt-LT"/>
        </w:rPr>
        <w:t xml:space="preserve"> ne mažesnis nei </w:t>
      </w:r>
      <w:r w:rsidR="0076668A">
        <w:rPr>
          <w:rFonts w:ascii="Times New Roman" w:hAnsi="Times New Roman" w:cs="Times New Roman"/>
          <w:sz w:val="24"/>
          <w:szCs w:val="24"/>
        </w:rPr>
        <w:t>13 proc.</w:t>
      </w:r>
      <w:r>
        <w:rPr>
          <w:rFonts w:ascii="Times New Roman" w:hAnsi="Times New Roman" w:cs="Times New Roman"/>
          <w:sz w:val="24"/>
          <w:szCs w:val="24"/>
          <w:lang w:val="lt-LT"/>
        </w:rPr>
        <w:t xml:space="preserve"> </w:t>
      </w:r>
      <w:r w:rsidR="00731F10" w:rsidRPr="000D37F1">
        <w:rPr>
          <w:rFonts w:ascii="Times New Roman" w:hAnsi="Times New Roman" w:cs="Times New Roman"/>
          <w:sz w:val="24"/>
          <w:szCs w:val="24"/>
          <w:lang w:val="lt-LT"/>
        </w:rPr>
        <w:t xml:space="preserve">Kaip matome 4 paveiksle, </w:t>
      </w:r>
      <w:r w:rsidR="000D37F1" w:rsidRPr="000D37F1">
        <w:rPr>
          <w:rFonts w:ascii="Times New Roman" w:hAnsi="Times New Roman" w:cs="Times New Roman"/>
          <w:sz w:val="24"/>
          <w:szCs w:val="24"/>
          <w:lang w:val="lt-LT"/>
        </w:rPr>
        <w:t xml:space="preserve">pagal vidurkius </w:t>
      </w:r>
      <w:r w:rsidR="00731F10" w:rsidRPr="000D37F1">
        <w:rPr>
          <w:rFonts w:ascii="Times New Roman" w:hAnsi="Times New Roman" w:cs="Times New Roman"/>
          <w:sz w:val="24"/>
          <w:szCs w:val="24"/>
          <w:lang w:val="lt-LT"/>
        </w:rPr>
        <w:t xml:space="preserve">abi kredito unijų grupės </w:t>
      </w:r>
      <w:r w:rsidR="000D37F1" w:rsidRPr="000D37F1">
        <w:rPr>
          <w:rFonts w:ascii="Times New Roman" w:hAnsi="Times New Roman" w:cs="Times New Roman"/>
          <w:sz w:val="24"/>
          <w:szCs w:val="24"/>
          <w:lang w:val="lt-LT"/>
        </w:rPr>
        <w:t xml:space="preserve">siekė Lietuvos Banko nustatytą normatyvą, tačiau rizikingesnių kredito unijų rodiklis tiriamuoju laikotarpiu ženkliai skyrėsi (2013 </w:t>
      </w:r>
      <w:proofErr w:type="spellStart"/>
      <w:r w:rsidR="000D37F1" w:rsidRPr="000D37F1">
        <w:rPr>
          <w:rFonts w:ascii="Times New Roman" w:hAnsi="Times New Roman" w:cs="Times New Roman"/>
          <w:sz w:val="24"/>
          <w:szCs w:val="24"/>
          <w:lang w:val="lt-LT"/>
        </w:rPr>
        <w:t>m</w:t>
      </w:r>
      <w:proofErr w:type="spellEnd"/>
      <w:r w:rsidR="000D37F1" w:rsidRPr="000D37F1">
        <w:rPr>
          <w:rFonts w:ascii="Times New Roman" w:hAnsi="Times New Roman" w:cs="Times New Roman"/>
          <w:sz w:val="24"/>
          <w:szCs w:val="24"/>
          <w:lang w:val="lt-LT"/>
        </w:rPr>
        <w:t xml:space="preserve">. – net 6 proc.). </w:t>
      </w:r>
    </w:p>
    <w:p w:rsidR="00135889" w:rsidRPr="00135889" w:rsidRDefault="00135889" w:rsidP="000D37F1">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Analogišką situaciją atspindi ir apyvartinio kapitalo ir turto rodiklis, kuris skirtas organizacijos likvidumo būklei nustatyti. Nors </w:t>
      </w:r>
      <w:r w:rsidRPr="007450AF">
        <w:rPr>
          <w:rFonts w:ascii="Times New Roman" w:hAnsi="Times New Roman" w:cs="Times New Roman"/>
          <w:sz w:val="24"/>
          <w:szCs w:val="24"/>
          <w:lang w:val="lt-LT"/>
        </w:rPr>
        <w:t>2011 m. rodiklis buvo beveik lygus a</w:t>
      </w:r>
      <w:r>
        <w:rPr>
          <w:rFonts w:ascii="Times New Roman" w:hAnsi="Times New Roman" w:cs="Times New Roman"/>
          <w:sz w:val="24"/>
          <w:szCs w:val="24"/>
          <w:lang w:val="lt-LT"/>
        </w:rPr>
        <w:t xml:space="preserve">biejų grupių, tačiau sekančiais metais jis ryškiai išsiskyrė. </w:t>
      </w:r>
      <w:r w:rsidR="0089481B">
        <w:rPr>
          <w:rFonts w:ascii="Times New Roman" w:hAnsi="Times New Roman" w:cs="Times New Roman"/>
          <w:sz w:val="24"/>
          <w:szCs w:val="24"/>
          <w:lang w:val="lt-LT"/>
        </w:rPr>
        <w:t>Apyvartinio kapitalo dydį lemia einamieji įsipareigojimai, taigi manoma, jog rizikingesnės kredito unijos turi daugiau įs</w:t>
      </w:r>
      <w:r w:rsidR="0037020C" w:rsidRPr="0037020C">
        <w:rPr>
          <w:rFonts w:ascii="Times New Roman" w:hAnsi="Times New Roman" w:cs="Times New Roman"/>
          <w:sz w:val="24"/>
          <w:szCs w:val="24"/>
          <w:lang w:val="lt-LT"/>
        </w:rPr>
        <w:t>i</w:t>
      </w:r>
      <w:r w:rsidR="0089481B">
        <w:rPr>
          <w:rFonts w:ascii="Times New Roman" w:hAnsi="Times New Roman" w:cs="Times New Roman"/>
          <w:sz w:val="24"/>
          <w:szCs w:val="24"/>
          <w:lang w:val="lt-LT"/>
        </w:rPr>
        <w:t>pareigojimų, todėl šis rodiklis yra žemesnis.</w:t>
      </w:r>
    </w:p>
    <w:p w:rsidR="000D37F1" w:rsidRDefault="00DE6A32" w:rsidP="00DE6A32">
      <w:pPr>
        <w:spacing w:line="360" w:lineRule="auto"/>
        <w:ind w:firstLine="720"/>
        <w:jc w:val="center"/>
        <w:rPr>
          <w:rFonts w:ascii="Times New Roman" w:hAnsi="Times New Roman" w:cs="Times New Roman"/>
          <w:sz w:val="24"/>
          <w:szCs w:val="24"/>
          <w:lang w:val="lt-LT"/>
        </w:rPr>
      </w:pPr>
      <w:r>
        <w:rPr>
          <w:noProof/>
        </w:rPr>
        <w:drawing>
          <wp:inline distT="0" distB="0" distL="0" distR="0" wp14:anchorId="20A01050" wp14:editId="379E8E8D">
            <wp:extent cx="3221665" cy="2041451"/>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6A32" w:rsidRPr="00734657" w:rsidRDefault="007450AF" w:rsidP="00734657">
      <w:pPr>
        <w:pStyle w:val="Heading1"/>
        <w:jc w:val="center"/>
        <w:rPr>
          <w:rFonts w:ascii="Times New Roman" w:hAnsi="Times New Roman" w:cs="Times New Roman"/>
          <w:sz w:val="24"/>
          <w:szCs w:val="24"/>
        </w:rPr>
      </w:pPr>
      <w:bookmarkStart w:id="74" w:name="_Toc383784099"/>
      <w:bookmarkStart w:id="75" w:name="_Toc384567311"/>
      <w:bookmarkStart w:id="76" w:name="_Toc384570748"/>
      <w:r w:rsidRPr="00734657">
        <w:rPr>
          <w:rFonts w:ascii="Times New Roman" w:hAnsi="Times New Roman" w:cs="Times New Roman"/>
          <w:sz w:val="24"/>
          <w:szCs w:val="24"/>
        </w:rPr>
        <w:t xml:space="preserve">5 </w:t>
      </w:r>
      <w:r w:rsidR="00DE6A32" w:rsidRPr="00734657">
        <w:rPr>
          <w:rFonts w:ascii="Times New Roman" w:hAnsi="Times New Roman" w:cs="Times New Roman"/>
          <w:sz w:val="24"/>
          <w:szCs w:val="24"/>
        </w:rPr>
        <w:t>pav. Investicijų į vertybinius popierius ir turto santykis</w:t>
      </w:r>
      <w:bookmarkEnd w:id="74"/>
      <w:bookmarkEnd w:id="75"/>
      <w:bookmarkEnd w:id="76"/>
    </w:p>
    <w:p w:rsidR="00DE6A32" w:rsidRDefault="00F97D6C" w:rsidP="00DE6A32">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 xml:space="preserve">5 </w:t>
      </w:r>
      <w:r w:rsidRPr="00FA0D12">
        <w:rPr>
          <w:rFonts w:ascii="Times New Roman" w:hAnsi="Times New Roman" w:cs="Times New Roman"/>
          <w:sz w:val="24"/>
          <w:szCs w:val="24"/>
          <w:lang w:val="lt-LT"/>
        </w:rPr>
        <w:t xml:space="preserve">paveiksle pateiktas </w:t>
      </w:r>
      <w:r w:rsidR="00FA0D12" w:rsidRPr="00FA0D12">
        <w:rPr>
          <w:rFonts w:ascii="Times New Roman" w:hAnsi="Times New Roman" w:cs="Times New Roman"/>
          <w:sz w:val="24"/>
          <w:szCs w:val="24"/>
          <w:lang w:val="lt-LT"/>
        </w:rPr>
        <w:t>investicijų</w:t>
      </w:r>
      <w:r>
        <w:rPr>
          <w:rFonts w:ascii="Times New Roman" w:hAnsi="Times New Roman" w:cs="Times New Roman"/>
          <w:sz w:val="24"/>
          <w:szCs w:val="24"/>
          <w:lang w:val="lt-LT"/>
        </w:rPr>
        <w:t xml:space="preserve"> į vertybinius popierius ir turto santykio </w:t>
      </w:r>
      <w:r w:rsidR="00DE6A32">
        <w:rPr>
          <w:rFonts w:ascii="Times New Roman" w:hAnsi="Times New Roman" w:cs="Times New Roman"/>
          <w:sz w:val="24"/>
          <w:szCs w:val="24"/>
          <w:lang w:val="lt-LT"/>
        </w:rPr>
        <w:t>rodiklis atspindi kredito unijos veiklos strategiją (lėšos uždirbamos iš paskolų teikimo, ar iš investicijų į vertybinius popierius). Atlikus skaičiavimus, paaiškėjo, jog tos kredito unijos, kurioms taikytos poveikio priemonės, ženkliai daugiau investuoja į vertybinius popierius</w:t>
      </w:r>
      <w:r>
        <w:rPr>
          <w:rFonts w:ascii="Times New Roman" w:hAnsi="Times New Roman" w:cs="Times New Roman"/>
          <w:sz w:val="24"/>
          <w:szCs w:val="24"/>
          <w:lang w:val="lt-LT"/>
        </w:rPr>
        <w:t xml:space="preserve">, tai reiškia, jog jos mažiau teikia paskolų </w:t>
      </w:r>
      <w:r w:rsidR="00DE6A32">
        <w:rPr>
          <w:rFonts w:ascii="Times New Roman" w:hAnsi="Times New Roman" w:cs="Times New Roman"/>
          <w:sz w:val="24"/>
          <w:szCs w:val="24"/>
          <w:lang w:val="lt-LT"/>
        </w:rPr>
        <w:t xml:space="preserve">kredito unijos nariams. Tokios tendencijos iš esmės iškreipia kredito unijų veiklos principus, nes kaip ir teigiama Lietuvos banko apžvalgose, kai kurios kredito unijos pasirenka agresyvią veiklos strategiją ir tam, kad generuotų didesnį pelną, pinigus uždirba </w:t>
      </w:r>
      <w:r w:rsidR="00DE6A32">
        <w:rPr>
          <w:rFonts w:ascii="Times New Roman" w:hAnsi="Times New Roman" w:cs="Times New Roman"/>
          <w:sz w:val="24"/>
          <w:szCs w:val="24"/>
          <w:lang w:val="lt-LT"/>
        </w:rPr>
        <w:lastRenderedPageBreak/>
        <w:t>investuodami į vertybinius popierius, o lėšas surenka nustatydami didesnes bei rinkoje palūkanas.</w:t>
      </w:r>
    </w:p>
    <w:p w:rsidR="00E04286" w:rsidRDefault="00E04286" w:rsidP="00E04286">
      <w:pPr>
        <w:spacing w:line="360" w:lineRule="auto"/>
        <w:ind w:firstLine="720"/>
        <w:jc w:val="center"/>
        <w:rPr>
          <w:rFonts w:ascii="Times New Roman" w:hAnsi="Times New Roman" w:cs="Times New Roman"/>
          <w:sz w:val="24"/>
          <w:szCs w:val="24"/>
          <w:lang w:val="lt-LT"/>
        </w:rPr>
      </w:pPr>
      <w:r>
        <w:rPr>
          <w:noProof/>
        </w:rPr>
        <w:drawing>
          <wp:inline distT="0" distB="0" distL="0" distR="0" wp14:anchorId="58CF879F" wp14:editId="2C92B4C8">
            <wp:extent cx="3124200" cy="195262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04286" w:rsidRPr="00734657" w:rsidRDefault="007450AF" w:rsidP="00734657">
      <w:pPr>
        <w:pStyle w:val="Heading1"/>
        <w:jc w:val="center"/>
        <w:rPr>
          <w:rFonts w:ascii="Times New Roman" w:hAnsi="Times New Roman" w:cs="Times New Roman"/>
          <w:sz w:val="24"/>
          <w:szCs w:val="24"/>
        </w:rPr>
      </w:pPr>
      <w:bookmarkStart w:id="77" w:name="_Toc383784100"/>
      <w:bookmarkStart w:id="78" w:name="_Toc384567312"/>
      <w:bookmarkStart w:id="79" w:name="_Toc384570749"/>
      <w:r w:rsidRPr="00734657">
        <w:rPr>
          <w:rFonts w:ascii="Times New Roman" w:hAnsi="Times New Roman" w:cs="Times New Roman"/>
          <w:sz w:val="24"/>
          <w:szCs w:val="24"/>
        </w:rPr>
        <w:t>6 p</w:t>
      </w:r>
      <w:r w:rsidR="00E04286" w:rsidRPr="00734657">
        <w:rPr>
          <w:rFonts w:ascii="Times New Roman" w:hAnsi="Times New Roman" w:cs="Times New Roman"/>
          <w:sz w:val="24"/>
          <w:szCs w:val="24"/>
        </w:rPr>
        <w:t>av. Bendrųjų ir administracinių sąnaudų dalis visose sąnaudose</w:t>
      </w:r>
      <w:bookmarkEnd w:id="77"/>
      <w:bookmarkEnd w:id="78"/>
      <w:bookmarkEnd w:id="79"/>
    </w:p>
    <w:p w:rsidR="00E04286" w:rsidRDefault="00F97D6C" w:rsidP="002F7FC6">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Bendrųjų ir administracinių sąnaudų dalies visose sąnaudose rodiklis</w:t>
      </w:r>
      <w:r w:rsidR="00E04286">
        <w:rPr>
          <w:rFonts w:ascii="Times New Roman" w:hAnsi="Times New Roman" w:cs="Times New Roman"/>
          <w:sz w:val="24"/>
          <w:szCs w:val="24"/>
          <w:lang w:val="lt-LT"/>
        </w:rPr>
        <w:t xml:space="preserve"> yra geresnis, kai reikšmė mažėja, nes tai rodo, kad organizacija efektyviai naudoja savo turimus išteklius. Lyginant šių dviejų kredito unijų grupių duomenis</w:t>
      </w:r>
      <w:r>
        <w:rPr>
          <w:rFonts w:ascii="Times New Roman" w:hAnsi="Times New Roman" w:cs="Times New Roman"/>
          <w:sz w:val="24"/>
          <w:szCs w:val="24"/>
          <w:lang w:val="lt-LT"/>
        </w:rPr>
        <w:t xml:space="preserve"> (</w:t>
      </w:r>
      <w:r>
        <w:rPr>
          <w:rFonts w:ascii="Times New Roman" w:hAnsi="Times New Roman" w:cs="Times New Roman"/>
          <w:sz w:val="24"/>
          <w:szCs w:val="24"/>
        </w:rPr>
        <w:t>6 paveiksle)</w:t>
      </w:r>
      <w:r w:rsidR="00E04286">
        <w:rPr>
          <w:rFonts w:ascii="Times New Roman" w:hAnsi="Times New Roman" w:cs="Times New Roman"/>
          <w:sz w:val="24"/>
          <w:szCs w:val="24"/>
          <w:lang w:val="lt-LT"/>
        </w:rPr>
        <w:t xml:space="preserve">, pastebima, kad rizikingesnės kredito unijos </w:t>
      </w:r>
      <w:r w:rsidR="002F7FC6">
        <w:rPr>
          <w:rFonts w:ascii="Times New Roman" w:hAnsi="Times New Roman" w:cs="Times New Roman"/>
          <w:sz w:val="24"/>
          <w:szCs w:val="24"/>
          <w:lang w:val="lt-LT"/>
        </w:rPr>
        <w:t xml:space="preserve">mažiau lėšų skiria pastoviems kaštams (darbuotojų atlyginimai, </w:t>
      </w:r>
      <w:r w:rsidR="0037020C">
        <w:rPr>
          <w:rFonts w:ascii="Times New Roman" w:hAnsi="Times New Roman" w:cs="Times New Roman"/>
          <w:sz w:val="24"/>
          <w:szCs w:val="24"/>
          <w:lang w:val="lt-LT"/>
        </w:rPr>
        <w:t xml:space="preserve">biuro išlaikymas ir </w:t>
      </w:r>
      <w:proofErr w:type="spellStart"/>
      <w:r w:rsidR="0037020C">
        <w:rPr>
          <w:rFonts w:ascii="Times New Roman" w:hAnsi="Times New Roman" w:cs="Times New Roman"/>
          <w:sz w:val="24"/>
          <w:szCs w:val="24"/>
          <w:lang w:val="lt-LT"/>
        </w:rPr>
        <w:t>pan</w:t>
      </w:r>
      <w:proofErr w:type="spellEnd"/>
      <w:r w:rsidR="0037020C">
        <w:rPr>
          <w:rFonts w:ascii="Times New Roman" w:hAnsi="Times New Roman" w:cs="Times New Roman"/>
          <w:sz w:val="24"/>
          <w:szCs w:val="24"/>
          <w:lang w:val="lt-LT"/>
        </w:rPr>
        <w:t>.). Vis tik</w:t>
      </w:r>
      <w:r w:rsidR="002F7FC6">
        <w:rPr>
          <w:rFonts w:ascii="Times New Roman" w:hAnsi="Times New Roman" w:cs="Times New Roman"/>
          <w:sz w:val="24"/>
          <w:szCs w:val="24"/>
          <w:lang w:val="lt-LT"/>
        </w:rPr>
        <w:t xml:space="preserve"> matoma teigiamas abiejų grupių </w:t>
      </w:r>
      <w:r w:rsidR="005D0824">
        <w:rPr>
          <w:rFonts w:ascii="Times New Roman" w:hAnsi="Times New Roman" w:cs="Times New Roman"/>
          <w:sz w:val="24"/>
          <w:szCs w:val="24"/>
          <w:lang w:val="lt-LT"/>
        </w:rPr>
        <w:t xml:space="preserve">bendrųjų ir administracinių išlaidų dalies su visomis sąnaudomis rodiklio </w:t>
      </w:r>
      <w:r w:rsidR="002F7FC6">
        <w:rPr>
          <w:rFonts w:ascii="Times New Roman" w:hAnsi="Times New Roman" w:cs="Times New Roman"/>
          <w:sz w:val="24"/>
          <w:szCs w:val="24"/>
          <w:lang w:val="lt-LT"/>
        </w:rPr>
        <w:t>pokytis</w:t>
      </w:r>
      <w:r w:rsidR="005D0824">
        <w:rPr>
          <w:rFonts w:ascii="Times New Roman" w:hAnsi="Times New Roman" w:cs="Times New Roman"/>
          <w:sz w:val="24"/>
          <w:szCs w:val="24"/>
          <w:lang w:val="lt-LT"/>
        </w:rPr>
        <w:t xml:space="preserve"> 2012 metais</w:t>
      </w:r>
      <w:r w:rsidR="002F7FC6">
        <w:rPr>
          <w:rFonts w:ascii="Times New Roman" w:hAnsi="Times New Roman" w:cs="Times New Roman"/>
          <w:sz w:val="24"/>
          <w:szCs w:val="24"/>
          <w:lang w:val="lt-LT"/>
        </w:rPr>
        <w:t>. Tokių sąnaudų</w:t>
      </w:r>
      <w:r w:rsidR="005D0824">
        <w:rPr>
          <w:rFonts w:ascii="Times New Roman" w:hAnsi="Times New Roman" w:cs="Times New Roman"/>
          <w:sz w:val="24"/>
          <w:szCs w:val="24"/>
          <w:lang w:val="lt-LT"/>
        </w:rPr>
        <w:t xml:space="preserve"> dalis sumažėjo apie </w:t>
      </w:r>
      <w:r w:rsidR="005D0824">
        <w:rPr>
          <w:rFonts w:ascii="Times New Roman" w:hAnsi="Times New Roman" w:cs="Times New Roman"/>
          <w:sz w:val="24"/>
          <w:szCs w:val="24"/>
        </w:rPr>
        <w:t>10 proc.</w:t>
      </w:r>
      <w:r w:rsidR="002F7FC6">
        <w:rPr>
          <w:rFonts w:ascii="Times New Roman" w:hAnsi="Times New Roman" w:cs="Times New Roman"/>
          <w:sz w:val="24"/>
          <w:szCs w:val="24"/>
          <w:lang w:val="lt-LT"/>
        </w:rPr>
        <w:t>, tam gali dar</w:t>
      </w:r>
      <w:r w:rsidR="005D0824">
        <w:rPr>
          <w:rFonts w:ascii="Times New Roman" w:hAnsi="Times New Roman" w:cs="Times New Roman"/>
          <w:sz w:val="24"/>
          <w:szCs w:val="24"/>
          <w:lang w:val="lt-LT"/>
        </w:rPr>
        <w:t>yti įtaką veiklos optimizavimas ir griežta išlaidų kontrolė.</w:t>
      </w:r>
      <w:r w:rsidR="002F7FC6">
        <w:rPr>
          <w:rFonts w:ascii="Times New Roman" w:hAnsi="Times New Roman" w:cs="Times New Roman"/>
          <w:sz w:val="24"/>
          <w:szCs w:val="24"/>
          <w:lang w:val="lt-LT"/>
        </w:rPr>
        <w:t xml:space="preserve"> </w:t>
      </w:r>
    </w:p>
    <w:p w:rsidR="00FC1614" w:rsidRDefault="00FC1614" w:rsidP="00FC1614">
      <w:pPr>
        <w:spacing w:line="360" w:lineRule="auto"/>
        <w:ind w:firstLine="720"/>
        <w:jc w:val="center"/>
        <w:rPr>
          <w:rFonts w:ascii="Times New Roman" w:hAnsi="Times New Roman" w:cs="Times New Roman"/>
          <w:sz w:val="24"/>
          <w:szCs w:val="24"/>
          <w:lang w:val="lt-LT"/>
        </w:rPr>
      </w:pPr>
      <w:r>
        <w:rPr>
          <w:noProof/>
        </w:rPr>
        <w:drawing>
          <wp:inline distT="0" distB="0" distL="0" distR="0" wp14:anchorId="132E2437" wp14:editId="6C30175D">
            <wp:extent cx="3806455" cy="1818167"/>
            <wp:effectExtent l="0" t="0" r="381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1614" w:rsidRPr="00734657" w:rsidRDefault="007450AF" w:rsidP="00734657">
      <w:pPr>
        <w:pStyle w:val="Heading1"/>
        <w:jc w:val="center"/>
        <w:rPr>
          <w:rFonts w:ascii="Times New Roman" w:hAnsi="Times New Roman" w:cs="Times New Roman"/>
          <w:sz w:val="24"/>
          <w:szCs w:val="24"/>
        </w:rPr>
      </w:pPr>
      <w:bookmarkStart w:id="80" w:name="_Toc383784101"/>
      <w:bookmarkStart w:id="81" w:name="_Toc384567313"/>
      <w:bookmarkStart w:id="82" w:name="_Toc384570750"/>
      <w:r w:rsidRPr="00734657">
        <w:rPr>
          <w:rFonts w:ascii="Times New Roman" w:hAnsi="Times New Roman" w:cs="Times New Roman"/>
          <w:sz w:val="24"/>
          <w:szCs w:val="24"/>
        </w:rPr>
        <w:t>7 p</w:t>
      </w:r>
      <w:r w:rsidR="00FC1614" w:rsidRPr="00734657">
        <w:rPr>
          <w:rFonts w:ascii="Times New Roman" w:hAnsi="Times New Roman" w:cs="Times New Roman"/>
          <w:sz w:val="24"/>
          <w:szCs w:val="24"/>
        </w:rPr>
        <w:t>av. Kredito unijų turtas (tūkst. Lt)</w:t>
      </w:r>
      <w:bookmarkEnd w:id="80"/>
      <w:bookmarkEnd w:id="81"/>
      <w:bookmarkEnd w:id="82"/>
    </w:p>
    <w:p w:rsidR="00FC1614" w:rsidRPr="007450AF" w:rsidRDefault="005A7155" w:rsidP="00FC6833">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rPr>
        <w:t xml:space="preserve">7 </w:t>
      </w:r>
      <w:r w:rsidRPr="005A7155">
        <w:rPr>
          <w:rFonts w:ascii="Times New Roman" w:hAnsi="Times New Roman" w:cs="Times New Roman"/>
          <w:sz w:val="24"/>
          <w:szCs w:val="24"/>
          <w:lang w:val="lt-LT"/>
        </w:rPr>
        <w:t>paveiksle pateiktas d</w:t>
      </w:r>
      <w:r w:rsidR="00FC1614" w:rsidRPr="005A7155">
        <w:rPr>
          <w:rFonts w:ascii="Times New Roman" w:hAnsi="Times New Roman" w:cs="Times New Roman"/>
          <w:sz w:val="24"/>
          <w:szCs w:val="24"/>
          <w:lang w:val="lt-LT"/>
        </w:rPr>
        <w:t>viejų</w:t>
      </w:r>
      <w:r w:rsidR="00FC1614">
        <w:rPr>
          <w:rFonts w:ascii="Times New Roman" w:hAnsi="Times New Roman" w:cs="Times New Roman"/>
          <w:sz w:val="24"/>
          <w:szCs w:val="24"/>
          <w:lang w:val="lt-LT"/>
        </w:rPr>
        <w:t xml:space="preserve"> grupių kredito unijų turto vidurkis - dar vienas iš rodiklių, kuriuo norima nustatyti, kurios kredito unijos pagal dydį (turimą turtą) yra rizikingesnės. </w:t>
      </w:r>
      <w:r w:rsidR="00FC6833">
        <w:rPr>
          <w:rFonts w:ascii="Times New Roman" w:hAnsi="Times New Roman" w:cs="Times New Roman"/>
          <w:sz w:val="24"/>
          <w:szCs w:val="24"/>
          <w:lang w:val="lt-LT"/>
        </w:rPr>
        <w:t xml:space="preserve">Taigi kaip matoma iš pateikto grafiko. Visu analizuojamu laikotarpiu rizikingos  kredito unijos turėjo daugiau turto nei tos, kurioms nebuvo taikytos poveikio priemonės. Visgi šį skaičių galėjo lemti </w:t>
      </w:r>
      <w:r w:rsidR="00FC6833">
        <w:rPr>
          <w:rFonts w:ascii="Times New Roman" w:hAnsi="Times New Roman" w:cs="Times New Roman"/>
          <w:sz w:val="24"/>
          <w:szCs w:val="24"/>
          <w:lang w:val="lt-LT"/>
        </w:rPr>
        <w:lastRenderedPageBreak/>
        <w:t>kredito unijos „Vilniaus taupomoji kasa“ turto dydis, nes šiai kredito unija buvo taikytos poveikio priemonės už įvarius pažeidimus ir ji buvo didžiausia Lietuvoje (</w:t>
      </w:r>
      <w:r w:rsidR="00FC6833" w:rsidRPr="007450AF">
        <w:rPr>
          <w:rFonts w:ascii="Times New Roman" w:hAnsi="Times New Roman" w:cs="Times New Roman"/>
          <w:sz w:val="24"/>
          <w:szCs w:val="24"/>
          <w:lang w:val="lt-LT"/>
        </w:rPr>
        <w:t>2011 m. jos turtas sudar</w:t>
      </w:r>
      <w:r w:rsidR="00FC6833">
        <w:rPr>
          <w:rFonts w:ascii="Times New Roman" w:hAnsi="Times New Roman" w:cs="Times New Roman"/>
          <w:sz w:val="24"/>
          <w:szCs w:val="24"/>
          <w:lang w:val="lt-LT"/>
        </w:rPr>
        <w:t xml:space="preserve">ė </w:t>
      </w:r>
      <w:r w:rsidR="00FC6833" w:rsidRPr="007450AF">
        <w:rPr>
          <w:rFonts w:ascii="Times New Roman" w:hAnsi="Times New Roman" w:cs="Times New Roman"/>
          <w:sz w:val="24"/>
          <w:szCs w:val="24"/>
          <w:lang w:val="lt-LT"/>
        </w:rPr>
        <w:t>25 proc. vi</w:t>
      </w:r>
      <w:r w:rsidR="00FC6833">
        <w:rPr>
          <w:rFonts w:ascii="Times New Roman" w:hAnsi="Times New Roman" w:cs="Times New Roman"/>
          <w:sz w:val="24"/>
          <w:szCs w:val="24"/>
          <w:lang w:val="lt-LT"/>
        </w:rPr>
        <w:t xml:space="preserve">sų kredito unijų turto, </w:t>
      </w:r>
      <w:r w:rsidR="00FC6833" w:rsidRPr="007450AF">
        <w:rPr>
          <w:rFonts w:ascii="Times New Roman" w:hAnsi="Times New Roman" w:cs="Times New Roman"/>
          <w:sz w:val="24"/>
          <w:szCs w:val="24"/>
          <w:lang w:val="lt-LT"/>
        </w:rPr>
        <w:t>2012 m. ir 2013 m. – po 16  proc.).</w:t>
      </w:r>
    </w:p>
    <w:p w:rsidR="00B759FB" w:rsidRDefault="007F3236" w:rsidP="007F3236">
      <w:pPr>
        <w:spacing w:line="360" w:lineRule="auto"/>
        <w:ind w:firstLine="720"/>
        <w:jc w:val="center"/>
        <w:rPr>
          <w:rFonts w:ascii="Times New Roman" w:hAnsi="Times New Roman" w:cs="Times New Roman"/>
          <w:sz w:val="24"/>
          <w:szCs w:val="24"/>
          <w:lang w:val="lt-LT"/>
        </w:rPr>
      </w:pPr>
      <w:r>
        <w:rPr>
          <w:noProof/>
        </w:rPr>
        <w:drawing>
          <wp:inline distT="0" distB="0" distL="0" distR="0" wp14:anchorId="0BFD2C45" wp14:editId="0A9812AF">
            <wp:extent cx="3264196" cy="2030819"/>
            <wp:effectExtent l="0" t="0" r="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59FB" w:rsidRPr="00734657" w:rsidRDefault="007450AF" w:rsidP="003F660F">
      <w:pPr>
        <w:pStyle w:val="Heading1"/>
        <w:numPr>
          <w:ilvl w:val="0"/>
          <w:numId w:val="39"/>
        </w:numPr>
        <w:jc w:val="center"/>
        <w:rPr>
          <w:rFonts w:ascii="Times New Roman" w:hAnsi="Times New Roman" w:cs="Times New Roman"/>
          <w:sz w:val="24"/>
          <w:szCs w:val="24"/>
        </w:rPr>
      </w:pPr>
      <w:bookmarkStart w:id="83" w:name="_Toc383784102"/>
      <w:bookmarkStart w:id="84" w:name="_Toc384567314"/>
      <w:bookmarkStart w:id="85" w:name="_Toc384570751"/>
      <w:proofErr w:type="spellStart"/>
      <w:r w:rsidRPr="00734657">
        <w:rPr>
          <w:rFonts w:ascii="Times New Roman" w:hAnsi="Times New Roman" w:cs="Times New Roman"/>
          <w:sz w:val="24"/>
          <w:szCs w:val="24"/>
        </w:rPr>
        <w:t>p</w:t>
      </w:r>
      <w:r w:rsidR="00B759FB" w:rsidRPr="00734657">
        <w:rPr>
          <w:rFonts w:ascii="Times New Roman" w:hAnsi="Times New Roman" w:cs="Times New Roman"/>
          <w:sz w:val="24"/>
          <w:szCs w:val="24"/>
        </w:rPr>
        <w:t>av</w:t>
      </w:r>
      <w:proofErr w:type="spellEnd"/>
      <w:r w:rsidR="00B759FB" w:rsidRPr="00734657">
        <w:rPr>
          <w:rFonts w:ascii="Times New Roman" w:hAnsi="Times New Roman" w:cs="Times New Roman"/>
          <w:sz w:val="24"/>
          <w:szCs w:val="24"/>
        </w:rPr>
        <w:t xml:space="preserve">. Kredito unijų pagal LB taikytas poveikio priemones </w:t>
      </w:r>
      <w:r w:rsidR="00373015" w:rsidRPr="00734657">
        <w:rPr>
          <w:rFonts w:ascii="Times New Roman" w:hAnsi="Times New Roman" w:cs="Times New Roman"/>
          <w:sz w:val="24"/>
          <w:szCs w:val="24"/>
        </w:rPr>
        <w:t>pasiskirstymas</w:t>
      </w:r>
      <w:bookmarkEnd w:id="83"/>
      <w:bookmarkEnd w:id="84"/>
      <w:bookmarkEnd w:id="85"/>
    </w:p>
    <w:p w:rsidR="00336B64" w:rsidRDefault="003F660F" w:rsidP="003F660F">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 paveiksle pateikiama informacija į tyrimą įtrauktų kredito unijų pasiskirstymą. </w:t>
      </w:r>
      <w:r w:rsidR="00373015">
        <w:rPr>
          <w:rFonts w:ascii="Times New Roman" w:hAnsi="Times New Roman" w:cs="Times New Roman"/>
          <w:sz w:val="24"/>
          <w:szCs w:val="24"/>
          <w:lang w:val="lt-LT"/>
        </w:rPr>
        <w:t>Antroje darbo dalyje minėti kriterijai, pagal kuriuos buvo at</w:t>
      </w:r>
      <w:r>
        <w:rPr>
          <w:rFonts w:ascii="Times New Roman" w:hAnsi="Times New Roman" w:cs="Times New Roman"/>
          <w:sz w:val="24"/>
          <w:szCs w:val="24"/>
          <w:lang w:val="lt-LT"/>
        </w:rPr>
        <w:t xml:space="preserve">rinktos kredito unijos tyrimui, taigi </w:t>
      </w:r>
      <w:r w:rsidR="00373015" w:rsidRPr="00135889">
        <w:rPr>
          <w:rFonts w:ascii="Times New Roman" w:hAnsi="Times New Roman" w:cs="Times New Roman"/>
          <w:sz w:val="24"/>
          <w:szCs w:val="24"/>
          <w:lang w:val="lt-LT"/>
        </w:rPr>
        <w:t>eliminavus, tas kredito unijas, kurios veiklą pradėjo tiriamuoju laikotarpiu, liko 70 kredito unij</w:t>
      </w:r>
      <w:r w:rsidR="00135889" w:rsidRPr="00135889">
        <w:rPr>
          <w:rFonts w:ascii="Times New Roman" w:hAnsi="Times New Roman" w:cs="Times New Roman"/>
          <w:sz w:val="24"/>
          <w:szCs w:val="24"/>
          <w:lang w:val="lt-LT"/>
        </w:rPr>
        <w:t>ų, iš kurių 16 – taikytos poveikio priemonės.</w:t>
      </w:r>
      <w:r w:rsidR="00135889">
        <w:rPr>
          <w:rFonts w:ascii="Times New Roman" w:hAnsi="Times New Roman" w:cs="Times New Roman"/>
          <w:sz w:val="24"/>
          <w:szCs w:val="24"/>
          <w:lang w:val="lt-LT"/>
        </w:rPr>
        <w:t xml:space="preserve"> </w:t>
      </w:r>
    </w:p>
    <w:p w:rsidR="00336B64" w:rsidRDefault="00336B64" w:rsidP="00336B64">
      <w:pPr>
        <w:spacing w:line="360" w:lineRule="auto"/>
        <w:ind w:firstLine="720"/>
        <w:jc w:val="center"/>
        <w:rPr>
          <w:rFonts w:ascii="Times New Roman" w:hAnsi="Times New Roman" w:cs="Times New Roman"/>
          <w:sz w:val="24"/>
          <w:szCs w:val="24"/>
          <w:lang w:val="lt-LT"/>
        </w:rPr>
      </w:pPr>
      <w:r>
        <w:rPr>
          <w:noProof/>
        </w:rPr>
        <w:drawing>
          <wp:inline distT="0" distB="0" distL="0" distR="0" wp14:anchorId="07117F39" wp14:editId="454A514C">
            <wp:extent cx="3859619" cy="2137144"/>
            <wp:effectExtent l="0" t="0" r="762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36B64" w:rsidRPr="00734657" w:rsidRDefault="007450AF" w:rsidP="00734657">
      <w:pPr>
        <w:pStyle w:val="Heading1"/>
        <w:jc w:val="center"/>
        <w:rPr>
          <w:rFonts w:ascii="Times New Roman" w:hAnsi="Times New Roman" w:cs="Times New Roman"/>
          <w:sz w:val="24"/>
          <w:szCs w:val="24"/>
        </w:rPr>
      </w:pPr>
      <w:bookmarkStart w:id="86" w:name="_Toc383784103"/>
      <w:bookmarkStart w:id="87" w:name="_Toc384567315"/>
      <w:bookmarkStart w:id="88" w:name="_Toc384570752"/>
      <w:r w:rsidRPr="00734657">
        <w:rPr>
          <w:rFonts w:ascii="Times New Roman" w:hAnsi="Times New Roman" w:cs="Times New Roman"/>
          <w:sz w:val="24"/>
          <w:szCs w:val="24"/>
        </w:rPr>
        <w:t>9 p</w:t>
      </w:r>
      <w:r w:rsidR="00336B64" w:rsidRPr="00734657">
        <w:rPr>
          <w:rFonts w:ascii="Times New Roman" w:hAnsi="Times New Roman" w:cs="Times New Roman"/>
          <w:sz w:val="24"/>
          <w:szCs w:val="24"/>
        </w:rPr>
        <w:t>av. Kredito unijų pasiskirstymas pagal nefinansinius kriterijus</w:t>
      </w:r>
      <w:bookmarkEnd w:id="86"/>
      <w:bookmarkEnd w:id="87"/>
      <w:bookmarkEnd w:id="88"/>
    </w:p>
    <w:p w:rsidR="00373015" w:rsidRPr="00135889" w:rsidRDefault="003F660F" w:rsidP="00135889">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 paveiksle</w:t>
      </w:r>
      <w:r w:rsidR="00336B64" w:rsidRPr="00135889">
        <w:rPr>
          <w:rFonts w:ascii="Times New Roman" w:hAnsi="Times New Roman" w:cs="Times New Roman"/>
          <w:sz w:val="24"/>
          <w:szCs w:val="24"/>
          <w:lang w:val="lt-LT"/>
        </w:rPr>
        <w:t xml:space="preserve"> pateiktas grafikas, kuris atskleidžia kredito unijų tam tikras charakteristikas. Tos kredito unijos, kurios veikia mažesniuose miestuose įgyja – 0 reikšmę, o apskrities centruose – 1, analogiškai </w:t>
      </w:r>
      <w:r w:rsidR="00135889" w:rsidRPr="00135889">
        <w:rPr>
          <w:rFonts w:ascii="Times New Roman" w:hAnsi="Times New Roman" w:cs="Times New Roman"/>
          <w:sz w:val="24"/>
          <w:szCs w:val="24"/>
          <w:lang w:val="lt-LT"/>
        </w:rPr>
        <w:t>įvertinamos kredito unijos, kurioms taikytos poveikio priemonės (netaikytos – 0, taikytos – 1) bei priklausymas Centrinei kredito unijai (priklauso – 0, nepriklauso 1).</w:t>
      </w:r>
      <w:r w:rsidR="00336B64" w:rsidRPr="00135889">
        <w:rPr>
          <w:rFonts w:ascii="Times New Roman" w:hAnsi="Times New Roman" w:cs="Times New Roman"/>
          <w:sz w:val="24"/>
          <w:szCs w:val="24"/>
          <w:lang w:val="lt-LT"/>
        </w:rPr>
        <w:t xml:space="preserve"> </w:t>
      </w:r>
      <w:r w:rsidR="00336B64" w:rsidRPr="00135889">
        <w:rPr>
          <w:rFonts w:ascii="Times New Roman" w:hAnsi="Times New Roman" w:cs="Times New Roman"/>
          <w:sz w:val="24"/>
          <w:szCs w:val="24"/>
          <w:lang w:val="lt-LT"/>
        </w:rPr>
        <w:lastRenderedPageBreak/>
        <w:t xml:space="preserve">Analizuodami aukščiau pateiktą grafiką, matome tam tikras tendencijas. </w:t>
      </w:r>
      <w:r w:rsidR="00373015" w:rsidRPr="00135889">
        <w:rPr>
          <w:rFonts w:ascii="Times New Roman" w:hAnsi="Times New Roman" w:cs="Times New Roman"/>
          <w:sz w:val="24"/>
          <w:szCs w:val="24"/>
          <w:lang w:val="lt-LT"/>
        </w:rPr>
        <w:t>Net</w:t>
      </w:r>
      <w:r w:rsidR="00336B64" w:rsidRPr="00135889">
        <w:rPr>
          <w:rFonts w:ascii="Times New Roman" w:hAnsi="Times New Roman" w:cs="Times New Roman"/>
          <w:sz w:val="24"/>
          <w:szCs w:val="24"/>
          <w:lang w:val="lt-LT"/>
        </w:rPr>
        <w:t xml:space="preserve"> 5</w:t>
      </w:r>
      <w:r w:rsidR="00373015" w:rsidRPr="00135889">
        <w:rPr>
          <w:rFonts w:ascii="Times New Roman" w:hAnsi="Times New Roman" w:cs="Times New Roman"/>
          <w:sz w:val="24"/>
          <w:szCs w:val="24"/>
          <w:lang w:val="lt-LT"/>
        </w:rPr>
        <w:t xml:space="preserve"> iš 16 kredito unijų, kurioms taikytos poveikio priemonės, nepriklauso Centrinės kredito unijos tinklui</w:t>
      </w:r>
      <w:r w:rsidR="00336B64" w:rsidRPr="00135889">
        <w:rPr>
          <w:rFonts w:ascii="Times New Roman" w:hAnsi="Times New Roman" w:cs="Times New Roman"/>
          <w:sz w:val="24"/>
          <w:szCs w:val="24"/>
          <w:lang w:val="lt-LT"/>
        </w:rPr>
        <w:t xml:space="preserve"> ir veikia apskrities centruose – didžiuosiuose miestuose. Kitos 7 kredito unijos</w:t>
      </w:r>
      <w:r w:rsidR="00135889" w:rsidRPr="00135889">
        <w:rPr>
          <w:rFonts w:ascii="Times New Roman" w:hAnsi="Times New Roman" w:cs="Times New Roman"/>
          <w:sz w:val="24"/>
          <w:szCs w:val="24"/>
          <w:lang w:val="lt-LT"/>
        </w:rPr>
        <w:t>, kurioms taikytos poveikio priemonė</w:t>
      </w:r>
      <w:r>
        <w:rPr>
          <w:rFonts w:ascii="Times New Roman" w:hAnsi="Times New Roman" w:cs="Times New Roman"/>
          <w:sz w:val="24"/>
          <w:szCs w:val="24"/>
          <w:lang w:val="lt-LT"/>
        </w:rPr>
        <w:t>s, veikia apskrities centruose, o likusi dalis – 4 kredito unijos neatitinka šių</w:t>
      </w:r>
      <w:r w:rsidR="00135889" w:rsidRPr="00135889">
        <w:rPr>
          <w:rFonts w:ascii="Times New Roman" w:hAnsi="Times New Roman" w:cs="Times New Roman"/>
          <w:sz w:val="24"/>
          <w:szCs w:val="24"/>
          <w:lang w:val="lt-LT"/>
        </w:rPr>
        <w:t xml:space="preserve"> kriterijų (priklauso CKU, veikia mažesniuose miestuose</w:t>
      </w:r>
      <w:r>
        <w:rPr>
          <w:rFonts w:ascii="Times New Roman" w:hAnsi="Times New Roman" w:cs="Times New Roman"/>
          <w:sz w:val="24"/>
          <w:szCs w:val="24"/>
          <w:lang w:val="lt-LT"/>
        </w:rPr>
        <w:t>). Tai leidžia pastebėti tendenciją, jog pastarieji kriterijai</w:t>
      </w:r>
      <w:r w:rsidR="00135889" w:rsidRPr="007450AF">
        <w:rPr>
          <w:rFonts w:ascii="Times New Roman" w:hAnsi="Times New Roman" w:cs="Times New Roman"/>
          <w:sz w:val="24"/>
          <w:szCs w:val="24"/>
          <w:lang w:val="lt-LT"/>
        </w:rPr>
        <w:t xml:space="preserve"> turi įtakos padidėjusiai kredito unijų veiklos rizikai.</w:t>
      </w:r>
    </w:p>
    <w:p w:rsidR="00D329D1" w:rsidRPr="00DA7D88" w:rsidRDefault="00875BB9" w:rsidP="00DA7D88">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 </w:t>
      </w:r>
      <w:r w:rsidR="003F660F">
        <w:rPr>
          <w:rFonts w:ascii="Times New Roman" w:hAnsi="Times New Roman" w:cs="Times New Roman"/>
          <w:sz w:val="24"/>
          <w:szCs w:val="24"/>
          <w:lang w:val="lt-LT"/>
        </w:rPr>
        <w:t xml:space="preserve">Apskaičiavus finansinių rodiklių statistines charakteristikas, nustatyta, jog </w:t>
      </w:r>
      <w:r w:rsidR="0057524C" w:rsidRPr="000D37F1">
        <w:rPr>
          <w:rFonts w:ascii="Times New Roman" w:hAnsi="Times New Roman" w:cs="Times New Roman"/>
          <w:sz w:val="24"/>
          <w:szCs w:val="24"/>
          <w:lang w:val="lt-LT"/>
        </w:rPr>
        <w:t>ne visos rizikingesnių kredito unijų rodiklių reikšmės yra mažesnės, kai kurios sutampa arba labai mažai skiri</w:t>
      </w:r>
      <w:r w:rsidR="007F3236">
        <w:rPr>
          <w:rFonts w:ascii="Times New Roman" w:hAnsi="Times New Roman" w:cs="Times New Roman"/>
          <w:sz w:val="24"/>
          <w:szCs w:val="24"/>
          <w:lang w:val="lt-LT"/>
        </w:rPr>
        <w:t>a</w:t>
      </w:r>
      <w:r w:rsidR="0037020C">
        <w:rPr>
          <w:rFonts w:ascii="Times New Roman" w:hAnsi="Times New Roman" w:cs="Times New Roman"/>
          <w:sz w:val="24"/>
          <w:szCs w:val="24"/>
          <w:lang w:val="lt-LT"/>
        </w:rPr>
        <w:t>si nuo sėkmingų</w:t>
      </w:r>
      <w:r w:rsidR="003F660F">
        <w:rPr>
          <w:rFonts w:ascii="Times New Roman" w:hAnsi="Times New Roman" w:cs="Times New Roman"/>
          <w:sz w:val="24"/>
          <w:szCs w:val="24"/>
          <w:lang w:val="lt-LT"/>
        </w:rPr>
        <w:t xml:space="preserve"> (netaikytos poveikio priemonės)</w:t>
      </w:r>
      <w:r w:rsidR="0037020C">
        <w:rPr>
          <w:rFonts w:ascii="Times New Roman" w:hAnsi="Times New Roman" w:cs="Times New Roman"/>
          <w:sz w:val="24"/>
          <w:szCs w:val="24"/>
          <w:lang w:val="lt-LT"/>
        </w:rPr>
        <w:t xml:space="preserve"> kredito unijų. </w:t>
      </w:r>
      <w:r w:rsidR="002352CD" w:rsidRPr="000D37F1">
        <w:rPr>
          <w:rFonts w:ascii="Times New Roman" w:hAnsi="Times New Roman" w:cs="Times New Roman"/>
          <w:sz w:val="24"/>
          <w:szCs w:val="24"/>
          <w:lang w:val="lt-LT"/>
        </w:rPr>
        <w:t>Taigi išanalizavę į dvi grupes suskirstytų kredito unijų statistines charakteristikas, galime daryti prielaidą, jog tie</w:t>
      </w:r>
      <w:r w:rsidR="007F3236">
        <w:rPr>
          <w:rFonts w:ascii="Times New Roman" w:hAnsi="Times New Roman" w:cs="Times New Roman"/>
          <w:sz w:val="24"/>
          <w:szCs w:val="24"/>
          <w:lang w:val="lt-LT"/>
        </w:rPr>
        <w:t xml:space="preserve"> rodikliai, kurių vidurkiai tarp</w:t>
      </w:r>
      <w:r w:rsidR="002352CD" w:rsidRPr="000D37F1">
        <w:rPr>
          <w:rFonts w:ascii="Times New Roman" w:hAnsi="Times New Roman" w:cs="Times New Roman"/>
          <w:sz w:val="24"/>
          <w:szCs w:val="24"/>
          <w:lang w:val="lt-LT"/>
        </w:rPr>
        <w:t xml:space="preserve"> grupių ženklai skiriasi, bus reikšmingiausi nustatant kredito unijų nesėkmių rizikos veiksnius.</w:t>
      </w:r>
    </w:p>
    <w:p w:rsidR="00FE0BBF" w:rsidRPr="00450C32" w:rsidRDefault="00B234D3" w:rsidP="00DA7D88">
      <w:pPr>
        <w:pStyle w:val="Heading2"/>
        <w:numPr>
          <w:ilvl w:val="1"/>
          <w:numId w:val="6"/>
        </w:numPr>
        <w:jc w:val="center"/>
        <w:rPr>
          <w:rFonts w:ascii="Times New Roman" w:hAnsi="Times New Roman" w:cs="Times New Roman"/>
          <w:color w:val="auto"/>
          <w:sz w:val="24"/>
          <w:szCs w:val="24"/>
          <w:lang w:val="lt-LT"/>
        </w:rPr>
      </w:pPr>
      <w:bookmarkStart w:id="89" w:name="_Toc383782877"/>
      <w:bookmarkStart w:id="90" w:name="_Toc384567316"/>
      <w:bookmarkStart w:id="91" w:name="_Toc384570753"/>
      <w:r w:rsidRPr="00450C32">
        <w:rPr>
          <w:rFonts w:ascii="Times New Roman" w:hAnsi="Times New Roman" w:cs="Times New Roman"/>
          <w:color w:val="auto"/>
          <w:sz w:val="24"/>
          <w:szCs w:val="24"/>
          <w:lang w:val="lt-LT"/>
        </w:rPr>
        <w:t>IŠLIKIMO ANALIZĖS TAIKYMAS</w:t>
      </w:r>
      <w:bookmarkEnd w:id="89"/>
      <w:bookmarkEnd w:id="90"/>
      <w:bookmarkEnd w:id="91"/>
    </w:p>
    <w:p w:rsidR="00B234D3" w:rsidRDefault="00B234D3" w:rsidP="00B234D3">
      <w:pPr>
        <w:tabs>
          <w:tab w:val="center" w:pos="10512"/>
        </w:tabs>
        <w:autoSpaceDE w:val="0"/>
        <w:autoSpaceDN w:val="0"/>
        <w:adjustRightInd w:val="0"/>
        <w:spacing w:after="0" w:line="240" w:lineRule="auto"/>
        <w:jc w:val="center"/>
        <w:rPr>
          <w:rFonts w:ascii="Times New Roman" w:hAnsi="Times New Roman" w:cs="Times New Roman"/>
          <w:sz w:val="24"/>
          <w:szCs w:val="24"/>
          <w:lang w:val="lt-LT"/>
        </w:rPr>
      </w:pPr>
    </w:p>
    <w:p w:rsidR="00B234D3" w:rsidRDefault="00B234D3" w:rsidP="00B234D3">
      <w:pPr>
        <w:tabs>
          <w:tab w:val="center" w:pos="10512"/>
        </w:tabs>
        <w:autoSpaceDE w:val="0"/>
        <w:autoSpaceDN w:val="0"/>
        <w:adjustRightInd w:val="0"/>
        <w:spacing w:after="0" w:line="240" w:lineRule="auto"/>
        <w:jc w:val="center"/>
        <w:rPr>
          <w:rFonts w:ascii="Times New Roman" w:hAnsi="Times New Roman" w:cs="Times New Roman"/>
          <w:sz w:val="24"/>
          <w:szCs w:val="24"/>
          <w:lang w:val="lt-LT"/>
        </w:rPr>
      </w:pPr>
    </w:p>
    <w:p w:rsidR="00B234D3" w:rsidRDefault="00B234D3" w:rsidP="00B234D3">
      <w:pPr>
        <w:tabs>
          <w:tab w:val="center" w:pos="10512"/>
        </w:tabs>
        <w:autoSpaceDE w:val="0"/>
        <w:autoSpaceDN w:val="0"/>
        <w:adjustRightInd w:val="0"/>
        <w:spacing w:after="0"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Išlikimo analizė – tai statistiniai metodai nagrinėjantys laiko intervalus nuo tam tikro laiko pradžios iki pabaigos. </w:t>
      </w:r>
      <w:r w:rsidR="00253071">
        <w:rPr>
          <w:rFonts w:ascii="Times New Roman" w:hAnsi="Times New Roman" w:cs="Times New Roman"/>
          <w:sz w:val="24"/>
          <w:szCs w:val="24"/>
          <w:lang w:val="lt-LT"/>
        </w:rPr>
        <w:t xml:space="preserve">Šiame tyrime nuo laiko priklauso visi finansiniai rodikliai, todėl pirmiesiems metams tirti naudojami – 2011 m. finansiniai duomenys, antriesiems – 2012 m. o tretiesiems – 2013  </w:t>
      </w:r>
      <w:proofErr w:type="spellStart"/>
      <w:r w:rsidR="00253071">
        <w:rPr>
          <w:rFonts w:ascii="Times New Roman" w:hAnsi="Times New Roman" w:cs="Times New Roman"/>
          <w:sz w:val="24"/>
          <w:szCs w:val="24"/>
          <w:lang w:val="lt-LT"/>
        </w:rPr>
        <w:t>m</w:t>
      </w:r>
      <w:proofErr w:type="spellEnd"/>
      <w:r w:rsidR="00253071">
        <w:rPr>
          <w:rFonts w:ascii="Times New Roman" w:hAnsi="Times New Roman" w:cs="Times New Roman"/>
          <w:sz w:val="24"/>
          <w:szCs w:val="24"/>
          <w:lang w:val="lt-LT"/>
        </w:rPr>
        <w:t>.</w:t>
      </w:r>
    </w:p>
    <w:p w:rsidR="00FA0D12" w:rsidRDefault="00FA0D12" w:rsidP="00B234D3">
      <w:pPr>
        <w:tabs>
          <w:tab w:val="center" w:pos="10512"/>
        </w:tabs>
        <w:autoSpaceDE w:val="0"/>
        <w:autoSpaceDN w:val="0"/>
        <w:adjustRightInd w:val="0"/>
        <w:spacing w:after="0" w:line="360" w:lineRule="auto"/>
        <w:ind w:firstLine="709"/>
        <w:jc w:val="both"/>
        <w:rPr>
          <w:rFonts w:ascii="Times New Roman" w:hAnsi="Times New Roman" w:cs="Times New Roman"/>
          <w:sz w:val="24"/>
          <w:szCs w:val="24"/>
          <w:lang w:val="lt-LT"/>
        </w:rPr>
      </w:pPr>
    </w:p>
    <w:p w:rsidR="000B1C5D" w:rsidRPr="000B1C5D" w:rsidRDefault="000B1C5D" w:rsidP="00FA0D12">
      <w:pPr>
        <w:tabs>
          <w:tab w:val="center" w:pos="10512"/>
        </w:tabs>
        <w:autoSpaceDE w:val="0"/>
        <w:autoSpaceDN w:val="0"/>
        <w:adjustRightInd w:val="0"/>
        <w:spacing w:after="0" w:line="36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Nefinansiniai kriterijai</w:t>
      </w:r>
    </w:p>
    <w:p w:rsidR="0037020C" w:rsidRDefault="00253071" w:rsidP="00C72189">
      <w:pPr>
        <w:tabs>
          <w:tab w:val="center" w:pos="10512"/>
        </w:tabs>
        <w:autoSpaceDE w:val="0"/>
        <w:autoSpaceDN w:val="0"/>
        <w:adjustRightInd w:val="0"/>
        <w:spacing w:after="0"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Kadangi analizuojami dideli duomenų rinkiniai (daugiau nei 25 stebimieji), tai taikomos išlikimo lentelės. Tiriamas 2011 -</w:t>
      </w:r>
      <w:r w:rsidR="006F0A1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2013 </w:t>
      </w:r>
      <w:proofErr w:type="spellStart"/>
      <w:r>
        <w:rPr>
          <w:rFonts w:ascii="Times New Roman" w:hAnsi="Times New Roman" w:cs="Times New Roman"/>
          <w:sz w:val="24"/>
          <w:szCs w:val="24"/>
          <w:lang w:val="lt-LT"/>
        </w:rPr>
        <w:t>m</w:t>
      </w:r>
      <w:proofErr w:type="spellEnd"/>
      <w:r>
        <w:rPr>
          <w:rFonts w:ascii="Times New Roman" w:hAnsi="Times New Roman" w:cs="Times New Roman"/>
          <w:sz w:val="24"/>
          <w:szCs w:val="24"/>
          <w:lang w:val="lt-LT"/>
        </w:rPr>
        <w:t>. laikotarpis, vertinamas laiko kintamasis – įspėjimo laikas, kuris skaičiuojamas nuo 2011 metų pradžios ir kategorinis dvireikšmis kintamasis – apribota veikla. Cenzūruotos yra tos kredito unijos, kurioms nebuvo taikytos poveikio priemonės tiriamuoju laikotarpiu.</w:t>
      </w:r>
    </w:p>
    <w:p w:rsidR="00FA0D12" w:rsidRDefault="00FA0D12" w:rsidP="00C72189">
      <w:pPr>
        <w:tabs>
          <w:tab w:val="center" w:pos="10512"/>
        </w:tabs>
        <w:autoSpaceDE w:val="0"/>
        <w:autoSpaceDN w:val="0"/>
        <w:adjustRightInd w:val="0"/>
        <w:spacing w:after="0" w:line="360" w:lineRule="auto"/>
        <w:ind w:firstLine="709"/>
        <w:jc w:val="both"/>
        <w:rPr>
          <w:rFonts w:ascii="Times New Roman" w:hAnsi="Times New Roman" w:cs="Times New Roman"/>
          <w:sz w:val="24"/>
          <w:szCs w:val="24"/>
          <w:lang w:val="lt-LT"/>
        </w:rPr>
      </w:pPr>
    </w:p>
    <w:p w:rsidR="00FA0D12" w:rsidRDefault="00FA0D12" w:rsidP="00C72189">
      <w:pPr>
        <w:tabs>
          <w:tab w:val="center" w:pos="10512"/>
        </w:tabs>
        <w:autoSpaceDE w:val="0"/>
        <w:autoSpaceDN w:val="0"/>
        <w:adjustRightInd w:val="0"/>
        <w:spacing w:after="0" w:line="360" w:lineRule="auto"/>
        <w:ind w:firstLine="709"/>
        <w:jc w:val="both"/>
        <w:rPr>
          <w:rFonts w:ascii="Times New Roman" w:hAnsi="Times New Roman" w:cs="Times New Roman"/>
          <w:sz w:val="24"/>
          <w:szCs w:val="24"/>
          <w:lang w:val="lt-LT"/>
        </w:rPr>
      </w:pPr>
    </w:p>
    <w:p w:rsidR="00FA0D12" w:rsidRDefault="00FA0D12" w:rsidP="00C72189">
      <w:pPr>
        <w:tabs>
          <w:tab w:val="center" w:pos="10512"/>
        </w:tabs>
        <w:autoSpaceDE w:val="0"/>
        <w:autoSpaceDN w:val="0"/>
        <w:adjustRightInd w:val="0"/>
        <w:spacing w:after="0" w:line="360" w:lineRule="auto"/>
        <w:ind w:firstLine="709"/>
        <w:jc w:val="both"/>
        <w:rPr>
          <w:rFonts w:ascii="Times New Roman" w:hAnsi="Times New Roman" w:cs="Times New Roman"/>
          <w:sz w:val="24"/>
          <w:szCs w:val="24"/>
          <w:lang w:val="lt-LT"/>
        </w:rPr>
      </w:pPr>
    </w:p>
    <w:p w:rsidR="00FA0D12" w:rsidRPr="00253071" w:rsidRDefault="00FA0D12" w:rsidP="00C72189">
      <w:pPr>
        <w:tabs>
          <w:tab w:val="center" w:pos="10512"/>
        </w:tabs>
        <w:autoSpaceDE w:val="0"/>
        <w:autoSpaceDN w:val="0"/>
        <w:adjustRightInd w:val="0"/>
        <w:spacing w:after="0" w:line="360" w:lineRule="auto"/>
        <w:ind w:firstLine="709"/>
        <w:jc w:val="both"/>
        <w:rPr>
          <w:rFonts w:ascii="Times New Roman" w:hAnsi="Times New Roman" w:cs="Times New Roman"/>
          <w:sz w:val="24"/>
          <w:szCs w:val="24"/>
          <w:lang w:val="lt-LT"/>
        </w:rPr>
      </w:pPr>
    </w:p>
    <w:p w:rsidR="00FE0BBF" w:rsidRPr="00734657" w:rsidRDefault="005D2C7E" w:rsidP="00734657">
      <w:pPr>
        <w:pStyle w:val="Heading1"/>
        <w:jc w:val="center"/>
        <w:rPr>
          <w:rFonts w:ascii="Times New Roman" w:hAnsi="Times New Roman" w:cs="Times New Roman"/>
          <w:sz w:val="24"/>
          <w:szCs w:val="24"/>
        </w:rPr>
      </w:pPr>
      <w:bookmarkStart w:id="92" w:name="_Toc383784105"/>
      <w:bookmarkStart w:id="93" w:name="_Toc384567317"/>
      <w:bookmarkStart w:id="94" w:name="_Toc384570754"/>
      <w:r>
        <w:rPr>
          <w:rFonts w:ascii="Times New Roman" w:hAnsi="Times New Roman" w:cs="Times New Roman"/>
          <w:sz w:val="24"/>
          <w:szCs w:val="24"/>
        </w:rPr>
        <w:lastRenderedPageBreak/>
        <w:t>4</w:t>
      </w:r>
      <w:r w:rsidR="008211A9" w:rsidRPr="00734657">
        <w:rPr>
          <w:rFonts w:ascii="Times New Roman" w:hAnsi="Times New Roman" w:cs="Times New Roman"/>
          <w:sz w:val="24"/>
          <w:szCs w:val="24"/>
        </w:rPr>
        <w:t xml:space="preserve"> </w:t>
      </w:r>
      <w:r w:rsidR="00D329D1" w:rsidRPr="00734657">
        <w:rPr>
          <w:rFonts w:ascii="Times New Roman" w:hAnsi="Times New Roman" w:cs="Times New Roman"/>
          <w:sz w:val="24"/>
          <w:szCs w:val="24"/>
        </w:rPr>
        <w:t>Lentelė. Kredito u</w:t>
      </w:r>
      <w:r w:rsidR="007F3236" w:rsidRPr="00734657">
        <w:rPr>
          <w:rFonts w:ascii="Times New Roman" w:hAnsi="Times New Roman" w:cs="Times New Roman"/>
          <w:sz w:val="24"/>
          <w:szCs w:val="24"/>
        </w:rPr>
        <w:t xml:space="preserve">nijų pagal veiklos apribojimą, </w:t>
      </w:r>
      <w:r w:rsidR="00D329D1" w:rsidRPr="00734657">
        <w:rPr>
          <w:rFonts w:ascii="Times New Roman" w:hAnsi="Times New Roman" w:cs="Times New Roman"/>
          <w:sz w:val="24"/>
          <w:szCs w:val="24"/>
        </w:rPr>
        <w:t>išlikimo lentelė</w:t>
      </w:r>
      <w:r w:rsidR="00253071" w:rsidRPr="00734657">
        <w:rPr>
          <w:rFonts w:ascii="Times New Roman" w:hAnsi="Times New Roman" w:cs="Times New Roman"/>
          <w:sz w:val="24"/>
          <w:szCs w:val="24"/>
        </w:rPr>
        <w:t>s</w:t>
      </w:r>
      <w:r w:rsidR="00D329D1" w:rsidRPr="00734657">
        <w:rPr>
          <w:rFonts w:ascii="Times New Roman" w:hAnsi="Times New Roman" w:cs="Times New Roman"/>
          <w:sz w:val="24"/>
          <w:szCs w:val="24"/>
        </w:rPr>
        <w:t xml:space="preserve"> (2011-2013m.)</w:t>
      </w:r>
      <w:bookmarkEnd w:id="92"/>
      <w:bookmarkEnd w:id="93"/>
      <w:bookmarkEnd w:id="94"/>
    </w:p>
    <w:p w:rsidR="00253071" w:rsidRPr="00253071" w:rsidRDefault="00253071" w:rsidP="00253071">
      <w:pPr>
        <w:tabs>
          <w:tab w:val="center" w:pos="10512"/>
        </w:tabs>
        <w:autoSpaceDE w:val="0"/>
        <w:autoSpaceDN w:val="0"/>
        <w:adjustRightInd w:val="0"/>
        <w:spacing w:after="0" w:line="240" w:lineRule="auto"/>
        <w:jc w:val="center"/>
        <w:rPr>
          <w:rFonts w:ascii="Times New Roman" w:hAnsi="Times New Roman" w:cs="Times New Roman"/>
          <w:b/>
          <w:sz w:val="24"/>
          <w:szCs w:val="24"/>
          <w:lang w:val="lt-LT"/>
        </w:rPr>
      </w:pPr>
    </w:p>
    <w:tbl>
      <w:tblPr>
        <w:tblW w:w="9871" w:type="dxa"/>
        <w:jc w:val="center"/>
        <w:tblInd w:w="18" w:type="dxa"/>
        <w:tblLook w:val="04A0" w:firstRow="1" w:lastRow="0" w:firstColumn="1" w:lastColumn="0" w:noHBand="0" w:noVBand="1"/>
      </w:tblPr>
      <w:tblGrid>
        <w:gridCol w:w="938"/>
        <w:gridCol w:w="1039"/>
        <w:gridCol w:w="994"/>
        <w:gridCol w:w="1230"/>
        <w:gridCol w:w="994"/>
        <w:gridCol w:w="1339"/>
        <w:gridCol w:w="1339"/>
        <w:gridCol w:w="1061"/>
        <w:gridCol w:w="1327"/>
      </w:tblGrid>
      <w:tr w:rsidR="0037020C" w:rsidRPr="000D37F1" w:rsidTr="0037020C">
        <w:trPr>
          <w:trHeight w:val="315"/>
          <w:jc w:val="center"/>
        </w:trPr>
        <w:tc>
          <w:tcPr>
            <w:tcW w:w="93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Intervalo pradžia</w:t>
            </w:r>
          </w:p>
        </w:tc>
        <w:tc>
          <w:tcPr>
            <w:tcW w:w="1039" w:type="dxa"/>
            <w:tcBorders>
              <w:top w:val="single" w:sz="8" w:space="0" w:color="auto"/>
              <w:left w:val="nil"/>
              <w:bottom w:val="single" w:sz="8" w:space="0" w:color="auto"/>
              <w:right w:val="single" w:sz="4"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Stebimųjų skaičius intervalo pradžioje</w:t>
            </w:r>
          </w:p>
        </w:tc>
        <w:tc>
          <w:tcPr>
            <w:tcW w:w="994" w:type="dxa"/>
            <w:tcBorders>
              <w:top w:val="single" w:sz="8" w:space="0" w:color="auto"/>
              <w:left w:val="nil"/>
              <w:bottom w:val="single" w:sz="8" w:space="0" w:color="auto"/>
              <w:right w:val="single" w:sz="4"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Nepilnų stebėjimų skaičius</w:t>
            </w:r>
          </w:p>
        </w:tc>
        <w:tc>
          <w:tcPr>
            <w:tcW w:w="1230" w:type="dxa"/>
            <w:tcBorders>
              <w:top w:val="single" w:sz="8" w:space="0" w:color="auto"/>
              <w:left w:val="nil"/>
              <w:bottom w:val="single" w:sz="8" w:space="0" w:color="auto"/>
              <w:right w:val="single" w:sz="4"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Stebimųjų skaičius</w:t>
            </w:r>
          </w:p>
        </w:tc>
        <w:tc>
          <w:tcPr>
            <w:tcW w:w="994" w:type="dxa"/>
            <w:tcBorders>
              <w:top w:val="single" w:sz="8" w:space="0" w:color="auto"/>
              <w:left w:val="nil"/>
              <w:bottom w:val="single" w:sz="8" w:space="0" w:color="auto"/>
              <w:right w:val="single" w:sz="4" w:space="0" w:color="auto"/>
            </w:tcBorders>
            <w:shd w:val="clear" w:color="auto" w:fill="auto"/>
            <w:noWrap/>
            <w:vAlign w:val="center"/>
            <w:hideMark/>
          </w:tcPr>
          <w:p w:rsidR="00D329D1" w:rsidRPr="000D37F1" w:rsidRDefault="00836AD0"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Pilnų</w:t>
            </w:r>
            <w:r w:rsidR="00D329D1" w:rsidRPr="000D37F1">
              <w:rPr>
                <w:rFonts w:ascii="Times New Roman" w:eastAsia="Times New Roman" w:hAnsi="Times New Roman" w:cs="Times New Roman"/>
                <w:color w:val="000000"/>
                <w:kern w:val="0"/>
                <w:sz w:val="20"/>
                <w:szCs w:val="20"/>
                <w:lang w:val="lt-LT"/>
              </w:rPr>
              <w:t xml:space="preserve"> stebėjimų skaičius intervale</w:t>
            </w:r>
          </w:p>
        </w:tc>
        <w:tc>
          <w:tcPr>
            <w:tcW w:w="1339" w:type="dxa"/>
            <w:tcBorders>
              <w:top w:val="single" w:sz="8" w:space="0" w:color="auto"/>
              <w:left w:val="nil"/>
              <w:bottom w:val="single" w:sz="8" w:space="0" w:color="auto"/>
              <w:right w:val="single" w:sz="4"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Išgyvenusiųjų dalis</w:t>
            </w:r>
          </w:p>
        </w:tc>
        <w:tc>
          <w:tcPr>
            <w:tcW w:w="1339" w:type="dxa"/>
            <w:tcBorders>
              <w:top w:val="single" w:sz="8" w:space="0" w:color="auto"/>
              <w:left w:val="nil"/>
              <w:bottom w:val="single" w:sz="8" w:space="0" w:color="auto"/>
              <w:right w:val="single" w:sz="4"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Išgyvenusiųjų intervale sukauptoji dalis</w:t>
            </w:r>
          </w:p>
        </w:tc>
        <w:tc>
          <w:tcPr>
            <w:tcW w:w="1061" w:type="dxa"/>
            <w:tcBorders>
              <w:top w:val="single" w:sz="8" w:space="0" w:color="auto"/>
              <w:left w:val="nil"/>
              <w:bottom w:val="single" w:sz="8" w:space="0" w:color="auto"/>
              <w:right w:val="single" w:sz="4"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Tikimybių tankio funkcija</w:t>
            </w:r>
          </w:p>
        </w:tc>
        <w:tc>
          <w:tcPr>
            <w:tcW w:w="937" w:type="dxa"/>
            <w:tcBorders>
              <w:top w:val="single" w:sz="8" w:space="0" w:color="auto"/>
              <w:left w:val="nil"/>
              <w:bottom w:val="single" w:sz="8" w:space="0" w:color="auto"/>
              <w:right w:val="single" w:sz="8" w:space="0" w:color="auto"/>
            </w:tcBorders>
            <w:shd w:val="clear" w:color="auto" w:fill="auto"/>
            <w:noWrap/>
            <w:vAlign w:val="center"/>
            <w:hideMark/>
          </w:tcPr>
          <w:p w:rsidR="00D329D1" w:rsidRPr="000D37F1" w:rsidRDefault="00D329D1" w:rsidP="00D329D1">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Intensyvumas</w:t>
            </w:r>
          </w:p>
        </w:tc>
      </w:tr>
      <w:tr w:rsidR="0037020C" w:rsidRPr="000D37F1" w:rsidTr="0037020C">
        <w:trPr>
          <w:trHeight w:val="300"/>
          <w:jc w:val="center"/>
        </w:trPr>
        <w:tc>
          <w:tcPr>
            <w:tcW w:w="938" w:type="dxa"/>
            <w:tcBorders>
              <w:top w:val="nil"/>
              <w:left w:val="single" w:sz="8" w:space="0" w:color="auto"/>
              <w:bottom w:val="single" w:sz="4" w:space="0" w:color="auto"/>
              <w:right w:val="single" w:sz="4" w:space="0" w:color="auto"/>
            </w:tcBorders>
            <w:shd w:val="clear" w:color="auto" w:fill="auto"/>
            <w:noWrap/>
            <w:vAlign w:val="bottom"/>
            <w:hideMark/>
          </w:tcPr>
          <w:p w:rsidR="00D329D1" w:rsidRPr="000D37F1" w:rsidRDefault="00D329D1"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p>
        </w:tc>
        <w:tc>
          <w:tcPr>
            <w:tcW w:w="1039" w:type="dxa"/>
            <w:tcBorders>
              <w:top w:val="nil"/>
              <w:left w:val="nil"/>
              <w:bottom w:val="single" w:sz="4" w:space="0" w:color="auto"/>
              <w:right w:val="single" w:sz="4" w:space="0" w:color="auto"/>
            </w:tcBorders>
            <w:shd w:val="clear" w:color="auto" w:fill="auto"/>
            <w:noWrap/>
            <w:vAlign w:val="bottom"/>
            <w:hideMark/>
          </w:tcPr>
          <w:p w:rsidR="00D329D1" w:rsidRPr="000D37F1" w:rsidRDefault="00D329D1"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70</w:t>
            </w:r>
          </w:p>
        </w:tc>
        <w:tc>
          <w:tcPr>
            <w:tcW w:w="994" w:type="dxa"/>
            <w:tcBorders>
              <w:top w:val="nil"/>
              <w:left w:val="nil"/>
              <w:bottom w:val="single" w:sz="4" w:space="0" w:color="auto"/>
              <w:right w:val="single" w:sz="4" w:space="0" w:color="auto"/>
            </w:tcBorders>
            <w:shd w:val="clear" w:color="auto" w:fill="auto"/>
            <w:noWrap/>
            <w:vAlign w:val="bottom"/>
            <w:hideMark/>
          </w:tcPr>
          <w:p w:rsidR="00D329D1" w:rsidRPr="000D37F1" w:rsidRDefault="00D329D1"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p>
        </w:tc>
        <w:tc>
          <w:tcPr>
            <w:tcW w:w="1230" w:type="dxa"/>
            <w:tcBorders>
              <w:top w:val="nil"/>
              <w:left w:val="nil"/>
              <w:bottom w:val="single" w:sz="4" w:space="0" w:color="auto"/>
              <w:right w:val="single" w:sz="4" w:space="0" w:color="auto"/>
            </w:tcBorders>
            <w:shd w:val="clear" w:color="auto" w:fill="auto"/>
            <w:noWrap/>
            <w:vAlign w:val="bottom"/>
            <w:hideMark/>
          </w:tcPr>
          <w:p w:rsidR="00D329D1" w:rsidRPr="000D37F1" w:rsidRDefault="00D329D1"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70</w:t>
            </w:r>
          </w:p>
        </w:tc>
        <w:tc>
          <w:tcPr>
            <w:tcW w:w="994" w:type="dxa"/>
            <w:tcBorders>
              <w:top w:val="nil"/>
              <w:left w:val="nil"/>
              <w:bottom w:val="single" w:sz="4" w:space="0" w:color="auto"/>
              <w:right w:val="single" w:sz="4" w:space="0" w:color="auto"/>
            </w:tcBorders>
            <w:shd w:val="clear" w:color="auto" w:fill="auto"/>
            <w:noWrap/>
            <w:vAlign w:val="bottom"/>
            <w:hideMark/>
          </w:tcPr>
          <w:p w:rsidR="00D329D1"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7</w:t>
            </w:r>
          </w:p>
        </w:tc>
        <w:tc>
          <w:tcPr>
            <w:tcW w:w="1339" w:type="dxa"/>
            <w:tcBorders>
              <w:top w:val="nil"/>
              <w:left w:val="nil"/>
              <w:bottom w:val="single" w:sz="4" w:space="0" w:color="auto"/>
              <w:right w:val="single" w:sz="4" w:space="0" w:color="auto"/>
            </w:tcBorders>
            <w:shd w:val="clear" w:color="auto" w:fill="auto"/>
            <w:noWrap/>
            <w:vAlign w:val="bottom"/>
            <w:hideMark/>
          </w:tcPr>
          <w:p w:rsidR="00D329D1" w:rsidRPr="000D37F1" w:rsidRDefault="00D329D1"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w:t>
            </w:r>
            <w:r w:rsidR="00FE1903" w:rsidRPr="000D37F1">
              <w:rPr>
                <w:rFonts w:ascii="Times New Roman" w:eastAsia="Times New Roman" w:hAnsi="Times New Roman" w:cs="Times New Roman"/>
                <w:color w:val="000000"/>
                <w:kern w:val="0"/>
                <w:sz w:val="20"/>
                <w:szCs w:val="20"/>
                <w:lang w:val="lt-LT"/>
              </w:rPr>
              <w:t>0</w:t>
            </w:r>
          </w:p>
        </w:tc>
        <w:tc>
          <w:tcPr>
            <w:tcW w:w="1339" w:type="dxa"/>
            <w:tcBorders>
              <w:top w:val="nil"/>
              <w:left w:val="nil"/>
              <w:bottom w:val="single" w:sz="4" w:space="0" w:color="auto"/>
              <w:right w:val="single" w:sz="4" w:space="0" w:color="auto"/>
            </w:tcBorders>
            <w:shd w:val="clear" w:color="auto" w:fill="auto"/>
            <w:noWrap/>
            <w:vAlign w:val="bottom"/>
            <w:hideMark/>
          </w:tcPr>
          <w:p w:rsidR="00D329D1" w:rsidRPr="000D37F1" w:rsidRDefault="00D329D1"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w:t>
            </w:r>
            <w:r w:rsidR="00FE1903" w:rsidRPr="000D37F1">
              <w:rPr>
                <w:rFonts w:ascii="Times New Roman" w:eastAsia="Times New Roman" w:hAnsi="Times New Roman" w:cs="Times New Roman"/>
                <w:color w:val="000000"/>
                <w:kern w:val="0"/>
                <w:sz w:val="20"/>
                <w:szCs w:val="20"/>
                <w:lang w:val="lt-LT"/>
              </w:rPr>
              <w:t>0</w:t>
            </w:r>
          </w:p>
        </w:tc>
        <w:tc>
          <w:tcPr>
            <w:tcW w:w="1061" w:type="dxa"/>
            <w:tcBorders>
              <w:top w:val="nil"/>
              <w:left w:val="nil"/>
              <w:bottom w:val="single" w:sz="4" w:space="0" w:color="auto"/>
              <w:right w:val="single" w:sz="4" w:space="0" w:color="auto"/>
            </w:tcBorders>
            <w:shd w:val="clear" w:color="auto" w:fill="auto"/>
            <w:noWrap/>
            <w:vAlign w:val="bottom"/>
            <w:hideMark/>
          </w:tcPr>
          <w:p w:rsidR="00D329D1"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0.200</w:t>
            </w:r>
          </w:p>
        </w:tc>
        <w:tc>
          <w:tcPr>
            <w:tcW w:w="937" w:type="dxa"/>
            <w:tcBorders>
              <w:top w:val="nil"/>
              <w:left w:val="nil"/>
              <w:bottom w:val="single" w:sz="4" w:space="0" w:color="auto"/>
              <w:right w:val="single" w:sz="8" w:space="0" w:color="auto"/>
            </w:tcBorders>
            <w:shd w:val="clear" w:color="auto" w:fill="auto"/>
            <w:noWrap/>
            <w:vAlign w:val="bottom"/>
            <w:hideMark/>
          </w:tcPr>
          <w:p w:rsidR="00D329D1" w:rsidRPr="009C579C" w:rsidRDefault="00FE1903" w:rsidP="00D329D1">
            <w:pPr>
              <w:spacing w:after="0" w:line="240" w:lineRule="auto"/>
              <w:jc w:val="right"/>
              <w:rPr>
                <w:rFonts w:ascii="Times New Roman" w:eastAsia="Times New Roman" w:hAnsi="Times New Roman" w:cs="Times New Roman"/>
                <w:b/>
                <w:kern w:val="0"/>
                <w:sz w:val="20"/>
                <w:szCs w:val="20"/>
                <w:lang w:val="lt-LT"/>
              </w:rPr>
            </w:pPr>
            <w:r w:rsidRPr="009C579C">
              <w:rPr>
                <w:rFonts w:ascii="Times New Roman" w:eastAsia="Times New Roman" w:hAnsi="Times New Roman" w:cs="Times New Roman"/>
                <w:b/>
                <w:kern w:val="0"/>
                <w:sz w:val="20"/>
                <w:szCs w:val="20"/>
                <w:lang w:val="lt-LT"/>
              </w:rPr>
              <w:t>0.21</w:t>
            </w:r>
          </w:p>
        </w:tc>
      </w:tr>
      <w:tr w:rsidR="0037020C" w:rsidRPr="000D37F1" w:rsidTr="0037020C">
        <w:trPr>
          <w:trHeight w:val="300"/>
          <w:jc w:val="center"/>
        </w:trPr>
        <w:tc>
          <w:tcPr>
            <w:tcW w:w="938" w:type="dxa"/>
            <w:tcBorders>
              <w:top w:val="nil"/>
              <w:left w:val="single" w:sz="8" w:space="0" w:color="auto"/>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w:t>
            </w:r>
          </w:p>
        </w:tc>
        <w:tc>
          <w:tcPr>
            <w:tcW w:w="10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63</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p>
        </w:tc>
        <w:tc>
          <w:tcPr>
            <w:tcW w:w="1230"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141F2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63</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0.94</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0.84</w:t>
            </w:r>
          </w:p>
        </w:tc>
        <w:tc>
          <w:tcPr>
            <w:tcW w:w="1061"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0.114</w:t>
            </w:r>
          </w:p>
        </w:tc>
        <w:tc>
          <w:tcPr>
            <w:tcW w:w="937" w:type="dxa"/>
            <w:tcBorders>
              <w:top w:val="nil"/>
              <w:left w:val="nil"/>
              <w:bottom w:val="single" w:sz="4" w:space="0" w:color="auto"/>
              <w:right w:val="single" w:sz="8" w:space="0" w:color="auto"/>
            </w:tcBorders>
            <w:shd w:val="clear" w:color="auto" w:fill="auto"/>
            <w:noWrap/>
            <w:vAlign w:val="bottom"/>
            <w:hideMark/>
          </w:tcPr>
          <w:p w:rsidR="00FE1903" w:rsidRPr="009C579C" w:rsidRDefault="00FE1903" w:rsidP="00D329D1">
            <w:pPr>
              <w:spacing w:after="0" w:line="240" w:lineRule="auto"/>
              <w:jc w:val="right"/>
              <w:rPr>
                <w:rFonts w:ascii="Times New Roman" w:eastAsia="Times New Roman" w:hAnsi="Times New Roman" w:cs="Times New Roman"/>
                <w:b/>
                <w:kern w:val="0"/>
                <w:sz w:val="20"/>
                <w:szCs w:val="20"/>
                <w:lang w:val="lt-LT"/>
              </w:rPr>
            </w:pPr>
            <w:r w:rsidRPr="009C579C">
              <w:rPr>
                <w:rFonts w:ascii="Times New Roman" w:eastAsia="Times New Roman" w:hAnsi="Times New Roman" w:cs="Times New Roman"/>
                <w:b/>
                <w:kern w:val="0"/>
                <w:sz w:val="20"/>
                <w:szCs w:val="20"/>
                <w:lang w:val="lt-LT"/>
              </w:rPr>
              <w:t>0.13</w:t>
            </w:r>
          </w:p>
        </w:tc>
      </w:tr>
      <w:tr w:rsidR="0037020C" w:rsidRPr="000D37F1" w:rsidTr="0037020C">
        <w:trPr>
          <w:trHeight w:val="300"/>
          <w:jc w:val="center"/>
        </w:trPr>
        <w:tc>
          <w:tcPr>
            <w:tcW w:w="938" w:type="dxa"/>
            <w:tcBorders>
              <w:top w:val="nil"/>
              <w:left w:val="single" w:sz="8" w:space="0" w:color="auto"/>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0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59</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p>
        </w:tc>
        <w:tc>
          <w:tcPr>
            <w:tcW w:w="1230"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141F2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59</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0.98</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0.83</w:t>
            </w:r>
          </w:p>
        </w:tc>
        <w:tc>
          <w:tcPr>
            <w:tcW w:w="1061"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0.029</w:t>
            </w:r>
          </w:p>
        </w:tc>
        <w:tc>
          <w:tcPr>
            <w:tcW w:w="937" w:type="dxa"/>
            <w:tcBorders>
              <w:top w:val="nil"/>
              <w:left w:val="nil"/>
              <w:bottom w:val="single" w:sz="4" w:space="0" w:color="auto"/>
              <w:right w:val="single" w:sz="8"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0.03</w:t>
            </w:r>
          </w:p>
        </w:tc>
      </w:tr>
      <w:tr w:rsidR="0037020C" w:rsidRPr="000D37F1" w:rsidTr="0037020C">
        <w:trPr>
          <w:trHeight w:val="300"/>
          <w:jc w:val="center"/>
        </w:trPr>
        <w:tc>
          <w:tcPr>
            <w:tcW w:w="938" w:type="dxa"/>
            <w:tcBorders>
              <w:top w:val="nil"/>
              <w:left w:val="single" w:sz="8" w:space="0" w:color="auto"/>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1.5</w:t>
            </w:r>
          </w:p>
        </w:tc>
        <w:tc>
          <w:tcPr>
            <w:tcW w:w="10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58</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p>
        </w:tc>
        <w:tc>
          <w:tcPr>
            <w:tcW w:w="1230"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141F2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58</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0.98</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0.81</w:t>
            </w:r>
          </w:p>
        </w:tc>
        <w:tc>
          <w:tcPr>
            <w:tcW w:w="1061"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0.029</w:t>
            </w:r>
          </w:p>
        </w:tc>
        <w:tc>
          <w:tcPr>
            <w:tcW w:w="937" w:type="dxa"/>
            <w:tcBorders>
              <w:top w:val="nil"/>
              <w:left w:val="nil"/>
              <w:bottom w:val="single" w:sz="4" w:space="0" w:color="auto"/>
              <w:right w:val="single" w:sz="8"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0.03</w:t>
            </w:r>
          </w:p>
        </w:tc>
      </w:tr>
      <w:tr w:rsidR="0037020C" w:rsidRPr="000D37F1" w:rsidTr="0037020C">
        <w:trPr>
          <w:trHeight w:val="300"/>
          <w:jc w:val="center"/>
        </w:trPr>
        <w:tc>
          <w:tcPr>
            <w:tcW w:w="938" w:type="dxa"/>
            <w:tcBorders>
              <w:top w:val="nil"/>
              <w:left w:val="single" w:sz="8" w:space="0" w:color="auto"/>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10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57</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p>
        </w:tc>
        <w:tc>
          <w:tcPr>
            <w:tcW w:w="1230"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141F2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57</w:t>
            </w:r>
          </w:p>
        </w:tc>
        <w:tc>
          <w:tcPr>
            <w:tcW w:w="994"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0.96</w:t>
            </w:r>
          </w:p>
        </w:tc>
        <w:tc>
          <w:tcPr>
            <w:tcW w:w="1339"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0.79</w:t>
            </w:r>
          </w:p>
        </w:tc>
        <w:tc>
          <w:tcPr>
            <w:tcW w:w="1061" w:type="dxa"/>
            <w:tcBorders>
              <w:top w:val="nil"/>
              <w:left w:val="nil"/>
              <w:bottom w:val="single" w:sz="4"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0.057</w:t>
            </w:r>
          </w:p>
        </w:tc>
        <w:tc>
          <w:tcPr>
            <w:tcW w:w="937" w:type="dxa"/>
            <w:tcBorders>
              <w:top w:val="nil"/>
              <w:left w:val="nil"/>
              <w:bottom w:val="single" w:sz="4" w:space="0" w:color="auto"/>
              <w:right w:val="single" w:sz="8" w:space="0" w:color="auto"/>
            </w:tcBorders>
            <w:shd w:val="clear" w:color="auto" w:fill="auto"/>
            <w:noWrap/>
            <w:vAlign w:val="bottom"/>
            <w:hideMark/>
          </w:tcPr>
          <w:p w:rsidR="00FE1903" w:rsidRPr="009C579C" w:rsidRDefault="00FE1903" w:rsidP="00FE1903">
            <w:pPr>
              <w:spacing w:after="0" w:line="240" w:lineRule="auto"/>
              <w:jc w:val="right"/>
              <w:rPr>
                <w:rFonts w:ascii="Times New Roman" w:eastAsia="Times New Roman" w:hAnsi="Times New Roman" w:cs="Times New Roman"/>
                <w:b/>
                <w:kern w:val="0"/>
                <w:sz w:val="20"/>
                <w:szCs w:val="20"/>
                <w:lang w:val="lt-LT"/>
              </w:rPr>
            </w:pPr>
            <w:r w:rsidRPr="009C579C">
              <w:rPr>
                <w:rFonts w:ascii="Times New Roman" w:eastAsia="Times New Roman" w:hAnsi="Times New Roman" w:cs="Times New Roman"/>
                <w:b/>
                <w:kern w:val="0"/>
                <w:sz w:val="20"/>
                <w:szCs w:val="20"/>
                <w:lang w:val="lt-LT"/>
              </w:rPr>
              <w:t>0.07</w:t>
            </w:r>
          </w:p>
        </w:tc>
      </w:tr>
      <w:tr w:rsidR="0037020C" w:rsidRPr="000D37F1" w:rsidTr="0037020C">
        <w:trPr>
          <w:trHeight w:val="315"/>
          <w:jc w:val="center"/>
        </w:trPr>
        <w:tc>
          <w:tcPr>
            <w:tcW w:w="938" w:type="dxa"/>
            <w:tcBorders>
              <w:top w:val="nil"/>
              <w:left w:val="single" w:sz="8" w:space="0" w:color="auto"/>
              <w:bottom w:val="single" w:sz="8"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2.5</w:t>
            </w:r>
          </w:p>
        </w:tc>
        <w:tc>
          <w:tcPr>
            <w:tcW w:w="1039" w:type="dxa"/>
            <w:tcBorders>
              <w:top w:val="nil"/>
              <w:left w:val="nil"/>
              <w:bottom w:val="single" w:sz="8"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55</w:t>
            </w:r>
          </w:p>
        </w:tc>
        <w:tc>
          <w:tcPr>
            <w:tcW w:w="994" w:type="dxa"/>
            <w:tcBorders>
              <w:top w:val="nil"/>
              <w:left w:val="nil"/>
              <w:bottom w:val="single" w:sz="8"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p>
        </w:tc>
        <w:tc>
          <w:tcPr>
            <w:tcW w:w="1230" w:type="dxa"/>
            <w:tcBorders>
              <w:top w:val="nil"/>
              <w:left w:val="nil"/>
              <w:bottom w:val="single" w:sz="8" w:space="0" w:color="auto"/>
              <w:right w:val="single" w:sz="4" w:space="0" w:color="auto"/>
            </w:tcBorders>
            <w:shd w:val="clear" w:color="auto" w:fill="auto"/>
            <w:noWrap/>
            <w:vAlign w:val="bottom"/>
            <w:hideMark/>
          </w:tcPr>
          <w:p w:rsidR="00FE1903" w:rsidRPr="000D37F1" w:rsidRDefault="00FE1903" w:rsidP="00141F2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55</w:t>
            </w:r>
          </w:p>
        </w:tc>
        <w:tc>
          <w:tcPr>
            <w:tcW w:w="994" w:type="dxa"/>
            <w:tcBorders>
              <w:top w:val="nil"/>
              <w:left w:val="nil"/>
              <w:bottom w:val="single" w:sz="8" w:space="0" w:color="auto"/>
              <w:right w:val="single" w:sz="4" w:space="0" w:color="auto"/>
            </w:tcBorders>
            <w:shd w:val="clear" w:color="auto" w:fill="auto"/>
            <w:noWrap/>
            <w:vAlign w:val="bottom"/>
            <w:hideMark/>
          </w:tcPr>
          <w:p w:rsidR="00FE1903" w:rsidRPr="000D37F1" w:rsidRDefault="00FE1903" w:rsidP="00D329D1">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339" w:type="dxa"/>
            <w:tcBorders>
              <w:top w:val="nil"/>
              <w:left w:val="nil"/>
              <w:bottom w:val="single" w:sz="8"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0.98</w:t>
            </w:r>
          </w:p>
        </w:tc>
        <w:tc>
          <w:tcPr>
            <w:tcW w:w="1339" w:type="dxa"/>
            <w:tcBorders>
              <w:top w:val="nil"/>
              <w:left w:val="nil"/>
              <w:bottom w:val="single" w:sz="8"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0.77</w:t>
            </w:r>
          </w:p>
        </w:tc>
        <w:tc>
          <w:tcPr>
            <w:tcW w:w="1061" w:type="dxa"/>
            <w:tcBorders>
              <w:top w:val="nil"/>
              <w:left w:val="nil"/>
              <w:bottom w:val="single" w:sz="8" w:space="0" w:color="auto"/>
              <w:right w:val="single" w:sz="4"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0.029</w:t>
            </w:r>
          </w:p>
        </w:tc>
        <w:tc>
          <w:tcPr>
            <w:tcW w:w="937" w:type="dxa"/>
            <w:tcBorders>
              <w:top w:val="nil"/>
              <w:left w:val="nil"/>
              <w:bottom w:val="single" w:sz="8" w:space="0" w:color="auto"/>
              <w:right w:val="single" w:sz="8" w:space="0" w:color="auto"/>
            </w:tcBorders>
            <w:shd w:val="clear" w:color="auto" w:fill="auto"/>
            <w:noWrap/>
            <w:vAlign w:val="bottom"/>
            <w:hideMark/>
          </w:tcPr>
          <w:p w:rsidR="00FE1903" w:rsidRPr="000D37F1" w:rsidRDefault="00FE1903" w:rsidP="00FE1903">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w:t>
            </w:r>
          </w:p>
        </w:tc>
      </w:tr>
    </w:tbl>
    <w:p w:rsidR="00FE0BBF" w:rsidRPr="000D37F1" w:rsidRDefault="00FE0BBF" w:rsidP="00FE0BBF">
      <w:pPr>
        <w:tabs>
          <w:tab w:val="center" w:pos="10512"/>
        </w:tabs>
        <w:autoSpaceDE w:val="0"/>
        <w:autoSpaceDN w:val="0"/>
        <w:adjustRightInd w:val="0"/>
        <w:spacing w:after="0" w:line="240" w:lineRule="auto"/>
        <w:rPr>
          <w:rFonts w:ascii="Times New Roman" w:hAnsi="Times New Roman" w:cs="Times New Roman"/>
          <w:b/>
          <w:bCs/>
          <w:color w:val="000000"/>
          <w:kern w:val="0"/>
          <w:sz w:val="20"/>
          <w:szCs w:val="20"/>
          <w:lang w:val="lt-LT"/>
        </w:rPr>
      </w:pPr>
    </w:p>
    <w:p w:rsidR="00FE0BBF" w:rsidRPr="000D37F1" w:rsidRDefault="00D329D1" w:rsidP="00D329D1">
      <w:pPr>
        <w:tabs>
          <w:tab w:val="left" w:pos="2057"/>
        </w:tabs>
        <w:autoSpaceDE w:val="0"/>
        <w:autoSpaceDN w:val="0"/>
        <w:adjustRightInd w:val="0"/>
        <w:spacing w:after="0" w:line="240" w:lineRule="auto"/>
        <w:rPr>
          <w:rFonts w:ascii="Arial" w:hAnsi="Arial" w:cs="Arial"/>
          <w:color w:val="000000"/>
          <w:kern w:val="0"/>
          <w:sz w:val="18"/>
          <w:szCs w:val="18"/>
          <w:lang w:val="lt-LT"/>
        </w:rPr>
      </w:pPr>
      <w:r w:rsidRPr="000D37F1">
        <w:rPr>
          <w:rFonts w:ascii="Arial" w:hAnsi="Arial" w:cs="Arial"/>
          <w:color w:val="000000"/>
          <w:kern w:val="0"/>
          <w:sz w:val="18"/>
          <w:szCs w:val="18"/>
          <w:lang w:val="lt-LT"/>
        </w:rPr>
        <w:tab/>
      </w:r>
    </w:p>
    <w:p w:rsidR="00253071" w:rsidRPr="00253071" w:rsidRDefault="002B59D5" w:rsidP="00253071">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Analizuojant išlikimo lentelę</w:t>
      </w:r>
      <w:r w:rsidR="006F0A1E">
        <w:rPr>
          <w:rFonts w:ascii="Times New Roman" w:hAnsi="Times New Roman" w:cs="Times New Roman"/>
          <w:sz w:val="24"/>
          <w:szCs w:val="24"/>
          <w:lang w:val="lt-LT"/>
        </w:rPr>
        <w:t xml:space="preserve"> (</w:t>
      </w:r>
      <w:r w:rsidR="006F0A1E">
        <w:rPr>
          <w:rFonts w:ascii="Times New Roman" w:hAnsi="Times New Roman" w:cs="Times New Roman"/>
          <w:sz w:val="24"/>
          <w:szCs w:val="24"/>
        </w:rPr>
        <w:t xml:space="preserve">4 </w:t>
      </w:r>
      <w:proofErr w:type="spellStart"/>
      <w:r w:rsidR="006F0A1E">
        <w:rPr>
          <w:rFonts w:ascii="Times New Roman" w:hAnsi="Times New Roman" w:cs="Times New Roman"/>
          <w:sz w:val="24"/>
          <w:szCs w:val="24"/>
        </w:rPr>
        <w:t>lentel</w:t>
      </w:r>
      <w:proofErr w:type="spellEnd"/>
      <w:r w:rsidR="006F0A1E">
        <w:rPr>
          <w:rFonts w:ascii="Times New Roman" w:hAnsi="Times New Roman" w:cs="Times New Roman"/>
          <w:sz w:val="24"/>
          <w:szCs w:val="24"/>
          <w:lang w:val="lt-LT"/>
        </w:rPr>
        <w:t>ė)</w:t>
      </w:r>
      <w:r w:rsidRPr="000D37F1">
        <w:rPr>
          <w:rFonts w:ascii="Times New Roman" w:hAnsi="Times New Roman" w:cs="Times New Roman"/>
          <w:sz w:val="24"/>
          <w:szCs w:val="24"/>
          <w:lang w:val="lt-LT"/>
        </w:rPr>
        <w:t xml:space="preserve"> pagal kredito unijų veiklos apribojimą, kuris įvestas Lietuvo</w:t>
      </w:r>
      <w:r w:rsidR="006D3F3D" w:rsidRPr="000D37F1">
        <w:rPr>
          <w:rFonts w:ascii="Times New Roman" w:hAnsi="Times New Roman" w:cs="Times New Roman"/>
          <w:sz w:val="24"/>
          <w:szCs w:val="24"/>
          <w:lang w:val="lt-LT"/>
        </w:rPr>
        <w:t>s Banko,</w:t>
      </w:r>
      <w:r w:rsidR="00C95F4C" w:rsidRPr="000D37F1">
        <w:rPr>
          <w:rFonts w:ascii="Times New Roman" w:hAnsi="Times New Roman" w:cs="Times New Roman"/>
          <w:sz w:val="24"/>
          <w:szCs w:val="24"/>
          <w:lang w:val="lt-LT"/>
        </w:rPr>
        <w:t xml:space="preserve"> bei skirtas baudas už pažeidimus,</w:t>
      </w:r>
      <w:r w:rsidR="006D3F3D" w:rsidRPr="000D37F1">
        <w:rPr>
          <w:rFonts w:ascii="Times New Roman" w:hAnsi="Times New Roman" w:cs="Times New Roman"/>
          <w:sz w:val="24"/>
          <w:szCs w:val="24"/>
          <w:lang w:val="lt-LT"/>
        </w:rPr>
        <w:t xml:space="preserve"> matoma, jog did</w:t>
      </w:r>
      <w:r w:rsidR="00C95F4C" w:rsidRPr="000D37F1">
        <w:rPr>
          <w:rFonts w:ascii="Times New Roman" w:hAnsi="Times New Roman" w:cs="Times New Roman"/>
          <w:sz w:val="24"/>
          <w:szCs w:val="24"/>
          <w:lang w:val="lt-LT"/>
        </w:rPr>
        <w:t xml:space="preserve">žiausios intensyvumo funkcijos </w:t>
      </w:r>
      <w:r w:rsidR="006D3F3D" w:rsidRPr="000D37F1">
        <w:rPr>
          <w:rFonts w:ascii="Times New Roman" w:hAnsi="Times New Roman" w:cs="Times New Roman"/>
          <w:sz w:val="24"/>
          <w:szCs w:val="24"/>
          <w:lang w:val="lt-LT"/>
        </w:rPr>
        <w:t xml:space="preserve">reikšmės </w:t>
      </w:r>
      <w:r w:rsidR="00C95F4C" w:rsidRPr="000D37F1">
        <w:rPr>
          <w:rFonts w:ascii="Times New Roman" w:hAnsi="Times New Roman" w:cs="Times New Roman"/>
          <w:sz w:val="24"/>
          <w:szCs w:val="24"/>
          <w:lang w:val="lt-LT"/>
        </w:rPr>
        <w:t xml:space="preserve">buvo 2011 metais, tuo metu Lietuvos Bankas apribojo veiklą arba skyrė baudą </w:t>
      </w:r>
      <w:r w:rsidR="00253071">
        <w:rPr>
          <w:rFonts w:ascii="Times New Roman" w:hAnsi="Times New Roman" w:cs="Times New Roman"/>
          <w:sz w:val="24"/>
          <w:szCs w:val="24"/>
          <w:lang w:val="lt-LT"/>
        </w:rPr>
        <w:t xml:space="preserve"> net </w:t>
      </w:r>
      <w:r w:rsidR="00C95F4C" w:rsidRPr="000D37F1">
        <w:rPr>
          <w:rFonts w:ascii="Times New Roman" w:hAnsi="Times New Roman" w:cs="Times New Roman"/>
          <w:sz w:val="24"/>
          <w:szCs w:val="24"/>
          <w:lang w:val="lt-LT"/>
        </w:rPr>
        <w:t>11 kredito unijų. Šis rodiklis gali būti padidėjęs p</w:t>
      </w:r>
      <w:r w:rsidR="00836AD0" w:rsidRPr="000D37F1">
        <w:rPr>
          <w:rFonts w:ascii="Times New Roman" w:hAnsi="Times New Roman" w:cs="Times New Roman"/>
          <w:sz w:val="24"/>
          <w:szCs w:val="24"/>
          <w:lang w:val="lt-LT"/>
        </w:rPr>
        <w:t xml:space="preserve">irmoje metų </w:t>
      </w:r>
      <w:r w:rsidR="00C95F4C" w:rsidRPr="000D37F1">
        <w:rPr>
          <w:rFonts w:ascii="Times New Roman" w:hAnsi="Times New Roman" w:cs="Times New Roman"/>
          <w:sz w:val="24"/>
          <w:szCs w:val="24"/>
          <w:lang w:val="lt-LT"/>
        </w:rPr>
        <w:t xml:space="preserve">pusėje, nes </w:t>
      </w:r>
      <w:r w:rsidR="00836AD0" w:rsidRPr="000D37F1">
        <w:rPr>
          <w:rFonts w:ascii="Times New Roman" w:hAnsi="Times New Roman" w:cs="Times New Roman"/>
          <w:sz w:val="24"/>
          <w:szCs w:val="24"/>
          <w:lang w:val="lt-LT"/>
        </w:rPr>
        <w:t>kredito unijos yra inspektuojamos, tikrinant praėjusių met</w:t>
      </w:r>
      <w:r w:rsidR="00C95F4C" w:rsidRPr="000D37F1">
        <w:rPr>
          <w:rFonts w:ascii="Times New Roman" w:hAnsi="Times New Roman" w:cs="Times New Roman"/>
          <w:sz w:val="24"/>
          <w:szCs w:val="24"/>
          <w:lang w:val="lt-LT"/>
        </w:rPr>
        <w:t xml:space="preserve">ų finansines ataskaitas </w:t>
      </w:r>
      <w:r w:rsidR="00253071">
        <w:rPr>
          <w:rFonts w:ascii="Times New Roman" w:hAnsi="Times New Roman" w:cs="Times New Roman"/>
          <w:sz w:val="24"/>
          <w:szCs w:val="24"/>
          <w:lang w:val="lt-LT"/>
        </w:rPr>
        <w:t>per pirmąjį pusmetį.</w:t>
      </w:r>
    </w:p>
    <w:p w:rsidR="00FC6D78" w:rsidRPr="000D37F1" w:rsidRDefault="00FC6D78" w:rsidP="00FC6D78">
      <w:pPr>
        <w:spacing w:line="360" w:lineRule="auto"/>
        <w:ind w:firstLine="720"/>
        <w:jc w:val="center"/>
        <w:rPr>
          <w:rFonts w:ascii="Times New Roman" w:hAnsi="Times New Roman" w:cs="Times New Roman"/>
          <w:sz w:val="24"/>
          <w:szCs w:val="24"/>
          <w:lang w:val="lt-LT"/>
        </w:rPr>
      </w:pPr>
      <w:r w:rsidRPr="000D37F1">
        <w:rPr>
          <w:noProof/>
        </w:rPr>
        <w:drawing>
          <wp:inline distT="0" distB="0" distL="0" distR="0" wp14:anchorId="4F1DB52A" wp14:editId="41BBDCF5">
            <wp:extent cx="3593805" cy="2328945"/>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a:stretch>
                      <a:fillRect/>
                    </a:stretch>
                  </pic:blipFill>
                  <pic:spPr>
                    <a:xfrm>
                      <a:off x="0" y="0"/>
                      <a:ext cx="3607447" cy="2337785"/>
                    </a:xfrm>
                    <a:prstGeom prst="rect">
                      <a:avLst/>
                    </a:prstGeom>
                  </pic:spPr>
                </pic:pic>
              </a:graphicData>
            </a:graphic>
          </wp:inline>
        </w:drawing>
      </w:r>
    </w:p>
    <w:p w:rsidR="00FE0BBF" w:rsidRPr="00734657" w:rsidRDefault="006F0A1E" w:rsidP="00734657">
      <w:pPr>
        <w:pStyle w:val="Heading1"/>
        <w:jc w:val="center"/>
        <w:rPr>
          <w:rFonts w:ascii="Times New Roman" w:hAnsi="Times New Roman" w:cs="Times New Roman"/>
          <w:sz w:val="24"/>
          <w:szCs w:val="24"/>
        </w:rPr>
      </w:pPr>
      <w:bookmarkStart w:id="95" w:name="_Toc383784106"/>
      <w:bookmarkStart w:id="96" w:name="_Toc384567318"/>
      <w:bookmarkStart w:id="97" w:name="_Toc384570755"/>
      <w:r>
        <w:rPr>
          <w:rFonts w:ascii="Times New Roman" w:hAnsi="Times New Roman" w:cs="Times New Roman"/>
          <w:sz w:val="24"/>
          <w:szCs w:val="24"/>
          <w:lang w:val="en-US"/>
        </w:rPr>
        <w:t xml:space="preserve">10 </w:t>
      </w:r>
      <w:proofErr w:type="spellStart"/>
      <w:r w:rsidR="00032C2B" w:rsidRPr="00734657">
        <w:rPr>
          <w:rFonts w:ascii="Times New Roman" w:hAnsi="Times New Roman" w:cs="Times New Roman"/>
          <w:sz w:val="24"/>
          <w:szCs w:val="24"/>
        </w:rPr>
        <w:t>pav</w:t>
      </w:r>
      <w:proofErr w:type="spellEnd"/>
      <w:r w:rsidR="00032C2B" w:rsidRPr="00734657">
        <w:rPr>
          <w:rFonts w:ascii="Times New Roman" w:hAnsi="Times New Roman" w:cs="Times New Roman"/>
          <w:sz w:val="24"/>
          <w:szCs w:val="24"/>
        </w:rPr>
        <w:t>. Kredito unijų, priklausančių ir nepriklausančių Centrinės kredito unijos tinklui sukauptųjų išlikimo funkcijų grafikai</w:t>
      </w:r>
      <w:bookmarkEnd w:id="95"/>
      <w:bookmarkEnd w:id="96"/>
      <w:bookmarkEnd w:id="97"/>
    </w:p>
    <w:p w:rsidR="00DA7D88" w:rsidRPr="00DA7D88" w:rsidRDefault="00C33D73" w:rsidP="00DA7D88">
      <w:pPr>
        <w:pStyle w:val="ListParagraph"/>
        <w:spacing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paveikslo horizontalioje dalyje išsidėstęs kredito unijų stebėjimo laikas metais, o vertikalioje ašyje – sukauptoji išlikusiųjų kredito unijų dalis. </w:t>
      </w:r>
      <w:r w:rsidR="00791B38">
        <w:rPr>
          <w:rFonts w:ascii="Times New Roman" w:hAnsi="Times New Roman" w:cs="Times New Roman"/>
          <w:sz w:val="24"/>
          <w:szCs w:val="24"/>
          <w:lang w:val="lt-LT"/>
        </w:rPr>
        <w:t xml:space="preserve">Išskirsčius išlikusiųjų funkcijas pagal priklausymą Centrinei kredito unijai, matoma, kad  </w:t>
      </w:r>
      <w:r w:rsidR="00032C2B" w:rsidRPr="000D37F1">
        <w:rPr>
          <w:rFonts w:ascii="Times New Roman" w:hAnsi="Times New Roman" w:cs="Times New Roman"/>
          <w:sz w:val="24"/>
          <w:szCs w:val="24"/>
          <w:lang w:val="lt-LT"/>
        </w:rPr>
        <w:t xml:space="preserve">kredito unijų, kurios priklauso Centrinės kredito unijos tinklui, veikla buvo ženkliai rečiau apribota  ir turi didesnes išlikimo </w:t>
      </w:r>
      <w:r w:rsidR="00032C2B" w:rsidRPr="000D37F1">
        <w:rPr>
          <w:rFonts w:ascii="Times New Roman" w:hAnsi="Times New Roman" w:cs="Times New Roman"/>
          <w:sz w:val="24"/>
          <w:szCs w:val="24"/>
          <w:lang w:val="lt-LT"/>
        </w:rPr>
        <w:lastRenderedPageBreak/>
        <w:t>galimybes</w:t>
      </w:r>
      <w:r w:rsidR="00791B38">
        <w:rPr>
          <w:rFonts w:ascii="Times New Roman" w:hAnsi="Times New Roman" w:cs="Times New Roman"/>
          <w:sz w:val="24"/>
          <w:szCs w:val="24"/>
          <w:lang w:val="lt-LT"/>
        </w:rPr>
        <w:t xml:space="preserve"> nei tų kredito unijų, kurios nepriklauso CKU</w:t>
      </w:r>
      <w:r w:rsidR="00032C2B" w:rsidRPr="000D37F1">
        <w:rPr>
          <w:rFonts w:ascii="Times New Roman" w:hAnsi="Times New Roman" w:cs="Times New Roman"/>
          <w:sz w:val="24"/>
          <w:szCs w:val="24"/>
          <w:lang w:val="lt-LT"/>
        </w:rPr>
        <w:t xml:space="preserve">. Daugiausia nesėkmių – veiklos apribojimų taikyta nepriklausančios CKU tinklui kredito unijoms 2011 </w:t>
      </w:r>
      <w:r w:rsidR="005C46FD" w:rsidRPr="000D37F1">
        <w:rPr>
          <w:rFonts w:ascii="Times New Roman" w:hAnsi="Times New Roman" w:cs="Times New Roman"/>
          <w:sz w:val="24"/>
          <w:szCs w:val="24"/>
          <w:lang w:val="lt-LT"/>
        </w:rPr>
        <w:t>metais</w:t>
      </w:r>
      <w:r w:rsidR="00032C2B" w:rsidRPr="000D37F1">
        <w:rPr>
          <w:rFonts w:ascii="Times New Roman" w:hAnsi="Times New Roman" w:cs="Times New Roman"/>
          <w:sz w:val="24"/>
          <w:szCs w:val="24"/>
          <w:lang w:val="lt-LT"/>
        </w:rPr>
        <w:t>.</w:t>
      </w:r>
      <w:r w:rsidR="00791B38">
        <w:rPr>
          <w:rFonts w:ascii="Times New Roman" w:hAnsi="Times New Roman" w:cs="Times New Roman"/>
          <w:sz w:val="24"/>
          <w:szCs w:val="24"/>
          <w:lang w:val="lt-LT"/>
        </w:rPr>
        <w:t xml:space="preserve"> </w:t>
      </w:r>
    </w:p>
    <w:p w:rsidR="009E0C9F" w:rsidRPr="00734657" w:rsidRDefault="005D2C7E" w:rsidP="00734657">
      <w:pPr>
        <w:pStyle w:val="Heading1"/>
        <w:jc w:val="center"/>
        <w:rPr>
          <w:rFonts w:ascii="Times New Roman" w:hAnsi="Times New Roman" w:cs="Times New Roman"/>
          <w:sz w:val="24"/>
          <w:szCs w:val="24"/>
        </w:rPr>
      </w:pPr>
      <w:bookmarkStart w:id="98" w:name="_Toc383784107"/>
      <w:bookmarkStart w:id="99" w:name="_Toc384567319"/>
      <w:bookmarkStart w:id="100" w:name="_Toc384570756"/>
      <w:r>
        <w:rPr>
          <w:rFonts w:ascii="Times New Roman" w:hAnsi="Times New Roman" w:cs="Times New Roman"/>
          <w:sz w:val="24"/>
          <w:szCs w:val="24"/>
        </w:rPr>
        <w:t>5</w:t>
      </w:r>
      <w:r w:rsidR="008211A9" w:rsidRPr="00734657">
        <w:rPr>
          <w:rFonts w:ascii="Times New Roman" w:hAnsi="Times New Roman" w:cs="Times New Roman"/>
          <w:sz w:val="24"/>
          <w:szCs w:val="24"/>
        </w:rPr>
        <w:t xml:space="preserve"> </w:t>
      </w:r>
      <w:r w:rsidR="009E0C9F" w:rsidRPr="00734657">
        <w:rPr>
          <w:rFonts w:ascii="Times New Roman" w:hAnsi="Times New Roman" w:cs="Times New Roman"/>
          <w:sz w:val="24"/>
          <w:szCs w:val="24"/>
        </w:rPr>
        <w:t>Lentelė. Kredito unijų išlikimo funkcijų palyginimas (priklausymas CKU)</w:t>
      </w:r>
      <w:bookmarkEnd w:id="98"/>
      <w:bookmarkEnd w:id="99"/>
      <w:bookmarkEnd w:id="100"/>
    </w:p>
    <w:tbl>
      <w:tblPr>
        <w:tblW w:w="5055" w:type="dxa"/>
        <w:jc w:val="center"/>
        <w:tblInd w:w="93" w:type="dxa"/>
        <w:tblLook w:val="04A0" w:firstRow="1" w:lastRow="0" w:firstColumn="1" w:lastColumn="0" w:noHBand="0" w:noVBand="1"/>
      </w:tblPr>
      <w:tblGrid>
        <w:gridCol w:w="1185"/>
        <w:gridCol w:w="1260"/>
        <w:gridCol w:w="1440"/>
        <w:gridCol w:w="83"/>
        <w:gridCol w:w="1087"/>
      </w:tblGrid>
      <w:tr w:rsidR="009E0C9F" w:rsidRPr="000D37F1" w:rsidTr="009E0C9F">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0C9F" w:rsidRPr="000D37F1" w:rsidRDefault="009E0C9F" w:rsidP="009E0C9F">
            <w:pPr>
              <w:spacing w:after="0" w:line="240" w:lineRule="auto"/>
              <w:rPr>
                <w:rFonts w:ascii="Times New Roman" w:eastAsia="Times New Roman" w:hAnsi="Times New Roman" w:cs="Times New Roman"/>
                <w:color w:val="000000"/>
                <w:kern w:val="0"/>
                <w:sz w:val="20"/>
                <w:szCs w:val="20"/>
                <w:lang w:val="lt-LT"/>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E0C9F" w:rsidRPr="000D37F1" w:rsidRDefault="009E0C9F" w:rsidP="005C46FD">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Statistikos reikšmė</w:t>
            </w:r>
          </w:p>
        </w:tc>
        <w:tc>
          <w:tcPr>
            <w:tcW w:w="1523" w:type="dxa"/>
            <w:gridSpan w:val="2"/>
            <w:tcBorders>
              <w:top w:val="single" w:sz="4" w:space="0" w:color="auto"/>
              <w:left w:val="nil"/>
              <w:bottom w:val="single" w:sz="4" w:space="0" w:color="auto"/>
              <w:right w:val="single" w:sz="4" w:space="0" w:color="auto"/>
            </w:tcBorders>
            <w:shd w:val="clear" w:color="auto" w:fill="auto"/>
            <w:noWrap/>
            <w:vAlign w:val="bottom"/>
            <w:hideMark/>
          </w:tcPr>
          <w:p w:rsidR="009E0C9F" w:rsidRPr="000D37F1" w:rsidRDefault="009E0C9F" w:rsidP="005C46FD">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Laisvės laipsnių sk.</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9E0C9F" w:rsidRPr="000D37F1" w:rsidRDefault="009E0C9F" w:rsidP="005C46FD">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i/>
                <w:color w:val="000000"/>
                <w:kern w:val="0"/>
                <w:sz w:val="20"/>
                <w:szCs w:val="20"/>
                <w:lang w:val="lt-LT"/>
              </w:rPr>
              <w:t>p</w:t>
            </w:r>
            <w:r w:rsidRPr="000D37F1">
              <w:rPr>
                <w:rFonts w:ascii="Times New Roman" w:eastAsia="Times New Roman" w:hAnsi="Times New Roman" w:cs="Times New Roman"/>
                <w:color w:val="000000"/>
                <w:kern w:val="0"/>
                <w:sz w:val="20"/>
                <w:szCs w:val="20"/>
                <w:lang w:val="lt-LT"/>
              </w:rPr>
              <w:t xml:space="preserve"> reikšmė</w:t>
            </w:r>
          </w:p>
        </w:tc>
      </w:tr>
      <w:tr w:rsidR="009E0C9F" w:rsidRPr="000D37F1" w:rsidTr="009E0C9F">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9E0C9F" w:rsidRPr="000D37F1" w:rsidRDefault="009E0C9F" w:rsidP="009E0C9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Log-Rank</w:t>
            </w:r>
          </w:p>
        </w:tc>
        <w:tc>
          <w:tcPr>
            <w:tcW w:w="1260" w:type="dxa"/>
            <w:tcBorders>
              <w:top w:val="nil"/>
              <w:left w:val="nil"/>
              <w:bottom w:val="single" w:sz="4" w:space="0" w:color="auto"/>
              <w:right w:val="single" w:sz="4" w:space="0" w:color="auto"/>
            </w:tcBorders>
            <w:shd w:val="clear" w:color="auto" w:fill="auto"/>
            <w:noWrap/>
            <w:vAlign w:val="bottom"/>
            <w:hideMark/>
          </w:tcPr>
          <w:p w:rsidR="009E0C9F" w:rsidRPr="000D37F1" w:rsidRDefault="005C46FD" w:rsidP="009E0C9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12.746</w:t>
            </w:r>
          </w:p>
        </w:tc>
        <w:tc>
          <w:tcPr>
            <w:tcW w:w="1440" w:type="dxa"/>
            <w:tcBorders>
              <w:top w:val="nil"/>
              <w:left w:val="nil"/>
              <w:bottom w:val="single" w:sz="4" w:space="0" w:color="auto"/>
              <w:right w:val="single" w:sz="4" w:space="0" w:color="auto"/>
            </w:tcBorders>
            <w:shd w:val="clear" w:color="auto" w:fill="auto"/>
            <w:noWrap/>
            <w:vAlign w:val="bottom"/>
            <w:hideMark/>
          </w:tcPr>
          <w:p w:rsidR="009E0C9F" w:rsidRPr="000D37F1" w:rsidRDefault="009E0C9F" w:rsidP="009E0C9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9E0C9F" w:rsidRPr="000D37F1" w:rsidRDefault="009E0C9F" w:rsidP="009E0C9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w:t>
            </w:r>
          </w:p>
        </w:tc>
      </w:tr>
      <w:tr w:rsidR="009E0C9F" w:rsidRPr="000D37F1" w:rsidTr="009E0C9F">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9E0C9F" w:rsidRPr="000D37F1" w:rsidRDefault="009E0C9F" w:rsidP="009E0C9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Wilcoxon</w:t>
            </w:r>
          </w:p>
        </w:tc>
        <w:tc>
          <w:tcPr>
            <w:tcW w:w="1260" w:type="dxa"/>
            <w:tcBorders>
              <w:top w:val="nil"/>
              <w:left w:val="nil"/>
              <w:bottom w:val="single" w:sz="4" w:space="0" w:color="auto"/>
              <w:right w:val="single" w:sz="4" w:space="0" w:color="auto"/>
            </w:tcBorders>
            <w:shd w:val="clear" w:color="auto" w:fill="auto"/>
            <w:noWrap/>
            <w:vAlign w:val="bottom"/>
            <w:hideMark/>
          </w:tcPr>
          <w:p w:rsidR="009E0C9F" w:rsidRPr="000D37F1" w:rsidRDefault="009E0C9F" w:rsidP="005C46F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w:t>
            </w:r>
            <w:r w:rsidR="00E2428D" w:rsidRPr="000D37F1">
              <w:rPr>
                <w:rFonts w:ascii="Times New Roman" w:eastAsia="Times New Roman" w:hAnsi="Times New Roman" w:cs="Times New Roman"/>
                <w:color w:val="000000"/>
                <w:kern w:val="0"/>
                <w:sz w:val="20"/>
                <w:szCs w:val="20"/>
                <w:lang w:val="lt-LT"/>
              </w:rPr>
              <w:t>7.</w:t>
            </w:r>
            <w:r w:rsidR="005C46FD" w:rsidRPr="000D37F1">
              <w:rPr>
                <w:rFonts w:ascii="Times New Roman" w:eastAsia="Times New Roman" w:hAnsi="Times New Roman" w:cs="Times New Roman"/>
                <w:color w:val="000000"/>
                <w:kern w:val="0"/>
                <w:sz w:val="20"/>
                <w:szCs w:val="20"/>
                <w:lang w:val="lt-LT"/>
              </w:rPr>
              <w:t>506</w:t>
            </w:r>
          </w:p>
        </w:tc>
        <w:tc>
          <w:tcPr>
            <w:tcW w:w="1440" w:type="dxa"/>
            <w:tcBorders>
              <w:top w:val="nil"/>
              <w:left w:val="nil"/>
              <w:bottom w:val="single" w:sz="4" w:space="0" w:color="auto"/>
              <w:right w:val="single" w:sz="4" w:space="0" w:color="auto"/>
            </w:tcBorders>
            <w:shd w:val="clear" w:color="auto" w:fill="auto"/>
            <w:noWrap/>
            <w:vAlign w:val="bottom"/>
            <w:hideMark/>
          </w:tcPr>
          <w:p w:rsidR="009E0C9F" w:rsidRPr="000D37F1" w:rsidRDefault="009E0C9F" w:rsidP="009E0C9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9E0C9F" w:rsidRPr="000D37F1" w:rsidRDefault="009E0C9F" w:rsidP="00E2428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w:t>
            </w:r>
            <w:r w:rsidR="00E2428D" w:rsidRPr="000D37F1">
              <w:rPr>
                <w:rFonts w:ascii="Times New Roman" w:eastAsia="Times New Roman" w:hAnsi="Times New Roman" w:cs="Times New Roman"/>
                <w:color w:val="000000"/>
                <w:kern w:val="0"/>
                <w:sz w:val="20"/>
                <w:szCs w:val="20"/>
                <w:lang w:val="lt-LT"/>
              </w:rPr>
              <w:t>000</w:t>
            </w:r>
          </w:p>
        </w:tc>
      </w:tr>
    </w:tbl>
    <w:p w:rsidR="00FA0D12" w:rsidRDefault="00FA0D12" w:rsidP="006F0A1E">
      <w:pPr>
        <w:spacing w:line="360" w:lineRule="auto"/>
        <w:ind w:firstLine="720"/>
        <w:jc w:val="both"/>
        <w:rPr>
          <w:rFonts w:ascii="Times New Roman" w:hAnsi="Times New Roman" w:cs="Times New Roman"/>
          <w:sz w:val="24"/>
          <w:szCs w:val="24"/>
          <w:lang w:val="lt-LT"/>
        </w:rPr>
      </w:pPr>
    </w:p>
    <w:p w:rsidR="009E0C9F" w:rsidRDefault="00C33D73" w:rsidP="006F0A1E">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 xml:space="preserve">Siekiant išsiaiškinti, ar analizuojama požymių grupė yra susijusi su išlikimo laiku, skaičiuojama statistikos </w:t>
      </w:r>
      <w:r w:rsidR="00AF5FEF" w:rsidRPr="000D37F1">
        <w:rPr>
          <w:rFonts w:ascii="Times New Roman" w:hAnsi="Times New Roman" w:cs="Times New Roman"/>
          <w:sz w:val="24"/>
          <w:szCs w:val="24"/>
          <w:lang w:val="lt-LT"/>
        </w:rPr>
        <w:t>reikšmė</w:t>
      </w:r>
      <w:r w:rsidRPr="000D37F1">
        <w:rPr>
          <w:rFonts w:ascii="Times New Roman" w:hAnsi="Times New Roman" w:cs="Times New Roman"/>
          <w:sz w:val="24"/>
          <w:szCs w:val="24"/>
          <w:lang w:val="lt-LT"/>
        </w:rPr>
        <w:t xml:space="preserve"> kiekvienai grupei, neatsižvelgiant į kitas grupes</w:t>
      </w:r>
      <w:r w:rsidR="006F0A1E">
        <w:rPr>
          <w:rFonts w:ascii="Times New Roman" w:hAnsi="Times New Roman" w:cs="Times New Roman"/>
          <w:sz w:val="24"/>
          <w:szCs w:val="24"/>
          <w:lang w:val="lt-LT"/>
        </w:rPr>
        <w:t xml:space="preserve"> (išlikimas pagal priklausymą Centrinės kredito unijos tinklui)</w:t>
      </w:r>
      <w:r w:rsidRPr="000D37F1">
        <w:rPr>
          <w:rFonts w:ascii="Times New Roman" w:hAnsi="Times New Roman" w:cs="Times New Roman"/>
          <w:sz w:val="24"/>
          <w:szCs w:val="24"/>
          <w:lang w:val="lt-LT"/>
        </w:rPr>
        <w:t xml:space="preserve">. Naudojami tie patys anksčiau minėti </w:t>
      </w:r>
      <w:proofErr w:type="spellStart"/>
      <w:r w:rsidRPr="000D37F1">
        <w:rPr>
          <w:rFonts w:ascii="Times New Roman" w:hAnsi="Times New Roman" w:cs="Times New Roman"/>
          <w:sz w:val="24"/>
          <w:szCs w:val="24"/>
          <w:lang w:val="lt-LT"/>
        </w:rPr>
        <w:t>Vilkoksono</w:t>
      </w:r>
      <w:proofErr w:type="spellEnd"/>
      <w:r>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ir logaritminis </w:t>
      </w:r>
      <w:proofErr w:type="spellStart"/>
      <w:r w:rsidRPr="000D37F1">
        <w:rPr>
          <w:rFonts w:ascii="Times New Roman" w:hAnsi="Times New Roman" w:cs="Times New Roman"/>
          <w:sz w:val="24"/>
          <w:szCs w:val="24"/>
          <w:lang w:val="lt-LT"/>
        </w:rPr>
        <w:t>ranginis</w:t>
      </w:r>
      <w:proofErr w:type="spellEnd"/>
      <w:r w:rsidRPr="000D37F1">
        <w:rPr>
          <w:rFonts w:ascii="Times New Roman" w:hAnsi="Times New Roman" w:cs="Times New Roman"/>
          <w:sz w:val="24"/>
          <w:szCs w:val="24"/>
          <w:lang w:val="lt-LT"/>
        </w:rPr>
        <w:t xml:space="preserve"> testai</w:t>
      </w:r>
      <w:r w:rsidR="006F0A1E">
        <w:rPr>
          <w:rFonts w:ascii="Times New Roman" w:hAnsi="Times New Roman" w:cs="Times New Roman"/>
          <w:sz w:val="24"/>
          <w:szCs w:val="24"/>
          <w:lang w:val="lt-LT"/>
        </w:rPr>
        <w:t xml:space="preserve"> (</w:t>
      </w:r>
      <w:r w:rsidR="006F0A1E">
        <w:rPr>
          <w:rFonts w:ascii="Times New Roman" w:hAnsi="Times New Roman" w:cs="Times New Roman"/>
          <w:sz w:val="24"/>
          <w:szCs w:val="24"/>
        </w:rPr>
        <w:t xml:space="preserve">5 </w:t>
      </w:r>
      <w:proofErr w:type="spellStart"/>
      <w:r w:rsidR="006F0A1E">
        <w:rPr>
          <w:rFonts w:ascii="Times New Roman" w:hAnsi="Times New Roman" w:cs="Times New Roman"/>
          <w:sz w:val="24"/>
          <w:szCs w:val="24"/>
        </w:rPr>
        <w:t>lentel</w:t>
      </w:r>
      <w:proofErr w:type="spellEnd"/>
      <w:r w:rsidR="006F0A1E">
        <w:rPr>
          <w:rFonts w:ascii="Times New Roman" w:hAnsi="Times New Roman" w:cs="Times New Roman"/>
          <w:sz w:val="24"/>
          <w:szCs w:val="24"/>
          <w:lang w:val="lt-LT"/>
        </w:rPr>
        <w:t>ė)</w:t>
      </w:r>
      <w:r w:rsidRPr="000D37F1">
        <w:rPr>
          <w:rFonts w:ascii="Times New Roman" w:hAnsi="Times New Roman" w:cs="Times New Roman"/>
          <w:sz w:val="24"/>
          <w:szCs w:val="24"/>
          <w:lang w:val="lt-LT"/>
        </w:rPr>
        <w:t xml:space="preserve">, kurių pagalba tikrinama nulinė hipotezė, kad nagrinėjama grupė nėra susijusi su išlikimo laiku. Jeigu p&lt;α, tai hipotezė atmetama. </w:t>
      </w:r>
      <w:r w:rsidR="000660EA" w:rsidRPr="000D37F1">
        <w:rPr>
          <w:rFonts w:ascii="Times New Roman" w:hAnsi="Times New Roman" w:cs="Times New Roman"/>
          <w:sz w:val="24"/>
          <w:szCs w:val="24"/>
          <w:lang w:val="lt-LT"/>
        </w:rPr>
        <w:t>Atlikus Vilkoksono</w:t>
      </w:r>
      <w:r w:rsidR="00791B38">
        <w:rPr>
          <w:rFonts w:ascii="Times New Roman" w:hAnsi="Times New Roman" w:cs="Times New Roman"/>
          <w:sz w:val="24"/>
          <w:szCs w:val="24"/>
          <w:lang w:val="lt-LT"/>
        </w:rPr>
        <w:t xml:space="preserve"> </w:t>
      </w:r>
      <w:r w:rsidR="009E0C9F" w:rsidRPr="000D37F1">
        <w:rPr>
          <w:rFonts w:ascii="Times New Roman" w:hAnsi="Times New Roman" w:cs="Times New Roman"/>
          <w:sz w:val="24"/>
          <w:szCs w:val="24"/>
          <w:lang w:val="lt-LT"/>
        </w:rPr>
        <w:t>ir logaritminį ranginį testus</w:t>
      </w:r>
      <w:r w:rsidR="00E2428D" w:rsidRPr="000D37F1">
        <w:rPr>
          <w:rFonts w:ascii="Times New Roman" w:hAnsi="Times New Roman" w:cs="Times New Roman"/>
          <w:sz w:val="24"/>
          <w:szCs w:val="24"/>
          <w:lang w:val="lt-LT"/>
        </w:rPr>
        <w:t>, gavome kad</w:t>
      </w:r>
      <w:r w:rsidR="00791B38">
        <w:rPr>
          <w:rFonts w:ascii="Times New Roman" w:hAnsi="Times New Roman" w:cs="Times New Roman"/>
          <w:sz w:val="24"/>
          <w:szCs w:val="24"/>
          <w:lang w:val="lt-LT"/>
        </w:rPr>
        <w:t xml:space="preserve"> reikšmingumo lygmuo</w:t>
      </w:r>
      <w:r w:rsidR="00E2428D" w:rsidRPr="000D37F1">
        <w:rPr>
          <w:rFonts w:ascii="Times New Roman" w:hAnsi="Times New Roman" w:cs="Times New Roman"/>
          <w:sz w:val="24"/>
          <w:szCs w:val="24"/>
          <w:lang w:val="lt-LT"/>
        </w:rPr>
        <w:t xml:space="preserve"> </w:t>
      </w:r>
      <w:r w:rsidR="00E2428D" w:rsidRPr="006F0A1E">
        <w:rPr>
          <w:rFonts w:ascii="Times New Roman" w:hAnsi="Times New Roman" w:cs="Times New Roman"/>
          <w:i/>
          <w:sz w:val="24"/>
          <w:szCs w:val="24"/>
          <w:lang w:val="lt-LT"/>
        </w:rPr>
        <w:t>p=0.000</w:t>
      </w:r>
      <w:r w:rsidR="00791B38" w:rsidRPr="006F0A1E">
        <w:rPr>
          <w:rFonts w:ascii="Times New Roman" w:hAnsi="Times New Roman" w:cs="Times New Roman"/>
          <w:i/>
          <w:sz w:val="24"/>
          <w:szCs w:val="24"/>
          <w:lang w:val="lt-LT"/>
        </w:rPr>
        <w:t xml:space="preserve"> </w:t>
      </w:r>
      <w:r w:rsidR="006F0A1E" w:rsidRPr="006F0A1E">
        <w:rPr>
          <w:rFonts w:ascii="Times New Roman" w:hAnsi="Times New Roman" w:cs="Times New Roman"/>
          <w:i/>
          <w:sz w:val="24"/>
          <w:szCs w:val="24"/>
          <w:lang w:val="lt-LT"/>
        </w:rPr>
        <w:t>&lt; α=0.</w:t>
      </w:r>
      <w:r w:rsidR="000660EA" w:rsidRPr="006F0A1E">
        <w:rPr>
          <w:rFonts w:ascii="Times New Roman" w:hAnsi="Times New Roman" w:cs="Times New Roman"/>
          <w:i/>
          <w:sz w:val="24"/>
          <w:szCs w:val="24"/>
          <w:lang w:val="lt-LT"/>
        </w:rPr>
        <w:t>05</w:t>
      </w:r>
      <w:r w:rsidR="000660EA" w:rsidRPr="000D37F1">
        <w:rPr>
          <w:rFonts w:ascii="Times New Roman" w:hAnsi="Times New Roman" w:cs="Times New Roman"/>
          <w:sz w:val="24"/>
          <w:szCs w:val="24"/>
          <w:lang w:val="lt-LT"/>
        </w:rPr>
        <w:t>, tai reiškia, jog išlikimo funkcijos (taip pat ir rizikos funkcijos) statistiškai reikšmingai skiriasi atsižvelgiant į grupes.</w:t>
      </w:r>
    </w:p>
    <w:p w:rsidR="00C33D73" w:rsidRPr="000D37F1" w:rsidRDefault="00C33D73" w:rsidP="00C33D73">
      <w:pPr>
        <w:jc w:val="center"/>
        <w:rPr>
          <w:lang w:val="lt-LT"/>
        </w:rPr>
      </w:pPr>
      <w:r w:rsidRPr="000D37F1">
        <w:rPr>
          <w:noProof/>
        </w:rPr>
        <w:drawing>
          <wp:inline distT="0" distB="0" distL="0" distR="0" wp14:anchorId="5F186E88" wp14:editId="475534D7">
            <wp:extent cx="3636335" cy="2456820"/>
            <wp:effectExtent l="0" t="0" r="2540" b="63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1"/>
                    <a:stretch>
                      <a:fillRect/>
                    </a:stretch>
                  </pic:blipFill>
                  <pic:spPr>
                    <a:xfrm>
                      <a:off x="0" y="0"/>
                      <a:ext cx="3643513" cy="2461670"/>
                    </a:xfrm>
                    <a:prstGeom prst="rect">
                      <a:avLst/>
                    </a:prstGeom>
                  </pic:spPr>
                </pic:pic>
              </a:graphicData>
            </a:graphic>
          </wp:inline>
        </w:drawing>
      </w:r>
    </w:p>
    <w:p w:rsidR="00C33D73" w:rsidRPr="00734657" w:rsidRDefault="00C33D73" w:rsidP="00734657">
      <w:pPr>
        <w:pStyle w:val="Heading1"/>
        <w:jc w:val="center"/>
        <w:rPr>
          <w:rFonts w:ascii="Times New Roman" w:hAnsi="Times New Roman" w:cs="Times New Roman"/>
          <w:sz w:val="24"/>
          <w:szCs w:val="24"/>
        </w:rPr>
      </w:pPr>
      <w:bookmarkStart w:id="101" w:name="_Toc383784108"/>
      <w:bookmarkStart w:id="102" w:name="_Toc384567320"/>
      <w:bookmarkStart w:id="103" w:name="_Toc384570757"/>
      <w:r w:rsidRPr="00734657">
        <w:rPr>
          <w:rFonts w:ascii="Times New Roman" w:hAnsi="Times New Roman" w:cs="Times New Roman"/>
          <w:sz w:val="24"/>
          <w:szCs w:val="24"/>
        </w:rPr>
        <w:t>11 pav. Kredito unijų, sugrupuotų pagal veiklos vietą, sukauptųjų išlikimo funkcijų grafikas</w:t>
      </w:r>
      <w:bookmarkEnd w:id="101"/>
      <w:bookmarkEnd w:id="102"/>
      <w:bookmarkEnd w:id="103"/>
    </w:p>
    <w:p w:rsidR="00DA7D88" w:rsidRPr="000D37F1" w:rsidRDefault="00994ADD" w:rsidP="00FA0D12">
      <w:pPr>
        <w:tabs>
          <w:tab w:val="left" w:pos="1978"/>
        </w:tabs>
        <w:spacing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Taip p</w:t>
      </w:r>
      <w:r w:rsidR="00C33D73">
        <w:rPr>
          <w:rFonts w:ascii="Times New Roman" w:hAnsi="Times New Roman" w:cs="Times New Roman"/>
          <w:sz w:val="24"/>
          <w:szCs w:val="24"/>
          <w:lang w:val="lt-LT"/>
        </w:rPr>
        <w:t>at analizuoja</w:t>
      </w:r>
      <w:r>
        <w:rPr>
          <w:rFonts w:ascii="Times New Roman" w:hAnsi="Times New Roman" w:cs="Times New Roman"/>
          <w:sz w:val="24"/>
          <w:szCs w:val="24"/>
          <w:lang w:val="lt-LT"/>
        </w:rPr>
        <w:t>mos</w:t>
      </w:r>
      <w:r w:rsidR="00C33D73">
        <w:rPr>
          <w:rFonts w:ascii="Times New Roman" w:hAnsi="Times New Roman" w:cs="Times New Roman"/>
          <w:sz w:val="24"/>
          <w:szCs w:val="24"/>
          <w:lang w:val="lt-LT"/>
        </w:rPr>
        <w:t xml:space="preserve"> išlikimo funkcijas pagal veiklos vietą</w:t>
      </w:r>
      <w:r w:rsidR="006F0A1E">
        <w:rPr>
          <w:rFonts w:ascii="Times New Roman" w:hAnsi="Times New Roman" w:cs="Times New Roman"/>
          <w:sz w:val="24"/>
          <w:szCs w:val="24"/>
          <w:lang w:val="lt-LT"/>
        </w:rPr>
        <w:t xml:space="preserve"> (</w:t>
      </w:r>
      <w:r w:rsidR="006F0A1E">
        <w:rPr>
          <w:rFonts w:ascii="Times New Roman" w:hAnsi="Times New Roman" w:cs="Times New Roman"/>
          <w:sz w:val="24"/>
          <w:szCs w:val="24"/>
        </w:rPr>
        <w:t xml:space="preserve">11 </w:t>
      </w:r>
      <w:proofErr w:type="spellStart"/>
      <w:r w:rsidR="006F0A1E">
        <w:rPr>
          <w:rFonts w:ascii="Times New Roman" w:hAnsi="Times New Roman" w:cs="Times New Roman"/>
          <w:sz w:val="24"/>
          <w:szCs w:val="24"/>
        </w:rPr>
        <w:t>paveikslas</w:t>
      </w:r>
      <w:proofErr w:type="spellEnd"/>
      <w:r w:rsidR="006F0A1E">
        <w:rPr>
          <w:rFonts w:ascii="Times New Roman" w:hAnsi="Times New Roman" w:cs="Times New Roman"/>
          <w:sz w:val="24"/>
          <w:szCs w:val="24"/>
        </w:rPr>
        <w:t>)</w:t>
      </w:r>
      <w:r w:rsidR="00C33D73">
        <w:rPr>
          <w:rFonts w:ascii="Times New Roman" w:hAnsi="Times New Roman" w:cs="Times New Roman"/>
          <w:sz w:val="24"/>
          <w:szCs w:val="24"/>
          <w:lang w:val="lt-LT"/>
        </w:rPr>
        <w:t xml:space="preserve">, </w:t>
      </w:r>
      <w:proofErr w:type="spellStart"/>
      <w:r w:rsidR="00C33D73">
        <w:rPr>
          <w:rFonts w:ascii="Times New Roman" w:hAnsi="Times New Roman" w:cs="Times New Roman"/>
          <w:sz w:val="24"/>
          <w:szCs w:val="24"/>
          <w:lang w:val="lt-LT"/>
        </w:rPr>
        <w:t>t.y</w:t>
      </w:r>
      <w:proofErr w:type="spellEnd"/>
      <w:r w:rsidR="00C33D73">
        <w:rPr>
          <w:rFonts w:ascii="Times New Roman" w:hAnsi="Times New Roman" w:cs="Times New Roman"/>
          <w:sz w:val="24"/>
          <w:szCs w:val="24"/>
          <w:lang w:val="lt-LT"/>
        </w:rPr>
        <w:t xml:space="preserve">. kredito unija veikia didžiuosiuose šalies miestuose, kuriais laikomi apskričių centrai, ar </w:t>
      </w:r>
      <w:r>
        <w:rPr>
          <w:rFonts w:ascii="Times New Roman" w:hAnsi="Times New Roman" w:cs="Times New Roman"/>
          <w:sz w:val="24"/>
          <w:szCs w:val="24"/>
          <w:lang w:val="lt-LT"/>
        </w:rPr>
        <w:t xml:space="preserve">mažesniuose miestuose. Tarp </w:t>
      </w:r>
      <w:r w:rsidR="009A1FCD">
        <w:rPr>
          <w:rFonts w:ascii="Times New Roman" w:hAnsi="Times New Roman" w:cs="Times New Roman"/>
          <w:sz w:val="24"/>
          <w:szCs w:val="24"/>
          <w:lang w:val="lt-LT"/>
        </w:rPr>
        <w:t>š</w:t>
      </w:r>
      <w:r>
        <w:rPr>
          <w:rFonts w:ascii="Times New Roman" w:hAnsi="Times New Roman" w:cs="Times New Roman"/>
          <w:sz w:val="24"/>
          <w:szCs w:val="24"/>
          <w:lang w:val="lt-LT"/>
        </w:rPr>
        <w:t xml:space="preserve">ių funkcijų matomas didelis skirtumas. Beveik pusei visų apskrities centruose </w:t>
      </w:r>
      <w:r>
        <w:rPr>
          <w:rFonts w:ascii="Times New Roman" w:hAnsi="Times New Roman" w:cs="Times New Roman"/>
          <w:sz w:val="24"/>
          <w:szCs w:val="24"/>
          <w:lang w:val="lt-LT"/>
        </w:rPr>
        <w:lastRenderedPageBreak/>
        <w:t>veikiančių kredito unijų buvo taikytos poveikio priemonės, nes tiriamojo laikotarpio pabaigoje išlikusiųjų sukauptoji funkcija įgyja 0,5-0,6 reikšmę.</w:t>
      </w:r>
    </w:p>
    <w:p w:rsidR="000660EA" w:rsidRPr="00734657" w:rsidRDefault="005D2C7E" w:rsidP="00734657">
      <w:pPr>
        <w:pStyle w:val="Heading1"/>
        <w:jc w:val="center"/>
        <w:rPr>
          <w:rFonts w:ascii="Times New Roman" w:hAnsi="Times New Roman" w:cs="Times New Roman"/>
          <w:sz w:val="24"/>
          <w:szCs w:val="24"/>
        </w:rPr>
      </w:pPr>
      <w:bookmarkStart w:id="104" w:name="_Toc383784109"/>
      <w:bookmarkStart w:id="105" w:name="_Toc384567321"/>
      <w:bookmarkStart w:id="106" w:name="_Toc384570758"/>
      <w:r>
        <w:rPr>
          <w:rFonts w:ascii="Times New Roman" w:hAnsi="Times New Roman" w:cs="Times New Roman"/>
          <w:sz w:val="24"/>
          <w:szCs w:val="24"/>
        </w:rPr>
        <w:t>6</w:t>
      </w:r>
      <w:r w:rsidR="008211A9" w:rsidRPr="00734657">
        <w:rPr>
          <w:rFonts w:ascii="Times New Roman" w:hAnsi="Times New Roman" w:cs="Times New Roman"/>
          <w:sz w:val="24"/>
          <w:szCs w:val="24"/>
        </w:rPr>
        <w:t xml:space="preserve"> </w:t>
      </w:r>
      <w:r w:rsidR="000660EA" w:rsidRPr="00734657">
        <w:rPr>
          <w:rFonts w:ascii="Times New Roman" w:hAnsi="Times New Roman" w:cs="Times New Roman"/>
          <w:sz w:val="24"/>
          <w:szCs w:val="24"/>
        </w:rPr>
        <w:t>Lentelė. Kredito unijų išlikimo funkcijų palyginimas (</w:t>
      </w:r>
      <w:r w:rsidR="00C33D73" w:rsidRPr="00734657">
        <w:rPr>
          <w:rFonts w:ascii="Times New Roman" w:hAnsi="Times New Roman" w:cs="Times New Roman"/>
          <w:sz w:val="24"/>
          <w:szCs w:val="24"/>
        </w:rPr>
        <w:t>pagal veiklos vietą</w:t>
      </w:r>
      <w:r w:rsidR="000660EA" w:rsidRPr="00734657">
        <w:rPr>
          <w:rFonts w:ascii="Times New Roman" w:hAnsi="Times New Roman" w:cs="Times New Roman"/>
          <w:sz w:val="24"/>
          <w:szCs w:val="24"/>
        </w:rPr>
        <w:t>)</w:t>
      </w:r>
      <w:bookmarkEnd w:id="104"/>
      <w:bookmarkEnd w:id="105"/>
      <w:bookmarkEnd w:id="106"/>
    </w:p>
    <w:tbl>
      <w:tblPr>
        <w:tblW w:w="5055" w:type="dxa"/>
        <w:jc w:val="center"/>
        <w:tblInd w:w="93" w:type="dxa"/>
        <w:tblLook w:val="04A0" w:firstRow="1" w:lastRow="0" w:firstColumn="1" w:lastColumn="0" w:noHBand="0" w:noVBand="1"/>
      </w:tblPr>
      <w:tblGrid>
        <w:gridCol w:w="1185"/>
        <w:gridCol w:w="1260"/>
        <w:gridCol w:w="1442"/>
        <w:gridCol w:w="1168"/>
      </w:tblGrid>
      <w:tr w:rsidR="000660EA" w:rsidRPr="000D37F1" w:rsidTr="00256F94">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0EA" w:rsidRPr="000D37F1" w:rsidRDefault="000660EA" w:rsidP="0057524C">
            <w:pPr>
              <w:spacing w:after="0" w:line="240" w:lineRule="auto"/>
              <w:rPr>
                <w:rFonts w:ascii="Times New Roman" w:eastAsia="Times New Roman" w:hAnsi="Times New Roman" w:cs="Times New Roman"/>
                <w:color w:val="000000"/>
                <w:kern w:val="0"/>
                <w:sz w:val="20"/>
                <w:szCs w:val="20"/>
                <w:lang w:val="lt-LT"/>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660EA" w:rsidRPr="000D37F1" w:rsidRDefault="000660EA" w:rsidP="005C46FD">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Statistikos reikšmė</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0660EA" w:rsidRPr="000D37F1" w:rsidRDefault="000660EA" w:rsidP="005C46FD">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Laisvės laipsnių sk.</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rsidR="000660EA" w:rsidRPr="000D37F1" w:rsidRDefault="000660EA" w:rsidP="005C46FD">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i/>
                <w:color w:val="000000"/>
                <w:kern w:val="0"/>
                <w:sz w:val="20"/>
                <w:szCs w:val="20"/>
                <w:lang w:val="lt-LT"/>
              </w:rPr>
              <w:t>p</w:t>
            </w:r>
            <w:r w:rsidRPr="000D37F1">
              <w:rPr>
                <w:rFonts w:ascii="Times New Roman" w:eastAsia="Times New Roman" w:hAnsi="Times New Roman" w:cs="Times New Roman"/>
                <w:color w:val="000000"/>
                <w:kern w:val="0"/>
                <w:sz w:val="20"/>
                <w:szCs w:val="20"/>
                <w:lang w:val="lt-LT"/>
              </w:rPr>
              <w:t xml:space="preserve"> reikšmė</w:t>
            </w:r>
          </w:p>
        </w:tc>
      </w:tr>
      <w:tr w:rsidR="000660EA" w:rsidRPr="000D37F1" w:rsidTr="00256F94">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0660EA" w:rsidRPr="000D37F1" w:rsidRDefault="000660EA" w:rsidP="0057524C">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Log-Rank</w:t>
            </w:r>
          </w:p>
        </w:tc>
        <w:tc>
          <w:tcPr>
            <w:tcW w:w="1260" w:type="dxa"/>
            <w:tcBorders>
              <w:top w:val="nil"/>
              <w:left w:val="nil"/>
              <w:bottom w:val="single" w:sz="4" w:space="0" w:color="auto"/>
              <w:right w:val="single" w:sz="4" w:space="0" w:color="auto"/>
            </w:tcBorders>
            <w:shd w:val="clear" w:color="auto" w:fill="auto"/>
            <w:noWrap/>
            <w:vAlign w:val="bottom"/>
            <w:hideMark/>
          </w:tcPr>
          <w:p w:rsidR="000660EA" w:rsidRPr="000D37F1" w:rsidRDefault="005C46FD" w:rsidP="0057524C">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12.554</w:t>
            </w:r>
          </w:p>
        </w:tc>
        <w:tc>
          <w:tcPr>
            <w:tcW w:w="1442" w:type="dxa"/>
            <w:tcBorders>
              <w:top w:val="nil"/>
              <w:left w:val="nil"/>
              <w:bottom w:val="single" w:sz="4" w:space="0" w:color="auto"/>
              <w:right w:val="single" w:sz="4" w:space="0" w:color="auto"/>
            </w:tcBorders>
            <w:shd w:val="clear" w:color="auto" w:fill="auto"/>
            <w:noWrap/>
            <w:vAlign w:val="bottom"/>
            <w:hideMark/>
          </w:tcPr>
          <w:p w:rsidR="000660EA" w:rsidRPr="000D37F1" w:rsidRDefault="000660EA" w:rsidP="0057524C">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168" w:type="dxa"/>
            <w:tcBorders>
              <w:top w:val="nil"/>
              <w:left w:val="nil"/>
              <w:bottom w:val="single" w:sz="4" w:space="0" w:color="auto"/>
              <w:right w:val="single" w:sz="4" w:space="0" w:color="auto"/>
            </w:tcBorders>
            <w:shd w:val="clear" w:color="auto" w:fill="auto"/>
            <w:noWrap/>
            <w:vAlign w:val="bottom"/>
            <w:hideMark/>
          </w:tcPr>
          <w:p w:rsidR="000660EA" w:rsidRPr="000D37F1" w:rsidRDefault="000660EA" w:rsidP="0057524C">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w:t>
            </w:r>
          </w:p>
        </w:tc>
      </w:tr>
      <w:tr w:rsidR="000660EA" w:rsidRPr="000D37F1" w:rsidTr="00256F94">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0660EA" w:rsidRPr="000D37F1" w:rsidRDefault="000660EA" w:rsidP="0057524C">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Wilcoxon</w:t>
            </w:r>
          </w:p>
        </w:tc>
        <w:tc>
          <w:tcPr>
            <w:tcW w:w="1260" w:type="dxa"/>
            <w:tcBorders>
              <w:top w:val="nil"/>
              <w:left w:val="nil"/>
              <w:bottom w:val="single" w:sz="4" w:space="0" w:color="auto"/>
              <w:right w:val="single" w:sz="4" w:space="0" w:color="auto"/>
            </w:tcBorders>
            <w:shd w:val="clear" w:color="auto" w:fill="auto"/>
            <w:noWrap/>
            <w:vAlign w:val="bottom"/>
            <w:hideMark/>
          </w:tcPr>
          <w:p w:rsidR="000660EA" w:rsidRPr="000D37F1" w:rsidRDefault="000660EA" w:rsidP="005C46FD">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-7.</w:t>
            </w:r>
            <w:r w:rsidR="005C46FD" w:rsidRPr="000D37F1">
              <w:rPr>
                <w:rFonts w:ascii="Times New Roman" w:eastAsia="Times New Roman" w:hAnsi="Times New Roman" w:cs="Times New Roman"/>
                <w:color w:val="000000"/>
                <w:kern w:val="0"/>
                <w:sz w:val="20"/>
                <w:szCs w:val="20"/>
                <w:lang w:val="lt-LT"/>
              </w:rPr>
              <w:t>112</w:t>
            </w:r>
          </w:p>
        </w:tc>
        <w:tc>
          <w:tcPr>
            <w:tcW w:w="1442" w:type="dxa"/>
            <w:tcBorders>
              <w:top w:val="nil"/>
              <w:left w:val="nil"/>
              <w:bottom w:val="single" w:sz="4" w:space="0" w:color="auto"/>
              <w:right w:val="single" w:sz="4" w:space="0" w:color="auto"/>
            </w:tcBorders>
            <w:shd w:val="clear" w:color="auto" w:fill="auto"/>
            <w:noWrap/>
            <w:vAlign w:val="bottom"/>
            <w:hideMark/>
          </w:tcPr>
          <w:p w:rsidR="000660EA" w:rsidRPr="000D37F1" w:rsidRDefault="000660EA" w:rsidP="0057524C">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w:t>
            </w:r>
          </w:p>
        </w:tc>
        <w:tc>
          <w:tcPr>
            <w:tcW w:w="1168" w:type="dxa"/>
            <w:tcBorders>
              <w:top w:val="nil"/>
              <w:left w:val="nil"/>
              <w:bottom w:val="single" w:sz="4" w:space="0" w:color="auto"/>
              <w:right w:val="single" w:sz="4" w:space="0" w:color="auto"/>
            </w:tcBorders>
            <w:shd w:val="clear" w:color="auto" w:fill="auto"/>
            <w:noWrap/>
            <w:vAlign w:val="bottom"/>
            <w:hideMark/>
          </w:tcPr>
          <w:p w:rsidR="000660EA" w:rsidRPr="000D37F1" w:rsidRDefault="000660EA" w:rsidP="0057524C">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w:t>
            </w:r>
          </w:p>
        </w:tc>
      </w:tr>
    </w:tbl>
    <w:p w:rsidR="009E0C9F" w:rsidRPr="000D37F1" w:rsidRDefault="009E0C9F" w:rsidP="00FF2632">
      <w:pPr>
        <w:spacing w:line="360" w:lineRule="auto"/>
        <w:jc w:val="both"/>
        <w:rPr>
          <w:rFonts w:ascii="Times New Roman" w:hAnsi="Times New Roman" w:cs="Times New Roman"/>
          <w:sz w:val="24"/>
          <w:szCs w:val="24"/>
          <w:lang w:val="lt-LT"/>
        </w:rPr>
      </w:pPr>
    </w:p>
    <w:p w:rsidR="005576FA" w:rsidRPr="000D37F1" w:rsidRDefault="00994ADD" w:rsidP="00994ADD">
      <w:pPr>
        <w:pStyle w:val="ListParagraph"/>
        <w:tabs>
          <w:tab w:val="left" w:pos="1978"/>
        </w:tabs>
        <w:spacing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Kadangi vizualiai įvertinti funkcijų skirtumo nepakanka, ta</w:t>
      </w:r>
      <w:r w:rsidR="006F0A1E">
        <w:rPr>
          <w:rFonts w:ascii="Times New Roman" w:hAnsi="Times New Roman" w:cs="Times New Roman"/>
          <w:sz w:val="24"/>
          <w:szCs w:val="24"/>
          <w:lang w:val="lt-LT"/>
        </w:rPr>
        <w:t>i siekiant ištirti skirtumo tarp</w:t>
      </w:r>
      <w:r>
        <w:rPr>
          <w:rFonts w:ascii="Times New Roman" w:hAnsi="Times New Roman" w:cs="Times New Roman"/>
          <w:sz w:val="24"/>
          <w:szCs w:val="24"/>
          <w:lang w:val="lt-LT"/>
        </w:rPr>
        <w:t xml:space="preserve"> išlikimo funkcijų reikšmingumą, buvo atlikti </w:t>
      </w:r>
      <w:proofErr w:type="spellStart"/>
      <w:r>
        <w:rPr>
          <w:rFonts w:ascii="Times New Roman" w:hAnsi="Times New Roman" w:cs="Times New Roman"/>
          <w:sz w:val="24"/>
          <w:szCs w:val="24"/>
          <w:lang w:val="lt-LT"/>
        </w:rPr>
        <w:t>Vilkoksono</w:t>
      </w:r>
      <w:proofErr w:type="spellEnd"/>
      <w:r>
        <w:rPr>
          <w:rFonts w:ascii="Times New Roman" w:hAnsi="Times New Roman" w:cs="Times New Roman"/>
          <w:sz w:val="24"/>
          <w:szCs w:val="24"/>
          <w:lang w:val="lt-LT"/>
        </w:rPr>
        <w:t xml:space="preserve"> ir logaritminis </w:t>
      </w:r>
      <w:proofErr w:type="spellStart"/>
      <w:r>
        <w:rPr>
          <w:rFonts w:ascii="Times New Roman" w:hAnsi="Times New Roman" w:cs="Times New Roman"/>
          <w:sz w:val="24"/>
          <w:szCs w:val="24"/>
          <w:lang w:val="lt-LT"/>
        </w:rPr>
        <w:t>ranginis</w:t>
      </w:r>
      <w:proofErr w:type="spellEnd"/>
      <w:r>
        <w:rPr>
          <w:rFonts w:ascii="Times New Roman" w:hAnsi="Times New Roman" w:cs="Times New Roman"/>
          <w:sz w:val="24"/>
          <w:szCs w:val="24"/>
          <w:lang w:val="lt-LT"/>
        </w:rPr>
        <w:t xml:space="preserve"> testai</w:t>
      </w:r>
      <w:r w:rsidR="006F0A1E">
        <w:rPr>
          <w:rFonts w:ascii="Times New Roman" w:hAnsi="Times New Roman" w:cs="Times New Roman"/>
          <w:sz w:val="24"/>
          <w:szCs w:val="24"/>
          <w:lang w:val="lt-LT"/>
        </w:rPr>
        <w:t xml:space="preserve"> (6 lentelė)</w:t>
      </w:r>
      <w:r>
        <w:rPr>
          <w:rFonts w:ascii="Times New Roman" w:hAnsi="Times New Roman" w:cs="Times New Roman"/>
          <w:sz w:val="24"/>
          <w:szCs w:val="24"/>
          <w:lang w:val="lt-LT"/>
        </w:rPr>
        <w:t>. Pagal reikšmingumo lygmens įgytas reikšmes, kurios yra mažesnės nei 0,05, įvertiname, kad sukauptosios išlikusiųjų funkcijos pagal veiklos vietą statistiškai reikšmingai skiriasi.</w:t>
      </w:r>
    </w:p>
    <w:p w:rsidR="000615A2" w:rsidRDefault="000615A2" w:rsidP="00256F94">
      <w:pPr>
        <w:pStyle w:val="ListParagraph"/>
        <w:spacing w:line="360" w:lineRule="auto"/>
        <w:ind w:firstLine="720"/>
        <w:jc w:val="both"/>
        <w:rPr>
          <w:rFonts w:ascii="Times New Roman" w:hAnsi="Times New Roman" w:cs="Times New Roman"/>
          <w:b/>
          <w:sz w:val="24"/>
          <w:szCs w:val="24"/>
          <w:lang w:val="lt-LT"/>
        </w:rPr>
      </w:pPr>
      <w:r w:rsidRPr="000D37F1">
        <w:rPr>
          <w:noProof/>
        </w:rPr>
        <w:drawing>
          <wp:inline distT="0" distB="0" distL="0" distR="0" wp14:anchorId="2AD9095A" wp14:editId="63489517">
            <wp:extent cx="3880884" cy="2546512"/>
            <wp:effectExtent l="0" t="0" r="5715" b="63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2"/>
                    <a:stretch>
                      <a:fillRect/>
                    </a:stretch>
                  </pic:blipFill>
                  <pic:spPr>
                    <a:xfrm>
                      <a:off x="0" y="0"/>
                      <a:ext cx="3886327" cy="2550083"/>
                    </a:xfrm>
                    <a:prstGeom prst="rect">
                      <a:avLst/>
                    </a:prstGeom>
                  </pic:spPr>
                </pic:pic>
              </a:graphicData>
            </a:graphic>
          </wp:inline>
        </w:drawing>
      </w:r>
    </w:p>
    <w:p w:rsidR="000615A2" w:rsidRPr="00734657" w:rsidRDefault="006F0A1E" w:rsidP="00734657">
      <w:pPr>
        <w:pStyle w:val="Heading1"/>
        <w:jc w:val="center"/>
        <w:rPr>
          <w:rFonts w:ascii="Times New Roman" w:hAnsi="Times New Roman" w:cs="Times New Roman"/>
          <w:sz w:val="24"/>
          <w:szCs w:val="24"/>
        </w:rPr>
      </w:pPr>
      <w:bookmarkStart w:id="107" w:name="_Toc383784110"/>
      <w:bookmarkStart w:id="108" w:name="_Toc384567322"/>
      <w:bookmarkStart w:id="109" w:name="_Toc384570759"/>
      <w:r>
        <w:rPr>
          <w:rFonts w:ascii="Times New Roman" w:hAnsi="Times New Roman" w:cs="Times New Roman"/>
          <w:sz w:val="24"/>
          <w:szCs w:val="24"/>
          <w:lang w:val="en-US"/>
        </w:rPr>
        <w:t xml:space="preserve">12 </w:t>
      </w:r>
      <w:proofErr w:type="spellStart"/>
      <w:r w:rsidR="000615A2" w:rsidRPr="00734657">
        <w:rPr>
          <w:rFonts w:ascii="Times New Roman" w:hAnsi="Times New Roman" w:cs="Times New Roman"/>
          <w:sz w:val="24"/>
          <w:szCs w:val="24"/>
        </w:rPr>
        <w:t>pav</w:t>
      </w:r>
      <w:proofErr w:type="spellEnd"/>
      <w:r w:rsidR="000615A2" w:rsidRPr="00734657">
        <w:rPr>
          <w:rFonts w:ascii="Times New Roman" w:hAnsi="Times New Roman" w:cs="Times New Roman"/>
          <w:sz w:val="24"/>
          <w:szCs w:val="24"/>
        </w:rPr>
        <w:t>. Kredito unijų, sugrupuotų pagal veiklos trukmę, sukauptųjų išlikimo funkcijų grafikas</w:t>
      </w:r>
      <w:bookmarkEnd w:id="107"/>
      <w:bookmarkEnd w:id="108"/>
      <w:bookmarkEnd w:id="109"/>
    </w:p>
    <w:p w:rsidR="000615A2" w:rsidRPr="000615A2" w:rsidRDefault="000615A2" w:rsidP="000B1C5D">
      <w:pPr>
        <w:pStyle w:val="ListParagraph"/>
        <w:spacing w:line="360" w:lineRule="auto"/>
        <w:ind w:left="0" w:firstLine="709"/>
        <w:jc w:val="both"/>
        <w:rPr>
          <w:rFonts w:ascii="Times New Roman" w:hAnsi="Times New Roman" w:cs="Times New Roman"/>
          <w:sz w:val="24"/>
          <w:szCs w:val="24"/>
          <w:lang w:val="lt-LT"/>
        </w:rPr>
      </w:pPr>
      <w:r w:rsidRPr="000615A2">
        <w:rPr>
          <w:rFonts w:ascii="Times New Roman" w:hAnsi="Times New Roman" w:cs="Times New Roman"/>
          <w:sz w:val="24"/>
          <w:szCs w:val="24"/>
          <w:lang w:val="lt-LT"/>
        </w:rPr>
        <w:t xml:space="preserve">Kaip ir kitų nefinansinių rodiklių, taip ir veiklos trukmės </w:t>
      </w:r>
      <w:r>
        <w:rPr>
          <w:rFonts w:ascii="Times New Roman" w:hAnsi="Times New Roman" w:cs="Times New Roman"/>
          <w:sz w:val="24"/>
          <w:szCs w:val="24"/>
          <w:lang w:val="lt-LT"/>
        </w:rPr>
        <w:t>išlikimo funkcijas galima palyginti ir nustatyti didžiausius skirtumus. Visgi šio parametro įvertinimas tik grafiškai nėra informatyvus, nes kredito unijų veiklos trukmė yra labai įvairi nuo 3 iki 19 metų. 12 paveiksle pateiktas funkcijų pasiskirstymas rodo, kad daugiausiai buvo taikytos poveikio priemonės toms, kredito unijoms, kurios veikia 11 ir 17 metų. Veiklos truk</w:t>
      </w:r>
      <w:r w:rsidR="006F0A1E">
        <w:rPr>
          <w:rFonts w:ascii="Times New Roman" w:hAnsi="Times New Roman" w:cs="Times New Roman"/>
          <w:sz w:val="24"/>
          <w:szCs w:val="24"/>
          <w:lang w:val="lt-LT"/>
        </w:rPr>
        <w:t xml:space="preserve">mė skaičiuojama 2014 m. sausio 1 </w:t>
      </w:r>
      <w:proofErr w:type="spellStart"/>
      <w:r w:rsidR="006F0A1E">
        <w:rPr>
          <w:rFonts w:ascii="Times New Roman" w:hAnsi="Times New Roman" w:cs="Times New Roman"/>
          <w:sz w:val="24"/>
          <w:szCs w:val="24"/>
          <w:lang w:val="lt-LT"/>
        </w:rPr>
        <w:t>d</w:t>
      </w:r>
      <w:proofErr w:type="spellEnd"/>
      <w:r w:rsidR="006F0A1E">
        <w:rPr>
          <w:rFonts w:ascii="Times New Roman" w:hAnsi="Times New Roman" w:cs="Times New Roman"/>
          <w:sz w:val="24"/>
          <w:szCs w:val="24"/>
          <w:lang w:val="lt-LT"/>
        </w:rPr>
        <w:t>.</w:t>
      </w:r>
      <w:r>
        <w:rPr>
          <w:rFonts w:ascii="Times New Roman" w:hAnsi="Times New Roman" w:cs="Times New Roman"/>
          <w:sz w:val="24"/>
          <w:szCs w:val="24"/>
          <w:lang w:val="lt-LT"/>
        </w:rPr>
        <w:t xml:space="preserve">, viena kredito unija įkurta 2011 m. sausio mėnesį, todėl į tyrimą taip pat įtraukta ir jos veiklos trukmė – 3 metai. Ši išlikimo funkcija paneigia anksčiau iškeltą prielaidą, jog rizikingesnės yra </w:t>
      </w:r>
      <w:r w:rsidR="00FF5081">
        <w:rPr>
          <w:rFonts w:ascii="Times New Roman" w:hAnsi="Times New Roman" w:cs="Times New Roman"/>
          <w:sz w:val="24"/>
          <w:szCs w:val="24"/>
          <w:lang w:val="lt-LT"/>
        </w:rPr>
        <w:t>jaunos</w:t>
      </w:r>
      <w:r>
        <w:rPr>
          <w:rFonts w:ascii="Times New Roman" w:hAnsi="Times New Roman" w:cs="Times New Roman"/>
          <w:sz w:val="24"/>
          <w:szCs w:val="24"/>
          <w:lang w:val="lt-LT"/>
        </w:rPr>
        <w:t xml:space="preserve"> kredito unijos, kurios veikia tik kelis metus. </w:t>
      </w:r>
    </w:p>
    <w:p w:rsidR="00256F94" w:rsidRPr="00734657" w:rsidRDefault="005D2C7E" w:rsidP="00734657">
      <w:pPr>
        <w:pStyle w:val="Heading1"/>
        <w:jc w:val="center"/>
        <w:rPr>
          <w:rFonts w:ascii="Times New Roman" w:hAnsi="Times New Roman" w:cs="Times New Roman"/>
          <w:sz w:val="24"/>
          <w:szCs w:val="24"/>
        </w:rPr>
      </w:pPr>
      <w:bookmarkStart w:id="110" w:name="_Toc383784111"/>
      <w:bookmarkStart w:id="111" w:name="_Toc384567323"/>
      <w:bookmarkStart w:id="112" w:name="_Toc384570760"/>
      <w:r>
        <w:rPr>
          <w:rFonts w:ascii="Times New Roman" w:hAnsi="Times New Roman" w:cs="Times New Roman"/>
          <w:sz w:val="24"/>
          <w:szCs w:val="24"/>
        </w:rPr>
        <w:lastRenderedPageBreak/>
        <w:t>7</w:t>
      </w:r>
      <w:r w:rsidR="00256F94" w:rsidRPr="00734657">
        <w:rPr>
          <w:rFonts w:ascii="Times New Roman" w:hAnsi="Times New Roman" w:cs="Times New Roman"/>
          <w:sz w:val="24"/>
          <w:szCs w:val="24"/>
        </w:rPr>
        <w:t xml:space="preserve"> Lentelė. Kredito unijų išlikimo funkcijų palyginimas (veiklos trukmė)</w:t>
      </w:r>
      <w:bookmarkEnd w:id="110"/>
      <w:bookmarkEnd w:id="111"/>
      <w:bookmarkEnd w:id="112"/>
    </w:p>
    <w:tbl>
      <w:tblPr>
        <w:tblW w:w="5055" w:type="dxa"/>
        <w:jc w:val="center"/>
        <w:tblInd w:w="93" w:type="dxa"/>
        <w:tblLook w:val="04A0" w:firstRow="1" w:lastRow="0" w:firstColumn="1" w:lastColumn="0" w:noHBand="0" w:noVBand="1"/>
      </w:tblPr>
      <w:tblGrid>
        <w:gridCol w:w="1185"/>
        <w:gridCol w:w="1260"/>
        <w:gridCol w:w="1440"/>
        <w:gridCol w:w="83"/>
        <w:gridCol w:w="1087"/>
      </w:tblGrid>
      <w:tr w:rsidR="00256F94" w:rsidRPr="00994ADD" w:rsidTr="00291275">
        <w:trPr>
          <w:trHeight w:val="3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F94" w:rsidRPr="000D37F1" w:rsidRDefault="00256F94" w:rsidP="00291275">
            <w:pPr>
              <w:spacing w:after="0" w:line="240" w:lineRule="auto"/>
              <w:rPr>
                <w:rFonts w:ascii="Times New Roman" w:eastAsia="Times New Roman" w:hAnsi="Times New Roman" w:cs="Times New Roman"/>
                <w:color w:val="000000"/>
                <w:kern w:val="0"/>
                <w:sz w:val="20"/>
                <w:szCs w:val="20"/>
                <w:lang w:val="lt-LT"/>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56F94" w:rsidRPr="000D37F1" w:rsidRDefault="00256F94" w:rsidP="00291275">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Statistikos reikšmė</w:t>
            </w:r>
          </w:p>
        </w:tc>
        <w:tc>
          <w:tcPr>
            <w:tcW w:w="1523" w:type="dxa"/>
            <w:gridSpan w:val="2"/>
            <w:tcBorders>
              <w:top w:val="single" w:sz="4" w:space="0" w:color="auto"/>
              <w:left w:val="nil"/>
              <w:bottom w:val="single" w:sz="4" w:space="0" w:color="auto"/>
              <w:right w:val="single" w:sz="4" w:space="0" w:color="auto"/>
            </w:tcBorders>
            <w:shd w:val="clear" w:color="auto" w:fill="auto"/>
            <w:noWrap/>
            <w:vAlign w:val="bottom"/>
            <w:hideMark/>
          </w:tcPr>
          <w:p w:rsidR="00256F94" w:rsidRPr="000D37F1" w:rsidRDefault="00256F94" w:rsidP="00291275">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Laisvės laipsnių sk.</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256F94" w:rsidRPr="000D37F1" w:rsidRDefault="00256F94" w:rsidP="00291275">
            <w:pPr>
              <w:spacing w:after="0" w:line="240" w:lineRule="auto"/>
              <w:jc w:val="center"/>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i/>
                <w:color w:val="000000"/>
                <w:kern w:val="0"/>
                <w:sz w:val="20"/>
                <w:szCs w:val="20"/>
                <w:lang w:val="lt-LT"/>
              </w:rPr>
              <w:t>p</w:t>
            </w:r>
            <w:r w:rsidRPr="000D37F1">
              <w:rPr>
                <w:rFonts w:ascii="Times New Roman" w:eastAsia="Times New Roman" w:hAnsi="Times New Roman" w:cs="Times New Roman"/>
                <w:color w:val="000000"/>
                <w:kern w:val="0"/>
                <w:sz w:val="20"/>
                <w:szCs w:val="20"/>
                <w:lang w:val="lt-LT"/>
              </w:rPr>
              <w:t xml:space="preserve"> reikšmė</w:t>
            </w:r>
          </w:p>
        </w:tc>
      </w:tr>
      <w:tr w:rsidR="00256F94" w:rsidRPr="000D37F1" w:rsidTr="0029127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256F94" w:rsidRPr="000D37F1" w:rsidRDefault="00256F94" w:rsidP="00291275">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Log-Rank</w:t>
            </w:r>
          </w:p>
        </w:tc>
        <w:tc>
          <w:tcPr>
            <w:tcW w:w="1260" w:type="dxa"/>
            <w:tcBorders>
              <w:top w:val="nil"/>
              <w:left w:val="nil"/>
              <w:bottom w:val="single" w:sz="4" w:space="0" w:color="auto"/>
              <w:right w:val="single" w:sz="4" w:space="0" w:color="auto"/>
            </w:tcBorders>
            <w:shd w:val="clear" w:color="auto" w:fill="auto"/>
            <w:noWrap/>
            <w:vAlign w:val="bottom"/>
            <w:hideMark/>
          </w:tcPr>
          <w:p w:rsidR="00256F94" w:rsidRPr="000D37F1" w:rsidRDefault="00256F94" w:rsidP="00291275">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26.801</w:t>
            </w:r>
          </w:p>
        </w:tc>
        <w:tc>
          <w:tcPr>
            <w:tcW w:w="1440" w:type="dxa"/>
            <w:tcBorders>
              <w:top w:val="nil"/>
              <w:left w:val="nil"/>
              <w:bottom w:val="single" w:sz="4" w:space="0" w:color="auto"/>
              <w:right w:val="single" w:sz="4" w:space="0" w:color="auto"/>
            </w:tcBorders>
            <w:shd w:val="clear" w:color="auto" w:fill="auto"/>
            <w:noWrap/>
            <w:vAlign w:val="bottom"/>
            <w:hideMark/>
          </w:tcPr>
          <w:p w:rsidR="00256F94" w:rsidRPr="000D37F1" w:rsidRDefault="00256F94" w:rsidP="00291275">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14</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256F94" w:rsidRPr="000D37F1" w:rsidRDefault="00256F94" w:rsidP="00256F94">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0.020</w:t>
            </w:r>
          </w:p>
        </w:tc>
      </w:tr>
      <w:tr w:rsidR="00256F94" w:rsidRPr="000D37F1" w:rsidTr="00256F94">
        <w:trPr>
          <w:trHeight w:val="300"/>
          <w:jc w:val="center"/>
        </w:trPr>
        <w:tc>
          <w:tcPr>
            <w:tcW w:w="1185" w:type="dxa"/>
            <w:tcBorders>
              <w:top w:val="nil"/>
              <w:left w:val="single" w:sz="4" w:space="0" w:color="auto"/>
              <w:bottom w:val="nil"/>
              <w:right w:val="single" w:sz="4" w:space="0" w:color="auto"/>
            </w:tcBorders>
            <w:shd w:val="clear" w:color="auto" w:fill="auto"/>
            <w:noWrap/>
            <w:vAlign w:val="bottom"/>
            <w:hideMark/>
          </w:tcPr>
          <w:p w:rsidR="00256F94" w:rsidRPr="000D37F1" w:rsidRDefault="00256F94" w:rsidP="00291275">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Wilcoxon</w:t>
            </w:r>
          </w:p>
        </w:tc>
        <w:tc>
          <w:tcPr>
            <w:tcW w:w="1260" w:type="dxa"/>
            <w:tcBorders>
              <w:top w:val="nil"/>
              <w:left w:val="nil"/>
              <w:bottom w:val="nil"/>
              <w:right w:val="single" w:sz="4" w:space="0" w:color="auto"/>
            </w:tcBorders>
            <w:shd w:val="clear" w:color="auto" w:fill="auto"/>
            <w:noWrap/>
            <w:vAlign w:val="bottom"/>
            <w:hideMark/>
          </w:tcPr>
          <w:p w:rsidR="00256F94" w:rsidRPr="000D37F1" w:rsidRDefault="00256F94" w:rsidP="00256F94">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-7.281</w:t>
            </w:r>
          </w:p>
        </w:tc>
        <w:tc>
          <w:tcPr>
            <w:tcW w:w="1440" w:type="dxa"/>
            <w:tcBorders>
              <w:top w:val="nil"/>
              <w:left w:val="nil"/>
              <w:bottom w:val="nil"/>
              <w:right w:val="single" w:sz="4" w:space="0" w:color="auto"/>
            </w:tcBorders>
            <w:shd w:val="clear" w:color="auto" w:fill="auto"/>
            <w:noWrap/>
            <w:vAlign w:val="bottom"/>
            <w:hideMark/>
          </w:tcPr>
          <w:p w:rsidR="00256F94" w:rsidRPr="000D37F1" w:rsidRDefault="00256F94" w:rsidP="00C519FA">
            <w:pPr>
              <w:spacing w:after="0" w:line="240" w:lineRule="auto"/>
              <w:rPr>
                <w:rFonts w:ascii="Times New Roman" w:eastAsia="Times New Roman" w:hAnsi="Times New Roman" w:cs="Times New Roman"/>
                <w:color w:val="000000"/>
                <w:kern w:val="0"/>
                <w:sz w:val="20"/>
                <w:szCs w:val="20"/>
                <w:lang w:val="lt-LT"/>
              </w:rPr>
            </w:pPr>
          </w:p>
        </w:tc>
        <w:tc>
          <w:tcPr>
            <w:tcW w:w="1170" w:type="dxa"/>
            <w:gridSpan w:val="2"/>
            <w:tcBorders>
              <w:top w:val="nil"/>
              <w:left w:val="nil"/>
              <w:bottom w:val="nil"/>
              <w:right w:val="single" w:sz="4" w:space="0" w:color="auto"/>
            </w:tcBorders>
            <w:shd w:val="clear" w:color="auto" w:fill="auto"/>
            <w:noWrap/>
            <w:vAlign w:val="bottom"/>
            <w:hideMark/>
          </w:tcPr>
          <w:p w:rsidR="00256F94" w:rsidRPr="000D37F1" w:rsidRDefault="00256F94" w:rsidP="00291275">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w:t>
            </w:r>
          </w:p>
        </w:tc>
      </w:tr>
      <w:tr w:rsidR="00256F94" w:rsidRPr="000D37F1" w:rsidTr="00C519FA">
        <w:trPr>
          <w:trHeight w:val="95"/>
          <w:jc w:val="center"/>
        </w:trPr>
        <w:tc>
          <w:tcPr>
            <w:tcW w:w="1185" w:type="dxa"/>
            <w:tcBorders>
              <w:top w:val="nil"/>
              <w:left w:val="single" w:sz="4" w:space="0" w:color="auto"/>
              <w:bottom w:val="single" w:sz="4" w:space="0" w:color="auto"/>
              <w:right w:val="single" w:sz="4" w:space="0" w:color="auto"/>
            </w:tcBorders>
            <w:shd w:val="clear" w:color="auto" w:fill="auto"/>
            <w:noWrap/>
            <w:vAlign w:val="bottom"/>
          </w:tcPr>
          <w:p w:rsidR="00256F94" w:rsidRPr="000D37F1" w:rsidRDefault="00256F94" w:rsidP="00291275">
            <w:pPr>
              <w:spacing w:after="0" w:line="240" w:lineRule="auto"/>
              <w:rPr>
                <w:rFonts w:ascii="Times New Roman" w:eastAsia="Times New Roman" w:hAnsi="Times New Roman" w:cs="Times New Roman"/>
                <w:color w:val="000000"/>
                <w:kern w:val="0"/>
                <w:sz w:val="20"/>
                <w:szCs w:val="20"/>
                <w:lang w:val="lt-LT"/>
              </w:rPr>
            </w:pPr>
          </w:p>
        </w:tc>
        <w:tc>
          <w:tcPr>
            <w:tcW w:w="1260" w:type="dxa"/>
            <w:tcBorders>
              <w:top w:val="nil"/>
              <w:left w:val="nil"/>
              <w:bottom w:val="single" w:sz="4" w:space="0" w:color="auto"/>
              <w:right w:val="single" w:sz="4" w:space="0" w:color="auto"/>
            </w:tcBorders>
            <w:shd w:val="clear" w:color="auto" w:fill="auto"/>
            <w:noWrap/>
            <w:vAlign w:val="bottom"/>
          </w:tcPr>
          <w:p w:rsidR="00256F94" w:rsidRPr="000D37F1" w:rsidRDefault="00256F94" w:rsidP="00C519FA">
            <w:pPr>
              <w:spacing w:after="0" w:line="240" w:lineRule="auto"/>
              <w:rPr>
                <w:rFonts w:ascii="Times New Roman" w:eastAsia="Times New Roman" w:hAnsi="Times New Roman" w:cs="Times New Roman"/>
                <w:color w:val="000000"/>
                <w:kern w:val="0"/>
                <w:sz w:val="20"/>
                <w:szCs w:val="20"/>
                <w:lang w:val="lt-LT"/>
              </w:rPr>
            </w:pPr>
          </w:p>
        </w:tc>
        <w:tc>
          <w:tcPr>
            <w:tcW w:w="1440" w:type="dxa"/>
            <w:tcBorders>
              <w:top w:val="nil"/>
              <w:left w:val="nil"/>
              <w:bottom w:val="single" w:sz="4" w:space="0" w:color="auto"/>
              <w:right w:val="single" w:sz="4" w:space="0" w:color="auto"/>
            </w:tcBorders>
            <w:shd w:val="clear" w:color="auto" w:fill="auto"/>
            <w:noWrap/>
            <w:vAlign w:val="bottom"/>
          </w:tcPr>
          <w:p w:rsidR="00256F94" w:rsidRPr="000D37F1" w:rsidRDefault="00256F94" w:rsidP="00291275">
            <w:pPr>
              <w:spacing w:after="0" w:line="240" w:lineRule="auto"/>
              <w:jc w:val="right"/>
              <w:rPr>
                <w:rFonts w:ascii="Times New Roman" w:eastAsia="Times New Roman" w:hAnsi="Times New Roman" w:cs="Times New Roman"/>
                <w:color w:val="000000"/>
                <w:kern w:val="0"/>
                <w:sz w:val="20"/>
                <w:szCs w:val="20"/>
                <w:lang w:val="lt-LT"/>
              </w:rPr>
            </w:pPr>
          </w:p>
        </w:tc>
        <w:tc>
          <w:tcPr>
            <w:tcW w:w="1170" w:type="dxa"/>
            <w:gridSpan w:val="2"/>
            <w:tcBorders>
              <w:top w:val="nil"/>
              <w:left w:val="nil"/>
              <w:bottom w:val="single" w:sz="4" w:space="0" w:color="auto"/>
              <w:right w:val="single" w:sz="4" w:space="0" w:color="auto"/>
            </w:tcBorders>
            <w:shd w:val="clear" w:color="auto" w:fill="auto"/>
            <w:noWrap/>
            <w:vAlign w:val="bottom"/>
          </w:tcPr>
          <w:p w:rsidR="00256F94" w:rsidRPr="000D37F1" w:rsidRDefault="00256F94" w:rsidP="00C519FA">
            <w:pPr>
              <w:spacing w:after="0" w:line="240" w:lineRule="auto"/>
              <w:rPr>
                <w:rFonts w:ascii="Times New Roman" w:eastAsia="Times New Roman" w:hAnsi="Times New Roman" w:cs="Times New Roman"/>
                <w:color w:val="000000"/>
                <w:kern w:val="0"/>
                <w:sz w:val="20"/>
                <w:szCs w:val="20"/>
                <w:lang w:val="lt-LT"/>
              </w:rPr>
            </w:pPr>
          </w:p>
        </w:tc>
      </w:tr>
    </w:tbl>
    <w:p w:rsidR="000615A2" w:rsidRDefault="000615A2" w:rsidP="00256F94">
      <w:pPr>
        <w:pStyle w:val="ListParagraph"/>
        <w:tabs>
          <w:tab w:val="left" w:pos="1978"/>
        </w:tabs>
        <w:spacing w:line="360" w:lineRule="auto"/>
        <w:ind w:left="0" w:firstLine="720"/>
        <w:rPr>
          <w:rFonts w:ascii="Times New Roman" w:hAnsi="Times New Roman" w:cs="Times New Roman"/>
          <w:sz w:val="24"/>
          <w:szCs w:val="24"/>
          <w:lang w:val="lt-LT"/>
        </w:rPr>
      </w:pPr>
    </w:p>
    <w:p w:rsidR="00256F94" w:rsidRPr="000D37F1" w:rsidRDefault="000615A2" w:rsidP="0037020C">
      <w:pPr>
        <w:pStyle w:val="ListParagraph"/>
        <w:tabs>
          <w:tab w:val="left" w:pos="1978"/>
        </w:tabs>
        <w:spacing w:line="36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Pagal testų rezultatus skirtingos veiklos trukmės kredito unijų išlikimo funkcijos </w:t>
      </w:r>
      <w:proofErr w:type="spellStart"/>
      <w:r>
        <w:rPr>
          <w:rFonts w:ascii="Times New Roman" w:hAnsi="Times New Roman" w:cs="Times New Roman"/>
          <w:sz w:val="24"/>
          <w:szCs w:val="24"/>
          <w:lang w:val="lt-LT"/>
        </w:rPr>
        <w:t>st</w:t>
      </w:r>
      <w:r w:rsidR="00FF5081">
        <w:rPr>
          <w:rFonts w:ascii="Times New Roman" w:hAnsi="Times New Roman" w:cs="Times New Roman"/>
          <w:sz w:val="24"/>
          <w:szCs w:val="24"/>
          <w:lang w:val="lt-LT"/>
        </w:rPr>
        <w:t>atistiškai</w:t>
      </w:r>
      <w:proofErr w:type="spellEnd"/>
      <w:r w:rsidR="00FF5081">
        <w:rPr>
          <w:rFonts w:ascii="Times New Roman" w:hAnsi="Times New Roman" w:cs="Times New Roman"/>
          <w:sz w:val="24"/>
          <w:szCs w:val="24"/>
          <w:lang w:val="lt-LT"/>
        </w:rPr>
        <w:t xml:space="preserve"> reikšmingai skiriasi (7 lentelė).</w:t>
      </w:r>
      <w:r>
        <w:rPr>
          <w:rFonts w:ascii="Times New Roman" w:hAnsi="Times New Roman" w:cs="Times New Roman"/>
          <w:sz w:val="24"/>
          <w:szCs w:val="24"/>
          <w:lang w:val="lt-LT"/>
        </w:rPr>
        <w:t xml:space="preserve"> </w:t>
      </w:r>
    </w:p>
    <w:p w:rsidR="00897B75" w:rsidRPr="00944E1B" w:rsidRDefault="00944E1B" w:rsidP="00FA0D12">
      <w:pPr>
        <w:spacing w:line="360" w:lineRule="auto"/>
        <w:rPr>
          <w:rFonts w:ascii="Times New Roman" w:hAnsi="Times New Roman" w:cs="Times New Roman"/>
          <w:i/>
          <w:sz w:val="24"/>
          <w:szCs w:val="24"/>
          <w:lang w:val="lt-LT"/>
        </w:rPr>
      </w:pPr>
      <w:r>
        <w:rPr>
          <w:rFonts w:ascii="Times New Roman" w:hAnsi="Times New Roman" w:cs="Times New Roman"/>
          <w:i/>
          <w:sz w:val="24"/>
          <w:szCs w:val="24"/>
          <w:lang w:val="lt-LT"/>
        </w:rPr>
        <w:t>Finansiniai rodikliai</w:t>
      </w:r>
    </w:p>
    <w:p w:rsidR="0037020C" w:rsidRPr="0037020C" w:rsidRDefault="00C72189" w:rsidP="00C72189">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Atliekant skaičiavimus naudojami sugrupuotų rodiklių reikšmės, kurių </w:t>
      </w:r>
      <w:r w:rsidR="008D6536">
        <w:rPr>
          <w:rFonts w:ascii="Times New Roman" w:hAnsi="Times New Roman" w:cs="Times New Roman"/>
          <w:sz w:val="24"/>
          <w:szCs w:val="24"/>
          <w:lang w:val="lt-LT"/>
        </w:rPr>
        <w:t xml:space="preserve">išskirstymo pagal </w:t>
      </w:r>
      <w:proofErr w:type="spellStart"/>
      <w:r w:rsidR="008D6536">
        <w:rPr>
          <w:rFonts w:ascii="Times New Roman" w:hAnsi="Times New Roman" w:cs="Times New Roman"/>
          <w:sz w:val="24"/>
          <w:szCs w:val="24"/>
          <w:lang w:val="lt-LT"/>
        </w:rPr>
        <w:t>kvartilės</w:t>
      </w:r>
      <w:proofErr w:type="spellEnd"/>
      <w:r w:rsidR="008D6536">
        <w:rPr>
          <w:rFonts w:ascii="Times New Roman" w:hAnsi="Times New Roman" w:cs="Times New Roman"/>
          <w:sz w:val="24"/>
          <w:szCs w:val="24"/>
          <w:lang w:val="lt-LT"/>
        </w:rPr>
        <w:t xml:space="preserve"> į grupės rezultatai pateikiami </w:t>
      </w:r>
      <w:r>
        <w:rPr>
          <w:rFonts w:ascii="Times New Roman" w:hAnsi="Times New Roman" w:cs="Times New Roman"/>
          <w:sz w:val="24"/>
          <w:szCs w:val="24"/>
        </w:rPr>
        <w:t>3</w:t>
      </w:r>
      <w:r w:rsidR="008D6536">
        <w:rPr>
          <w:rFonts w:ascii="Times New Roman" w:hAnsi="Times New Roman" w:cs="Times New Roman"/>
          <w:sz w:val="24"/>
          <w:szCs w:val="24"/>
          <w:lang w:val="lt-LT"/>
        </w:rPr>
        <w:t xml:space="preserve"> priede.</w:t>
      </w:r>
      <w:r>
        <w:rPr>
          <w:rFonts w:ascii="Times New Roman" w:hAnsi="Times New Roman" w:cs="Times New Roman"/>
          <w:sz w:val="24"/>
          <w:szCs w:val="24"/>
          <w:lang w:val="lt-LT"/>
        </w:rPr>
        <w:t xml:space="preserve"> </w:t>
      </w:r>
      <w:r w:rsidR="00EE7D53">
        <w:rPr>
          <w:rFonts w:ascii="Times New Roman" w:hAnsi="Times New Roman" w:cs="Times New Roman"/>
          <w:sz w:val="24"/>
          <w:szCs w:val="24"/>
          <w:lang w:val="lt-LT"/>
        </w:rPr>
        <w:t xml:space="preserve">Kaip jau minėta, 2013 m. finansiniai duomenys yra daliniai, nes kredito unijos finansinių ataskaitų už 2013 metus dar nėra paskelbę viešai. </w:t>
      </w:r>
      <w:r w:rsidR="00B041FD" w:rsidRPr="000D37F1">
        <w:rPr>
          <w:rFonts w:ascii="Times New Roman" w:hAnsi="Times New Roman" w:cs="Times New Roman"/>
          <w:sz w:val="24"/>
          <w:szCs w:val="24"/>
          <w:lang w:val="lt-LT"/>
        </w:rPr>
        <w:t>Tiems rodikliams, kurie dėl finansinių duomenų trūkumo, yra ska</w:t>
      </w:r>
      <w:r w:rsidR="00AF5FEF">
        <w:rPr>
          <w:rFonts w:ascii="Times New Roman" w:hAnsi="Times New Roman" w:cs="Times New Roman"/>
          <w:sz w:val="24"/>
          <w:szCs w:val="24"/>
          <w:lang w:val="lt-LT"/>
        </w:rPr>
        <w:t>ičiuojami tik pirmiesiems dviem</w:t>
      </w:r>
      <w:r w:rsidR="00B041FD" w:rsidRPr="000D37F1">
        <w:rPr>
          <w:rFonts w:ascii="Times New Roman" w:hAnsi="Times New Roman" w:cs="Times New Roman"/>
          <w:sz w:val="24"/>
          <w:szCs w:val="24"/>
          <w:lang w:val="lt-LT"/>
        </w:rPr>
        <w:t xml:space="preserve"> metams (2011 m. ir 2012 m.) taikomas </w:t>
      </w:r>
      <w:r w:rsidR="000F0F3A">
        <w:rPr>
          <w:rFonts w:ascii="Times New Roman" w:hAnsi="Times New Roman" w:cs="Times New Roman"/>
          <w:sz w:val="24"/>
          <w:szCs w:val="24"/>
          <w:lang w:val="lt-LT"/>
        </w:rPr>
        <w:t xml:space="preserve">dviejų priklausomų kintamųjų testas - </w:t>
      </w:r>
      <w:proofErr w:type="spellStart"/>
      <w:r w:rsidR="0037020C">
        <w:rPr>
          <w:rFonts w:ascii="Times New Roman" w:hAnsi="Times New Roman" w:cs="Times New Roman"/>
          <w:sz w:val="24"/>
          <w:szCs w:val="24"/>
          <w:lang w:val="lt-LT"/>
        </w:rPr>
        <w:t>Vilkoksono</w:t>
      </w:r>
      <w:proofErr w:type="spellEnd"/>
      <w:r w:rsidR="0037020C">
        <w:rPr>
          <w:rFonts w:ascii="Times New Roman" w:hAnsi="Times New Roman" w:cs="Times New Roman"/>
          <w:sz w:val="24"/>
          <w:szCs w:val="24"/>
          <w:lang w:val="lt-LT"/>
        </w:rPr>
        <w:t xml:space="preserve"> testas.</w:t>
      </w:r>
    </w:p>
    <w:p w:rsidR="000571A8" w:rsidRPr="00734657" w:rsidRDefault="008211A9" w:rsidP="00734657">
      <w:pPr>
        <w:pStyle w:val="Heading1"/>
        <w:jc w:val="center"/>
        <w:rPr>
          <w:rFonts w:ascii="Times New Roman" w:hAnsi="Times New Roman" w:cs="Times New Roman"/>
          <w:sz w:val="24"/>
          <w:szCs w:val="24"/>
        </w:rPr>
      </w:pPr>
      <w:bookmarkStart w:id="113" w:name="_Toc383784112"/>
      <w:bookmarkStart w:id="114" w:name="_Toc384567324"/>
      <w:bookmarkStart w:id="115" w:name="_Toc384570761"/>
      <w:r w:rsidRPr="00734657">
        <w:rPr>
          <w:rFonts w:ascii="Times New Roman" w:hAnsi="Times New Roman" w:cs="Times New Roman"/>
          <w:sz w:val="24"/>
          <w:szCs w:val="24"/>
        </w:rPr>
        <w:t xml:space="preserve">8 </w:t>
      </w:r>
      <w:r w:rsidR="006D1BCF" w:rsidRPr="00734657">
        <w:rPr>
          <w:rFonts w:ascii="Times New Roman" w:hAnsi="Times New Roman" w:cs="Times New Roman"/>
          <w:sz w:val="24"/>
          <w:szCs w:val="24"/>
        </w:rPr>
        <w:t>Lentelė. Vilkoksono testas finansiniams rodikliams (2011-2012 m.)</w:t>
      </w:r>
      <w:bookmarkEnd w:id="113"/>
      <w:bookmarkEnd w:id="114"/>
      <w:bookmarkEnd w:id="115"/>
    </w:p>
    <w:tbl>
      <w:tblPr>
        <w:tblW w:w="8468" w:type="dxa"/>
        <w:jc w:val="center"/>
        <w:tblInd w:w="93" w:type="dxa"/>
        <w:tblLook w:val="04A0" w:firstRow="1" w:lastRow="0" w:firstColumn="1" w:lastColumn="0" w:noHBand="0" w:noVBand="1"/>
      </w:tblPr>
      <w:tblGrid>
        <w:gridCol w:w="1096"/>
        <w:gridCol w:w="1882"/>
        <w:gridCol w:w="1800"/>
        <w:gridCol w:w="1890"/>
        <w:gridCol w:w="1800"/>
      </w:tblGrid>
      <w:tr w:rsidR="006D1BCF" w:rsidRPr="000D37F1" w:rsidTr="006D1BCF">
        <w:trPr>
          <w:trHeight w:val="300"/>
          <w:jc w:val="center"/>
        </w:trPr>
        <w:tc>
          <w:tcPr>
            <w:tcW w:w="10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p>
        </w:tc>
        <w:tc>
          <w:tcPr>
            <w:tcW w:w="18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GPG (2011-2012)</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BAS (2011-2012)</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GPPM (2011-2012)</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SAPS (2011-2012)</w:t>
            </w:r>
          </w:p>
        </w:tc>
      </w:tr>
      <w:tr w:rsidR="006D1BCF" w:rsidRPr="000D37F1" w:rsidTr="006D1BCF">
        <w:trPr>
          <w:trHeight w:val="300"/>
          <w:jc w:val="center"/>
        </w:trPr>
        <w:tc>
          <w:tcPr>
            <w:tcW w:w="1096" w:type="dxa"/>
            <w:vMerge/>
            <w:tcBorders>
              <w:top w:val="single" w:sz="4" w:space="0" w:color="auto"/>
              <w:left w:val="single" w:sz="4" w:space="0" w:color="auto"/>
              <w:bottom w:val="single" w:sz="4" w:space="0" w:color="000000"/>
              <w:right w:val="single" w:sz="4" w:space="0" w:color="auto"/>
            </w:tcBorders>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p>
        </w:tc>
      </w:tr>
      <w:tr w:rsidR="006D1BCF" w:rsidRPr="000D37F1" w:rsidTr="006D1BCF">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Z</w:t>
            </w:r>
          </w:p>
        </w:tc>
        <w:tc>
          <w:tcPr>
            <w:tcW w:w="1882" w:type="dxa"/>
            <w:tcBorders>
              <w:top w:val="nil"/>
              <w:left w:val="nil"/>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-0.6233</w:t>
            </w:r>
          </w:p>
        </w:tc>
        <w:tc>
          <w:tcPr>
            <w:tcW w:w="1800" w:type="dxa"/>
            <w:tcBorders>
              <w:top w:val="nil"/>
              <w:left w:val="nil"/>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-4.0448</w:t>
            </w:r>
          </w:p>
        </w:tc>
        <w:tc>
          <w:tcPr>
            <w:tcW w:w="1890" w:type="dxa"/>
            <w:tcBorders>
              <w:top w:val="nil"/>
              <w:left w:val="nil"/>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-4.1053</w:t>
            </w:r>
          </w:p>
        </w:tc>
        <w:tc>
          <w:tcPr>
            <w:tcW w:w="1800" w:type="dxa"/>
            <w:tcBorders>
              <w:top w:val="nil"/>
              <w:left w:val="nil"/>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-2.2690</w:t>
            </w:r>
          </w:p>
        </w:tc>
      </w:tr>
      <w:tr w:rsidR="006D1BCF" w:rsidRPr="000D37F1" w:rsidTr="006D1BCF">
        <w:trPr>
          <w:trHeight w:val="300"/>
          <w:jc w:val="center"/>
        </w:trPr>
        <w:tc>
          <w:tcPr>
            <w:tcW w:w="1096" w:type="dxa"/>
            <w:tcBorders>
              <w:top w:val="nil"/>
              <w:left w:val="single" w:sz="4" w:space="0" w:color="auto"/>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p reikšmė</w:t>
            </w:r>
          </w:p>
        </w:tc>
        <w:tc>
          <w:tcPr>
            <w:tcW w:w="1882" w:type="dxa"/>
            <w:tcBorders>
              <w:top w:val="nil"/>
              <w:left w:val="nil"/>
              <w:bottom w:val="single" w:sz="4" w:space="0" w:color="auto"/>
              <w:right w:val="single" w:sz="4" w:space="0" w:color="auto"/>
            </w:tcBorders>
            <w:shd w:val="clear" w:color="auto" w:fill="auto"/>
            <w:noWrap/>
            <w:vAlign w:val="bottom"/>
            <w:hideMark/>
          </w:tcPr>
          <w:p w:rsidR="006D1BCF" w:rsidRPr="009C579C" w:rsidRDefault="006D1BCF" w:rsidP="006D1BCF">
            <w:pPr>
              <w:spacing w:after="0" w:line="240" w:lineRule="auto"/>
              <w:jc w:val="right"/>
              <w:rPr>
                <w:rFonts w:ascii="Times New Roman" w:eastAsia="Times New Roman" w:hAnsi="Times New Roman" w:cs="Times New Roman"/>
                <w:b/>
                <w:color w:val="000000"/>
                <w:kern w:val="0"/>
                <w:sz w:val="20"/>
                <w:szCs w:val="20"/>
                <w:lang w:val="lt-LT"/>
              </w:rPr>
            </w:pPr>
            <w:r w:rsidRPr="009C579C">
              <w:rPr>
                <w:rFonts w:ascii="Times New Roman" w:eastAsia="Times New Roman" w:hAnsi="Times New Roman" w:cs="Times New Roman"/>
                <w:b/>
                <w:kern w:val="0"/>
                <w:sz w:val="20"/>
                <w:szCs w:val="20"/>
                <w:lang w:val="lt-LT"/>
              </w:rPr>
              <w:t>0.5331</w:t>
            </w:r>
          </w:p>
        </w:tc>
        <w:tc>
          <w:tcPr>
            <w:tcW w:w="1800" w:type="dxa"/>
            <w:tcBorders>
              <w:top w:val="nil"/>
              <w:left w:val="nil"/>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0.0001</w:t>
            </w:r>
          </w:p>
        </w:tc>
        <w:tc>
          <w:tcPr>
            <w:tcW w:w="1890" w:type="dxa"/>
            <w:tcBorders>
              <w:top w:val="nil"/>
              <w:left w:val="nil"/>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800" w:type="dxa"/>
            <w:tcBorders>
              <w:top w:val="nil"/>
              <w:left w:val="nil"/>
              <w:bottom w:val="single" w:sz="4" w:space="0" w:color="auto"/>
              <w:right w:val="single" w:sz="4" w:space="0" w:color="auto"/>
            </w:tcBorders>
            <w:shd w:val="clear" w:color="auto" w:fill="auto"/>
            <w:noWrap/>
            <w:vAlign w:val="bottom"/>
            <w:hideMark/>
          </w:tcPr>
          <w:p w:rsidR="006D1BCF" w:rsidRPr="000D37F1" w:rsidRDefault="006D1BCF" w:rsidP="006D1BCF">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0.0233</w:t>
            </w:r>
          </w:p>
        </w:tc>
      </w:tr>
    </w:tbl>
    <w:p w:rsidR="000571A8" w:rsidRPr="000D37F1" w:rsidRDefault="000571A8" w:rsidP="00520632">
      <w:pPr>
        <w:pStyle w:val="ListParagraph"/>
        <w:tabs>
          <w:tab w:val="left" w:pos="1978"/>
        </w:tabs>
        <w:spacing w:line="360" w:lineRule="auto"/>
        <w:rPr>
          <w:rFonts w:ascii="Times New Roman" w:hAnsi="Times New Roman" w:cs="Times New Roman"/>
          <w:sz w:val="24"/>
          <w:szCs w:val="24"/>
          <w:lang w:val="lt-LT"/>
        </w:rPr>
      </w:pPr>
    </w:p>
    <w:p w:rsidR="006D1BCF" w:rsidRPr="000D37F1" w:rsidRDefault="008211A9" w:rsidP="000F0F3A">
      <w:pPr>
        <w:pStyle w:val="ListParagraph"/>
        <w:tabs>
          <w:tab w:val="left" w:pos="1978"/>
        </w:tabs>
        <w:spacing w:line="360" w:lineRule="auto"/>
        <w:ind w:left="0"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Apskaičiavu</w:t>
      </w:r>
      <w:r w:rsidR="006D1BCF" w:rsidRPr="000D37F1">
        <w:rPr>
          <w:rFonts w:ascii="Times New Roman" w:hAnsi="Times New Roman" w:cs="Times New Roman"/>
          <w:sz w:val="24"/>
          <w:szCs w:val="24"/>
          <w:lang w:val="lt-LT"/>
        </w:rPr>
        <w:t xml:space="preserve">s Vilkoksono testą </w:t>
      </w:r>
      <w:r w:rsidR="00AF5FEF" w:rsidRPr="000D37F1">
        <w:rPr>
          <w:rFonts w:ascii="Times New Roman" w:hAnsi="Times New Roman" w:cs="Times New Roman"/>
          <w:sz w:val="24"/>
          <w:szCs w:val="24"/>
          <w:lang w:val="lt-LT"/>
        </w:rPr>
        <w:t>dviem</w:t>
      </w:r>
      <w:r w:rsidR="006D1BCF" w:rsidRPr="000D37F1">
        <w:rPr>
          <w:rFonts w:ascii="Times New Roman" w:hAnsi="Times New Roman" w:cs="Times New Roman"/>
          <w:sz w:val="24"/>
          <w:szCs w:val="24"/>
          <w:lang w:val="lt-LT"/>
        </w:rPr>
        <w:t xml:space="preserve"> priklausomoms imtims</w:t>
      </w:r>
      <w:r w:rsidR="000941FE">
        <w:rPr>
          <w:rFonts w:ascii="Times New Roman" w:hAnsi="Times New Roman" w:cs="Times New Roman"/>
          <w:sz w:val="24"/>
          <w:szCs w:val="24"/>
          <w:lang w:val="lt-LT"/>
        </w:rPr>
        <w:t xml:space="preserve"> (8 lentelė)</w:t>
      </w:r>
      <w:r w:rsidR="006D1BCF" w:rsidRPr="000D37F1">
        <w:rPr>
          <w:rFonts w:ascii="Times New Roman" w:hAnsi="Times New Roman" w:cs="Times New Roman"/>
          <w:sz w:val="24"/>
          <w:szCs w:val="24"/>
          <w:lang w:val="lt-LT"/>
        </w:rPr>
        <w:t>, matome, kad p&gt;0,05 (</w:t>
      </w:r>
      <w:r w:rsidR="006D1BCF" w:rsidRPr="0080298C">
        <w:rPr>
          <w:rFonts w:ascii="Times New Roman" w:hAnsi="Times New Roman" w:cs="Times New Roman"/>
          <w:i/>
          <w:sz w:val="24"/>
          <w:szCs w:val="24"/>
          <w:lang w:val="lt-LT"/>
        </w:rPr>
        <w:t>p=0.5331</w:t>
      </w:r>
      <w:r w:rsidR="006D1BCF" w:rsidRPr="000D37F1">
        <w:rPr>
          <w:rFonts w:ascii="Times New Roman" w:hAnsi="Times New Roman" w:cs="Times New Roman"/>
          <w:sz w:val="24"/>
          <w:szCs w:val="24"/>
          <w:lang w:val="lt-LT"/>
        </w:rPr>
        <w:t xml:space="preserve">), todėl grynojo pelno grąža  pagal 2011-2012 metų duomenis statistiškai reikšmingai nesiskiria. Bendrųjų ir administracinių sąnaudų dalis (BAS), grynųjų palūkanų pajamų marža (GPPM) bei specialiųjų atidėjinių ir paskolų santykis (SAPS) </w:t>
      </w:r>
      <w:r w:rsidR="00B041FD" w:rsidRPr="000D37F1">
        <w:rPr>
          <w:rFonts w:ascii="Times New Roman" w:hAnsi="Times New Roman" w:cs="Times New Roman"/>
          <w:sz w:val="24"/>
          <w:szCs w:val="24"/>
          <w:lang w:val="lt-LT"/>
        </w:rPr>
        <w:t>skaičiuojant pagal</w:t>
      </w:r>
      <w:r w:rsidR="006D1BCF" w:rsidRPr="000D37F1">
        <w:rPr>
          <w:rFonts w:ascii="Times New Roman" w:hAnsi="Times New Roman" w:cs="Times New Roman"/>
          <w:sz w:val="24"/>
          <w:szCs w:val="24"/>
          <w:lang w:val="lt-LT"/>
        </w:rPr>
        <w:t xml:space="preserve"> 2011-2012</w:t>
      </w:r>
      <w:r w:rsidR="00B041FD" w:rsidRPr="000D37F1">
        <w:rPr>
          <w:rFonts w:ascii="Times New Roman" w:hAnsi="Times New Roman" w:cs="Times New Roman"/>
          <w:sz w:val="24"/>
          <w:szCs w:val="24"/>
          <w:lang w:val="lt-LT"/>
        </w:rPr>
        <w:t xml:space="preserve"> metų duomenis statistiškai reikšmingai skiriasi.</w:t>
      </w:r>
    </w:p>
    <w:p w:rsidR="008211A9" w:rsidRPr="000D37F1" w:rsidRDefault="000F0F3A" w:rsidP="000F0F3A">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Kit</w:t>
      </w:r>
      <w:r w:rsidR="00354B3C">
        <w:rPr>
          <w:rFonts w:ascii="Times New Roman" w:hAnsi="Times New Roman" w:cs="Times New Roman"/>
          <w:sz w:val="24"/>
          <w:szCs w:val="24"/>
          <w:lang w:val="lt-LT"/>
        </w:rPr>
        <w:t>ų rodiklių skirtum</w:t>
      </w:r>
      <w:r w:rsidR="0098321C">
        <w:rPr>
          <w:rFonts w:ascii="Times New Roman" w:hAnsi="Times New Roman" w:cs="Times New Roman"/>
          <w:sz w:val="24"/>
          <w:szCs w:val="24"/>
          <w:lang w:val="lt-LT"/>
        </w:rPr>
        <w:t>o</w:t>
      </w:r>
      <w:r w:rsidR="00153314">
        <w:rPr>
          <w:rFonts w:ascii="Times New Roman" w:hAnsi="Times New Roman" w:cs="Times New Roman"/>
          <w:sz w:val="24"/>
          <w:szCs w:val="24"/>
          <w:lang w:val="lt-LT"/>
        </w:rPr>
        <w:t xml:space="preserve"> skirtingais metais</w:t>
      </w:r>
      <w:r w:rsidR="0098321C">
        <w:rPr>
          <w:rFonts w:ascii="Times New Roman" w:hAnsi="Times New Roman" w:cs="Times New Roman"/>
          <w:sz w:val="24"/>
          <w:szCs w:val="24"/>
          <w:lang w:val="lt-LT"/>
        </w:rPr>
        <w:t xml:space="preserve"> reikšmingumas nustatomas</w:t>
      </w:r>
      <w:r w:rsidR="00153314">
        <w:rPr>
          <w:rFonts w:ascii="Times New Roman" w:hAnsi="Times New Roman" w:cs="Times New Roman"/>
          <w:sz w:val="24"/>
          <w:szCs w:val="24"/>
          <w:lang w:val="lt-LT"/>
        </w:rPr>
        <w:t xml:space="preserve"> Frydmano testo pagalba. Šis testas ta</w:t>
      </w:r>
      <w:r w:rsidR="007A67C2">
        <w:rPr>
          <w:rFonts w:ascii="Times New Roman" w:hAnsi="Times New Roman" w:cs="Times New Roman"/>
          <w:sz w:val="24"/>
          <w:szCs w:val="24"/>
          <w:lang w:val="lt-LT"/>
        </w:rPr>
        <w:t>ikomas</w:t>
      </w:r>
      <w:r w:rsidR="008823C3">
        <w:rPr>
          <w:rFonts w:ascii="Times New Roman" w:hAnsi="Times New Roman" w:cs="Times New Roman"/>
          <w:sz w:val="24"/>
          <w:szCs w:val="24"/>
          <w:lang w:val="lt-LT"/>
        </w:rPr>
        <w:t xml:space="preserve"> kai</w:t>
      </w:r>
      <w:r w:rsidR="008211A9" w:rsidRPr="000D37F1">
        <w:rPr>
          <w:rFonts w:ascii="Times New Roman" w:hAnsi="Times New Roman" w:cs="Times New Roman"/>
          <w:sz w:val="24"/>
          <w:szCs w:val="24"/>
          <w:lang w:val="lt-LT"/>
        </w:rPr>
        <w:t xml:space="preserve"> rodikliai sugrupuoti</w:t>
      </w:r>
      <w:r w:rsidR="008823C3">
        <w:rPr>
          <w:rFonts w:ascii="Times New Roman" w:hAnsi="Times New Roman" w:cs="Times New Roman"/>
          <w:sz w:val="24"/>
          <w:szCs w:val="24"/>
          <w:lang w:val="lt-LT"/>
        </w:rPr>
        <w:t>, priklausomi</w:t>
      </w:r>
      <w:r w:rsidR="008211A9" w:rsidRPr="000D37F1">
        <w:rPr>
          <w:rFonts w:ascii="Times New Roman" w:hAnsi="Times New Roman" w:cs="Times New Roman"/>
          <w:sz w:val="24"/>
          <w:szCs w:val="24"/>
          <w:lang w:val="lt-LT"/>
        </w:rPr>
        <w:t xml:space="preserve"> ir kintamųjų skaičius</w:t>
      </w:r>
      <w:r w:rsidR="008823C3">
        <w:rPr>
          <w:rFonts w:ascii="Times New Roman" w:hAnsi="Times New Roman" w:cs="Times New Roman"/>
          <w:sz w:val="24"/>
          <w:szCs w:val="24"/>
          <w:lang w:val="lt-LT"/>
        </w:rPr>
        <w:t xml:space="preserve"> yra didesnis nei 2 kintamieji. </w:t>
      </w:r>
      <w:r w:rsidR="008211A9" w:rsidRPr="000D37F1">
        <w:rPr>
          <w:rFonts w:ascii="Times New Roman" w:hAnsi="Times New Roman" w:cs="Times New Roman"/>
          <w:sz w:val="24"/>
          <w:szCs w:val="24"/>
          <w:lang w:val="lt-LT"/>
        </w:rPr>
        <w:t>Frydmano kriterijus skirtas hipotezei apie k kintamųjų skirstinių lygybę tikrinti, kai imtys yra priklausomos. Šio tyrimo atveju  priklausomos imtys tų pačių kredito unijų pakartotiniai matavimai (rodiklių įverčiai skirtingais metais).</w:t>
      </w:r>
    </w:p>
    <w:p w:rsidR="00D8016D" w:rsidRPr="00734657" w:rsidRDefault="008211A9" w:rsidP="00734657">
      <w:pPr>
        <w:pStyle w:val="Heading1"/>
        <w:jc w:val="center"/>
        <w:rPr>
          <w:rFonts w:ascii="Times New Roman" w:hAnsi="Times New Roman" w:cs="Times New Roman"/>
          <w:sz w:val="24"/>
          <w:szCs w:val="24"/>
        </w:rPr>
      </w:pPr>
      <w:bookmarkStart w:id="116" w:name="_Toc383784113"/>
      <w:bookmarkStart w:id="117" w:name="_Toc384567325"/>
      <w:bookmarkStart w:id="118" w:name="_Toc384570762"/>
      <w:r w:rsidRPr="00734657">
        <w:rPr>
          <w:rFonts w:ascii="Times New Roman" w:hAnsi="Times New Roman" w:cs="Times New Roman"/>
          <w:sz w:val="24"/>
          <w:szCs w:val="24"/>
        </w:rPr>
        <w:lastRenderedPageBreak/>
        <w:t xml:space="preserve">9 </w:t>
      </w:r>
      <w:r w:rsidR="00D8016D" w:rsidRPr="00734657">
        <w:rPr>
          <w:rFonts w:ascii="Times New Roman" w:hAnsi="Times New Roman" w:cs="Times New Roman"/>
          <w:sz w:val="24"/>
          <w:szCs w:val="24"/>
        </w:rPr>
        <w:t>Lentelė. Frydmano testas finansiniams rodikliams (2011-2013 m.)</w:t>
      </w:r>
      <w:bookmarkEnd w:id="116"/>
      <w:bookmarkEnd w:id="117"/>
      <w:bookmarkEnd w:id="118"/>
    </w:p>
    <w:tbl>
      <w:tblPr>
        <w:tblW w:w="9695" w:type="dxa"/>
        <w:jc w:val="center"/>
        <w:tblInd w:w="738" w:type="dxa"/>
        <w:tblLook w:val="04A0" w:firstRow="1" w:lastRow="0" w:firstColumn="1" w:lastColumn="0" w:noHBand="0" w:noVBand="1"/>
      </w:tblPr>
      <w:tblGrid>
        <w:gridCol w:w="1440"/>
        <w:gridCol w:w="1155"/>
        <w:gridCol w:w="960"/>
        <w:gridCol w:w="1340"/>
        <w:gridCol w:w="960"/>
        <w:gridCol w:w="960"/>
        <w:gridCol w:w="960"/>
        <w:gridCol w:w="960"/>
        <w:gridCol w:w="960"/>
      </w:tblGrid>
      <w:tr w:rsidR="009F6A66" w:rsidRPr="000D37F1" w:rsidTr="00C74C32">
        <w:trPr>
          <w:trHeight w:val="30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 </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ROA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ROE</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AKT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LIKV</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KP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PI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VPT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F6A66" w:rsidRPr="000D37F1" w:rsidRDefault="009F6A66" w:rsidP="009F6A66">
            <w:pPr>
              <w:spacing w:after="0" w:line="240" w:lineRule="auto"/>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IVPT</w:t>
            </w:r>
          </w:p>
        </w:tc>
      </w:tr>
      <w:tr w:rsidR="009F6A66" w:rsidRPr="000D37F1" w:rsidTr="00C74C32">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9F6A66" w:rsidRPr="000D37F1" w:rsidRDefault="00F20243" w:rsidP="009F6A66">
            <w:pPr>
              <w:spacing w:after="0" w:line="240" w:lineRule="auto"/>
              <w:rPr>
                <w:rFonts w:ascii="Times New Roman" w:eastAsia="Times New Roman" w:hAnsi="Times New Roman" w:cs="Times New Roman"/>
                <w:color w:val="000000"/>
                <w:kern w:val="0"/>
                <w:sz w:val="20"/>
                <w:szCs w:val="20"/>
                <w:lang w:val="lt-LT"/>
              </w:rPr>
            </w:pPr>
            <m:oMathPara>
              <m:oMathParaPr>
                <m:jc m:val="left"/>
              </m:oMathParaPr>
              <m:oMath>
                <m:sSup>
                  <m:sSupPr>
                    <m:ctrlPr>
                      <w:rPr>
                        <w:rFonts w:ascii="Cambria Math" w:hAnsi="Cambria Math" w:cs="Times New Roman"/>
                        <w:i/>
                        <w:sz w:val="20"/>
                        <w:szCs w:val="20"/>
                        <w:lang w:val="lt-LT"/>
                      </w:rPr>
                    </m:ctrlPr>
                  </m:sSupPr>
                  <m:e>
                    <m:r>
                      <w:rPr>
                        <w:rFonts w:ascii="Cambria Math" w:hAnsi="Cambria Math" w:cs="Times New Roman"/>
                        <w:sz w:val="20"/>
                        <w:szCs w:val="20"/>
                        <w:lang w:val="lt-LT"/>
                      </w:rPr>
                      <m:t>χ</m:t>
                    </m:r>
                  </m:e>
                  <m:sup>
                    <m:r>
                      <w:rPr>
                        <w:rFonts w:ascii="Cambria Math" w:hAnsi="Cambria Math" w:cs="Times New Roman"/>
                        <w:sz w:val="20"/>
                        <w:szCs w:val="20"/>
                        <w:lang w:val="lt-LT"/>
                      </w:rPr>
                      <m:t>2</m:t>
                    </m:r>
                  </m:sup>
                </m:sSup>
              </m:oMath>
            </m:oMathPara>
          </w:p>
        </w:tc>
        <w:tc>
          <w:tcPr>
            <w:tcW w:w="1155"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9.2571</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2.1714</w:t>
            </w:r>
          </w:p>
        </w:tc>
        <w:tc>
          <w:tcPr>
            <w:tcW w:w="134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65.1714</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12.1916</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3.1938</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5.2286</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80.6000</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10.9137</w:t>
            </w:r>
          </w:p>
        </w:tc>
      </w:tr>
      <w:tr w:rsidR="009F6A66" w:rsidRPr="000D37F1" w:rsidTr="00C74C32">
        <w:trPr>
          <w:trHeight w:val="300"/>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Laisvės laipsniai</w:t>
            </w:r>
          </w:p>
        </w:tc>
        <w:tc>
          <w:tcPr>
            <w:tcW w:w="1155"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134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w:t>
            </w:r>
          </w:p>
        </w:tc>
      </w:tr>
      <w:tr w:rsidR="009F6A66" w:rsidRPr="000D37F1" w:rsidTr="008823C3">
        <w:trPr>
          <w:trHeight w:val="436"/>
          <w:jc w:val="center"/>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p reikšmė</w:t>
            </w:r>
          </w:p>
        </w:tc>
        <w:tc>
          <w:tcPr>
            <w:tcW w:w="1155"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0.0098</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9C579C" w:rsidRDefault="009F6A66" w:rsidP="009F6A66">
            <w:pPr>
              <w:spacing w:after="0" w:line="240" w:lineRule="auto"/>
              <w:jc w:val="right"/>
              <w:rPr>
                <w:rFonts w:ascii="Times New Roman" w:eastAsia="Times New Roman" w:hAnsi="Times New Roman" w:cs="Times New Roman"/>
                <w:b/>
                <w:color w:val="000000"/>
                <w:kern w:val="0"/>
                <w:sz w:val="20"/>
                <w:szCs w:val="20"/>
                <w:lang w:val="lt-LT"/>
              </w:rPr>
            </w:pPr>
            <w:r w:rsidRPr="009C579C">
              <w:rPr>
                <w:rFonts w:ascii="Times New Roman" w:eastAsia="Times New Roman" w:hAnsi="Times New Roman" w:cs="Times New Roman"/>
                <w:b/>
                <w:kern w:val="0"/>
                <w:sz w:val="20"/>
                <w:szCs w:val="20"/>
                <w:lang w:val="lt-LT"/>
              </w:rPr>
              <w:t>0.3377</w:t>
            </w:r>
          </w:p>
        </w:tc>
        <w:tc>
          <w:tcPr>
            <w:tcW w:w="134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0.0023</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9C579C" w:rsidRDefault="009F6A66" w:rsidP="009F6A66">
            <w:pPr>
              <w:spacing w:after="0" w:line="240" w:lineRule="auto"/>
              <w:jc w:val="right"/>
              <w:rPr>
                <w:rFonts w:ascii="Times New Roman" w:eastAsia="Times New Roman" w:hAnsi="Times New Roman" w:cs="Times New Roman"/>
                <w:b/>
                <w:kern w:val="0"/>
                <w:sz w:val="20"/>
                <w:szCs w:val="20"/>
                <w:lang w:val="lt-LT"/>
              </w:rPr>
            </w:pPr>
            <w:r w:rsidRPr="009C579C">
              <w:rPr>
                <w:rFonts w:ascii="Times New Roman" w:eastAsia="Times New Roman" w:hAnsi="Times New Roman" w:cs="Times New Roman"/>
                <w:b/>
                <w:kern w:val="0"/>
                <w:sz w:val="20"/>
                <w:szCs w:val="20"/>
                <w:lang w:val="lt-LT"/>
              </w:rPr>
              <w:t>0.2025</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9C579C" w:rsidRDefault="009F6A66" w:rsidP="009F6A66">
            <w:pPr>
              <w:spacing w:after="0" w:line="240" w:lineRule="auto"/>
              <w:jc w:val="right"/>
              <w:rPr>
                <w:rFonts w:ascii="Times New Roman" w:eastAsia="Times New Roman" w:hAnsi="Times New Roman" w:cs="Times New Roman"/>
                <w:b/>
                <w:kern w:val="0"/>
                <w:sz w:val="20"/>
                <w:szCs w:val="20"/>
                <w:lang w:val="lt-LT"/>
              </w:rPr>
            </w:pPr>
            <w:r w:rsidRPr="009C579C">
              <w:rPr>
                <w:rFonts w:ascii="Times New Roman" w:eastAsia="Times New Roman" w:hAnsi="Times New Roman" w:cs="Times New Roman"/>
                <w:b/>
                <w:kern w:val="0"/>
                <w:sz w:val="20"/>
                <w:szCs w:val="20"/>
                <w:lang w:val="lt-LT"/>
              </w:rPr>
              <w:t>0.0732</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960" w:type="dxa"/>
            <w:tcBorders>
              <w:top w:val="nil"/>
              <w:left w:val="nil"/>
              <w:bottom w:val="single" w:sz="4" w:space="0" w:color="auto"/>
              <w:right w:val="single" w:sz="4" w:space="0" w:color="auto"/>
            </w:tcBorders>
            <w:shd w:val="clear" w:color="auto" w:fill="auto"/>
            <w:noWrap/>
            <w:vAlign w:val="bottom"/>
            <w:hideMark/>
          </w:tcPr>
          <w:p w:rsidR="009F6A66" w:rsidRPr="000D37F1" w:rsidRDefault="009F6A66" w:rsidP="009F6A66">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0.0043</w:t>
            </w:r>
          </w:p>
        </w:tc>
      </w:tr>
    </w:tbl>
    <w:p w:rsidR="000941FE" w:rsidRDefault="000941FE" w:rsidP="000941FE">
      <w:pPr>
        <w:spacing w:line="360" w:lineRule="auto"/>
        <w:jc w:val="both"/>
        <w:rPr>
          <w:rFonts w:ascii="Times New Roman" w:hAnsi="Times New Roman" w:cs="Times New Roman"/>
          <w:sz w:val="24"/>
          <w:szCs w:val="24"/>
        </w:rPr>
      </w:pPr>
    </w:p>
    <w:p w:rsidR="00955C7F" w:rsidRDefault="000260B4" w:rsidP="000941FE">
      <w:pPr>
        <w:spacing w:line="360" w:lineRule="auto"/>
        <w:ind w:firstLine="720"/>
        <w:jc w:val="both"/>
        <w:rPr>
          <w:rFonts w:ascii="Times New Roman" w:hAnsi="Times New Roman" w:cs="Times New Roman"/>
          <w:sz w:val="24"/>
          <w:szCs w:val="24"/>
          <w:lang w:val="lt-LT"/>
        </w:rPr>
      </w:pPr>
      <w:r w:rsidRPr="000D37F1">
        <w:rPr>
          <w:rFonts w:ascii="Times New Roman" w:hAnsi="Times New Roman" w:cs="Times New Roman"/>
          <w:sz w:val="24"/>
          <w:szCs w:val="24"/>
          <w:lang w:val="lt-LT"/>
        </w:rPr>
        <w:t>Taigi pagal aukščiau pateiktos lentelės duomenis matome, jog atlikus Frydmano testą, kuris skirtas trijų ir daugiau priklausomų imčių palyginimui, s</w:t>
      </w:r>
      <w:r w:rsidR="00FF6AB7" w:rsidRPr="000D37F1">
        <w:rPr>
          <w:rFonts w:ascii="Times New Roman" w:hAnsi="Times New Roman" w:cs="Times New Roman"/>
          <w:sz w:val="24"/>
          <w:szCs w:val="24"/>
          <w:lang w:val="lt-LT"/>
        </w:rPr>
        <w:t>tatistiškai</w:t>
      </w:r>
      <w:r w:rsidR="00EE7D53">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reikšmingas skirtumas yra </w:t>
      </w:r>
      <w:r w:rsidR="00FF6AB7" w:rsidRPr="000D37F1">
        <w:rPr>
          <w:rFonts w:ascii="Times New Roman" w:hAnsi="Times New Roman" w:cs="Times New Roman"/>
          <w:sz w:val="24"/>
          <w:szCs w:val="24"/>
          <w:lang w:val="lt-LT"/>
        </w:rPr>
        <w:t xml:space="preserve">tarp </w:t>
      </w:r>
      <w:r w:rsidRPr="000D37F1">
        <w:rPr>
          <w:rFonts w:ascii="Times New Roman" w:hAnsi="Times New Roman" w:cs="Times New Roman"/>
          <w:sz w:val="24"/>
          <w:szCs w:val="24"/>
          <w:lang w:val="lt-LT"/>
        </w:rPr>
        <w:t>šių rodiklių: turto grąža (ROA), apyvartinio kapitalo ir turto santykio (A</w:t>
      </w:r>
      <w:r w:rsidR="006D1212" w:rsidRPr="000D37F1">
        <w:rPr>
          <w:rFonts w:ascii="Times New Roman" w:hAnsi="Times New Roman" w:cs="Times New Roman"/>
          <w:sz w:val="24"/>
          <w:szCs w:val="24"/>
          <w:lang w:val="lt-LT"/>
        </w:rPr>
        <w:t>KT), likvidumo rodiklio (LIKV), veiklos pajamų ir turto santykis (VPT) bei</w:t>
      </w:r>
      <w:r w:rsidR="008211A9" w:rsidRPr="000D37F1">
        <w:rPr>
          <w:rFonts w:ascii="Times New Roman" w:hAnsi="Times New Roman" w:cs="Times New Roman"/>
          <w:sz w:val="24"/>
          <w:szCs w:val="24"/>
          <w:lang w:val="lt-LT"/>
        </w:rPr>
        <w:t xml:space="preserve"> investicijų į vertybinius popi</w:t>
      </w:r>
      <w:r w:rsidR="006D1212" w:rsidRPr="000D37F1">
        <w:rPr>
          <w:rFonts w:ascii="Times New Roman" w:hAnsi="Times New Roman" w:cs="Times New Roman"/>
          <w:sz w:val="24"/>
          <w:szCs w:val="24"/>
          <w:lang w:val="lt-LT"/>
        </w:rPr>
        <w:t>erius ir turto santykis (IVPT).</w:t>
      </w:r>
      <w:r w:rsidR="008211A9" w:rsidRPr="000D37F1">
        <w:rPr>
          <w:rFonts w:ascii="Times New Roman" w:hAnsi="Times New Roman" w:cs="Times New Roman"/>
          <w:sz w:val="24"/>
          <w:szCs w:val="24"/>
          <w:lang w:val="lt-LT"/>
        </w:rPr>
        <w:t xml:space="preserve"> Reikšmingo skirtumo nėra tarp kapitalo grąžos (ROE), kapitalo pakankamumo (KP) bei paskolų ir indėlių santykio (PI) rodiklių.</w:t>
      </w:r>
      <w:r w:rsidR="00955ACC">
        <w:rPr>
          <w:rFonts w:ascii="Times New Roman" w:hAnsi="Times New Roman" w:cs="Times New Roman"/>
          <w:sz w:val="24"/>
          <w:szCs w:val="24"/>
          <w:lang w:val="lt-LT"/>
        </w:rPr>
        <w:t xml:space="preserve"> Visi rodikliai, kurių skirtumas yra statistiškai reikšmingas, į modelį įtraukiami kaip nuo laiko priklausantys kintamieji. </w:t>
      </w:r>
      <w:r w:rsidR="008211A9" w:rsidRPr="000D37F1">
        <w:rPr>
          <w:rFonts w:ascii="Times New Roman" w:hAnsi="Times New Roman" w:cs="Times New Roman"/>
          <w:sz w:val="24"/>
          <w:szCs w:val="24"/>
          <w:lang w:val="lt-LT"/>
        </w:rPr>
        <w:t>Tyrime naudojami vidurkiai tų rodiklių, kurie statistiškai reikšmingai nesiskiria lyginant juos skirtingais metais</w:t>
      </w:r>
      <w:r w:rsidR="00955ACC">
        <w:rPr>
          <w:rFonts w:ascii="Times New Roman" w:hAnsi="Times New Roman" w:cs="Times New Roman"/>
          <w:sz w:val="24"/>
          <w:szCs w:val="24"/>
          <w:lang w:val="lt-LT"/>
        </w:rPr>
        <w:t>.</w:t>
      </w:r>
    </w:p>
    <w:p w:rsidR="00CC7456" w:rsidRPr="000D37F1" w:rsidRDefault="007C4BCF" w:rsidP="000941FE">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Apibendrinant šį poskyrį, galime teigti, jog didžiausios intensyvumo funkcijos reikšmės pasiektos </w:t>
      </w:r>
      <w:r>
        <w:rPr>
          <w:rFonts w:ascii="Times New Roman" w:hAnsi="Times New Roman" w:cs="Times New Roman"/>
          <w:sz w:val="24"/>
          <w:szCs w:val="24"/>
        </w:rPr>
        <w:t xml:space="preserve">2011 </w:t>
      </w:r>
      <w:proofErr w:type="spellStart"/>
      <w:r>
        <w:rPr>
          <w:rFonts w:ascii="Times New Roman" w:hAnsi="Times New Roman" w:cs="Times New Roman"/>
          <w:sz w:val="24"/>
          <w:szCs w:val="24"/>
        </w:rPr>
        <w:t>metais</w:t>
      </w:r>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 xml:space="preserve">poveikio priemonės taikytos </w:t>
      </w:r>
      <w:r>
        <w:rPr>
          <w:rFonts w:ascii="Times New Roman" w:hAnsi="Times New Roman" w:cs="Times New Roman"/>
          <w:sz w:val="24"/>
          <w:szCs w:val="24"/>
        </w:rPr>
        <w:t xml:space="preserve">11 </w:t>
      </w:r>
      <w:proofErr w:type="spellStart"/>
      <w:r>
        <w:rPr>
          <w:rFonts w:ascii="Times New Roman" w:hAnsi="Times New Roman" w:cs="Times New Roman"/>
          <w:sz w:val="24"/>
          <w:szCs w:val="24"/>
        </w:rPr>
        <w:t>kredito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unijoms</w:t>
      </w:r>
      <w:proofErr w:type="spellEnd"/>
      <w:r>
        <w:rPr>
          <w:rFonts w:ascii="Times New Roman" w:hAnsi="Times New Roman" w:cs="Times New Roman"/>
          <w:sz w:val="24"/>
          <w:szCs w:val="24"/>
        </w:rPr>
        <w:t xml:space="preserve">. </w:t>
      </w:r>
      <w:r w:rsidR="00CC7456">
        <w:rPr>
          <w:rFonts w:ascii="Times New Roman" w:hAnsi="Times New Roman" w:cs="Times New Roman"/>
          <w:sz w:val="24"/>
          <w:szCs w:val="24"/>
          <w:lang w:val="lt-LT"/>
        </w:rPr>
        <w:t xml:space="preserve">Atlikus skirtumams tarp rodiklių nustatyti skirtus testus, nustatyta, jog į </w:t>
      </w:r>
      <w:proofErr w:type="spellStart"/>
      <w:r w:rsidR="00CC7456">
        <w:rPr>
          <w:rFonts w:ascii="Times New Roman" w:hAnsi="Times New Roman" w:cs="Times New Roman"/>
          <w:sz w:val="24"/>
          <w:szCs w:val="24"/>
          <w:lang w:val="lt-LT"/>
        </w:rPr>
        <w:t>statistiškai</w:t>
      </w:r>
      <w:proofErr w:type="spellEnd"/>
      <w:r w:rsidR="00CC7456">
        <w:rPr>
          <w:rFonts w:ascii="Times New Roman" w:hAnsi="Times New Roman" w:cs="Times New Roman"/>
          <w:sz w:val="24"/>
          <w:szCs w:val="24"/>
          <w:lang w:val="lt-LT"/>
        </w:rPr>
        <w:t xml:space="preserve"> reikšmingai skiriasi visi nefinansiniai kriterijai: veiklos vieta, tru</w:t>
      </w:r>
      <w:r>
        <w:rPr>
          <w:rFonts w:ascii="Times New Roman" w:hAnsi="Times New Roman" w:cs="Times New Roman"/>
          <w:sz w:val="24"/>
          <w:szCs w:val="24"/>
          <w:lang w:val="lt-LT"/>
        </w:rPr>
        <w:t xml:space="preserve">kmė bei priklausymas Centrinės kredito unijos tinklui. </w:t>
      </w:r>
      <w:r w:rsidRPr="000D37F1">
        <w:rPr>
          <w:rFonts w:ascii="Times New Roman" w:hAnsi="Times New Roman" w:cs="Times New Roman"/>
          <w:sz w:val="24"/>
          <w:szCs w:val="24"/>
          <w:lang w:val="lt-LT"/>
        </w:rPr>
        <w:t>Reikšmingo skirtumo nėra tarp kapitalo grąžos (ROE), kapitalo pakankamumo (KP) bei paskolų ir</w:t>
      </w:r>
      <w:r>
        <w:rPr>
          <w:rFonts w:ascii="Times New Roman" w:hAnsi="Times New Roman" w:cs="Times New Roman"/>
          <w:sz w:val="24"/>
          <w:szCs w:val="24"/>
          <w:lang w:val="lt-LT"/>
        </w:rPr>
        <w:t xml:space="preserve"> indėlių santykio (PI) ir grynojo pelno grąžos rodiklių.</w:t>
      </w:r>
    </w:p>
    <w:p w:rsidR="00955C7F" w:rsidRPr="00450C32" w:rsidRDefault="00EE7D53" w:rsidP="00DA7D88">
      <w:pPr>
        <w:pStyle w:val="Heading2"/>
        <w:numPr>
          <w:ilvl w:val="1"/>
          <w:numId w:val="6"/>
        </w:numPr>
        <w:jc w:val="center"/>
        <w:rPr>
          <w:rFonts w:ascii="Times New Roman" w:hAnsi="Times New Roman" w:cs="Times New Roman"/>
          <w:color w:val="auto"/>
          <w:sz w:val="24"/>
          <w:szCs w:val="24"/>
          <w:lang w:val="lt-LT"/>
        </w:rPr>
      </w:pPr>
      <w:bookmarkStart w:id="119" w:name="_Toc383782878"/>
      <w:bookmarkStart w:id="120" w:name="_Toc384567326"/>
      <w:bookmarkStart w:id="121" w:name="_Toc384570763"/>
      <w:r w:rsidRPr="00450C32">
        <w:rPr>
          <w:rFonts w:ascii="Times New Roman" w:hAnsi="Times New Roman" w:cs="Times New Roman"/>
          <w:color w:val="auto"/>
          <w:sz w:val="24"/>
          <w:szCs w:val="24"/>
          <w:lang w:val="lt-LT"/>
        </w:rPr>
        <w:t>KOKSO PROPORCINGOSIOS RIZIKOS MODELIS</w:t>
      </w:r>
      <w:bookmarkEnd w:id="119"/>
      <w:bookmarkEnd w:id="120"/>
      <w:bookmarkEnd w:id="121"/>
    </w:p>
    <w:p w:rsidR="00450C32" w:rsidRPr="000941FE" w:rsidRDefault="00450C32" w:rsidP="000941FE">
      <w:pPr>
        <w:spacing w:line="360" w:lineRule="auto"/>
        <w:rPr>
          <w:rFonts w:ascii="Times New Roman" w:hAnsi="Times New Roman" w:cs="Times New Roman"/>
          <w:b/>
          <w:sz w:val="28"/>
          <w:szCs w:val="28"/>
          <w:lang w:val="lt-LT"/>
        </w:rPr>
      </w:pPr>
    </w:p>
    <w:p w:rsidR="00AC3C04" w:rsidRDefault="00EE7D53" w:rsidP="0037020C">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Vienas iš svarbiausių uždavinių taikant Kokso proporcingosios rizikos modelį – nustatyti, ar tam tikri kintamieji priklauso nuo išlikimo laiko. Šį kriterijų modeliuoja Kokso proporcingosios rizikos modelis.</w:t>
      </w:r>
      <w:r w:rsidR="0037020C">
        <w:rPr>
          <w:rFonts w:ascii="Times New Roman" w:hAnsi="Times New Roman" w:cs="Times New Roman"/>
          <w:sz w:val="24"/>
          <w:szCs w:val="24"/>
          <w:lang w:val="lt-LT"/>
        </w:rPr>
        <w:t xml:space="preserve"> </w:t>
      </w:r>
      <w:r w:rsidR="007F0E1F">
        <w:rPr>
          <w:rFonts w:ascii="Times New Roman" w:hAnsi="Times New Roman" w:cs="Times New Roman"/>
          <w:sz w:val="24"/>
          <w:szCs w:val="24"/>
          <w:lang w:val="lt-LT"/>
        </w:rPr>
        <w:t>Parengtą Kokso proporcingosios rizikos modelį nesudėtinga interpretuoti ir taikyti praktikoje</w:t>
      </w:r>
      <w:r w:rsidR="00CE7121">
        <w:rPr>
          <w:rFonts w:ascii="Times New Roman" w:hAnsi="Times New Roman" w:cs="Times New Roman"/>
          <w:sz w:val="24"/>
          <w:szCs w:val="24"/>
          <w:lang w:val="lt-LT"/>
        </w:rPr>
        <w:t>. Vertinant atskiros kredito unijos rizikingumą galima rodiklio reikšmę palyginti su visos sistemos rodiklio reikšme ir remiantis šiame tyrime nustatytais rizikos parametrais, įvertinti, ar kredito unijos veiklos rizika yra padidėjusi.</w:t>
      </w:r>
    </w:p>
    <w:p w:rsidR="00955C7F" w:rsidRPr="000D37F1" w:rsidRDefault="008F6000" w:rsidP="000941FE">
      <w:pPr>
        <w:spacing w:line="360" w:lineRule="auto"/>
        <w:ind w:firstLine="720"/>
        <w:jc w:val="both"/>
        <w:rPr>
          <w:rFonts w:ascii="Times New Roman" w:hAnsi="Times New Roman" w:cs="Times New Roman"/>
          <w:sz w:val="24"/>
          <w:szCs w:val="24"/>
          <w:lang w:val="lt-LT"/>
        </w:rPr>
      </w:pPr>
      <w:proofErr w:type="spellStart"/>
      <w:r w:rsidRPr="000D37F1">
        <w:rPr>
          <w:rFonts w:ascii="Times New Roman" w:hAnsi="Times New Roman" w:cs="Times New Roman"/>
          <w:sz w:val="24"/>
          <w:szCs w:val="24"/>
          <w:lang w:val="lt-LT"/>
        </w:rPr>
        <w:lastRenderedPageBreak/>
        <w:t>Voldo</w:t>
      </w:r>
      <w:proofErr w:type="spellEnd"/>
      <w:r w:rsidRPr="000D37F1">
        <w:rPr>
          <w:rFonts w:ascii="Times New Roman" w:hAnsi="Times New Roman" w:cs="Times New Roman"/>
          <w:sz w:val="24"/>
          <w:szCs w:val="24"/>
          <w:lang w:val="lt-LT"/>
        </w:rPr>
        <w:t xml:space="preserve"> testas - tai statistinis metodas, skirtas patikrinti, ar visi intensyvumo funkcijos koeficientai Kokso proporcingos rizikos modelyje  turi ar neturi įtakos rizikos funkcijai, Kuo didesnė Voldo statistinė reikšmė, tuo reikšmingesnis nagrinėjamas požymis. </w:t>
      </w:r>
      <w:r w:rsidR="000941FE">
        <w:rPr>
          <w:rFonts w:ascii="Times New Roman" w:hAnsi="Times New Roman" w:cs="Times New Roman"/>
          <w:sz w:val="24"/>
          <w:szCs w:val="24"/>
          <w:lang w:val="lt-LT"/>
        </w:rPr>
        <w:t>Santykinės rizikos koeficientas</w:t>
      </w:r>
      <w:r w:rsidRPr="000D37F1">
        <w:rPr>
          <w:rFonts w:ascii="Times New Roman" w:hAnsi="Times New Roman" w:cs="Times New Roman"/>
          <w:sz w:val="24"/>
          <w:szCs w:val="24"/>
          <w:lang w:val="lt-LT"/>
        </w:rPr>
        <w:t xml:space="preserve"> </w:t>
      </w:r>
      <m:oMath>
        <m:sSup>
          <m:sSupPr>
            <m:ctrlPr>
              <w:rPr>
                <w:rFonts w:ascii="Cambria Math" w:hAnsi="Cambria Math" w:cs="Times New Roman"/>
                <w:i/>
                <w:sz w:val="24"/>
                <w:szCs w:val="24"/>
                <w:lang w:val="lt-LT"/>
              </w:rPr>
            </m:ctrlPr>
          </m:sSupPr>
          <m:e>
            <m:r>
              <w:rPr>
                <w:rFonts w:ascii="Cambria Math" w:hAnsi="Cambria Math" w:cs="Times New Roman"/>
                <w:sz w:val="24"/>
                <w:szCs w:val="24"/>
                <w:lang w:val="lt-LT"/>
              </w:rPr>
              <m:t>e</m:t>
            </m:r>
          </m:e>
          <m:sup>
            <m:r>
              <w:rPr>
                <w:rFonts w:ascii="Cambria Math" w:hAnsi="Cambria Math" w:cs="Times New Roman"/>
                <w:sz w:val="24"/>
                <w:szCs w:val="24"/>
                <w:lang w:val="lt-LT"/>
              </w:rPr>
              <m:t>ᵝ</m:t>
            </m:r>
          </m:sup>
        </m:sSup>
      </m:oMath>
      <w:r w:rsidRPr="000D37F1">
        <w:rPr>
          <w:rFonts w:ascii="Times New Roman" w:eastAsiaTheme="minorEastAsia" w:hAnsi="Times New Roman" w:cs="Times New Roman"/>
          <w:sz w:val="24"/>
          <w:szCs w:val="24"/>
          <w:lang w:val="lt-LT"/>
        </w:rPr>
        <w:t xml:space="preserve"> </w:t>
      </w:r>
      <w:r w:rsidR="000941FE">
        <w:rPr>
          <w:rFonts w:ascii="Times New Roman" w:eastAsiaTheme="minorEastAsia" w:hAnsi="Times New Roman" w:cs="Times New Roman"/>
          <w:sz w:val="24"/>
          <w:szCs w:val="24"/>
          <w:lang w:val="lt-LT"/>
        </w:rPr>
        <w:t xml:space="preserve"> </w:t>
      </w:r>
      <w:r w:rsidRPr="000D37F1">
        <w:rPr>
          <w:rFonts w:ascii="Times New Roman" w:eastAsiaTheme="minorEastAsia" w:hAnsi="Times New Roman" w:cs="Times New Roman"/>
          <w:sz w:val="24"/>
          <w:szCs w:val="24"/>
          <w:lang w:val="lt-LT"/>
        </w:rPr>
        <w:t>parodo, kiek rizika yra didesnė</w:t>
      </w:r>
      <w:r w:rsidRPr="000D37F1">
        <w:rPr>
          <w:rFonts w:ascii="Times New Roman" w:hAnsi="Times New Roman" w:cs="Times New Roman"/>
          <w:sz w:val="24"/>
          <w:szCs w:val="24"/>
          <w:lang w:val="lt-LT"/>
        </w:rPr>
        <w:t xml:space="preserve"> nei kitų grupių.</w:t>
      </w:r>
      <w:r w:rsidR="00836A37" w:rsidRPr="00836A37">
        <w:rPr>
          <w:rFonts w:ascii="Times New Roman" w:hAnsi="Times New Roman" w:cs="Times New Roman"/>
          <w:sz w:val="24"/>
          <w:szCs w:val="24"/>
          <w:lang w:val="lt-LT"/>
        </w:rPr>
        <w:t xml:space="preserve"> </w:t>
      </w:r>
      <w:r w:rsidR="00836A37" w:rsidRPr="00AF5FEF">
        <w:rPr>
          <w:rFonts w:ascii="Times New Roman" w:hAnsi="Times New Roman" w:cs="Times New Roman"/>
          <w:sz w:val="24"/>
          <w:szCs w:val="24"/>
          <w:lang w:val="lt-LT"/>
        </w:rPr>
        <w:t>Jeigu rodiklis nedary</w:t>
      </w:r>
      <w:r w:rsidR="00836A37">
        <w:rPr>
          <w:rFonts w:ascii="Times New Roman" w:hAnsi="Times New Roman" w:cs="Times New Roman"/>
          <w:sz w:val="24"/>
          <w:szCs w:val="24"/>
          <w:lang w:val="lt-LT"/>
        </w:rPr>
        <w:t>tų įtakos tiriamajam įvykiui, tai santykinės rizikos koeficientas būtų lygus vienetui</w:t>
      </w:r>
    </w:p>
    <w:p w:rsidR="003E2AA6" w:rsidRPr="00734657" w:rsidRDefault="00400426" w:rsidP="00734657">
      <w:pPr>
        <w:pStyle w:val="Heading1"/>
        <w:jc w:val="center"/>
        <w:rPr>
          <w:rFonts w:ascii="Times New Roman" w:hAnsi="Times New Roman" w:cs="Times New Roman"/>
          <w:sz w:val="24"/>
          <w:szCs w:val="24"/>
        </w:rPr>
      </w:pPr>
      <w:bookmarkStart w:id="122" w:name="_Toc383784115"/>
      <w:bookmarkStart w:id="123" w:name="_Toc384567327"/>
      <w:bookmarkStart w:id="124" w:name="_Toc384570764"/>
      <w:r w:rsidRPr="00734657">
        <w:rPr>
          <w:rFonts w:ascii="Times New Roman" w:hAnsi="Times New Roman" w:cs="Times New Roman"/>
          <w:sz w:val="24"/>
          <w:szCs w:val="24"/>
        </w:rPr>
        <w:t xml:space="preserve">10 </w:t>
      </w:r>
      <w:r w:rsidR="003E2AA6" w:rsidRPr="00734657">
        <w:rPr>
          <w:rFonts w:ascii="Times New Roman" w:hAnsi="Times New Roman" w:cs="Times New Roman"/>
          <w:sz w:val="24"/>
          <w:szCs w:val="24"/>
        </w:rPr>
        <w:t>Lentelė. Kokso regresijos lygties parametrų ir santykinės rizikos koeficientų įverčiai</w:t>
      </w:r>
      <w:bookmarkEnd w:id="122"/>
      <w:bookmarkEnd w:id="123"/>
      <w:bookmarkEnd w:id="124"/>
    </w:p>
    <w:tbl>
      <w:tblPr>
        <w:tblW w:w="96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099"/>
        <w:gridCol w:w="1143"/>
        <w:gridCol w:w="816"/>
        <w:gridCol w:w="986"/>
        <w:gridCol w:w="1439"/>
        <w:gridCol w:w="1183"/>
        <w:gridCol w:w="744"/>
        <w:gridCol w:w="1053"/>
      </w:tblGrid>
      <w:tr w:rsidR="002E0F57" w:rsidRPr="008E3DFE" w:rsidTr="003250E2">
        <w:trPr>
          <w:trHeight w:val="300"/>
        </w:trPr>
        <w:tc>
          <w:tcPr>
            <w:tcW w:w="1216" w:type="dxa"/>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 xml:space="preserve">Parametrai </w:t>
            </w:r>
          </w:p>
        </w:tc>
        <w:tc>
          <w:tcPr>
            <w:tcW w:w="1099" w:type="dxa"/>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Parametro įvertis</w:t>
            </w:r>
          </w:p>
        </w:tc>
        <w:tc>
          <w:tcPr>
            <w:tcW w:w="1143" w:type="dxa"/>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Standartinė paklaida</w:t>
            </w:r>
          </w:p>
        </w:tc>
        <w:tc>
          <w:tcPr>
            <w:tcW w:w="816" w:type="dxa"/>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Voldo testas</w:t>
            </w:r>
          </w:p>
        </w:tc>
        <w:tc>
          <w:tcPr>
            <w:tcW w:w="986" w:type="dxa"/>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Laivės laipsniai</w:t>
            </w:r>
          </w:p>
        </w:tc>
        <w:tc>
          <w:tcPr>
            <w:tcW w:w="1439" w:type="dxa"/>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 xml:space="preserve">Reikšmingumo lygmuo </w:t>
            </w:r>
            <w:r w:rsidRPr="008E3DFE">
              <w:rPr>
                <w:rFonts w:ascii="Times New Roman" w:eastAsia="Times New Roman" w:hAnsi="Times New Roman" w:cs="Times New Roman"/>
                <w:i/>
                <w:color w:val="000000"/>
                <w:kern w:val="0"/>
                <w:sz w:val="20"/>
                <w:szCs w:val="20"/>
                <w:lang w:val="lt-LT"/>
                <w14:ligatures w14:val="none"/>
              </w:rPr>
              <w:t>p</w:t>
            </w:r>
          </w:p>
        </w:tc>
        <w:tc>
          <w:tcPr>
            <w:tcW w:w="1183" w:type="dxa"/>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Santykinės rizikos koeficientas</w:t>
            </w:r>
          </w:p>
        </w:tc>
        <w:tc>
          <w:tcPr>
            <w:tcW w:w="1797" w:type="dxa"/>
            <w:gridSpan w:val="2"/>
            <w:shd w:val="clear" w:color="auto" w:fill="auto"/>
            <w:noWrap/>
            <w:vAlign w:val="center"/>
            <w:hideMark/>
          </w:tcPr>
          <w:p w:rsidR="00034742" w:rsidRPr="00034742" w:rsidRDefault="00034742" w:rsidP="00034742">
            <w:pPr>
              <w:spacing w:after="0" w:line="240" w:lineRule="auto"/>
              <w:jc w:val="center"/>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Santykinės rizikos koeficiento pasikliautinojo interval</w:t>
            </w:r>
            <w:r w:rsidR="008E3DFE">
              <w:rPr>
                <w:rFonts w:ascii="Times New Roman" w:eastAsia="Times New Roman" w:hAnsi="Times New Roman" w:cs="Times New Roman"/>
                <w:color w:val="000000"/>
                <w:kern w:val="0"/>
                <w:sz w:val="20"/>
                <w:szCs w:val="20"/>
                <w:lang w:val="lt-LT"/>
                <w14:ligatures w14:val="none"/>
              </w:rPr>
              <w:t>o</w:t>
            </w:r>
            <w:r w:rsidRPr="008E3DFE">
              <w:rPr>
                <w:rFonts w:ascii="Times New Roman" w:eastAsia="Times New Roman" w:hAnsi="Times New Roman" w:cs="Times New Roman"/>
                <w:color w:val="000000"/>
                <w:kern w:val="0"/>
                <w:sz w:val="20"/>
                <w:szCs w:val="20"/>
                <w:lang w:val="lt-LT"/>
                <w14:ligatures w14:val="none"/>
              </w:rPr>
              <w:t xml:space="preserve"> rėžiai</w:t>
            </w:r>
          </w:p>
        </w:tc>
      </w:tr>
      <w:tr w:rsidR="002E0F57" w:rsidRPr="008E3DFE" w:rsidTr="003250E2">
        <w:trPr>
          <w:trHeight w:val="300"/>
        </w:trPr>
        <w:tc>
          <w:tcPr>
            <w:tcW w:w="1216" w:type="dxa"/>
            <w:shd w:val="clear" w:color="auto" w:fill="auto"/>
            <w:noWrap/>
            <w:vAlign w:val="bottom"/>
            <w:hideMark/>
          </w:tcPr>
          <w:p w:rsidR="00034742" w:rsidRPr="00034742" w:rsidRDefault="00034742" w:rsidP="00034742">
            <w:pPr>
              <w:spacing w:after="0" w:line="240" w:lineRule="auto"/>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ROA 1</w:t>
            </w:r>
          </w:p>
        </w:tc>
        <w:tc>
          <w:tcPr>
            <w:tcW w:w="1099" w:type="dxa"/>
            <w:shd w:val="clear" w:color="auto" w:fill="auto"/>
            <w:noWrap/>
            <w:vAlign w:val="bottom"/>
            <w:hideMark/>
          </w:tcPr>
          <w:p w:rsidR="00034742" w:rsidRPr="00034742" w:rsidRDefault="00FA766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Pr>
                <w:rFonts w:ascii="Times New Roman" w:eastAsia="Times New Roman" w:hAnsi="Times New Roman" w:cs="Times New Roman"/>
                <w:color w:val="000000"/>
                <w:kern w:val="0"/>
                <w:sz w:val="20"/>
                <w:szCs w:val="20"/>
                <w:lang w:val="lt-LT"/>
                <w14:ligatures w14:val="none"/>
              </w:rPr>
              <w:t>1</w:t>
            </w:r>
            <w:r w:rsidR="00034742" w:rsidRPr="00034742">
              <w:rPr>
                <w:rFonts w:ascii="Times New Roman" w:eastAsia="Times New Roman" w:hAnsi="Times New Roman" w:cs="Times New Roman"/>
                <w:color w:val="000000"/>
                <w:kern w:val="0"/>
                <w:sz w:val="20"/>
                <w:szCs w:val="20"/>
                <w:lang w:val="lt-LT"/>
                <w14:ligatures w14:val="none"/>
              </w:rPr>
              <w:t>.368</w:t>
            </w:r>
          </w:p>
        </w:tc>
        <w:tc>
          <w:tcPr>
            <w:tcW w:w="1143" w:type="dxa"/>
            <w:shd w:val="clear" w:color="auto" w:fill="auto"/>
            <w:noWrap/>
            <w:vAlign w:val="bottom"/>
            <w:hideMark/>
          </w:tcPr>
          <w:p w:rsidR="00034742" w:rsidRPr="00034742" w:rsidRDefault="00FA766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Pr>
                <w:rFonts w:ascii="Times New Roman" w:eastAsia="Times New Roman" w:hAnsi="Times New Roman" w:cs="Times New Roman"/>
                <w:color w:val="000000"/>
                <w:kern w:val="0"/>
                <w:sz w:val="20"/>
                <w:szCs w:val="20"/>
                <w:lang w:val="lt-LT"/>
                <w14:ligatures w14:val="none"/>
              </w:rPr>
              <w:t>0.2</w:t>
            </w:r>
            <w:r w:rsidR="00034742" w:rsidRPr="00034742">
              <w:rPr>
                <w:rFonts w:ascii="Times New Roman" w:eastAsia="Times New Roman" w:hAnsi="Times New Roman" w:cs="Times New Roman"/>
                <w:color w:val="000000"/>
                <w:kern w:val="0"/>
                <w:sz w:val="20"/>
                <w:szCs w:val="20"/>
                <w:lang w:val="lt-LT"/>
                <w14:ligatures w14:val="none"/>
              </w:rPr>
              <w:t>54</w:t>
            </w:r>
          </w:p>
        </w:tc>
        <w:tc>
          <w:tcPr>
            <w:tcW w:w="81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9.852</w:t>
            </w:r>
          </w:p>
        </w:tc>
        <w:tc>
          <w:tcPr>
            <w:tcW w:w="98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w:t>
            </w:r>
          </w:p>
        </w:tc>
        <w:tc>
          <w:tcPr>
            <w:tcW w:w="143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0.002</w:t>
            </w:r>
          </w:p>
        </w:tc>
        <w:tc>
          <w:tcPr>
            <w:tcW w:w="118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0.671</w:t>
            </w:r>
          </w:p>
        </w:tc>
        <w:tc>
          <w:tcPr>
            <w:tcW w:w="744" w:type="dxa"/>
            <w:shd w:val="clear" w:color="auto" w:fill="auto"/>
            <w:noWrap/>
            <w:vAlign w:val="bottom"/>
            <w:hideMark/>
          </w:tcPr>
          <w:p w:rsidR="00034742" w:rsidRPr="00034742" w:rsidRDefault="008E3DFE"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Pr>
                <w:rFonts w:ascii="Times New Roman" w:eastAsia="Times New Roman" w:hAnsi="Times New Roman" w:cs="Times New Roman"/>
                <w:color w:val="000000"/>
                <w:kern w:val="0"/>
                <w:sz w:val="20"/>
                <w:szCs w:val="20"/>
                <w:lang w:val="lt-LT"/>
                <w14:ligatures w14:val="none"/>
              </w:rPr>
              <w:t>0</w:t>
            </w:r>
            <w:r w:rsidR="00034742" w:rsidRPr="00034742">
              <w:rPr>
                <w:rFonts w:ascii="Times New Roman" w:eastAsia="Times New Roman" w:hAnsi="Times New Roman" w:cs="Times New Roman"/>
                <w:color w:val="000000"/>
                <w:kern w:val="0"/>
                <w:sz w:val="20"/>
                <w:szCs w:val="20"/>
                <w:lang w:val="lt-LT"/>
                <w14:ligatures w14:val="none"/>
              </w:rPr>
              <w:t>.433</w:t>
            </w:r>
          </w:p>
        </w:tc>
        <w:tc>
          <w:tcPr>
            <w:tcW w:w="1053" w:type="dxa"/>
            <w:shd w:val="clear" w:color="auto" w:fill="auto"/>
            <w:noWrap/>
            <w:vAlign w:val="bottom"/>
            <w:hideMark/>
          </w:tcPr>
          <w:p w:rsidR="00034742" w:rsidRPr="00034742" w:rsidRDefault="008E3DFE"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Pr>
                <w:rFonts w:ascii="Times New Roman" w:eastAsia="Times New Roman" w:hAnsi="Times New Roman" w:cs="Times New Roman"/>
                <w:color w:val="000000"/>
                <w:kern w:val="0"/>
                <w:sz w:val="20"/>
                <w:szCs w:val="20"/>
                <w:lang w:val="lt-LT"/>
                <w14:ligatures w14:val="none"/>
              </w:rPr>
              <w:t>0</w:t>
            </w:r>
            <w:r w:rsidR="004C37CF">
              <w:rPr>
                <w:rFonts w:ascii="Times New Roman" w:eastAsia="Times New Roman" w:hAnsi="Times New Roman" w:cs="Times New Roman"/>
                <w:color w:val="000000"/>
                <w:kern w:val="0"/>
                <w:sz w:val="20"/>
                <w:szCs w:val="20"/>
                <w:lang w:val="lt-LT"/>
                <w14:ligatures w14:val="none"/>
              </w:rPr>
              <w:t>.</w:t>
            </w:r>
            <w:r w:rsidR="004C37CF">
              <w:rPr>
                <w:rFonts w:ascii="Times New Roman" w:eastAsia="Times New Roman" w:hAnsi="Times New Roman" w:cs="Times New Roman"/>
                <w:color w:val="000000"/>
                <w:kern w:val="0"/>
                <w:sz w:val="20"/>
                <w:szCs w:val="20"/>
                <w14:ligatures w14:val="none"/>
              </w:rPr>
              <w:t>8</w:t>
            </w:r>
            <w:r w:rsidR="00034742" w:rsidRPr="00034742">
              <w:rPr>
                <w:rFonts w:ascii="Times New Roman" w:eastAsia="Times New Roman" w:hAnsi="Times New Roman" w:cs="Times New Roman"/>
                <w:color w:val="000000"/>
                <w:kern w:val="0"/>
                <w:sz w:val="20"/>
                <w:szCs w:val="20"/>
                <w:lang w:val="lt-LT"/>
                <w14:ligatures w14:val="none"/>
              </w:rPr>
              <w:t>97</w:t>
            </w:r>
          </w:p>
        </w:tc>
      </w:tr>
      <w:tr w:rsidR="002E0F57" w:rsidRPr="008E3DFE" w:rsidTr="003250E2">
        <w:trPr>
          <w:trHeight w:val="300"/>
        </w:trPr>
        <w:tc>
          <w:tcPr>
            <w:tcW w:w="1216" w:type="dxa"/>
            <w:shd w:val="clear" w:color="auto" w:fill="auto"/>
            <w:noWrap/>
            <w:vAlign w:val="bottom"/>
            <w:hideMark/>
          </w:tcPr>
          <w:p w:rsidR="00034742" w:rsidRPr="00034742" w:rsidRDefault="00034742" w:rsidP="00034742">
            <w:pPr>
              <w:spacing w:after="0" w:line="240" w:lineRule="auto"/>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LIKV 3</w:t>
            </w:r>
          </w:p>
        </w:tc>
        <w:tc>
          <w:tcPr>
            <w:tcW w:w="109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-1.095</w:t>
            </w:r>
          </w:p>
        </w:tc>
        <w:tc>
          <w:tcPr>
            <w:tcW w:w="114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0.336</w:t>
            </w:r>
          </w:p>
        </w:tc>
        <w:tc>
          <w:tcPr>
            <w:tcW w:w="81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10.619</w:t>
            </w:r>
          </w:p>
        </w:tc>
        <w:tc>
          <w:tcPr>
            <w:tcW w:w="98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w:t>
            </w:r>
          </w:p>
        </w:tc>
        <w:tc>
          <w:tcPr>
            <w:tcW w:w="143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0.001</w:t>
            </w:r>
          </w:p>
        </w:tc>
        <w:tc>
          <w:tcPr>
            <w:tcW w:w="118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0.335</w:t>
            </w:r>
          </w:p>
        </w:tc>
        <w:tc>
          <w:tcPr>
            <w:tcW w:w="744"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0.173</w:t>
            </w:r>
          </w:p>
        </w:tc>
        <w:tc>
          <w:tcPr>
            <w:tcW w:w="105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0.646</w:t>
            </w:r>
          </w:p>
        </w:tc>
      </w:tr>
      <w:tr w:rsidR="002E0F57" w:rsidRPr="008E3DFE" w:rsidTr="003250E2">
        <w:trPr>
          <w:trHeight w:val="300"/>
        </w:trPr>
        <w:tc>
          <w:tcPr>
            <w:tcW w:w="1216" w:type="dxa"/>
            <w:shd w:val="clear" w:color="auto" w:fill="auto"/>
            <w:noWrap/>
            <w:vAlign w:val="bottom"/>
            <w:hideMark/>
          </w:tcPr>
          <w:p w:rsidR="00034742" w:rsidRPr="00034742" w:rsidRDefault="00034742" w:rsidP="00034742">
            <w:pPr>
              <w:spacing w:after="0" w:line="240" w:lineRule="auto"/>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SAPS 2</w:t>
            </w:r>
          </w:p>
        </w:tc>
        <w:tc>
          <w:tcPr>
            <w:tcW w:w="109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0.674</w:t>
            </w:r>
          </w:p>
        </w:tc>
        <w:tc>
          <w:tcPr>
            <w:tcW w:w="114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0.320</w:t>
            </w:r>
          </w:p>
        </w:tc>
        <w:tc>
          <w:tcPr>
            <w:tcW w:w="81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4.436</w:t>
            </w:r>
          </w:p>
        </w:tc>
        <w:tc>
          <w:tcPr>
            <w:tcW w:w="98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w:t>
            </w:r>
          </w:p>
        </w:tc>
        <w:tc>
          <w:tcPr>
            <w:tcW w:w="143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0.035</w:t>
            </w:r>
          </w:p>
        </w:tc>
        <w:tc>
          <w:tcPr>
            <w:tcW w:w="118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1.962</w:t>
            </w:r>
          </w:p>
        </w:tc>
        <w:tc>
          <w:tcPr>
            <w:tcW w:w="744"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1.048</w:t>
            </w:r>
          </w:p>
        </w:tc>
        <w:tc>
          <w:tcPr>
            <w:tcW w:w="105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3.673</w:t>
            </w:r>
          </w:p>
        </w:tc>
      </w:tr>
      <w:tr w:rsidR="002E0F57" w:rsidRPr="008E3DFE" w:rsidTr="003250E2">
        <w:trPr>
          <w:trHeight w:val="300"/>
        </w:trPr>
        <w:tc>
          <w:tcPr>
            <w:tcW w:w="1216" w:type="dxa"/>
            <w:shd w:val="clear" w:color="auto" w:fill="auto"/>
            <w:noWrap/>
            <w:vAlign w:val="bottom"/>
            <w:hideMark/>
          </w:tcPr>
          <w:p w:rsidR="00034742" w:rsidRPr="00034742" w:rsidRDefault="008E3DFE" w:rsidP="00034742">
            <w:pPr>
              <w:spacing w:after="0" w:line="240" w:lineRule="auto"/>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V</w:t>
            </w:r>
            <w:r w:rsidR="00034742" w:rsidRPr="008E3DFE">
              <w:rPr>
                <w:rFonts w:ascii="Times New Roman" w:eastAsia="Times New Roman" w:hAnsi="Times New Roman" w:cs="Times New Roman"/>
                <w:color w:val="000000"/>
                <w:kern w:val="0"/>
                <w:sz w:val="20"/>
                <w:szCs w:val="20"/>
                <w:lang w:val="lt-LT"/>
                <w14:ligatures w14:val="none"/>
              </w:rPr>
              <w:t>PT 2</w:t>
            </w:r>
          </w:p>
        </w:tc>
        <w:tc>
          <w:tcPr>
            <w:tcW w:w="109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1.114</w:t>
            </w:r>
          </w:p>
        </w:tc>
        <w:tc>
          <w:tcPr>
            <w:tcW w:w="114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0.334</w:t>
            </w:r>
          </w:p>
        </w:tc>
        <w:tc>
          <w:tcPr>
            <w:tcW w:w="81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11.140</w:t>
            </w:r>
          </w:p>
        </w:tc>
        <w:tc>
          <w:tcPr>
            <w:tcW w:w="98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w:t>
            </w:r>
          </w:p>
        </w:tc>
        <w:tc>
          <w:tcPr>
            <w:tcW w:w="143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0.001</w:t>
            </w:r>
          </w:p>
        </w:tc>
        <w:tc>
          <w:tcPr>
            <w:tcW w:w="118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3.048</w:t>
            </w:r>
          </w:p>
        </w:tc>
        <w:tc>
          <w:tcPr>
            <w:tcW w:w="744"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1.584</w:t>
            </w:r>
          </w:p>
        </w:tc>
        <w:tc>
          <w:tcPr>
            <w:tcW w:w="105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5.864</w:t>
            </w:r>
          </w:p>
        </w:tc>
      </w:tr>
      <w:tr w:rsidR="002E0F57" w:rsidRPr="008E3DFE" w:rsidTr="003250E2">
        <w:trPr>
          <w:trHeight w:val="300"/>
        </w:trPr>
        <w:tc>
          <w:tcPr>
            <w:tcW w:w="1216" w:type="dxa"/>
            <w:shd w:val="clear" w:color="auto" w:fill="auto"/>
            <w:noWrap/>
            <w:vAlign w:val="bottom"/>
            <w:hideMark/>
          </w:tcPr>
          <w:p w:rsidR="00034742" w:rsidRPr="00034742" w:rsidRDefault="00034742" w:rsidP="00034742">
            <w:pPr>
              <w:spacing w:after="0" w:line="240" w:lineRule="auto"/>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INVT 3</w:t>
            </w:r>
          </w:p>
        </w:tc>
        <w:tc>
          <w:tcPr>
            <w:tcW w:w="109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0.571</w:t>
            </w:r>
          </w:p>
        </w:tc>
        <w:tc>
          <w:tcPr>
            <w:tcW w:w="114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0.225</w:t>
            </w:r>
          </w:p>
        </w:tc>
        <w:tc>
          <w:tcPr>
            <w:tcW w:w="81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6.447</w:t>
            </w:r>
          </w:p>
        </w:tc>
        <w:tc>
          <w:tcPr>
            <w:tcW w:w="98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w:t>
            </w:r>
          </w:p>
        </w:tc>
        <w:tc>
          <w:tcPr>
            <w:tcW w:w="143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0.011</w:t>
            </w:r>
          </w:p>
        </w:tc>
        <w:tc>
          <w:tcPr>
            <w:tcW w:w="118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1.770</w:t>
            </w:r>
          </w:p>
        </w:tc>
        <w:tc>
          <w:tcPr>
            <w:tcW w:w="744"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1.139</w:t>
            </w:r>
          </w:p>
        </w:tc>
        <w:tc>
          <w:tcPr>
            <w:tcW w:w="105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2.752</w:t>
            </w:r>
          </w:p>
        </w:tc>
      </w:tr>
      <w:tr w:rsidR="002E0F57" w:rsidRPr="008E3DFE" w:rsidTr="003250E2">
        <w:trPr>
          <w:trHeight w:val="300"/>
        </w:trPr>
        <w:tc>
          <w:tcPr>
            <w:tcW w:w="1216" w:type="dxa"/>
            <w:shd w:val="clear" w:color="auto" w:fill="auto"/>
            <w:noWrap/>
            <w:vAlign w:val="bottom"/>
            <w:hideMark/>
          </w:tcPr>
          <w:p w:rsidR="00034742" w:rsidRPr="00034742" w:rsidRDefault="00034742" w:rsidP="00034742">
            <w:pPr>
              <w:spacing w:after="0" w:line="240" w:lineRule="auto"/>
              <w:rPr>
                <w:rFonts w:ascii="Times New Roman" w:eastAsia="Times New Roman" w:hAnsi="Times New Roman" w:cs="Times New Roman"/>
                <w:color w:val="000000"/>
                <w:kern w:val="0"/>
                <w:sz w:val="20"/>
                <w:szCs w:val="20"/>
                <w:lang w:val="lt-LT"/>
                <w14:ligatures w14:val="none"/>
              </w:rPr>
            </w:pPr>
            <w:r w:rsidRPr="008E3DFE">
              <w:rPr>
                <w:rFonts w:ascii="Times New Roman" w:eastAsia="Times New Roman" w:hAnsi="Times New Roman" w:cs="Times New Roman"/>
                <w:color w:val="000000"/>
                <w:kern w:val="0"/>
                <w:sz w:val="20"/>
                <w:szCs w:val="20"/>
                <w:lang w:val="lt-LT"/>
                <w14:ligatures w14:val="none"/>
              </w:rPr>
              <w:t>BAS</w:t>
            </w:r>
            <w:r w:rsidR="008E3DFE" w:rsidRPr="008E3DFE">
              <w:rPr>
                <w:rFonts w:ascii="Times New Roman" w:eastAsia="Times New Roman" w:hAnsi="Times New Roman" w:cs="Times New Roman"/>
                <w:color w:val="000000"/>
                <w:kern w:val="0"/>
                <w:sz w:val="20"/>
                <w:szCs w:val="20"/>
                <w:lang w:val="lt-LT"/>
                <w14:ligatures w14:val="none"/>
              </w:rPr>
              <w:t xml:space="preserve"> 1</w:t>
            </w:r>
          </w:p>
        </w:tc>
        <w:tc>
          <w:tcPr>
            <w:tcW w:w="109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-1.248</w:t>
            </w:r>
          </w:p>
        </w:tc>
        <w:tc>
          <w:tcPr>
            <w:tcW w:w="114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0.340</w:t>
            </w:r>
          </w:p>
        </w:tc>
        <w:tc>
          <w:tcPr>
            <w:tcW w:w="81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13.495</w:t>
            </w:r>
          </w:p>
        </w:tc>
        <w:tc>
          <w:tcPr>
            <w:tcW w:w="986"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1</w:t>
            </w:r>
          </w:p>
        </w:tc>
        <w:tc>
          <w:tcPr>
            <w:tcW w:w="1439"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0.000</w:t>
            </w:r>
          </w:p>
        </w:tc>
        <w:tc>
          <w:tcPr>
            <w:tcW w:w="118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0.287</w:t>
            </w:r>
          </w:p>
        </w:tc>
        <w:tc>
          <w:tcPr>
            <w:tcW w:w="744"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0.147</w:t>
            </w:r>
          </w:p>
        </w:tc>
        <w:tc>
          <w:tcPr>
            <w:tcW w:w="1053" w:type="dxa"/>
            <w:shd w:val="clear" w:color="auto" w:fill="auto"/>
            <w:noWrap/>
            <w:vAlign w:val="bottom"/>
            <w:hideMark/>
          </w:tcPr>
          <w:p w:rsidR="00034742" w:rsidRPr="00034742" w:rsidRDefault="00034742" w:rsidP="00034742">
            <w:pPr>
              <w:spacing w:after="0" w:line="240" w:lineRule="auto"/>
              <w:jc w:val="right"/>
              <w:rPr>
                <w:rFonts w:ascii="Times New Roman" w:eastAsia="Times New Roman" w:hAnsi="Times New Roman" w:cs="Times New Roman"/>
                <w:color w:val="000000"/>
                <w:kern w:val="0"/>
                <w:sz w:val="20"/>
                <w:szCs w:val="20"/>
                <w:lang w:val="lt-LT"/>
                <w14:ligatures w14:val="none"/>
              </w:rPr>
            </w:pPr>
            <w:r w:rsidRPr="00034742">
              <w:rPr>
                <w:rFonts w:ascii="Times New Roman" w:eastAsia="Times New Roman" w:hAnsi="Times New Roman" w:cs="Times New Roman"/>
                <w:color w:val="000000"/>
                <w:kern w:val="0"/>
                <w:sz w:val="20"/>
                <w:szCs w:val="20"/>
                <w:lang w:val="lt-LT"/>
                <w14:ligatures w14:val="none"/>
              </w:rPr>
              <w:t>0.559</w:t>
            </w:r>
          </w:p>
        </w:tc>
      </w:tr>
    </w:tbl>
    <w:p w:rsidR="00400426" w:rsidRPr="009C579C" w:rsidRDefault="009C579C" w:rsidP="0085500F">
      <w:pPr>
        <w:spacing w:line="360" w:lineRule="auto"/>
        <w:jc w:val="both"/>
        <w:rPr>
          <w:rFonts w:ascii="Times New Roman" w:hAnsi="Times New Roman" w:cs="Times New Roman"/>
          <w:i/>
          <w:sz w:val="24"/>
          <w:szCs w:val="24"/>
          <w:lang w:val="lt-LT"/>
        </w:rPr>
      </w:pPr>
      <w:r w:rsidRPr="009C579C">
        <w:rPr>
          <w:rFonts w:ascii="Times New Roman" w:hAnsi="Times New Roman" w:cs="Times New Roman"/>
          <w:i/>
          <w:sz w:val="24"/>
          <w:szCs w:val="24"/>
          <w:lang w:val="lt-LT"/>
        </w:rPr>
        <w:t>Parengta autorės</w:t>
      </w:r>
    </w:p>
    <w:p w:rsidR="004C37CF" w:rsidRPr="00AF5FEF" w:rsidRDefault="000941FE" w:rsidP="004C37CF">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atlikus skaičiavimus, </w:t>
      </w:r>
      <w:r>
        <w:rPr>
          <w:rFonts w:ascii="Times New Roman" w:hAnsi="Times New Roman" w:cs="Times New Roman"/>
          <w:sz w:val="24"/>
          <w:szCs w:val="24"/>
        </w:rPr>
        <w:t>10 lent</w:t>
      </w:r>
      <w:proofErr w:type="spellStart"/>
      <w:r>
        <w:rPr>
          <w:rFonts w:ascii="Times New Roman" w:hAnsi="Times New Roman" w:cs="Times New Roman"/>
          <w:sz w:val="24"/>
          <w:szCs w:val="24"/>
          <w:lang w:val="lt-LT"/>
        </w:rPr>
        <w:t>elėje</w:t>
      </w:r>
      <w:proofErr w:type="spellEnd"/>
      <w:r>
        <w:rPr>
          <w:rFonts w:ascii="Times New Roman" w:hAnsi="Times New Roman" w:cs="Times New Roman"/>
          <w:sz w:val="24"/>
          <w:szCs w:val="24"/>
          <w:lang w:val="lt-LT"/>
        </w:rPr>
        <w:t xml:space="preserve"> pateikiami Kokso regresijos lygties parametrų ir santykinės rizikos koeficientų įverčiai. </w:t>
      </w:r>
      <w:r w:rsidR="002D45AC">
        <w:rPr>
          <w:rFonts w:ascii="Times New Roman" w:hAnsi="Times New Roman" w:cs="Times New Roman"/>
          <w:sz w:val="24"/>
          <w:szCs w:val="24"/>
          <w:lang w:val="lt-LT"/>
        </w:rPr>
        <w:t xml:space="preserve">Iš </w:t>
      </w:r>
      <w:r w:rsidR="008E3DFE">
        <w:rPr>
          <w:rFonts w:ascii="Times New Roman" w:hAnsi="Times New Roman" w:cs="Times New Roman"/>
          <w:sz w:val="24"/>
          <w:szCs w:val="24"/>
          <w:lang w:val="lt-LT"/>
        </w:rPr>
        <w:t xml:space="preserve">modelio pagal reikšmingumą buvo eliminuojami nereikšmingiausi parametrai, </w:t>
      </w:r>
      <w:r w:rsidR="002E0F57">
        <w:rPr>
          <w:rFonts w:ascii="Times New Roman" w:hAnsi="Times New Roman" w:cs="Times New Roman"/>
          <w:sz w:val="24"/>
          <w:szCs w:val="24"/>
          <w:lang w:val="lt-LT"/>
        </w:rPr>
        <w:t>kol pasiekta, kad</w:t>
      </w:r>
      <w:r w:rsidR="00836A37">
        <w:rPr>
          <w:rFonts w:ascii="Times New Roman" w:hAnsi="Times New Roman" w:cs="Times New Roman"/>
          <w:sz w:val="24"/>
          <w:szCs w:val="24"/>
          <w:lang w:val="lt-LT"/>
        </w:rPr>
        <w:t xml:space="preserve"> visų kintamųjų</w:t>
      </w:r>
      <w:r w:rsidR="002E0F57">
        <w:rPr>
          <w:rFonts w:ascii="Times New Roman" w:hAnsi="Times New Roman" w:cs="Times New Roman"/>
          <w:sz w:val="24"/>
          <w:szCs w:val="24"/>
          <w:lang w:val="lt-LT"/>
        </w:rPr>
        <w:t xml:space="preserve"> </w:t>
      </w:r>
      <w:r w:rsidR="002E0F57" w:rsidRPr="003250E2">
        <w:rPr>
          <w:rFonts w:ascii="Times New Roman" w:hAnsi="Times New Roman" w:cs="Times New Roman"/>
          <w:i/>
          <w:sz w:val="24"/>
          <w:szCs w:val="24"/>
          <w:lang w:val="lt-LT"/>
        </w:rPr>
        <w:t xml:space="preserve">p </w:t>
      </w:r>
      <w:r w:rsidR="002E0F57" w:rsidRPr="003250E2">
        <w:rPr>
          <w:rFonts w:ascii="Times New Roman" w:hAnsi="Times New Roman" w:cs="Times New Roman"/>
          <w:sz w:val="24"/>
          <w:szCs w:val="24"/>
          <w:lang w:val="lt-LT"/>
        </w:rPr>
        <w:t xml:space="preserve">reikšmingumo lygmuo būtų mažesnis nei </w:t>
      </w:r>
      <w:r w:rsidR="002E0F57" w:rsidRPr="000941FE">
        <w:rPr>
          <w:rFonts w:ascii="Times New Roman" w:hAnsi="Times New Roman" w:cs="Times New Roman"/>
          <w:i/>
          <w:sz w:val="24"/>
          <w:szCs w:val="24"/>
          <w:lang w:val="lt-LT"/>
        </w:rPr>
        <w:t>0,05</w:t>
      </w:r>
      <w:r w:rsidR="002E0F57" w:rsidRPr="003250E2">
        <w:rPr>
          <w:rFonts w:ascii="Times New Roman" w:hAnsi="Times New Roman" w:cs="Times New Roman"/>
          <w:sz w:val="24"/>
          <w:szCs w:val="24"/>
          <w:lang w:val="lt-LT"/>
        </w:rPr>
        <w:t xml:space="preserve">. Visi laike kintantys parametrai buvo pašalinti dėl to, kad </w:t>
      </w:r>
      <w:proofErr w:type="spellStart"/>
      <w:r w:rsidR="002E0F57" w:rsidRPr="003250E2">
        <w:rPr>
          <w:rFonts w:ascii="Times New Roman" w:hAnsi="Times New Roman" w:cs="Times New Roman"/>
          <w:sz w:val="24"/>
          <w:szCs w:val="24"/>
          <w:lang w:val="lt-LT"/>
        </w:rPr>
        <w:t>statistiškai</w:t>
      </w:r>
      <w:proofErr w:type="spellEnd"/>
      <w:r w:rsidR="002E0F57" w:rsidRPr="003250E2">
        <w:rPr>
          <w:rFonts w:ascii="Times New Roman" w:hAnsi="Times New Roman" w:cs="Times New Roman"/>
          <w:sz w:val="24"/>
          <w:szCs w:val="24"/>
          <w:lang w:val="lt-LT"/>
        </w:rPr>
        <w:t xml:space="preserve"> </w:t>
      </w:r>
      <w:r w:rsidR="00836A37">
        <w:rPr>
          <w:rFonts w:ascii="Times New Roman" w:hAnsi="Times New Roman" w:cs="Times New Roman"/>
          <w:sz w:val="24"/>
          <w:szCs w:val="24"/>
          <w:lang w:val="lt-LT"/>
        </w:rPr>
        <w:t>nereikšmingi ir palikti skirtingų metų finansiniai rodikliai</w:t>
      </w:r>
      <w:r w:rsidR="00400426">
        <w:rPr>
          <w:rFonts w:ascii="Times New Roman" w:hAnsi="Times New Roman" w:cs="Times New Roman"/>
          <w:sz w:val="24"/>
          <w:szCs w:val="24"/>
          <w:lang w:val="lt-LT"/>
        </w:rPr>
        <w:t xml:space="preserve">. </w:t>
      </w:r>
      <w:r w:rsidR="002E0F57" w:rsidRPr="003250E2">
        <w:rPr>
          <w:rFonts w:ascii="Times New Roman" w:hAnsi="Times New Roman" w:cs="Times New Roman"/>
          <w:sz w:val="24"/>
          <w:szCs w:val="24"/>
          <w:lang w:val="lt-LT"/>
        </w:rPr>
        <w:t xml:space="preserve">Modelyje liko </w:t>
      </w:r>
      <w:r w:rsidR="003250E2" w:rsidRPr="00AF5FEF">
        <w:rPr>
          <w:rFonts w:ascii="Times New Roman" w:hAnsi="Times New Roman" w:cs="Times New Roman"/>
          <w:sz w:val="24"/>
          <w:szCs w:val="24"/>
          <w:lang w:val="lt-LT"/>
        </w:rPr>
        <w:t>6</w:t>
      </w:r>
      <w:r w:rsidR="002E0F57" w:rsidRPr="003250E2">
        <w:rPr>
          <w:rFonts w:ascii="Times New Roman" w:hAnsi="Times New Roman" w:cs="Times New Roman"/>
          <w:sz w:val="24"/>
          <w:szCs w:val="24"/>
          <w:lang w:val="lt-LT"/>
        </w:rPr>
        <w:t xml:space="preserve"> parametrai, kurie yra finansiniai rodikliai</w:t>
      </w:r>
      <w:r w:rsidR="009C579C">
        <w:rPr>
          <w:rFonts w:ascii="Times New Roman" w:hAnsi="Times New Roman" w:cs="Times New Roman"/>
          <w:sz w:val="24"/>
          <w:szCs w:val="24"/>
          <w:lang w:val="lt-LT"/>
        </w:rPr>
        <w:t xml:space="preserve">: turto grąža, likvidumas, specialiųjų </w:t>
      </w:r>
      <w:proofErr w:type="spellStart"/>
      <w:r w:rsidR="009C579C">
        <w:rPr>
          <w:rFonts w:ascii="Times New Roman" w:hAnsi="Times New Roman" w:cs="Times New Roman"/>
          <w:sz w:val="24"/>
          <w:szCs w:val="24"/>
          <w:lang w:val="lt-LT"/>
        </w:rPr>
        <w:t>atidėjinių</w:t>
      </w:r>
      <w:proofErr w:type="spellEnd"/>
      <w:r w:rsidR="009C579C">
        <w:rPr>
          <w:rFonts w:ascii="Times New Roman" w:hAnsi="Times New Roman" w:cs="Times New Roman"/>
          <w:sz w:val="24"/>
          <w:szCs w:val="24"/>
          <w:lang w:val="lt-LT"/>
        </w:rPr>
        <w:t xml:space="preserve"> ir paskolų santykis, veiklos pajamų ir turto santykis, investicijų į vertybinius popierius ir turto santykis, bendrųjų ir administracinių sąnaudų ir visų sąnaudų santykis.</w:t>
      </w:r>
      <w:r w:rsidR="002E0F57" w:rsidRPr="003250E2">
        <w:rPr>
          <w:rFonts w:ascii="Times New Roman" w:hAnsi="Times New Roman" w:cs="Times New Roman"/>
          <w:sz w:val="24"/>
          <w:szCs w:val="24"/>
          <w:lang w:val="lt-LT"/>
        </w:rPr>
        <w:t>. Nefinansiniai rodikliai pašalinti dėl to, kad yra statistiškai nereikšmingi.</w:t>
      </w:r>
      <w:r w:rsidR="006B7938" w:rsidRPr="003250E2">
        <w:rPr>
          <w:rFonts w:ascii="Times New Roman" w:hAnsi="Times New Roman" w:cs="Times New Roman"/>
          <w:sz w:val="24"/>
          <w:szCs w:val="24"/>
          <w:lang w:val="lt-LT"/>
        </w:rPr>
        <w:t xml:space="preserve"> Skaičiai prie parametrų atspindi, kurių metų rodiklis naudojamas (pvz.: 1 – 2011 m.).</w:t>
      </w:r>
      <w:r w:rsidR="003250E2">
        <w:rPr>
          <w:rFonts w:ascii="Times New Roman" w:hAnsi="Times New Roman" w:cs="Times New Roman"/>
          <w:sz w:val="24"/>
          <w:szCs w:val="24"/>
          <w:lang w:val="lt-LT"/>
        </w:rPr>
        <w:t xml:space="preserve"> </w:t>
      </w:r>
      <w:r w:rsidR="003250E2" w:rsidRPr="004C37CF">
        <w:rPr>
          <w:rFonts w:ascii="Times New Roman" w:hAnsi="Times New Roman" w:cs="Times New Roman"/>
          <w:sz w:val="24"/>
          <w:szCs w:val="24"/>
          <w:lang w:val="lt-LT"/>
        </w:rPr>
        <w:t>Jeigu į santykinės rizikos koeficiento pasikliautinojo intervalo rėžius patenka 1, tai toks parametras laikomas netinkamu modelyje, šiame modelyje nė vieno parametro pasikliautinieji intervalai neapima vieneto</w:t>
      </w:r>
      <w:r w:rsidR="003250E2">
        <w:rPr>
          <w:rFonts w:ascii="Times New Roman" w:hAnsi="Times New Roman" w:cs="Times New Roman"/>
          <w:sz w:val="24"/>
          <w:szCs w:val="24"/>
          <w:lang w:val="lt-LT"/>
        </w:rPr>
        <w:t>.</w:t>
      </w:r>
      <w:r w:rsidR="003250E2" w:rsidRPr="00AF5FEF">
        <w:rPr>
          <w:rFonts w:ascii="Times New Roman" w:hAnsi="Times New Roman" w:cs="Times New Roman"/>
          <w:sz w:val="24"/>
          <w:szCs w:val="24"/>
          <w:lang w:val="lt-LT"/>
        </w:rPr>
        <w:t xml:space="preserve"> </w:t>
      </w:r>
    </w:p>
    <w:p w:rsidR="00513AFF" w:rsidRDefault="00836A37" w:rsidP="00C03306">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Atlikus skaičiavimus su SPSS programos paketu, patvirtinti</w:t>
      </w:r>
      <w:r w:rsidR="00A16DBB" w:rsidRPr="003250E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kai kurios anksčiau aptartos tendencijos, kurios pastebėtos lyginant rodiklių vidurkius, tarkim </w:t>
      </w:r>
      <w:r w:rsidR="00A16DBB" w:rsidRPr="003250E2">
        <w:rPr>
          <w:rFonts w:ascii="Times New Roman" w:hAnsi="Times New Roman" w:cs="Times New Roman"/>
          <w:sz w:val="24"/>
          <w:szCs w:val="24"/>
          <w:lang w:val="lt-LT"/>
        </w:rPr>
        <w:t>toki kaip turto grąžos rodiklio skirtumas lyginat rizikingesnes įmones su tomis, kurioms poveikio pr</w:t>
      </w:r>
      <w:r w:rsidR="003250E2">
        <w:rPr>
          <w:rFonts w:ascii="Times New Roman" w:hAnsi="Times New Roman" w:cs="Times New Roman"/>
          <w:sz w:val="24"/>
          <w:szCs w:val="24"/>
          <w:lang w:val="lt-LT"/>
        </w:rPr>
        <w:t xml:space="preserve">iemonės nebuvo taikytos. </w:t>
      </w:r>
      <w:r w:rsidR="003250E2">
        <w:rPr>
          <w:rFonts w:ascii="Times New Roman" w:hAnsi="Times New Roman" w:cs="Times New Roman"/>
          <w:sz w:val="24"/>
          <w:szCs w:val="24"/>
          <w:lang w:val="lt-LT"/>
        </w:rPr>
        <w:lastRenderedPageBreak/>
        <w:t>Turto grą</w:t>
      </w:r>
      <w:r w:rsidR="00A16DBB" w:rsidRPr="003250E2">
        <w:rPr>
          <w:rFonts w:ascii="Times New Roman" w:hAnsi="Times New Roman" w:cs="Times New Roman"/>
          <w:sz w:val="24"/>
          <w:szCs w:val="24"/>
          <w:lang w:val="lt-LT"/>
        </w:rPr>
        <w:t>žos rodikliui (ROA) pakitus vienetu, t.y. perėjus į aukštesnę grupę, nesėkmės rizika sumažėja 33 proc.</w:t>
      </w:r>
      <w:r w:rsidR="006B7938" w:rsidRPr="003250E2">
        <w:rPr>
          <w:rFonts w:ascii="Times New Roman" w:hAnsi="Times New Roman" w:cs="Times New Roman"/>
          <w:sz w:val="24"/>
          <w:szCs w:val="24"/>
          <w:lang w:val="lt-LT"/>
        </w:rPr>
        <w:t>((1-0.671)*100 proc.)</w:t>
      </w:r>
      <w:r w:rsidR="00A16DBB" w:rsidRPr="003250E2">
        <w:rPr>
          <w:rFonts w:ascii="Times New Roman" w:hAnsi="Times New Roman" w:cs="Times New Roman"/>
          <w:sz w:val="24"/>
          <w:szCs w:val="24"/>
          <w:lang w:val="lt-LT"/>
        </w:rPr>
        <w:t xml:space="preserve">. </w:t>
      </w:r>
    </w:p>
    <w:p w:rsidR="002E0F57" w:rsidRPr="003250E2" w:rsidRDefault="00836A37" w:rsidP="00C03306">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w:t>
      </w:r>
      <w:r w:rsidR="006B7938" w:rsidRPr="003250E2">
        <w:rPr>
          <w:rFonts w:ascii="Times New Roman" w:hAnsi="Times New Roman" w:cs="Times New Roman"/>
          <w:sz w:val="24"/>
          <w:szCs w:val="24"/>
          <w:lang w:val="lt-LT"/>
        </w:rPr>
        <w:t xml:space="preserve">ikvidumo rodiklis, </w:t>
      </w:r>
      <w:r w:rsidR="00A16DBB" w:rsidRPr="003250E2">
        <w:rPr>
          <w:rFonts w:ascii="Times New Roman" w:hAnsi="Times New Roman" w:cs="Times New Roman"/>
          <w:sz w:val="24"/>
          <w:szCs w:val="24"/>
          <w:lang w:val="lt-LT"/>
        </w:rPr>
        <w:t>kuris šiame darbe apskaičiuotas paga</w:t>
      </w:r>
      <w:r w:rsidR="006B7938" w:rsidRPr="003250E2">
        <w:rPr>
          <w:rFonts w:ascii="Times New Roman" w:hAnsi="Times New Roman" w:cs="Times New Roman"/>
          <w:sz w:val="24"/>
          <w:szCs w:val="24"/>
          <w:lang w:val="lt-LT"/>
        </w:rPr>
        <w:t>l Lietuvos banko rekomendacijas, sumažina nesėkmės riziką 66,5 proc. Kuo didesnis likvidumo rodiklis, tuo mažesnė kredito unijos rizika. Šis rodiklis</w:t>
      </w:r>
      <w:r>
        <w:rPr>
          <w:rFonts w:ascii="Times New Roman" w:hAnsi="Times New Roman" w:cs="Times New Roman"/>
          <w:sz w:val="24"/>
          <w:szCs w:val="24"/>
          <w:lang w:val="lt-LT"/>
        </w:rPr>
        <w:t xml:space="preserve"> taip pat</w:t>
      </w:r>
      <w:r w:rsidR="006B7938" w:rsidRPr="003250E2">
        <w:rPr>
          <w:rFonts w:ascii="Times New Roman" w:hAnsi="Times New Roman" w:cs="Times New Roman"/>
          <w:sz w:val="24"/>
          <w:szCs w:val="24"/>
          <w:lang w:val="lt-LT"/>
        </w:rPr>
        <w:t xml:space="preserve"> yra tiesiogiai susijęs su galimomis poveikio priemonėmis, nes įvykdžius likvidumo normatyvą sumažėja tikimybė, kad priežiūros institucija nubaus.</w:t>
      </w:r>
    </w:p>
    <w:p w:rsidR="00C03306" w:rsidRDefault="00C03306" w:rsidP="00C03306">
      <w:pPr>
        <w:spacing w:line="360" w:lineRule="auto"/>
        <w:ind w:firstLine="720"/>
        <w:jc w:val="both"/>
        <w:rPr>
          <w:rFonts w:ascii="Times New Roman" w:hAnsi="Times New Roman" w:cs="Times New Roman"/>
          <w:sz w:val="24"/>
          <w:szCs w:val="24"/>
          <w:lang w:val="lt-LT"/>
        </w:rPr>
      </w:pPr>
      <w:r w:rsidRPr="003250E2">
        <w:rPr>
          <w:rFonts w:ascii="Times New Roman" w:hAnsi="Times New Roman" w:cs="Times New Roman"/>
          <w:sz w:val="24"/>
          <w:szCs w:val="24"/>
          <w:lang w:val="lt-LT"/>
        </w:rPr>
        <w:t>Dar vienas iš kredito unijų riziką įtakojančių rodiklių - s</w:t>
      </w:r>
      <w:r w:rsidR="006B7938" w:rsidRPr="003250E2">
        <w:rPr>
          <w:rFonts w:ascii="Times New Roman" w:hAnsi="Times New Roman" w:cs="Times New Roman"/>
          <w:sz w:val="24"/>
          <w:szCs w:val="24"/>
          <w:lang w:val="lt-LT"/>
        </w:rPr>
        <w:t xml:space="preserve">pecialiųjų </w:t>
      </w:r>
      <w:r w:rsidRPr="003250E2">
        <w:rPr>
          <w:rFonts w:ascii="Times New Roman" w:hAnsi="Times New Roman" w:cs="Times New Roman"/>
          <w:sz w:val="24"/>
          <w:szCs w:val="24"/>
          <w:lang w:val="lt-LT"/>
        </w:rPr>
        <w:t>atidėjinių ir paskolų santykis. Šio rodiklio padidėjimas vienetu, lemia beveik dvigubai padidėjusią riziką. Rodiklis yra tuo didesnis, kuo daugiau rizikingų bei nuostolingų paskolų turi kredito unija</w:t>
      </w:r>
      <w:r w:rsidR="00836A37">
        <w:rPr>
          <w:rFonts w:ascii="Times New Roman" w:hAnsi="Times New Roman" w:cs="Times New Roman"/>
          <w:sz w:val="24"/>
          <w:szCs w:val="24"/>
          <w:lang w:val="lt-LT"/>
        </w:rPr>
        <w:t xml:space="preserve">. Visgi, pasak Lietuvos banko, </w:t>
      </w:r>
      <w:r w:rsidRPr="003250E2">
        <w:rPr>
          <w:rFonts w:ascii="Times New Roman" w:hAnsi="Times New Roman" w:cs="Times New Roman"/>
          <w:sz w:val="24"/>
          <w:szCs w:val="24"/>
          <w:lang w:val="lt-LT"/>
        </w:rPr>
        <w:t>ne visos kredito unijos tinkamai įvertina kredito riziką ir atitinkamai priskiria paskolas tam tikrai r</w:t>
      </w:r>
      <w:r w:rsidR="00836A37">
        <w:rPr>
          <w:rFonts w:ascii="Times New Roman" w:hAnsi="Times New Roman" w:cs="Times New Roman"/>
          <w:sz w:val="24"/>
          <w:szCs w:val="24"/>
          <w:lang w:val="lt-LT"/>
        </w:rPr>
        <w:t>izikos grupei, t</w:t>
      </w:r>
      <w:r w:rsidRPr="003250E2">
        <w:rPr>
          <w:rFonts w:ascii="Times New Roman" w:hAnsi="Times New Roman" w:cs="Times New Roman"/>
          <w:sz w:val="24"/>
          <w:szCs w:val="24"/>
          <w:lang w:val="lt-LT"/>
        </w:rPr>
        <w:t xml:space="preserve">odėl gali būti ir daugiau kredito unijų, kurių šio rodiklio reikšmė yra didesnė. </w:t>
      </w:r>
      <w:r w:rsidR="00EE4FA4">
        <w:rPr>
          <w:rFonts w:ascii="Times New Roman" w:hAnsi="Times New Roman" w:cs="Times New Roman"/>
          <w:sz w:val="24"/>
          <w:szCs w:val="24"/>
          <w:lang w:val="lt-LT"/>
        </w:rPr>
        <w:t>Šis rodiklis pagal Voldo testą yra mažiausiai reikšmingas visame modelyje.</w:t>
      </w:r>
    </w:p>
    <w:p w:rsidR="008F6000" w:rsidRPr="004C798C" w:rsidRDefault="00836A37" w:rsidP="008F6000">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Ketvirtasis modelyje reikšmingas rodiklis – veiklos pajamų ir turto santykis. Nors a</w:t>
      </w:r>
      <w:r w:rsidR="008F6000">
        <w:rPr>
          <w:rFonts w:ascii="Times New Roman" w:hAnsi="Times New Roman" w:cs="Times New Roman"/>
          <w:sz w:val="24"/>
          <w:szCs w:val="24"/>
          <w:lang w:val="lt-LT"/>
        </w:rPr>
        <w:t>pskaičiavus vidurkį, veiklos pajamų ir turto santykio reikšmės rizikingesnėms kredito unijoms</w:t>
      </w:r>
      <w:r>
        <w:rPr>
          <w:rFonts w:ascii="Times New Roman" w:hAnsi="Times New Roman" w:cs="Times New Roman"/>
          <w:sz w:val="24"/>
          <w:szCs w:val="24"/>
          <w:lang w:val="lt-LT"/>
        </w:rPr>
        <w:t xml:space="preserve"> skyrėsi neženkliai</w:t>
      </w:r>
      <w:r w:rsidR="008F6000">
        <w:rPr>
          <w:rFonts w:ascii="Times New Roman" w:hAnsi="Times New Roman" w:cs="Times New Roman"/>
          <w:sz w:val="24"/>
          <w:szCs w:val="24"/>
          <w:lang w:val="lt-LT"/>
        </w:rPr>
        <w:t xml:space="preserve"> </w:t>
      </w:r>
      <w:r w:rsidR="0028640D">
        <w:rPr>
          <w:rFonts w:ascii="Times New Roman" w:hAnsi="Times New Roman" w:cs="Times New Roman"/>
          <w:sz w:val="24"/>
          <w:szCs w:val="24"/>
          <w:lang w:val="lt-LT"/>
        </w:rPr>
        <w:t>(</w:t>
      </w:r>
      <w:proofErr w:type="spellStart"/>
      <w:r w:rsidR="0028640D">
        <w:rPr>
          <w:rFonts w:ascii="Times New Roman" w:hAnsi="Times New Roman" w:cs="Times New Roman"/>
          <w:sz w:val="24"/>
          <w:szCs w:val="24"/>
          <w:lang w:val="lt-LT"/>
        </w:rPr>
        <w:t>žr</w:t>
      </w:r>
      <w:proofErr w:type="spellEnd"/>
      <w:r w:rsidR="0028640D">
        <w:rPr>
          <w:rFonts w:ascii="Times New Roman" w:hAnsi="Times New Roman" w:cs="Times New Roman"/>
          <w:sz w:val="24"/>
          <w:szCs w:val="24"/>
          <w:lang w:val="lt-LT"/>
        </w:rPr>
        <w:t xml:space="preserve">. </w:t>
      </w:r>
      <w:r w:rsidR="0028640D" w:rsidRPr="00185A64">
        <w:rPr>
          <w:rFonts w:ascii="Times New Roman" w:hAnsi="Times New Roman" w:cs="Times New Roman"/>
          <w:sz w:val="24"/>
          <w:szCs w:val="24"/>
          <w:lang w:val="lt-LT"/>
        </w:rPr>
        <w:t>2 pried</w:t>
      </w:r>
      <w:r w:rsidR="0028640D">
        <w:rPr>
          <w:rFonts w:ascii="Times New Roman" w:hAnsi="Times New Roman" w:cs="Times New Roman"/>
          <w:sz w:val="24"/>
          <w:szCs w:val="24"/>
          <w:lang w:val="lt-LT"/>
        </w:rPr>
        <w:t>ą)</w:t>
      </w:r>
      <w:r>
        <w:rPr>
          <w:rFonts w:ascii="Times New Roman" w:hAnsi="Times New Roman" w:cs="Times New Roman"/>
          <w:sz w:val="24"/>
          <w:szCs w:val="24"/>
          <w:lang w:val="lt-LT"/>
        </w:rPr>
        <w:t xml:space="preserve"> nuo tų kredito unijų,</w:t>
      </w:r>
      <w:r w:rsidR="008F6000">
        <w:rPr>
          <w:rFonts w:ascii="Times New Roman" w:hAnsi="Times New Roman" w:cs="Times New Roman"/>
          <w:sz w:val="24"/>
          <w:szCs w:val="24"/>
          <w:lang w:val="lt-LT"/>
        </w:rPr>
        <w:t xml:space="preserve"> kurioms netaikytos poveikio priemonės, tačiau šiuo atveju vidurkis neatspindi situacijos, tai geriau atlieka standartinis nuokrypis bei mažiausios ir didžiausios rodiklio reikšmės, pagal kuriuos rizikingesnių kredito unijų rodiklis yra labiau išsisklaidęs ir įgauna didesnes reikšmes nei mažesnės rizikos kredito unijos.</w:t>
      </w:r>
      <w:r w:rsidR="00513AFF">
        <w:rPr>
          <w:rFonts w:ascii="Times New Roman" w:hAnsi="Times New Roman" w:cs="Times New Roman"/>
          <w:sz w:val="24"/>
          <w:szCs w:val="24"/>
          <w:lang w:val="lt-LT"/>
        </w:rPr>
        <w:t xml:space="preserve"> Jeigu būtų analizuojamas kredito unijų efektyvumas tai didesnė veiklos pajamų ir turto santykio reikšmė reikštų efektyvesnį turto</w:t>
      </w:r>
      <w:r w:rsidR="004C798C">
        <w:rPr>
          <w:rFonts w:ascii="Times New Roman" w:hAnsi="Times New Roman" w:cs="Times New Roman"/>
          <w:sz w:val="24"/>
          <w:szCs w:val="24"/>
          <w:lang w:val="lt-LT"/>
        </w:rPr>
        <w:t xml:space="preserve"> panaudojimą pajamoms uždirbti, tačiau analizuojant rizikingumą pagal Kokso proporcingosios rizikos modelį, šiam rodikliui padidėjus vienetu, santykinės rizikos koeficientas padidėja daugiau nei tris kartus.</w:t>
      </w:r>
    </w:p>
    <w:p w:rsidR="002A3579" w:rsidRDefault="0085500F" w:rsidP="002A3579">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Vienas iš rodiklių, kurio padidėjimas </w:t>
      </w:r>
      <w:r w:rsidR="004C798C">
        <w:rPr>
          <w:rFonts w:ascii="Times New Roman" w:hAnsi="Times New Roman" w:cs="Times New Roman"/>
          <w:sz w:val="24"/>
          <w:szCs w:val="24"/>
          <w:lang w:val="lt-LT"/>
        </w:rPr>
        <w:t>taip pat</w:t>
      </w:r>
      <w:r>
        <w:rPr>
          <w:rFonts w:ascii="Times New Roman" w:hAnsi="Times New Roman" w:cs="Times New Roman"/>
          <w:sz w:val="24"/>
          <w:szCs w:val="24"/>
          <w:lang w:val="lt-LT"/>
        </w:rPr>
        <w:t xml:space="preserve"> </w:t>
      </w:r>
      <w:r w:rsidR="004C798C">
        <w:rPr>
          <w:rFonts w:ascii="Times New Roman" w:hAnsi="Times New Roman" w:cs="Times New Roman"/>
          <w:sz w:val="24"/>
          <w:szCs w:val="24"/>
          <w:lang w:val="lt-LT"/>
        </w:rPr>
        <w:t xml:space="preserve">daro </w:t>
      </w:r>
      <w:r>
        <w:rPr>
          <w:rFonts w:ascii="Times New Roman" w:hAnsi="Times New Roman" w:cs="Times New Roman"/>
          <w:sz w:val="24"/>
          <w:szCs w:val="24"/>
          <w:lang w:val="lt-LT"/>
        </w:rPr>
        <w:t xml:space="preserve">įtaką kredito unijų rizikingumui - investicijų į vertybinius popierius ir turto santykis. Kai šis rodiklis padidėja vienetu ir patenka į kitą grupę, tai santykinės rizikos koeficientas padidėja </w:t>
      </w:r>
      <w:r w:rsidRPr="00AF5FEF">
        <w:rPr>
          <w:rFonts w:ascii="Times New Roman" w:hAnsi="Times New Roman" w:cs="Times New Roman"/>
          <w:sz w:val="24"/>
          <w:szCs w:val="24"/>
          <w:lang w:val="lt-LT"/>
        </w:rPr>
        <w:t>77 proc</w:t>
      </w:r>
      <w:r w:rsidRPr="00400426">
        <w:rPr>
          <w:rFonts w:ascii="Times New Roman" w:hAnsi="Times New Roman" w:cs="Times New Roman"/>
          <w:sz w:val="24"/>
          <w:szCs w:val="24"/>
          <w:lang w:val="lt-LT"/>
        </w:rPr>
        <w:t xml:space="preserve">., tai patvirtina anksčiau pateiktą prielaidą, jog </w:t>
      </w:r>
      <w:r>
        <w:rPr>
          <w:rFonts w:ascii="Times New Roman" w:hAnsi="Times New Roman" w:cs="Times New Roman"/>
          <w:sz w:val="24"/>
          <w:szCs w:val="24"/>
          <w:lang w:val="lt-LT"/>
        </w:rPr>
        <w:t xml:space="preserve">kredito unijos, </w:t>
      </w:r>
      <w:r w:rsidR="004C798C">
        <w:rPr>
          <w:rFonts w:ascii="Times New Roman" w:hAnsi="Times New Roman" w:cs="Times New Roman"/>
          <w:sz w:val="24"/>
          <w:szCs w:val="24"/>
          <w:lang w:val="lt-LT"/>
        </w:rPr>
        <w:t xml:space="preserve">kurios daugiau lėšų investuoja į vertybinius </w:t>
      </w:r>
      <w:r>
        <w:rPr>
          <w:rFonts w:ascii="Times New Roman" w:hAnsi="Times New Roman" w:cs="Times New Roman"/>
          <w:sz w:val="24"/>
          <w:szCs w:val="24"/>
          <w:lang w:val="lt-LT"/>
        </w:rPr>
        <w:t>yra rizikingesnės.</w:t>
      </w:r>
    </w:p>
    <w:p w:rsidR="00FA0D12" w:rsidRDefault="00FA0D12" w:rsidP="002A3579">
      <w:pPr>
        <w:spacing w:line="360" w:lineRule="auto"/>
        <w:ind w:firstLine="720"/>
        <w:jc w:val="both"/>
        <w:rPr>
          <w:rFonts w:ascii="Times New Roman" w:hAnsi="Times New Roman" w:cs="Times New Roman"/>
          <w:sz w:val="24"/>
          <w:szCs w:val="24"/>
          <w:lang w:val="lt-LT"/>
        </w:rPr>
      </w:pPr>
    </w:p>
    <w:p w:rsidR="00955C7F" w:rsidRPr="00734657" w:rsidRDefault="00955C7F" w:rsidP="00734657">
      <w:pPr>
        <w:pStyle w:val="Heading1"/>
        <w:jc w:val="center"/>
        <w:rPr>
          <w:rFonts w:ascii="Times New Roman" w:hAnsi="Times New Roman" w:cs="Times New Roman"/>
          <w:sz w:val="24"/>
          <w:szCs w:val="24"/>
        </w:rPr>
      </w:pPr>
      <w:bookmarkStart w:id="125" w:name="_Toc383784116"/>
      <w:bookmarkStart w:id="126" w:name="_Toc384567328"/>
      <w:bookmarkStart w:id="127" w:name="_Toc384570765"/>
      <w:r w:rsidRPr="00734657">
        <w:rPr>
          <w:rFonts w:ascii="Times New Roman" w:hAnsi="Times New Roman" w:cs="Times New Roman"/>
          <w:sz w:val="24"/>
          <w:szCs w:val="24"/>
        </w:rPr>
        <w:lastRenderedPageBreak/>
        <w:t>11 lentelė. Rodiklių ir rizikos kitimas</w:t>
      </w:r>
      <w:bookmarkEnd w:id="125"/>
      <w:bookmarkEnd w:id="126"/>
      <w:bookmarkEnd w:id="127"/>
    </w:p>
    <w:tbl>
      <w:tblPr>
        <w:tblW w:w="4721" w:type="dxa"/>
        <w:jc w:val="center"/>
        <w:tblInd w:w="93" w:type="dxa"/>
        <w:tblLook w:val="04A0" w:firstRow="1" w:lastRow="0" w:firstColumn="1" w:lastColumn="0" w:noHBand="0" w:noVBand="1"/>
      </w:tblPr>
      <w:tblGrid>
        <w:gridCol w:w="960"/>
        <w:gridCol w:w="1800"/>
        <w:gridCol w:w="1961"/>
      </w:tblGrid>
      <w:tr w:rsidR="00955C7F" w:rsidRPr="00955C7F" w:rsidTr="00955C7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Rodiklio kitimas</w:t>
            </w:r>
          </w:p>
        </w:tc>
        <w:tc>
          <w:tcPr>
            <w:tcW w:w="1961" w:type="dxa"/>
            <w:tcBorders>
              <w:top w:val="single" w:sz="4" w:space="0" w:color="auto"/>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Rizikos kitimas</w:t>
            </w:r>
          </w:p>
        </w:tc>
      </w:tr>
      <w:tr w:rsidR="00955C7F" w:rsidRPr="00955C7F" w:rsidTr="00955C7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ROA</w:t>
            </w:r>
          </w:p>
        </w:tc>
        <w:tc>
          <w:tcPr>
            <w:tcW w:w="1800"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c>
          <w:tcPr>
            <w:tcW w:w="1961"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r>
      <w:tr w:rsidR="00955C7F" w:rsidRPr="00955C7F" w:rsidTr="00955C7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LIKV</w:t>
            </w:r>
          </w:p>
        </w:tc>
        <w:tc>
          <w:tcPr>
            <w:tcW w:w="1800"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c>
          <w:tcPr>
            <w:tcW w:w="1961"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r>
      <w:tr w:rsidR="00955C7F" w:rsidRPr="00955C7F" w:rsidTr="00955C7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SAPS</w:t>
            </w:r>
          </w:p>
        </w:tc>
        <w:tc>
          <w:tcPr>
            <w:tcW w:w="1800"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c>
          <w:tcPr>
            <w:tcW w:w="1961"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r>
      <w:tr w:rsidR="00955C7F" w:rsidRPr="00955C7F" w:rsidTr="00955C7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VPT</w:t>
            </w:r>
          </w:p>
        </w:tc>
        <w:tc>
          <w:tcPr>
            <w:tcW w:w="1800"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c>
          <w:tcPr>
            <w:tcW w:w="1961"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r>
      <w:tr w:rsidR="00955C7F" w:rsidRPr="00955C7F" w:rsidTr="00955C7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INVT</w:t>
            </w:r>
          </w:p>
        </w:tc>
        <w:tc>
          <w:tcPr>
            <w:tcW w:w="1800"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c>
          <w:tcPr>
            <w:tcW w:w="1961"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r>
      <w:tr w:rsidR="00955C7F" w:rsidRPr="00955C7F" w:rsidTr="00955C7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BAS</w:t>
            </w:r>
          </w:p>
        </w:tc>
        <w:tc>
          <w:tcPr>
            <w:tcW w:w="1800"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c>
          <w:tcPr>
            <w:tcW w:w="1961" w:type="dxa"/>
            <w:tcBorders>
              <w:top w:val="nil"/>
              <w:left w:val="nil"/>
              <w:bottom w:val="single" w:sz="4" w:space="0" w:color="auto"/>
              <w:right w:val="single" w:sz="4" w:space="0" w:color="auto"/>
            </w:tcBorders>
            <w:shd w:val="clear" w:color="auto" w:fill="auto"/>
            <w:noWrap/>
            <w:vAlign w:val="bottom"/>
            <w:hideMark/>
          </w:tcPr>
          <w:p w:rsidR="00955C7F" w:rsidRPr="00955C7F" w:rsidRDefault="00955C7F" w:rsidP="00955C7F">
            <w:pPr>
              <w:spacing w:after="0" w:line="240" w:lineRule="auto"/>
              <w:rPr>
                <w:rFonts w:ascii="Times New Roman" w:eastAsia="Times New Roman" w:hAnsi="Times New Roman" w:cs="Times New Roman"/>
                <w:color w:val="000000"/>
                <w:kern w:val="0"/>
                <w:sz w:val="20"/>
                <w:szCs w:val="20"/>
                <w:lang w:val="lt-LT" w:eastAsia="lt-LT"/>
                <w14:ligatures w14:val="none"/>
              </w:rPr>
            </w:pPr>
            <w:r w:rsidRPr="00955C7F">
              <w:rPr>
                <w:rFonts w:ascii="Times New Roman" w:eastAsia="Times New Roman" w:hAnsi="Times New Roman" w:cs="Times New Roman"/>
                <w:color w:val="000000"/>
                <w:kern w:val="0"/>
                <w:sz w:val="20"/>
                <w:szCs w:val="20"/>
                <w:lang w:val="lt-LT" w:eastAsia="lt-LT"/>
                <w14:ligatures w14:val="none"/>
              </w:rPr>
              <w:t>↓</w:t>
            </w:r>
          </w:p>
        </w:tc>
      </w:tr>
    </w:tbl>
    <w:p w:rsidR="002A3579" w:rsidRDefault="002A3579" w:rsidP="00955C7F">
      <w:pPr>
        <w:spacing w:line="360" w:lineRule="auto"/>
        <w:ind w:firstLine="709"/>
        <w:jc w:val="both"/>
        <w:rPr>
          <w:rFonts w:ascii="Times New Roman" w:hAnsi="Times New Roman" w:cs="Times New Roman"/>
          <w:sz w:val="24"/>
          <w:szCs w:val="24"/>
          <w:lang w:val="lt-LT"/>
        </w:rPr>
      </w:pPr>
    </w:p>
    <w:p w:rsidR="00C16E8A" w:rsidRDefault="004C798C" w:rsidP="00955C7F">
      <w:pPr>
        <w:spacing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Pagal gautus Kokso proporcingosios rizikos modelio rezultatus, 11 lentelėje pateikiama informacija, kaip kintant rodikliams kinta rizika. </w:t>
      </w:r>
      <w:r w:rsidR="002A3579">
        <w:rPr>
          <w:rFonts w:ascii="Times New Roman" w:hAnsi="Times New Roman" w:cs="Times New Roman"/>
          <w:sz w:val="24"/>
          <w:szCs w:val="24"/>
          <w:lang w:val="lt-LT"/>
        </w:rPr>
        <w:t>ROA ir rizika veikia atvirkščiai, vienam mažėjant, kitas didėja. Taigi kai uždirbama mažiau grynojo pelno</w:t>
      </w:r>
      <w:r w:rsidR="00C16E8A">
        <w:rPr>
          <w:rFonts w:ascii="Times New Roman" w:hAnsi="Times New Roman" w:cs="Times New Roman"/>
          <w:sz w:val="24"/>
          <w:szCs w:val="24"/>
          <w:lang w:val="lt-LT"/>
        </w:rPr>
        <w:t xml:space="preserve">, </w:t>
      </w:r>
      <w:r w:rsidR="002A3579">
        <w:rPr>
          <w:rFonts w:ascii="Times New Roman" w:hAnsi="Times New Roman" w:cs="Times New Roman"/>
          <w:sz w:val="24"/>
          <w:szCs w:val="24"/>
          <w:lang w:val="lt-LT"/>
        </w:rPr>
        <w:t>rizika didėja</w:t>
      </w:r>
      <w:r w:rsidR="00C16E8A">
        <w:rPr>
          <w:rFonts w:ascii="Times New Roman" w:hAnsi="Times New Roman" w:cs="Times New Roman"/>
          <w:sz w:val="24"/>
          <w:szCs w:val="24"/>
          <w:lang w:val="lt-LT"/>
        </w:rPr>
        <w:t>, tačiau veiklos pajamų ir turto santykio</w:t>
      </w:r>
      <w:r w:rsidR="002A3579">
        <w:rPr>
          <w:rFonts w:ascii="Times New Roman" w:hAnsi="Times New Roman" w:cs="Times New Roman"/>
          <w:sz w:val="24"/>
          <w:szCs w:val="24"/>
          <w:lang w:val="lt-LT"/>
        </w:rPr>
        <w:t xml:space="preserve"> (VPT)</w:t>
      </w:r>
      <w:r w:rsidR="00C16E8A">
        <w:rPr>
          <w:rFonts w:ascii="Times New Roman" w:hAnsi="Times New Roman" w:cs="Times New Roman"/>
          <w:sz w:val="24"/>
          <w:szCs w:val="24"/>
          <w:lang w:val="lt-LT"/>
        </w:rPr>
        <w:t xml:space="preserve"> rodiklio padidėjimas lemia didesnę riziką, o tuo tarpu bendrųjų ir administracinių sąnaudų ir visų sąnaudų santykiui padidėjus vienetu – ri</w:t>
      </w:r>
      <w:r w:rsidR="002A3579">
        <w:rPr>
          <w:rFonts w:ascii="Times New Roman" w:hAnsi="Times New Roman" w:cs="Times New Roman"/>
          <w:sz w:val="24"/>
          <w:szCs w:val="24"/>
          <w:lang w:val="lt-LT"/>
        </w:rPr>
        <w:t>zika ženkliai sumažėja, nors vertinant pagal veiklos efektyvumą, ši</w:t>
      </w:r>
      <w:r>
        <w:rPr>
          <w:rFonts w:ascii="Times New Roman" w:hAnsi="Times New Roman" w:cs="Times New Roman"/>
          <w:sz w:val="24"/>
          <w:szCs w:val="24"/>
          <w:lang w:val="lt-LT"/>
        </w:rPr>
        <w:t>o rodiklio reikšmė turėtų būti kuo mažesnė.</w:t>
      </w:r>
      <w:r w:rsidR="002A3579">
        <w:rPr>
          <w:rFonts w:ascii="Times New Roman" w:hAnsi="Times New Roman" w:cs="Times New Roman"/>
          <w:sz w:val="24"/>
          <w:szCs w:val="24"/>
          <w:lang w:val="lt-LT"/>
        </w:rPr>
        <w:t xml:space="preserve"> </w:t>
      </w:r>
      <w:r w:rsidR="00A11EBB">
        <w:rPr>
          <w:rFonts w:ascii="Times New Roman" w:hAnsi="Times New Roman" w:cs="Times New Roman"/>
          <w:sz w:val="24"/>
          <w:szCs w:val="24"/>
          <w:lang w:val="lt-LT"/>
        </w:rPr>
        <w:t>Tai leidžia daryti išvadą, jog rizikingos kredito unijos uždirba daugiau pajamų</w:t>
      </w:r>
      <w:r w:rsidR="002A3579">
        <w:rPr>
          <w:rFonts w:ascii="Times New Roman" w:hAnsi="Times New Roman" w:cs="Times New Roman"/>
          <w:sz w:val="24"/>
          <w:szCs w:val="24"/>
          <w:lang w:val="lt-LT"/>
        </w:rPr>
        <w:t>,</w:t>
      </w:r>
      <w:r w:rsidR="00A11EBB">
        <w:rPr>
          <w:rFonts w:ascii="Times New Roman" w:hAnsi="Times New Roman" w:cs="Times New Roman"/>
          <w:sz w:val="24"/>
          <w:szCs w:val="24"/>
          <w:lang w:val="lt-LT"/>
        </w:rPr>
        <w:t xml:space="preserve"> išleidžia </w:t>
      </w:r>
      <w:r w:rsidR="002A3579">
        <w:rPr>
          <w:rFonts w:ascii="Times New Roman" w:hAnsi="Times New Roman" w:cs="Times New Roman"/>
          <w:sz w:val="24"/>
          <w:szCs w:val="24"/>
          <w:lang w:val="lt-LT"/>
        </w:rPr>
        <w:t xml:space="preserve">mažesnę dalį </w:t>
      </w:r>
      <w:r w:rsidR="00A11EBB">
        <w:rPr>
          <w:rFonts w:ascii="Times New Roman" w:hAnsi="Times New Roman" w:cs="Times New Roman"/>
          <w:sz w:val="24"/>
          <w:szCs w:val="24"/>
          <w:lang w:val="lt-LT"/>
        </w:rPr>
        <w:t>bendrosioms</w:t>
      </w:r>
      <w:r w:rsidR="002A3579">
        <w:rPr>
          <w:rFonts w:ascii="Times New Roman" w:hAnsi="Times New Roman" w:cs="Times New Roman"/>
          <w:sz w:val="24"/>
          <w:szCs w:val="24"/>
          <w:lang w:val="lt-LT"/>
        </w:rPr>
        <w:t xml:space="preserve"> ir administracinėms</w:t>
      </w:r>
      <w:r w:rsidR="00A11EBB">
        <w:rPr>
          <w:rFonts w:ascii="Times New Roman" w:hAnsi="Times New Roman" w:cs="Times New Roman"/>
          <w:sz w:val="24"/>
          <w:szCs w:val="24"/>
          <w:lang w:val="lt-LT"/>
        </w:rPr>
        <w:t xml:space="preserve"> reikmėms, tačiau </w:t>
      </w:r>
      <w:r>
        <w:rPr>
          <w:rFonts w:ascii="Times New Roman" w:hAnsi="Times New Roman" w:cs="Times New Roman"/>
          <w:sz w:val="24"/>
          <w:szCs w:val="24"/>
          <w:lang w:val="lt-LT"/>
        </w:rPr>
        <w:t xml:space="preserve">taip pat </w:t>
      </w:r>
      <w:r w:rsidR="002A3579">
        <w:rPr>
          <w:rFonts w:ascii="Times New Roman" w:hAnsi="Times New Roman" w:cs="Times New Roman"/>
          <w:sz w:val="24"/>
          <w:szCs w:val="24"/>
          <w:lang w:val="lt-LT"/>
        </w:rPr>
        <w:t>uždirba mažiau pelno</w:t>
      </w:r>
      <w:r w:rsidR="00A11EBB">
        <w:rPr>
          <w:rFonts w:ascii="Times New Roman" w:hAnsi="Times New Roman" w:cs="Times New Roman"/>
          <w:sz w:val="24"/>
          <w:szCs w:val="24"/>
          <w:lang w:val="lt-LT"/>
        </w:rPr>
        <w:t>. Taigi iš visų sąnaudų eli</w:t>
      </w:r>
      <w:r w:rsidR="00AF5FEF">
        <w:rPr>
          <w:rFonts w:ascii="Times New Roman" w:hAnsi="Times New Roman" w:cs="Times New Roman"/>
          <w:sz w:val="24"/>
          <w:szCs w:val="24"/>
          <w:lang w:val="lt-LT"/>
        </w:rPr>
        <w:t>minavus bendrąsias</w:t>
      </w:r>
      <w:r w:rsidR="00A11EBB">
        <w:rPr>
          <w:rFonts w:ascii="Times New Roman" w:hAnsi="Times New Roman" w:cs="Times New Roman"/>
          <w:sz w:val="24"/>
          <w:szCs w:val="24"/>
          <w:lang w:val="lt-LT"/>
        </w:rPr>
        <w:t xml:space="preserve"> ir administracines</w:t>
      </w:r>
      <w:r w:rsidR="002A3579">
        <w:rPr>
          <w:rFonts w:ascii="Times New Roman" w:hAnsi="Times New Roman" w:cs="Times New Roman"/>
          <w:sz w:val="24"/>
          <w:szCs w:val="24"/>
          <w:lang w:val="lt-LT"/>
        </w:rPr>
        <w:t xml:space="preserve"> sąnaudas</w:t>
      </w:r>
      <w:r w:rsidR="00A11EBB">
        <w:rPr>
          <w:rFonts w:ascii="Times New Roman" w:hAnsi="Times New Roman" w:cs="Times New Roman"/>
          <w:sz w:val="24"/>
          <w:szCs w:val="24"/>
          <w:lang w:val="lt-LT"/>
        </w:rPr>
        <w:t xml:space="preserve">, lieka </w:t>
      </w:r>
      <w:r w:rsidR="00AE7160">
        <w:rPr>
          <w:rFonts w:ascii="Times New Roman" w:hAnsi="Times New Roman" w:cs="Times New Roman"/>
          <w:sz w:val="24"/>
          <w:szCs w:val="24"/>
          <w:lang w:val="lt-LT"/>
        </w:rPr>
        <w:t xml:space="preserve">didelę dalį sąnaudų užimančios </w:t>
      </w:r>
      <w:r w:rsidR="00A11EBB">
        <w:rPr>
          <w:rFonts w:ascii="Times New Roman" w:hAnsi="Times New Roman" w:cs="Times New Roman"/>
          <w:sz w:val="24"/>
          <w:szCs w:val="24"/>
          <w:lang w:val="lt-LT"/>
        </w:rPr>
        <w:t xml:space="preserve">palūkanų sąnaudos, </w:t>
      </w:r>
      <w:r w:rsidR="00AE7160">
        <w:rPr>
          <w:rFonts w:ascii="Times New Roman" w:hAnsi="Times New Roman" w:cs="Times New Roman"/>
          <w:sz w:val="24"/>
          <w:szCs w:val="24"/>
          <w:lang w:val="lt-LT"/>
        </w:rPr>
        <w:t xml:space="preserve">kurios </w:t>
      </w:r>
      <w:r w:rsidR="002A3579">
        <w:rPr>
          <w:rFonts w:ascii="Times New Roman" w:hAnsi="Times New Roman" w:cs="Times New Roman"/>
          <w:sz w:val="24"/>
          <w:szCs w:val="24"/>
          <w:lang w:val="lt-LT"/>
        </w:rPr>
        <w:t>daro įtaką šio skirtumo atsiradimui.</w:t>
      </w:r>
      <w:r w:rsidR="00A11EBB">
        <w:rPr>
          <w:rFonts w:ascii="Times New Roman" w:hAnsi="Times New Roman" w:cs="Times New Roman"/>
          <w:sz w:val="24"/>
          <w:szCs w:val="24"/>
          <w:lang w:val="lt-LT"/>
        </w:rPr>
        <w:t xml:space="preserve"> Palūkanų sąnaudos – už indėlius mokamos palūkanos bei skolinantis iš CKU, ar kitų k</w:t>
      </w:r>
      <w:r w:rsidR="00BD04D2">
        <w:rPr>
          <w:rFonts w:ascii="Times New Roman" w:hAnsi="Times New Roman" w:cs="Times New Roman"/>
          <w:sz w:val="24"/>
          <w:szCs w:val="24"/>
          <w:lang w:val="lt-LT"/>
        </w:rPr>
        <w:t xml:space="preserve">redito unijų. Todėl galime teigti, jog </w:t>
      </w:r>
      <w:r w:rsidR="00AE7160">
        <w:rPr>
          <w:rFonts w:ascii="Times New Roman" w:hAnsi="Times New Roman" w:cs="Times New Roman"/>
          <w:sz w:val="24"/>
          <w:szCs w:val="24"/>
          <w:lang w:val="lt-LT"/>
        </w:rPr>
        <w:t>rizikingos kredito unijos</w:t>
      </w:r>
      <w:r w:rsidR="00A11EBB">
        <w:rPr>
          <w:rFonts w:ascii="Times New Roman" w:hAnsi="Times New Roman" w:cs="Times New Roman"/>
          <w:sz w:val="24"/>
          <w:szCs w:val="24"/>
          <w:lang w:val="lt-LT"/>
        </w:rPr>
        <w:t xml:space="preserve"> brangia</w:t>
      </w:r>
      <w:r>
        <w:rPr>
          <w:rFonts w:ascii="Times New Roman" w:hAnsi="Times New Roman" w:cs="Times New Roman"/>
          <w:sz w:val="24"/>
          <w:szCs w:val="24"/>
          <w:lang w:val="lt-LT"/>
        </w:rPr>
        <w:t xml:space="preserve">u skolinasi </w:t>
      </w:r>
      <w:r w:rsidR="00BD04D2">
        <w:rPr>
          <w:rFonts w:ascii="Times New Roman" w:hAnsi="Times New Roman" w:cs="Times New Roman"/>
          <w:sz w:val="24"/>
          <w:szCs w:val="24"/>
          <w:lang w:val="lt-LT"/>
        </w:rPr>
        <w:t>bei</w:t>
      </w:r>
      <w:r w:rsidR="00A11EBB">
        <w:rPr>
          <w:rFonts w:ascii="Times New Roman" w:hAnsi="Times New Roman" w:cs="Times New Roman"/>
          <w:sz w:val="24"/>
          <w:szCs w:val="24"/>
          <w:lang w:val="lt-LT"/>
        </w:rPr>
        <w:t xml:space="preserve"> siūlo didesnes nei vidutinės rinkoje palūkanas už indėlius.</w:t>
      </w:r>
      <w:r w:rsidR="00C16E8A">
        <w:rPr>
          <w:rFonts w:ascii="Times New Roman" w:hAnsi="Times New Roman" w:cs="Times New Roman"/>
          <w:sz w:val="24"/>
          <w:szCs w:val="24"/>
          <w:lang w:val="lt-LT"/>
        </w:rPr>
        <w:t xml:space="preserve"> </w:t>
      </w:r>
    </w:p>
    <w:p w:rsidR="00513AFF" w:rsidRDefault="00EE4FA4" w:rsidP="0028640D">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Rizikos funkcija vadinama Kokso regresijos proporcingoji rizikos funkcija. Rizikos veiksniais šiuo atveju laikoma fin</w:t>
      </w:r>
      <w:r w:rsidR="0028640D">
        <w:rPr>
          <w:rFonts w:ascii="Times New Roman" w:hAnsi="Times New Roman" w:cs="Times New Roman"/>
          <w:sz w:val="24"/>
          <w:szCs w:val="24"/>
          <w:lang w:val="lt-LT"/>
        </w:rPr>
        <w:t>ansiniai rodikliai – turto grąža</w:t>
      </w:r>
      <w:r>
        <w:rPr>
          <w:rFonts w:ascii="Times New Roman" w:hAnsi="Times New Roman" w:cs="Times New Roman"/>
          <w:sz w:val="24"/>
          <w:szCs w:val="24"/>
          <w:lang w:val="lt-LT"/>
        </w:rPr>
        <w:t xml:space="preserve">, likvidumas, specialiųjų </w:t>
      </w:r>
      <w:proofErr w:type="spellStart"/>
      <w:r>
        <w:rPr>
          <w:rFonts w:ascii="Times New Roman" w:hAnsi="Times New Roman" w:cs="Times New Roman"/>
          <w:sz w:val="24"/>
          <w:szCs w:val="24"/>
          <w:lang w:val="lt-LT"/>
        </w:rPr>
        <w:t>atidėjinių</w:t>
      </w:r>
      <w:proofErr w:type="spellEnd"/>
      <w:r>
        <w:rPr>
          <w:rFonts w:ascii="Times New Roman" w:hAnsi="Times New Roman" w:cs="Times New Roman"/>
          <w:sz w:val="24"/>
          <w:szCs w:val="24"/>
          <w:lang w:val="lt-LT"/>
        </w:rPr>
        <w:t xml:space="preserve"> ir paskolų santykis, veiklos pajamų ir turto santykis investicijų į vertybinius popierius ir turto santykis bei bendrųjų ir administracinių sąnaudų ir visų sąnaudų santykis.</w:t>
      </w:r>
      <w:r w:rsidR="0028640D">
        <w:rPr>
          <w:rFonts w:ascii="Times New Roman" w:hAnsi="Times New Roman" w:cs="Times New Roman"/>
          <w:sz w:val="24"/>
          <w:szCs w:val="24"/>
          <w:lang w:val="lt-LT"/>
        </w:rPr>
        <w:t xml:space="preserve"> Iš LML (</w:t>
      </w:r>
      <w:proofErr w:type="spellStart"/>
      <w:r w:rsidR="0028640D">
        <w:rPr>
          <w:rFonts w:ascii="Times New Roman" w:hAnsi="Times New Roman" w:cs="Times New Roman"/>
          <w:sz w:val="24"/>
          <w:szCs w:val="24"/>
          <w:lang w:val="lt-LT"/>
        </w:rPr>
        <w:t>log-minus-log)</w:t>
      </w:r>
      <w:proofErr w:type="spellEnd"/>
      <w:r w:rsidR="0028640D">
        <w:rPr>
          <w:rFonts w:ascii="Times New Roman" w:hAnsi="Times New Roman" w:cs="Times New Roman"/>
          <w:sz w:val="24"/>
          <w:szCs w:val="24"/>
          <w:lang w:val="lt-LT"/>
        </w:rPr>
        <w:t xml:space="preserve"> grafikų (</w:t>
      </w:r>
      <w:proofErr w:type="spellStart"/>
      <w:r w:rsidR="0028640D">
        <w:rPr>
          <w:rFonts w:ascii="Times New Roman" w:hAnsi="Times New Roman" w:cs="Times New Roman"/>
          <w:sz w:val="24"/>
          <w:szCs w:val="24"/>
          <w:lang w:val="lt-LT"/>
        </w:rPr>
        <w:t>žr</w:t>
      </w:r>
      <w:proofErr w:type="spellEnd"/>
      <w:r w:rsidR="0028640D">
        <w:rPr>
          <w:rFonts w:ascii="Times New Roman" w:hAnsi="Times New Roman" w:cs="Times New Roman"/>
          <w:sz w:val="24"/>
          <w:szCs w:val="24"/>
          <w:lang w:val="lt-LT"/>
        </w:rPr>
        <w:t xml:space="preserve">. </w:t>
      </w:r>
      <w:r w:rsidR="0028640D" w:rsidRPr="00185A64">
        <w:rPr>
          <w:rFonts w:ascii="Times New Roman" w:hAnsi="Times New Roman" w:cs="Times New Roman"/>
          <w:sz w:val="24"/>
          <w:szCs w:val="24"/>
          <w:lang w:val="lt-LT"/>
        </w:rPr>
        <w:t>4 pried</w:t>
      </w:r>
      <w:r w:rsidR="0028640D">
        <w:rPr>
          <w:rFonts w:ascii="Times New Roman" w:hAnsi="Times New Roman" w:cs="Times New Roman"/>
          <w:sz w:val="24"/>
          <w:szCs w:val="24"/>
          <w:lang w:val="lt-LT"/>
        </w:rPr>
        <w:t>ą)</w:t>
      </w:r>
      <w:r w:rsidR="001C608B">
        <w:rPr>
          <w:rFonts w:ascii="Times New Roman" w:hAnsi="Times New Roman" w:cs="Times New Roman"/>
          <w:sz w:val="24"/>
          <w:szCs w:val="24"/>
          <w:lang w:val="lt-LT"/>
        </w:rPr>
        <w:t xml:space="preserve">, kuriame pateikiamos </w:t>
      </w:r>
      <w:proofErr w:type="spellStart"/>
      <w:r w:rsidR="001C608B" w:rsidRPr="001C608B">
        <w:rPr>
          <w:rFonts w:ascii="Times New Roman" w:hAnsi="Times New Roman" w:cs="Times New Roman"/>
          <w:i/>
          <w:sz w:val="24"/>
          <w:szCs w:val="24"/>
          <w:lang w:val="lt-LT"/>
        </w:rPr>
        <w:t>ln(-ln(S(t))</w:t>
      </w:r>
      <w:proofErr w:type="spellEnd"/>
      <w:r w:rsidR="001C608B">
        <w:rPr>
          <w:rFonts w:ascii="Times New Roman" w:hAnsi="Times New Roman" w:cs="Times New Roman"/>
          <w:i/>
          <w:sz w:val="24"/>
          <w:szCs w:val="24"/>
          <w:lang w:val="lt-LT"/>
        </w:rPr>
        <w:t xml:space="preserve"> </w:t>
      </w:r>
      <w:r w:rsidR="001C608B">
        <w:rPr>
          <w:rFonts w:ascii="Times New Roman" w:hAnsi="Times New Roman" w:cs="Times New Roman"/>
          <w:sz w:val="24"/>
          <w:szCs w:val="24"/>
          <w:lang w:val="lt-LT"/>
        </w:rPr>
        <w:t>reikšmės, galime įsitikinti Kokso proporcingosios rizikos modelio tinkamumu. Jeigu n</w:t>
      </w:r>
      <w:r w:rsidR="00513AFF" w:rsidRPr="000D37F1">
        <w:rPr>
          <w:rFonts w:ascii="Times New Roman" w:hAnsi="Times New Roman" w:cs="Times New Roman"/>
          <w:sz w:val="24"/>
          <w:szCs w:val="24"/>
          <w:lang w:val="lt-LT"/>
        </w:rPr>
        <w:t>ubraižius LML grafiką</w:t>
      </w:r>
      <w:r w:rsidR="001C608B">
        <w:rPr>
          <w:rFonts w:ascii="Times New Roman" w:hAnsi="Times New Roman" w:cs="Times New Roman"/>
          <w:sz w:val="24"/>
          <w:szCs w:val="24"/>
          <w:lang w:val="lt-LT"/>
        </w:rPr>
        <w:t xml:space="preserve">, </w:t>
      </w:r>
      <w:r w:rsidR="00513AFF" w:rsidRPr="000D37F1">
        <w:rPr>
          <w:rFonts w:ascii="Times New Roman" w:hAnsi="Times New Roman" w:cs="Times New Roman"/>
          <w:sz w:val="24"/>
          <w:szCs w:val="24"/>
          <w:lang w:val="lt-LT"/>
        </w:rPr>
        <w:t>kreivės nesusikerta ir atstumai tarp jų bet kuriuo laiko momentu yra pastov</w:t>
      </w:r>
      <w:r w:rsidR="00513AFF">
        <w:rPr>
          <w:rFonts w:ascii="Times New Roman" w:hAnsi="Times New Roman" w:cs="Times New Roman"/>
          <w:sz w:val="24"/>
          <w:szCs w:val="24"/>
          <w:lang w:val="lt-LT"/>
        </w:rPr>
        <w:t>ūs, taigi modelis yra tinkamas.</w:t>
      </w:r>
      <w:r w:rsidR="00AF5FEF">
        <w:rPr>
          <w:rFonts w:ascii="Times New Roman" w:hAnsi="Times New Roman" w:cs="Times New Roman"/>
          <w:sz w:val="24"/>
          <w:szCs w:val="24"/>
          <w:lang w:val="lt-LT"/>
        </w:rPr>
        <w:t xml:space="preserve"> </w:t>
      </w:r>
      <w:r w:rsidR="00955C7F">
        <w:rPr>
          <w:rFonts w:ascii="Times New Roman" w:hAnsi="Times New Roman" w:cs="Times New Roman"/>
          <w:sz w:val="24"/>
          <w:szCs w:val="24"/>
          <w:lang w:val="lt-LT"/>
        </w:rPr>
        <w:t>Tai patvirtina darbo pradžioje iškeltą hipotezę, kad Kokso proporcingosios rizikos modelis yra tinkamas kredito unijų veiklos rizikingumui vertinti.</w:t>
      </w:r>
    </w:p>
    <w:p w:rsidR="00FA0D12" w:rsidRDefault="00FA0D12" w:rsidP="0037020C">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w:t>
      </w:r>
      <w:r w:rsidR="00602470">
        <w:rPr>
          <w:rFonts w:ascii="Times New Roman" w:hAnsi="Times New Roman" w:cs="Times New Roman"/>
          <w:sz w:val="24"/>
          <w:szCs w:val="24"/>
          <w:lang w:val="lt-LT"/>
        </w:rPr>
        <w:t xml:space="preserve">pibendrinant atliktą tyrimą, </w:t>
      </w:r>
      <w:r w:rsidR="005A03DC">
        <w:rPr>
          <w:rFonts w:ascii="Times New Roman" w:hAnsi="Times New Roman" w:cs="Times New Roman"/>
          <w:sz w:val="24"/>
          <w:szCs w:val="24"/>
          <w:lang w:val="lt-LT"/>
        </w:rPr>
        <w:t>galime teigti, jog reikšmingiausiai parametrai vertinant kredito unijų veiklos rizikingumą – finansiniai rodikliai</w:t>
      </w:r>
      <w:r w:rsidR="0028640D">
        <w:rPr>
          <w:rFonts w:ascii="Times New Roman" w:hAnsi="Times New Roman" w:cs="Times New Roman"/>
          <w:sz w:val="24"/>
          <w:szCs w:val="24"/>
          <w:lang w:val="lt-LT"/>
        </w:rPr>
        <w:t>. R</w:t>
      </w:r>
      <w:r w:rsidR="005A03DC">
        <w:rPr>
          <w:rFonts w:ascii="Times New Roman" w:hAnsi="Times New Roman" w:cs="Times New Roman"/>
          <w:sz w:val="24"/>
          <w:szCs w:val="24"/>
          <w:lang w:val="lt-LT"/>
        </w:rPr>
        <w:t>emiantis Kokso proporcingosios rizikos modeliu atrinkti šeši parametrai atspindintys kredito unijų rizikingumą</w:t>
      </w:r>
      <w:r w:rsidR="0028640D">
        <w:rPr>
          <w:rFonts w:ascii="Times New Roman" w:hAnsi="Times New Roman" w:cs="Times New Roman"/>
          <w:sz w:val="24"/>
          <w:szCs w:val="24"/>
          <w:lang w:val="lt-LT"/>
        </w:rPr>
        <w:t xml:space="preserve">: turto grąža, likvidumas, specialiųjų </w:t>
      </w:r>
      <w:proofErr w:type="spellStart"/>
      <w:r w:rsidR="0028640D">
        <w:rPr>
          <w:rFonts w:ascii="Times New Roman" w:hAnsi="Times New Roman" w:cs="Times New Roman"/>
          <w:sz w:val="24"/>
          <w:szCs w:val="24"/>
          <w:lang w:val="lt-LT"/>
        </w:rPr>
        <w:t>atidėjinių</w:t>
      </w:r>
      <w:proofErr w:type="spellEnd"/>
      <w:r w:rsidR="0028640D">
        <w:rPr>
          <w:rFonts w:ascii="Times New Roman" w:hAnsi="Times New Roman" w:cs="Times New Roman"/>
          <w:sz w:val="24"/>
          <w:szCs w:val="24"/>
          <w:lang w:val="lt-LT"/>
        </w:rPr>
        <w:t xml:space="preserve"> ir paskolų santykis, veiklos pajamų ir turto santykis investicijų į vertybinius popierius ir turto santykis bei bendrųjų ir administracinių sąnaudų ir visų sąnaudų santykis</w:t>
      </w:r>
      <w:r w:rsidR="005A03DC">
        <w:rPr>
          <w:rFonts w:ascii="Times New Roman" w:hAnsi="Times New Roman" w:cs="Times New Roman"/>
          <w:sz w:val="24"/>
          <w:szCs w:val="24"/>
          <w:lang w:val="lt-LT"/>
        </w:rPr>
        <w:t>. Nefinansiniai rodikliai šiame modelyje buvo nereikšmingi, tačiau remiantis kitais išlikimo analizės metodais</w:t>
      </w:r>
      <w:r w:rsidR="0028640D">
        <w:rPr>
          <w:rFonts w:ascii="Times New Roman" w:hAnsi="Times New Roman" w:cs="Times New Roman"/>
          <w:sz w:val="24"/>
          <w:szCs w:val="24"/>
          <w:lang w:val="lt-LT"/>
        </w:rPr>
        <w:t xml:space="preserve"> (išlikimo lentelės, </w:t>
      </w:r>
      <w:proofErr w:type="spellStart"/>
      <w:r w:rsidR="0028640D">
        <w:rPr>
          <w:rFonts w:ascii="Times New Roman" w:hAnsi="Times New Roman" w:cs="Times New Roman"/>
          <w:sz w:val="24"/>
          <w:szCs w:val="24"/>
          <w:lang w:val="lt-LT"/>
        </w:rPr>
        <w:t>Vilkoksono</w:t>
      </w:r>
      <w:proofErr w:type="spellEnd"/>
      <w:r w:rsidR="005A03DC">
        <w:rPr>
          <w:rFonts w:ascii="Times New Roman" w:hAnsi="Times New Roman" w:cs="Times New Roman"/>
          <w:sz w:val="24"/>
          <w:szCs w:val="24"/>
          <w:lang w:val="lt-LT"/>
        </w:rPr>
        <w:t>,</w:t>
      </w:r>
      <w:r w:rsidR="0028640D">
        <w:rPr>
          <w:rFonts w:ascii="Times New Roman" w:hAnsi="Times New Roman" w:cs="Times New Roman"/>
          <w:sz w:val="24"/>
          <w:szCs w:val="24"/>
          <w:lang w:val="lt-LT"/>
        </w:rPr>
        <w:t xml:space="preserve"> logaritminis </w:t>
      </w:r>
      <w:proofErr w:type="spellStart"/>
      <w:r w:rsidR="0028640D">
        <w:rPr>
          <w:rFonts w:ascii="Times New Roman" w:hAnsi="Times New Roman" w:cs="Times New Roman"/>
          <w:sz w:val="24"/>
          <w:szCs w:val="24"/>
          <w:lang w:val="lt-LT"/>
        </w:rPr>
        <w:t>ranginis</w:t>
      </w:r>
      <w:proofErr w:type="spellEnd"/>
      <w:r w:rsidR="0028640D">
        <w:rPr>
          <w:rFonts w:ascii="Times New Roman" w:hAnsi="Times New Roman" w:cs="Times New Roman"/>
          <w:sz w:val="24"/>
          <w:szCs w:val="24"/>
          <w:lang w:val="lt-LT"/>
        </w:rPr>
        <w:t xml:space="preserve"> testai) </w:t>
      </w:r>
      <w:r w:rsidR="005A03DC">
        <w:rPr>
          <w:rFonts w:ascii="Times New Roman" w:hAnsi="Times New Roman" w:cs="Times New Roman"/>
          <w:sz w:val="24"/>
          <w:szCs w:val="24"/>
          <w:lang w:val="lt-LT"/>
        </w:rPr>
        <w:t xml:space="preserve"> buvo nustatyti </w:t>
      </w:r>
      <w:proofErr w:type="spellStart"/>
      <w:r w:rsidR="005A03DC">
        <w:rPr>
          <w:rFonts w:ascii="Times New Roman" w:hAnsi="Times New Roman" w:cs="Times New Roman"/>
          <w:sz w:val="24"/>
          <w:szCs w:val="24"/>
          <w:lang w:val="lt-LT"/>
        </w:rPr>
        <w:t>statistiškai</w:t>
      </w:r>
      <w:proofErr w:type="spellEnd"/>
      <w:r w:rsidR="005A03DC">
        <w:rPr>
          <w:rFonts w:ascii="Times New Roman" w:hAnsi="Times New Roman" w:cs="Times New Roman"/>
          <w:sz w:val="24"/>
          <w:szCs w:val="24"/>
          <w:lang w:val="lt-LT"/>
        </w:rPr>
        <w:t xml:space="preserve"> rei</w:t>
      </w:r>
      <w:r w:rsidR="0028640D">
        <w:rPr>
          <w:rFonts w:ascii="Times New Roman" w:hAnsi="Times New Roman" w:cs="Times New Roman"/>
          <w:sz w:val="24"/>
          <w:szCs w:val="24"/>
          <w:lang w:val="lt-LT"/>
        </w:rPr>
        <w:t>kšmingi nefinansinių rodiklių skirtumai tarp  tų  kredito unijų, kurios taikytos poveikio priemonės ir tų, kurioms netaikytos.</w:t>
      </w:r>
      <w:r w:rsidR="005A03DC">
        <w:rPr>
          <w:rFonts w:ascii="Times New Roman" w:hAnsi="Times New Roman" w:cs="Times New Roman"/>
          <w:sz w:val="24"/>
          <w:szCs w:val="24"/>
          <w:lang w:val="lt-LT"/>
        </w:rPr>
        <w:t xml:space="preserve"> </w:t>
      </w:r>
    </w:p>
    <w:p w:rsidR="002A3579" w:rsidRDefault="005A03DC" w:rsidP="0037020C">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pagal gautus tyrimo rezultatus, </w:t>
      </w:r>
      <w:r w:rsidR="00BD04D2">
        <w:rPr>
          <w:rFonts w:ascii="Times New Roman" w:hAnsi="Times New Roman" w:cs="Times New Roman"/>
          <w:sz w:val="24"/>
          <w:szCs w:val="24"/>
          <w:lang w:val="lt-LT"/>
        </w:rPr>
        <w:t>didesnio rizikingumo</w:t>
      </w:r>
      <w:r w:rsidR="00602470">
        <w:rPr>
          <w:rFonts w:ascii="Times New Roman" w:hAnsi="Times New Roman" w:cs="Times New Roman"/>
          <w:sz w:val="24"/>
          <w:szCs w:val="24"/>
          <w:lang w:val="lt-LT"/>
        </w:rPr>
        <w:t xml:space="preserve"> yra tos kredito unijos, kurios veikia didžiuosiuose miestuose ir nepriklauso Centrinės kredito unijos tinklui</w:t>
      </w:r>
      <w:r>
        <w:rPr>
          <w:rFonts w:ascii="Times New Roman" w:hAnsi="Times New Roman" w:cs="Times New Roman"/>
          <w:sz w:val="24"/>
          <w:szCs w:val="24"/>
          <w:lang w:val="lt-LT"/>
        </w:rPr>
        <w:t xml:space="preserve">, </w:t>
      </w:r>
      <w:r w:rsidR="001E4CF7">
        <w:rPr>
          <w:rFonts w:ascii="Times New Roman" w:hAnsi="Times New Roman" w:cs="Times New Roman"/>
          <w:sz w:val="24"/>
          <w:szCs w:val="24"/>
          <w:lang w:val="lt-LT"/>
        </w:rPr>
        <w:t>linkę daugiau investuoti į</w:t>
      </w:r>
      <w:r>
        <w:rPr>
          <w:rFonts w:ascii="Times New Roman" w:hAnsi="Times New Roman" w:cs="Times New Roman"/>
          <w:sz w:val="24"/>
          <w:szCs w:val="24"/>
          <w:lang w:val="lt-LT"/>
        </w:rPr>
        <w:t xml:space="preserve"> vertybinius popierius, </w:t>
      </w:r>
      <w:r w:rsidR="001E4CF7">
        <w:rPr>
          <w:rFonts w:ascii="Times New Roman" w:hAnsi="Times New Roman" w:cs="Times New Roman"/>
          <w:sz w:val="24"/>
          <w:szCs w:val="24"/>
          <w:lang w:val="lt-LT"/>
        </w:rPr>
        <w:t xml:space="preserve">aukštas </w:t>
      </w:r>
      <w:r>
        <w:rPr>
          <w:rFonts w:ascii="Times New Roman" w:hAnsi="Times New Roman" w:cs="Times New Roman"/>
          <w:sz w:val="24"/>
          <w:szCs w:val="24"/>
          <w:lang w:val="lt-LT"/>
        </w:rPr>
        <w:t xml:space="preserve">suteiktų paskolų rizikingumo </w:t>
      </w:r>
      <w:r w:rsidR="001E4CF7">
        <w:rPr>
          <w:rFonts w:ascii="Times New Roman" w:hAnsi="Times New Roman" w:cs="Times New Roman"/>
          <w:sz w:val="24"/>
          <w:szCs w:val="24"/>
          <w:lang w:val="lt-LT"/>
        </w:rPr>
        <w:t>rodiklis bei</w:t>
      </w:r>
      <w:r>
        <w:rPr>
          <w:rFonts w:ascii="Times New Roman" w:hAnsi="Times New Roman" w:cs="Times New Roman"/>
          <w:sz w:val="24"/>
          <w:szCs w:val="24"/>
          <w:lang w:val="lt-LT"/>
        </w:rPr>
        <w:t xml:space="preserve"> </w:t>
      </w:r>
      <w:r w:rsidR="003B01FB">
        <w:rPr>
          <w:rFonts w:ascii="Times New Roman" w:hAnsi="Times New Roman" w:cs="Times New Roman"/>
          <w:sz w:val="24"/>
          <w:szCs w:val="24"/>
          <w:lang w:val="lt-LT"/>
        </w:rPr>
        <w:t xml:space="preserve"> veiklos </w:t>
      </w:r>
      <w:r>
        <w:rPr>
          <w:rFonts w:ascii="Times New Roman" w:hAnsi="Times New Roman" w:cs="Times New Roman"/>
          <w:sz w:val="24"/>
          <w:szCs w:val="24"/>
          <w:lang w:val="lt-LT"/>
        </w:rPr>
        <w:t>pajamų ir turto santykis, tačiau veikla nuostolinga</w:t>
      </w:r>
      <w:r w:rsidR="00602470">
        <w:rPr>
          <w:rFonts w:ascii="Times New Roman" w:hAnsi="Times New Roman" w:cs="Times New Roman"/>
          <w:sz w:val="24"/>
          <w:szCs w:val="24"/>
          <w:lang w:val="lt-LT"/>
        </w:rPr>
        <w:t xml:space="preserve">. </w:t>
      </w:r>
    </w:p>
    <w:p w:rsidR="00BD04D2" w:rsidRDefault="00BD04D2" w:rsidP="0037020C">
      <w:pPr>
        <w:spacing w:line="360" w:lineRule="auto"/>
        <w:ind w:firstLine="720"/>
        <w:jc w:val="both"/>
        <w:rPr>
          <w:rFonts w:ascii="Times New Roman" w:hAnsi="Times New Roman" w:cs="Times New Roman"/>
          <w:sz w:val="24"/>
          <w:szCs w:val="24"/>
          <w:lang w:val="lt-LT"/>
        </w:rPr>
      </w:pPr>
    </w:p>
    <w:p w:rsidR="00DA7D88" w:rsidRDefault="00DA7D88" w:rsidP="00450C32">
      <w:pPr>
        <w:pStyle w:val="Heading1"/>
        <w:jc w:val="center"/>
        <w:rPr>
          <w:rFonts w:ascii="Times New Roman" w:hAnsi="Times New Roman" w:cs="Times New Roman"/>
          <w:sz w:val="28"/>
          <w:szCs w:val="28"/>
        </w:rPr>
      </w:pPr>
      <w:bookmarkStart w:id="128" w:name="_Toc383782879"/>
      <w:bookmarkStart w:id="129" w:name="_Toc383783632"/>
    </w:p>
    <w:p w:rsidR="00DA7D88" w:rsidRDefault="00DA7D88" w:rsidP="00450C32">
      <w:pPr>
        <w:pStyle w:val="Heading1"/>
        <w:jc w:val="center"/>
        <w:rPr>
          <w:rFonts w:ascii="Times New Roman" w:hAnsi="Times New Roman" w:cs="Times New Roman"/>
          <w:sz w:val="28"/>
          <w:szCs w:val="28"/>
        </w:rPr>
      </w:pPr>
    </w:p>
    <w:p w:rsidR="00DA7D88" w:rsidRDefault="00DA7D88" w:rsidP="00450C32">
      <w:pPr>
        <w:pStyle w:val="Heading1"/>
        <w:jc w:val="center"/>
        <w:rPr>
          <w:rFonts w:ascii="Times New Roman" w:hAnsi="Times New Roman" w:cs="Times New Roman"/>
          <w:sz w:val="28"/>
          <w:szCs w:val="28"/>
        </w:rPr>
      </w:pPr>
    </w:p>
    <w:p w:rsidR="00DA7D88" w:rsidRDefault="00DA7D88" w:rsidP="00450C32">
      <w:pPr>
        <w:pStyle w:val="Heading1"/>
        <w:jc w:val="center"/>
        <w:rPr>
          <w:rFonts w:ascii="Times New Roman" w:hAnsi="Times New Roman" w:cs="Times New Roman"/>
          <w:sz w:val="28"/>
          <w:szCs w:val="28"/>
        </w:rPr>
      </w:pPr>
    </w:p>
    <w:p w:rsidR="00DA7D88" w:rsidRDefault="00DA7D88" w:rsidP="00450C32">
      <w:pPr>
        <w:pStyle w:val="Heading1"/>
        <w:jc w:val="center"/>
        <w:rPr>
          <w:rFonts w:ascii="Times New Roman" w:hAnsi="Times New Roman" w:cs="Times New Roman"/>
          <w:sz w:val="28"/>
          <w:szCs w:val="28"/>
        </w:rPr>
      </w:pPr>
    </w:p>
    <w:p w:rsidR="00DA7D88" w:rsidRDefault="00DA7D88" w:rsidP="00450C32">
      <w:pPr>
        <w:pStyle w:val="Heading1"/>
        <w:jc w:val="center"/>
        <w:rPr>
          <w:rFonts w:ascii="Times New Roman" w:hAnsi="Times New Roman" w:cs="Times New Roman"/>
          <w:sz w:val="28"/>
          <w:szCs w:val="28"/>
        </w:rPr>
      </w:pPr>
    </w:p>
    <w:p w:rsidR="00DA7D88" w:rsidRDefault="00DA7D88" w:rsidP="00450C32">
      <w:pPr>
        <w:pStyle w:val="Heading1"/>
        <w:jc w:val="center"/>
        <w:rPr>
          <w:rFonts w:ascii="Times New Roman" w:hAnsi="Times New Roman" w:cs="Times New Roman"/>
          <w:sz w:val="28"/>
          <w:szCs w:val="28"/>
        </w:rPr>
      </w:pPr>
    </w:p>
    <w:p w:rsidR="00DA7D88" w:rsidRDefault="00DA7D88" w:rsidP="00DA7D88">
      <w:pPr>
        <w:rPr>
          <w:lang w:val="lt-LT" w:eastAsia="zh-CN"/>
        </w:rPr>
      </w:pPr>
    </w:p>
    <w:p w:rsidR="00FA0D12" w:rsidRDefault="00FA0D12" w:rsidP="00DA7D88">
      <w:pPr>
        <w:rPr>
          <w:lang w:val="lt-LT" w:eastAsia="zh-CN"/>
        </w:rPr>
      </w:pPr>
    </w:p>
    <w:p w:rsidR="00FA0D12" w:rsidRDefault="00FA0D12" w:rsidP="00DA7D88">
      <w:pPr>
        <w:rPr>
          <w:lang w:val="lt-LT" w:eastAsia="zh-CN"/>
        </w:rPr>
      </w:pPr>
    </w:p>
    <w:p w:rsidR="00DA7D88" w:rsidRDefault="00DA7D88" w:rsidP="00A63C84">
      <w:pPr>
        <w:pStyle w:val="Heading1"/>
        <w:rPr>
          <w:rFonts w:asciiTheme="minorHAnsi" w:eastAsiaTheme="minorHAnsi" w:hAnsiTheme="minorHAnsi" w:cstheme="minorBidi"/>
          <w:b w:val="0"/>
          <w:bCs w:val="0"/>
          <w:kern w:val="2"/>
          <w:sz w:val="22"/>
          <w:szCs w:val="22"/>
          <w14:ligatures w14:val="standard"/>
        </w:rPr>
      </w:pPr>
    </w:p>
    <w:p w:rsidR="00A63C84" w:rsidRPr="00A63C84" w:rsidRDefault="00A63C84" w:rsidP="00A63C84">
      <w:pPr>
        <w:rPr>
          <w:lang w:val="lt-LT" w:eastAsia="zh-CN"/>
        </w:rPr>
      </w:pPr>
    </w:p>
    <w:p w:rsidR="004C38A3" w:rsidRDefault="001717AB" w:rsidP="00450C32">
      <w:pPr>
        <w:pStyle w:val="Heading1"/>
        <w:jc w:val="center"/>
        <w:rPr>
          <w:rFonts w:ascii="Times New Roman" w:hAnsi="Times New Roman" w:cs="Times New Roman"/>
          <w:sz w:val="28"/>
          <w:szCs w:val="28"/>
        </w:rPr>
      </w:pPr>
      <w:bookmarkStart w:id="130" w:name="_Toc384567329"/>
      <w:bookmarkStart w:id="131" w:name="_Toc384570766"/>
      <w:r w:rsidRPr="00450C32">
        <w:rPr>
          <w:rFonts w:ascii="Times New Roman" w:hAnsi="Times New Roman" w:cs="Times New Roman"/>
          <w:sz w:val="28"/>
          <w:szCs w:val="28"/>
        </w:rPr>
        <w:lastRenderedPageBreak/>
        <w:t>IŠVADOS</w:t>
      </w:r>
      <w:r w:rsidR="002A3579" w:rsidRPr="00450C32">
        <w:rPr>
          <w:rFonts w:ascii="Times New Roman" w:hAnsi="Times New Roman" w:cs="Times New Roman"/>
          <w:sz w:val="28"/>
          <w:szCs w:val="28"/>
        </w:rPr>
        <w:t xml:space="preserve"> </w:t>
      </w:r>
      <w:r w:rsidR="00493D55" w:rsidRPr="00450C32">
        <w:rPr>
          <w:rFonts w:ascii="Times New Roman" w:hAnsi="Times New Roman" w:cs="Times New Roman"/>
          <w:sz w:val="28"/>
          <w:szCs w:val="28"/>
        </w:rPr>
        <w:t>IR PASIŪLYMAI</w:t>
      </w:r>
      <w:bookmarkEnd w:id="128"/>
      <w:bookmarkEnd w:id="129"/>
      <w:bookmarkEnd w:id="130"/>
      <w:bookmarkEnd w:id="131"/>
    </w:p>
    <w:p w:rsidR="00957E47" w:rsidRPr="00957E47" w:rsidRDefault="00957E47" w:rsidP="00957E47">
      <w:pPr>
        <w:rPr>
          <w:lang w:val="lt-LT" w:eastAsia="zh-CN"/>
        </w:rPr>
      </w:pPr>
    </w:p>
    <w:p w:rsidR="00BD04D2" w:rsidRPr="000D37F1" w:rsidRDefault="00BD04D2" w:rsidP="00BD04D2">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BA23C0">
        <w:rPr>
          <w:rFonts w:ascii="Times New Roman" w:hAnsi="Times New Roman" w:cs="Times New Roman"/>
          <w:sz w:val="24"/>
          <w:szCs w:val="24"/>
          <w:lang w:val="lt-LT"/>
        </w:rPr>
        <w:t>utoriai</w:t>
      </w:r>
      <w:r>
        <w:rPr>
          <w:rFonts w:ascii="Times New Roman" w:hAnsi="Times New Roman" w:cs="Times New Roman"/>
          <w:sz w:val="24"/>
          <w:szCs w:val="24"/>
          <w:lang w:val="lt-LT"/>
        </w:rPr>
        <w:t xml:space="preserve">, analizavę kredito unijų veiklą sutaria, </w:t>
      </w:r>
      <w:r w:rsidRPr="00BA23C0">
        <w:rPr>
          <w:rFonts w:ascii="Times New Roman" w:hAnsi="Times New Roman" w:cs="Times New Roman"/>
          <w:sz w:val="24"/>
          <w:szCs w:val="24"/>
          <w:lang w:val="lt-LT"/>
        </w:rPr>
        <w:t xml:space="preserve">kad kredito unijų </w:t>
      </w:r>
      <w:r>
        <w:rPr>
          <w:rFonts w:ascii="Times New Roman" w:hAnsi="Times New Roman" w:cs="Times New Roman"/>
          <w:sz w:val="24"/>
          <w:szCs w:val="24"/>
          <w:lang w:val="lt-LT"/>
        </w:rPr>
        <w:t>veiklos rizika</w:t>
      </w:r>
      <w:r w:rsidRPr="00BA23C0">
        <w:rPr>
          <w:rFonts w:ascii="Times New Roman" w:hAnsi="Times New Roman" w:cs="Times New Roman"/>
          <w:sz w:val="24"/>
          <w:szCs w:val="24"/>
          <w:lang w:val="lt-LT"/>
        </w:rPr>
        <w:t xml:space="preserve"> priklauso nuo to, </w:t>
      </w:r>
      <w:r w:rsidR="003B01FB">
        <w:rPr>
          <w:rFonts w:ascii="Times New Roman" w:hAnsi="Times New Roman" w:cs="Times New Roman"/>
          <w:sz w:val="24"/>
          <w:szCs w:val="24"/>
          <w:lang w:val="lt-LT"/>
        </w:rPr>
        <w:t xml:space="preserve">kuriame išsivystymo lygyje yra </w:t>
      </w:r>
      <w:r w:rsidRPr="00BA23C0">
        <w:rPr>
          <w:rFonts w:ascii="Times New Roman" w:hAnsi="Times New Roman" w:cs="Times New Roman"/>
          <w:sz w:val="24"/>
          <w:szCs w:val="24"/>
          <w:lang w:val="lt-LT"/>
        </w:rPr>
        <w:t>šalies kredito unijų sistema.</w:t>
      </w:r>
      <w:r>
        <w:rPr>
          <w:rFonts w:ascii="Times New Roman" w:hAnsi="Times New Roman" w:cs="Times New Roman"/>
          <w:sz w:val="24"/>
          <w:szCs w:val="24"/>
          <w:lang w:val="lt-LT"/>
        </w:rPr>
        <w:t xml:space="preserve"> Kredito unijų sistemai vystantis susiduriama su kitomi</w:t>
      </w:r>
      <w:r w:rsidR="003B01FB">
        <w:rPr>
          <w:rFonts w:ascii="Times New Roman" w:hAnsi="Times New Roman" w:cs="Times New Roman"/>
          <w:sz w:val="24"/>
          <w:szCs w:val="24"/>
          <w:lang w:val="lt-LT"/>
        </w:rPr>
        <w:t>s rizikos rūšimis ir</w:t>
      </w:r>
      <w:r>
        <w:rPr>
          <w:rFonts w:ascii="Times New Roman" w:hAnsi="Times New Roman" w:cs="Times New Roman"/>
          <w:sz w:val="24"/>
          <w:szCs w:val="24"/>
          <w:lang w:val="lt-LT"/>
        </w:rPr>
        <w:t xml:space="preserve"> veiklos rizikingumas turėtų mažėti. Lyginant kredito unijų ir komercinių bankų veiklos teisinis reguliavimą, </w:t>
      </w:r>
      <w:r w:rsidR="003B01FB">
        <w:rPr>
          <w:rFonts w:ascii="Times New Roman" w:hAnsi="Times New Roman" w:cs="Times New Roman"/>
          <w:sz w:val="24"/>
          <w:szCs w:val="24"/>
          <w:lang w:val="lt-LT"/>
        </w:rPr>
        <w:t>pastebima, jog</w:t>
      </w:r>
      <w:r>
        <w:rPr>
          <w:rFonts w:ascii="Times New Roman" w:hAnsi="Times New Roman" w:cs="Times New Roman"/>
          <w:sz w:val="24"/>
          <w:szCs w:val="24"/>
          <w:lang w:val="lt-LT"/>
        </w:rPr>
        <w:t xml:space="preserve"> kai kurie reikalavimai suvienodinami abiems kredito įstaigoms, tačiau vertinant veiklos riziką ribojančių normatyvų skirtumus, kredito unijoms keliami griežtesni reikalavimai, kurie orientuoti į plėtros apribojimą ir stabilumo užtikrinimą. </w:t>
      </w:r>
    </w:p>
    <w:p w:rsidR="00BD04D2" w:rsidRDefault="00BD04D2" w:rsidP="00BD04D2">
      <w:pPr>
        <w:spacing w:line="360" w:lineRule="auto"/>
        <w:ind w:firstLine="720"/>
        <w:jc w:val="both"/>
        <w:rPr>
          <w:rFonts w:ascii="Times New Roman" w:hAnsi="Times New Roman" w:cs="Times New Roman"/>
          <w:sz w:val="24"/>
          <w:szCs w:val="24"/>
          <w:lang w:val="lt-LT"/>
        </w:rPr>
      </w:pPr>
      <w:r>
        <w:rPr>
          <w:rFonts w:ascii="Times New Roman" w:hAnsi="Times New Roman" w:cs="Times New Roman"/>
          <w:kern w:val="0"/>
          <w:sz w:val="24"/>
          <w:szCs w:val="24"/>
          <w:lang w:val="lt-LT"/>
        </w:rPr>
        <w:t xml:space="preserve">Kredito unijoms būdingos tos pačios rizikos rūšys, kai ir kitoms kredito įstaigoms. Pastarųjų valdymas atliekamas kiekvienoje kredito unijoje per normatyvų įgyvendinimą, </w:t>
      </w:r>
      <w:proofErr w:type="spellStart"/>
      <w:r>
        <w:rPr>
          <w:rFonts w:ascii="Times New Roman" w:hAnsi="Times New Roman" w:cs="Times New Roman"/>
          <w:kern w:val="0"/>
          <w:sz w:val="24"/>
          <w:szCs w:val="24"/>
          <w:lang w:val="lt-LT"/>
        </w:rPr>
        <w:t>atidėjinių</w:t>
      </w:r>
      <w:proofErr w:type="spellEnd"/>
      <w:r>
        <w:rPr>
          <w:rFonts w:ascii="Times New Roman" w:hAnsi="Times New Roman" w:cs="Times New Roman"/>
          <w:kern w:val="0"/>
          <w:sz w:val="24"/>
          <w:szCs w:val="24"/>
          <w:lang w:val="lt-LT"/>
        </w:rPr>
        <w:t xml:space="preserve"> formavimą, paskolų gavėjų vertinimą ir </w:t>
      </w:r>
      <w:proofErr w:type="spellStart"/>
      <w:r>
        <w:rPr>
          <w:rFonts w:ascii="Times New Roman" w:hAnsi="Times New Roman" w:cs="Times New Roman"/>
          <w:kern w:val="0"/>
          <w:sz w:val="24"/>
          <w:szCs w:val="24"/>
          <w:lang w:val="lt-LT"/>
        </w:rPr>
        <w:t>pan</w:t>
      </w:r>
      <w:proofErr w:type="spellEnd"/>
      <w:r>
        <w:rPr>
          <w:rFonts w:ascii="Times New Roman" w:hAnsi="Times New Roman" w:cs="Times New Roman"/>
          <w:kern w:val="0"/>
          <w:sz w:val="24"/>
          <w:szCs w:val="24"/>
          <w:lang w:val="lt-LT"/>
        </w:rPr>
        <w:t>. S</w:t>
      </w:r>
      <w:r w:rsidRPr="000D37F1">
        <w:rPr>
          <w:rFonts w:ascii="Times New Roman" w:hAnsi="Times New Roman" w:cs="Times New Roman"/>
          <w:sz w:val="24"/>
          <w:szCs w:val="24"/>
          <w:lang w:val="lt-LT"/>
        </w:rPr>
        <w:t>parti kredito unijų plėtra bei pernelyg neatsargi skolinimo politika</w:t>
      </w:r>
      <w:r>
        <w:rPr>
          <w:rFonts w:ascii="Times New Roman" w:hAnsi="Times New Roman" w:cs="Times New Roman"/>
          <w:sz w:val="24"/>
          <w:szCs w:val="24"/>
          <w:lang w:val="lt-LT"/>
        </w:rPr>
        <w:t xml:space="preserve"> </w:t>
      </w:r>
      <w:r w:rsidRPr="000D37F1">
        <w:rPr>
          <w:rFonts w:ascii="Times New Roman" w:hAnsi="Times New Roman" w:cs="Times New Roman"/>
          <w:sz w:val="24"/>
          <w:szCs w:val="24"/>
          <w:lang w:val="lt-LT"/>
        </w:rPr>
        <w:t xml:space="preserve">bei kredito unijų vadovų neatsakingumas lėmė kredito unijų rizikos padidėjimą. </w:t>
      </w:r>
      <w:r w:rsidR="00957E47">
        <w:rPr>
          <w:rFonts w:ascii="Times New Roman" w:hAnsi="Times New Roman" w:cs="Times New Roman"/>
          <w:sz w:val="24"/>
          <w:szCs w:val="24"/>
          <w:lang w:val="lt-LT"/>
        </w:rPr>
        <w:t xml:space="preserve">Pagal autorių atliktus tyrimus, </w:t>
      </w:r>
      <w:r>
        <w:rPr>
          <w:rFonts w:ascii="Times New Roman" w:hAnsi="Times New Roman" w:cs="Times New Roman"/>
          <w:sz w:val="24"/>
          <w:szCs w:val="24"/>
          <w:lang w:val="lt-LT"/>
        </w:rPr>
        <w:t>jog kredito unijų</w:t>
      </w:r>
      <w:r w:rsidR="00957E47">
        <w:rPr>
          <w:rFonts w:ascii="Times New Roman" w:hAnsi="Times New Roman" w:cs="Times New Roman"/>
          <w:sz w:val="24"/>
          <w:szCs w:val="24"/>
          <w:lang w:val="lt-LT"/>
        </w:rPr>
        <w:t xml:space="preserve"> veiklos</w:t>
      </w:r>
      <w:r>
        <w:rPr>
          <w:rFonts w:ascii="Times New Roman" w:hAnsi="Times New Roman" w:cs="Times New Roman"/>
          <w:sz w:val="24"/>
          <w:szCs w:val="24"/>
          <w:lang w:val="lt-LT"/>
        </w:rPr>
        <w:t xml:space="preserve"> rizikingumui mažinti reikalinga apriboti jų plėtrą bei daugiau dėmesio skirti kredito unijų vadovų ir darbuotojų pasirengimui.</w:t>
      </w:r>
    </w:p>
    <w:p w:rsidR="008F5958" w:rsidRPr="00CC7456" w:rsidRDefault="00CC7456" w:rsidP="00CC7456">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8F5958" w:rsidRPr="000D37F1">
        <w:rPr>
          <w:rFonts w:ascii="Times New Roman" w:hAnsi="Times New Roman" w:cs="Times New Roman"/>
          <w:sz w:val="24"/>
          <w:szCs w:val="24"/>
          <w:lang w:val="lt-LT"/>
        </w:rPr>
        <w:t>redito unijų</w:t>
      </w:r>
      <w:r w:rsidR="008F5958">
        <w:rPr>
          <w:rFonts w:ascii="Times New Roman" w:hAnsi="Times New Roman" w:cs="Times New Roman"/>
          <w:sz w:val="24"/>
          <w:szCs w:val="24"/>
          <w:lang w:val="lt-LT"/>
        </w:rPr>
        <w:t xml:space="preserve"> rizikingumui </w:t>
      </w:r>
      <w:r w:rsidR="003B01FB">
        <w:rPr>
          <w:rFonts w:ascii="Times New Roman" w:hAnsi="Times New Roman" w:cs="Times New Roman"/>
          <w:sz w:val="24"/>
          <w:szCs w:val="24"/>
          <w:lang w:val="lt-LT"/>
        </w:rPr>
        <w:t>vertinti</w:t>
      </w:r>
      <w:r w:rsidR="008F5958" w:rsidRPr="000D37F1">
        <w:rPr>
          <w:rFonts w:ascii="Times New Roman" w:hAnsi="Times New Roman" w:cs="Times New Roman"/>
          <w:sz w:val="24"/>
          <w:szCs w:val="24"/>
          <w:lang w:val="lt-LT"/>
        </w:rPr>
        <w:t xml:space="preserve"> reikėtų pasirinkti</w:t>
      </w:r>
      <w:r w:rsidR="008F5958">
        <w:rPr>
          <w:rFonts w:ascii="Times New Roman" w:hAnsi="Times New Roman" w:cs="Times New Roman"/>
          <w:sz w:val="24"/>
          <w:szCs w:val="24"/>
          <w:lang w:val="lt-LT"/>
        </w:rPr>
        <w:t xml:space="preserve"> kredito įstaigoms pritaikytiną </w:t>
      </w:r>
      <w:r w:rsidR="008F5958" w:rsidRPr="000D37F1">
        <w:rPr>
          <w:rFonts w:ascii="Times New Roman" w:hAnsi="Times New Roman" w:cs="Times New Roman"/>
          <w:sz w:val="24"/>
          <w:szCs w:val="24"/>
          <w:lang w:val="lt-LT"/>
        </w:rPr>
        <w:t>bankroto prognozavimo modelį, nes klasikiniai modeliai dėl kredito unijų specifikos nėra tinkami.</w:t>
      </w:r>
      <w:r w:rsidR="008F5958">
        <w:rPr>
          <w:rFonts w:ascii="Times New Roman" w:hAnsi="Times New Roman" w:cs="Times New Roman"/>
          <w:sz w:val="24"/>
          <w:szCs w:val="24"/>
          <w:lang w:val="lt-LT"/>
        </w:rPr>
        <w:t xml:space="preserve"> </w:t>
      </w:r>
      <w:r w:rsidR="008F5958" w:rsidRPr="00C23FDA">
        <w:rPr>
          <w:rFonts w:ascii="Times New Roman" w:hAnsi="Times New Roman" w:cs="Times New Roman"/>
          <w:sz w:val="24"/>
          <w:szCs w:val="24"/>
          <w:lang w:val="lt-LT"/>
        </w:rPr>
        <w:t xml:space="preserve">Kokso proporcingosios rizikos modelis yra pranašesnis už kitus bankroto prognozavimo modelius, kad gali būti taikomas bet kuriam įvykiui prognozuoti, taip pat į modelį galima įtraukti nefinansinius kriterijus. Jis nustato ne tik rizikos veiksnių įtaką tikėtinam įvykiui įvykti, tačiau ir laiko trukmė iki jo. </w:t>
      </w:r>
    </w:p>
    <w:p w:rsidR="00624B06" w:rsidRDefault="007C4BCF" w:rsidP="00624B06">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Išanalizavus</w:t>
      </w:r>
      <w:r w:rsidRPr="000D37F1">
        <w:rPr>
          <w:rFonts w:ascii="Times New Roman" w:hAnsi="Times New Roman" w:cs="Times New Roman"/>
          <w:sz w:val="24"/>
          <w:szCs w:val="24"/>
          <w:lang w:val="lt-LT"/>
        </w:rPr>
        <w:t xml:space="preserve"> </w:t>
      </w:r>
      <w:r w:rsidR="00624B06">
        <w:rPr>
          <w:rFonts w:ascii="Times New Roman" w:hAnsi="Times New Roman" w:cs="Times New Roman"/>
          <w:sz w:val="24"/>
          <w:szCs w:val="24"/>
          <w:lang w:val="lt-LT"/>
        </w:rPr>
        <w:t>pagal poveikio priemones</w:t>
      </w:r>
      <w:r w:rsidRPr="000D37F1">
        <w:rPr>
          <w:rFonts w:ascii="Times New Roman" w:hAnsi="Times New Roman" w:cs="Times New Roman"/>
          <w:sz w:val="24"/>
          <w:szCs w:val="24"/>
          <w:lang w:val="lt-LT"/>
        </w:rPr>
        <w:t xml:space="preserve"> suskirstytų kredito unijų statistines charakteristikas, </w:t>
      </w:r>
      <w:r w:rsidR="00624B06">
        <w:rPr>
          <w:rFonts w:ascii="Times New Roman" w:hAnsi="Times New Roman" w:cs="Times New Roman"/>
          <w:sz w:val="24"/>
          <w:szCs w:val="24"/>
          <w:lang w:val="lt-LT"/>
        </w:rPr>
        <w:t>nustatyta, kad turto ir kapitalo grąžos, kapitalo pakankamumo, apyvartinio kapitalo ir turto santykio, turto, investicijų į vertybinius popierius ir turto santykio rodiklių vidurkiai tarp grupių ženkliai skiriasi. Pagal poveikio priemonių taikymo intensyvumo funkciją, d</w:t>
      </w:r>
      <w:r>
        <w:rPr>
          <w:rFonts w:ascii="Times New Roman" w:hAnsi="Times New Roman" w:cs="Times New Roman"/>
          <w:sz w:val="24"/>
          <w:szCs w:val="24"/>
          <w:lang w:val="lt-LT"/>
        </w:rPr>
        <w:t xml:space="preserve">idžiausios </w:t>
      </w:r>
      <w:r w:rsidR="00624B06">
        <w:rPr>
          <w:rFonts w:ascii="Times New Roman" w:hAnsi="Times New Roman" w:cs="Times New Roman"/>
          <w:sz w:val="24"/>
          <w:szCs w:val="24"/>
          <w:lang w:val="lt-LT"/>
        </w:rPr>
        <w:t xml:space="preserve">reikšmės </w:t>
      </w:r>
      <w:r>
        <w:rPr>
          <w:rFonts w:ascii="Times New Roman" w:hAnsi="Times New Roman" w:cs="Times New Roman"/>
          <w:sz w:val="24"/>
          <w:szCs w:val="24"/>
          <w:lang w:val="lt-LT"/>
        </w:rPr>
        <w:t xml:space="preserve">pasiektos </w:t>
      </w:r>
      <w:r>
        <w:rPr>
          <w:rFonts w:ascii="Times New Roman" w:hAnsi="Times New Roman" w:cs="Times New Roman"/>
          <w:sz w:val="24"/>
          <w:szCs w:val="24"/>
        </w:rPr>
        <w:t>2011 metais</w:t>
      </w:r>
      <w:r w:rsidR="00624B06">
        <w:rPr>
          <w:rFonts w:ascii="Times New Roman" w:hAnsi="Times New Roman" w:cs="Times New Roman"/>
          <w:sz w:val="24"/>
          <w:szCs w:val="24"/>
        </w:rPr>
        <w:t>.</w:t>
      </w:r>
      <w:r w:rsidR="004714FF">
        <w:rPr>
          <w:rFonts w:ascii="Times New Roman" w:hAnsi="Times New Roman" w:cs="Times New Roman"/>
          <w:sz w:val="24"/>
          <w:szCs w:val="24"/>
        </w:rPr>
        <w:t xml:space="preserve"> </w:t>
      </w:r>
      <w:r w:rsidR="004714FF">
        <w:rPr>
          <w:rFonts w:ascii="Times New Roman" w:hAnsi="Times New Roman" w:cs="Times New Roman"/>
          <w:sz w:val="24"/>
          <w:szCs w:val="24"/>
          <w:lang w:val="lt-LT"/>
        </w:rPr>
        <w:t>S</w:t>
      </w:r>
      <w:r>
        <w:rPr>
          <w:rFonts w:ascii="Times New Roman" w:hAnsi="Times New Roman" w:cs="Times New Roman"/>
          <w:sz w:val="24"/>
          <w:szCs w:val="24"/>
          <w:lang w:val="lt-LT"/>
        </w:rPr>
        <w:t>tatistiškai reikšmingai skiriasi</w:t>
      </w:r>
      <w:r w:rsidR="003B01FB">
        <w:rPr>
          <w:rFonts w:ascii="Times New Roman" w:hAnsi="Times New Roman" w:cs="Times New Roman"/>
          <w:sz w:val="24"/>
          <w:szCs w:val="24"/>
          <w:lang w:val="lt-LT"/>
        </w:rPr>
        <w:t xml:space="preserve"> visi nefinansiniai kriterijai ir visi finansiniai rodikliai, išskyrus </w:t>
      </w:r>
      <w:r w:rsidRPr="000D37F1">
        <w:rPr>
          <w:rFonts w:ascii="Times New Roman" w:hAnsi="Times New Roman" w:cs="Times New Roman"/>
          <w:sz w:val="24"/>
          <w:szCs w:val="24"/>
          <w:lang w:val="lt-LT"/>
        </w:rPr>
        <w:t>kapitalo grąžos (ROE), kapitalo pakankamumo (KP) bei paskolų ir</w:t>
      </w:r>
      <w:r>
        <w:rPr>
          <w:rFonts w:ascii="Times New Roman" w:hAnsi="Times New Roman" w:cs="Times New Roman"/>
          <w:sz w:val="24"/>
          <w:szCs w:val="24"/>
          <w:lang w:val="lt-LT"/>
        </w:rPr>
        <w:t xml:space="preserve"> indėlių santykio (PI) ir grynojo pelno gr</w:t>
      </w:r>
      <w:r w:rsidR="00624B06">
        <w:rPr>
          <w:rFonts w:ascii="Times New Roman" w:hAnsi="Times New Roman" w:cs="Times New Roman"/>
          <w:sz w:val="24"/>
          <w:szCs w:val="24"/>
          <w:lang w:val="lt-LT"/>
        </w:rPr>
        <w:t>ąžos rodiklių</w:t>
      </w:r>
      <w:r w:rsidR="004714FF">
        <w:rPr>
          <w:rFonts w:ascii="Times New Roman" w:hAnsi="Times New Roman" w:cs="Times New Roman"/>
          <w:sz w:val="24"/>
          <w:szCs w:val="24"/>
          <w:lang w:val="lt-LT"/>
        </w:rPr>
        <w:t xml:space="preserve"> skirtingais metais.</w:t>
      </w:r>
    </w:p>
    <w:p w:rsidR="003B01FB" w:rsidRDefault="004714FF" w:rsidP="00624B06">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R</w:t>
      </w:r>
      <w:r w:rsidR="007C4BCF">
        <w:rPr>
          <w:rFonts w:ascii="Times New Roman" w:hAnsi="Times New Roman" w:cs="Times New Roman"/>
          <w:sz w:val="24"/>
          <w:szCs w:val="24"/>
          <w:lang w:val="lt-LT"/>
        </w:rPr>
        <w:t>eikšmingiausi parametrai vertinant kredito unijų veiklos rizikingumą</w:t>
      </w:r>
      <w:r w:rsidR="003B01FB">
        <w:rPr>
          <w:rFonts w:ascii="Times New Roman" w:hAnsi="Times New Roman" w:cs="Times New Roman"/>
          <w:sz w:val="24"/>
          <w:szCs w:val="24"/>
          <w:lang w:val="lt-LT"/>
        </w:rPr>
        <w:t xml:space="preserve"> pagal Kokso proporcingosios rizikos modelį</w:t>
      </w:r>
      <w:r w:rsidR="007C4BCF">
        <w:rPr>
          <w:rFonts w:ascii="Times New Roman" w:hAnsi="Times New Roman" w:cs="Times New Roman"/>
          <w:sz w:val="24"/>
          <w:szCs w:val="24"/>
          <w:lang w:val="lt-LT"/>
        </w:rPr>
        <w:t xml:space="preserve"> – finansiniai rodikliai</w:t>
      </w:r>
      <w:r w:rsidR="00624B06">
        <w:rPr>
          <w:rFonts w:ascii="Times New Roman" w:hAnsi="Times New Roman" w:cs="Times New Roman"/>
          <w:sz w:val="24"/>
          <w:szCs w:val="24"/>
          <w:lang w:val="lt-LT"/>
        </w:rPr>
        <w:t xml:space="preserve">: </w:t>
      </w:r>
      <w:r w:rsidR="007C4BCF">
        <w:rPr>
          <w:rFonts w:ascii="Times New Roman" w:hAnsi="Times New Roman" w:cs="Times New Roman"/>
          <w:sz w:val="24"/>
          <w:szCs w:val="24"/>
          <w:lang w:val="lt-LT"/>
        </w:rPr>
        <w:t xml:space="preserve">turto grąža, likvidumas, specialiųjų </w:t>
      </w:r>
      <w:proofErr w:type="spellStart"/>
      <w:r w:rsidR="007C4BCF">
        <w:rPr>
          <w:rFonts w:ascii="Times New Roman" w:hAnsi="Times New Roman" w:cs="Times New Roman"/>
          <w:sz w:val="24"/>
          <w:szCs w:val="24"/>
          <w:lang w:val="lt-LT"/>
        </w:rPr>
        <w:t>atidėjinių</w:t>
      </w:r>
      <w:proofErr w:type="spellEnd"/>
      <w:r w:rsidR="007C4BCF">
        <w:rPr>
          <w:rFonts w:ascii="Times New Roman" w:hAnsi="Times New Roman" w:cs="Times New Roman"/>
          <w:sz w:val="24"/>
          <w:szCs w:val="24"/>
          <w:lang w:val="lt-LT"/>
        </w:rPr>
        <w:t xml:space="preserve"> ir paskolų santykis, veiklos pajamų ir turto santykis investicijų į vertybinius popierius ir turto santykis bei bendrųjų ir administracinių sąnaudų ir visų sąnaudų santykis. </w:t>
      </w:r>
      <w:r w:rsidR="00D2470A">
        <w:rPr>
          <w:rFonts w:ascii="Times New Roman" w:hAnsi="Times New Roman" w:cs="Times New Roman"/>
          <w:sz w:val="24"/>
          <w:szCs w:val="24"/>
          <w:lang w:val="lt-LT"/>
        </w:rPr>
        <w:t>Pagal LML grafikus, Kokso proporcingosios rizikos modelis yra tinkamas kred</w:t>
      </w:r>
      <w:r w:rsidR="00A63C84">
        <w:rPr>
          <w:rFonts w:ascii="Times New Roman" w:hAnsi="Times New Roman" w:cs="Times New Roman"/>
          <w:sz w:val="24"/>
          <w:szCs w:val="24"/>
          <w:lang w:val="lt-LT"/>
        </w:rPr>
        <w:t>ito unijų rizikingumui vertinti, todėl pasiteisino darbo pradžioje iškelta hipotezė.</w:t>
      </w:r>
    </w:p>
    <w:p w:rsidR="0042409E" w:rsidRPr="00E91118" w:rsidRDefault="007C4BCF" w:rsidP="00E91118">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pagal gautus </w:t>
      </w:r>
      <w:r w:rsidR="003B01FB">
        <w:rPr>
          <w:rFonts w:ascii="Times New Roman" w:hAnsi="Times New Roman" w:cs="Times New Roman"/>
          <w:sz w:val="24"/>
          <w:szCs w:val="24"/>
          <w:lang w:val="lt-LT"/>
        </w:rPr>
        <w:t>išlikimo analizės ir Kokso proporcingosios rizikos modelio</w:t>
      </w:r>
      <w:r>
        <w:rPr>
          <w:rFonts w:ascii="Times New Roman" w:hAnsi="Times New Roman" w:cs="Times New Roman"/>
          <w:sz w:val="24"/>
          <w:szCs w:val="24"/>
          <w:lang w:val="lt-LT"/>
        </w:rPr>
        <w:t xml:space="preserve"> rezultatus, didesnio rizikingumo yra tos kredito unijos, kurios veikia didžiuosiuose miestuose ir nepriklauso Centrinės kredito unijos tinklui, </w:t>
      </w:r>
      <w:r w:rsidR="001E4CF7">
        <w:rPr>
          <w:rFonts w:ascii="Times New Roman" w:hAnsi="Times New Roman" w:cs="Times New Roman"/>
          <w:sz w:val="24"/>
          <w:szCs w:val="24"/>
          <w:lang w:val="lt-LT"/>
        </w:rPr>
        <w:t xml:space="preserve">linkę daugiau investuoti </w:t>
      </w:r>
      <w:r>
        <w:rPr>
          <w:rFonts w:ascii="Times New Roman" w:hAnsi="Times New Roman" w:cs="Times New Roman"/>
          <w:sz w:val="24"/>
          <w:szCs w:val="24"/>
          <w:lang w:val="lt-LT"/>
        </w:rPr>
        <w:t xml:space="preserve">į vertybinius popierius, </w:t>
      </w:r>
      <w:r w:rsidR="003B01FB">
        <w:rPr>
          <w:rFonts w:ascii="Times New Roman" w:hAnsi="Times New Roman" w:cs="Times New Roman"/>
          <w:sz w:val="24"/>
          <w:szCs w:val="24"/>
          <w:lang w:val="lt-LT"/>
        </w:rPr>
        <w:t>pasižymi aukštu</w:t>
      </w:r>
      <w:r w:rsidR="001E4CF7">
        <w:rPr>
          <w:rFonts w:ascii="Times New Roman" w:hAnsi="Times New Roman" w:cs="Times New Roman"/>
          <w:sz w:val="24"/>
          <w:szCs w:val="24"/>
          <w:lang w:val="lt-LT"/>
        </w:rPr>
        <w:t xml:space="preserve"> </w:t>
      </w:r>
      <w:r>
        <w:rPr>
          <w:rFonts w:ascii="Times New Roman" w:hAnsi="Times New Roman" w:cs="Times New Roman"/>
          <w:sz w:val="24"/>
          <w:szCs w:val="24"/>
          <w:lang w:val="lt-LT"/>
        </w:rPr>
        <w:t>suteiktų paskolų rizik</w:t>
      </w:r>
      <w:r w:rsidR="001E4CF7">
        <w:rPr>
          <w:rFonts w:ascii="Times New Roman" w:hAnsi="Times New Roman" w:cs="Times New Roman"/>
          <w:sz w:val="24"/>
          <w:szCs w:val="24"/>
          <w:lang w:val="lt-LT"/>
        </w:rPr>
        <w:t xml:space="preserve">ingumo </w:t>
      </w:r>
      <w:r w:rsidR="003B01FB">
        <w:rPr>
          <w:rFonts w:ascii="Times New Roman" w:hAnsi="Times New Roman" w:cs="Times New Roman"/>
          <w:sz w:val="24"/>
          <w:szCs w:val="24"/>
          <w:lang w:val="lt-LT"/>
        </w:rPr>
        <w:t>rodikliu</w:t>
      </w:r>
      <w:r w:rsidR="001E4CF7">
        <w:rPr>
          <w:rFonts w:ascii="Times New Roman" w:hAnsi="Times New Roman" w:cs="Times New Roman"/>
          <w:sz w:val="24"/>
          <w:szCs w:val="24"/>
          <w:lang w:val="lt-LT"/>
        </w:rPr>
        <w:t xml:space="preserve"> bei </w:t>
      </w:r>
      <w:r w:rsidR="003B01FB">
        <w:rPr>
          <w:rFonts w:ascii="Times New Roman" w:hAnsi="Times New Roman" w:cs="Times New Roman"/>
          <w:sz w:val="24"/>
          <w:szCs w:val="24"/>
          <w:lang w:val="lt-LT"/>
        </w:rPr>
        <w:t>pajamų ir turto santykiu</w:t>
      </w:r>
      <w:r>
        <w:rPr>
          <w:rFonts w:ascii="Times New Roman" w:hAnsi="Times New Roman" w:cs="Times New Roman"/>
          <w:sz w:val="24"/>
          <w:szCs w:val="24"/>
          <w:lang w:val="lt-LT"/>
        </w:rPr>
        <w:t xml:space="preserve">, tačiau </w:t>
      </w:r>
      <w:r w:rsidR="003B01FB">
        <w:rPr>
          <w:rFonts w:ascii="Times New Roman" w:hAnsi="Times New Roman" w:cs="Times New Roman"/>
          <w:sz w:val="24"/>
          <w:szCs w:val="24"/>
          <w:lang w:val="lt-LT"/>
        </w:rPr>
        <w:t>veiki</w:t>
      </w:r>
      <w:r>
        <w:rPr>
          <w:rFonts w:ascii="Times New Roman" w:hAnsi="Times New Roman" w:cs="Times New Roman"/>
          <w:sz w:val="24"/>
          <w:szCs w:val="24"/>
          <w:lang w:val="lt-LT"/>
        </w:rPr>
        <w:t>a nuostolinga</w:t>
      </w:r>
      <w:r w:rsidR="003B01FB">
        <w:rPr>
          <w:rFonts w:ascii="Times New Roman" w:hAnsi="Times New Roman" w:cs="Times New Roman"/>
          <w:sz w:val="24"/>
          <w:szCs w:val="24"/>
          <w:lang w:val="lt-LT"/>
        </w:rPr>
        <w:t>i</w:t>
      </w:r>
      <w:r>
        <w:rPr>
          <w:rFonts w:ascii="Times New Roman" w:hAnsi="Times New Roman" w:cs="Times New Roman"/>
          <w:sz w:val="24"/>
          <w:szCs w:val="24"/>
          <w:lang w:val="lt-LT"/>
        </w:rPr>
        <w:t xml:space="preserve">. </w:t>
      </w:r>
    </w:p>
    <w:p w:rsidR="0042409E" w:rsidRPr="0042409E" w:rsidRDefault="0042409E" w:rsidP="0042409E">
      <w:pPr>
        <w:rPr>
          <w:b/>
          <w:lang w:val="lt-LT" w:eastAsia="zh-CN"/>
        </w:rPr>
      </w:pPr>
    </w:p>
    <w:p w:rsidR="00D11067" w:rsidRPr="00D11067" w:rsidRDefault="00D11067" w:rsidP="00493D55">
      <w:pPr>
        <w:spacing w:line="360" w:lineRule="auto"/>
        <w:ind w:firstLine="720"/>
        <w:jc w:val="both"/>
        <w:rPr>
          <w:rFonts w:ascii="Times New Roman" w:hAnsi="Times New Roman" w:cs="Times New Roman"/>
          <w:i/>
          <w:sz w:val="24"/>
          <w:szCs w:val="24"/>
          <w:lang w:val="lt-LT"/>
        </w:rPr>
      </w:pPr>
      <w:r w:rsidRPr="00D11067">
        <w:rPr>
          <w:rFonts w:ascii="Times New Roman" w:hAnsi="Times New Roman" w:cs="Times New Roman"/>
          <w:i/>
          <w:sz w:val="24"/>
          <w:szCs w:val="24"/>
          <w:lang w:val="lt-LT"/>
        </w:rPr>
        <w:t>Pasiūlymai:</w:t>
      </w:r>
    </w:p>
    <w:p w:rsidR="00493D55" w:rsidRDefault="00D2470A" w:rsidP="00D2470A">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Kadangi atliktas tyrimas parodė, jog Centrinei kredito unijai nepriklausančios</w:t>
      </w:r>
      <w:r w:rsidR="00EB313E">
        <w:rPr>
          <w:rFonts w:ascii="Times New Roman" w:hAnsi="Times New Roman" w:cs="Times New Roman"/>
          <w:sz w:val="24"/>
          <w:szCs w:val="24"/>
          <w:lang w:val="lt-LT"/>
        </w:rPr>
        <w:t xml:space="preserve"> ir apskrities centruose veikiančios</w:t>
      </w:r>
      <w:r>
        <w:rPr>
          <w:rFonts w:ascii="Times New Roman" w:hAnsi="Times New Roman" w:cs="Times New Roman"/>
          <w:sz w:val="24"/>
          <w:szCs w:val="24"/>
          <w:lang w:val="lt-LT"/>
        </w:rPr>
        <w:t xml:space="preserve"> kredito unijos yra rizikingesnės,</w:t>
      </w:r>
      <w:r w:rsidR="00EB313E">
        <w:rPr>
          <w:rFonts w:ascii="Times New Roman" w:hAnsi="Times New Roman" w:cs="Times New Roman"/>
          <w:sz w:val="24"/>
          <w:szCs w:val="24"/>
          <w:lang w:val="lt-LT"/>
        </w:rPr>
        <w:t xml:space="preserve"> o LR kredito unijų įstatyme numatyta teisė Lietuvos bankui, esant poreikiui kredito unijai taikyti individualius veiklos riziką ribojančius normatyvus,</w:t>
      </w:r>
      <w:r>
        <w:rPr>
          <w:rFonts w:ascii="Times New Roman" w:hAnsi="Times New Roman" w:cs="Times New Roman"/>
          <w:sz w:val="24"/>
          <w:szCs w:val="24"/>
          <w:lang w:val="lt-LT"/>
        </w:rPr>
        <w:t xml:space="preserve"> tai siūloma</w:t>
      </w:r>
      <w:r w:rsidR="00EB313E">
        <w:rPr>
          <w:rFonts w:ascii="Times New Roman" w:hAnsi="Times New Roman" w:cs="Times New Roman"/>
          <w:sz w:val="24"/>
          <w:szCs w:val="24"/>
          <w:lang w:val="lt-LT"/>
        </w:rPr>
        <w:t xml:space="preserve"> aukštesnius normatyvus nustatyti pagal didesnę kredito unijų veiklos riziką.</w:t>
      </w:r>
    </w:p>
    <w:p w:rsidR="00783481" w:rsidRDefault="00783481" w:rsidP="00D2470A">
      <w:pPr>
        <w:spacing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vidutinę palūkanų normą, Lietuvos bankas turėtų nustatyti tam tikras palūkanų ribas, kurias kredito unijos gali siūlyti už priimamus indėlius, taip būtų apribotas agresyvią veiklos strategiją pas</w:t>
      </w:r>
      <w:r w:rsidR="001719D3">
        <w:rPr>
          <w:rFonts w:ascii="Times New Roman" w:hAnsi="Times New Roman" w:cs="Times New Roman"/>
          <w:sz w:val="24"/>
          <w:szCs w:val="24"/>
          <w:lang w:val="lt-LT"/>
        </w:rPr>
        <w:t>irinkusių kredito unijų augimas, jos pritrauktų mažiau lėšų ir atitinkamai mažiau suteiktų paskolų ar investuotų į vertybinius popierius.</w:t>
      </w:r>
    </w:p>
    <w:p w:rsidR="00E52B4E" w:rsidRPr="00FA0D12" w:rsidRDefault="00997C0B" w:rsidP="00FA0D12">
      <w:pPr>
        <w:spacing w:line="360" w:lineRule="auto"/>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Siekiant sumažinti nuostolingų paskolų procentą (specialiųjų </w:t>
      </w:r>
      <w:proofErr w:type="spellStart"/>
      <w:r>
        <w:rPr>
          <w:rFonts w:ascii="Times New Roman" w:hAnsi="Times New Roman" w:cs="Times New Roman"/>
          <w:sz w:val="24"/>
          <w:szCs w:val="24"/>
          <w:lang w:val="lt-LT"/>
        </w:rPr>
        <w:t>atidėjinių</w:t>
      </w:r>
      <w:proofErr w:type="spellEnd"/>
      <w:r>
        <w:rPr>
          <w:rFonts w:ascii="Times New Roman" w:hAnsi="Times New Roman" w:cs="Times New Roman"/>
          <w:sz w:val="24"/>
          <w:szCs w:val="24"/>
          <w:lang w:val="lt-LT"/>
        </w:rPr>
        <w:t xml:space="preserve"> ir paskolų santykiui didėjant, auga kredito unijos veiklos rizikingumas), daugiau išteklių skirti kredito rizikos įvertinimui, tai gali būti specialūs kredito unijos darbuotojų bei vadovų apmokymai arba  paskolų analitiko pozicijos įkūrimas Centrinėje kredito unijoje kiekvienam regionui</w:t>
      </w:r>
      <w:r w:rsidR="007034CA">
        <w:rPr>
          <w:rFonts w:ascii="Times New Roman" w:hAnsi="Times New Roman" w:cs="Times New Roman"/>
          <w:sz w:val="24"/>
          <w:szCs w:val="24"/>
          <w:lang w:val="lt-LT"/>
        </w:rPr>
        <w:t xml:space="preserve"> atskirai</w:t>
      </w:r>
      <w:r>
        <w:rPr>
          <w:rFonts w:ascii="Times New Roman" w:hAnsi="Times New Roman" w:cs="Times New Roman"/>
          <w:sz w:val="24"/>
          <w:szCs w:val="24"/>
          <w:lang w:val="lt-LT"/>
        </w:rPr>
        <w:t>. Taip</w:t>
      </w:r>
      <w:r w:rsidR="007034CA">
        <w:rPr>
          <w:rFonts w:ascii="Times New Roman" w:hAnsi="Times New Roman" w:cs="Times New Roman"/>
          <w:sz w:val="24"/>
          <w:szCs w:val="24"/>
          <w:lang w:val="lt-LT"/>
        </w:rPr>
        <w:t xml:space="preserve"> padidėtų suteiktų paskolų skaidrumas </w:t>
      </w:r>
      <w:r>
        <w:rPr>
          <w:rFonts w:ascii="Times New Roman" w:hAnsi="Times New Roman" w:cs="Times New Roman"/>
          <w:sz w:val="24"/>
          <w:szCs w:val="24"/>
          <w:lang w:val="lt-LT"/>
        </w:rPr>
        <w:t xml:space="preserve"> </w:t>
      </w:r>
      <w:r w:rsidR="007034CA">
        <w:rPr>
          <w:rFonts w:ascii="Times New Roman" w:hAnsi="Times New Roman" w:cs="Times New Roman"/>
          <w:sz w:val="24"/>
          <w:szCs w:val="24"/>
          <w:lang w:val="lt-LT"/>
        </w:rPr>
        <w:t>kredito unijos vadovams bei susijusiems asmenims.</w:t>
      </w:r>
    </w:p>
    <w:p w:rsidR="008A3F9D" w:rsidRPr="000D37F1" w:rsidRDefault="008A3F9D" w:rsidP="008A3F9D">
      <w:pPr>
        <w:spacing w:before="120" w:after="120" w:line="360" w:lineRule="auto"/>
        <w:ind w:right="57"/>
        <w:rPr>
          <w:rFonts w:ascii="Times New Roman" w:hAnsi="Times New Roman" w:cs="Times New Roman"/>
          <w:b/>
          <w:sz w:val="24"/>
          <w:szCs w:val="24"/>
          <w:lang w:val="lt-LT"/>
        </w:rPr>
      </w:pPr>
    </w:p>
    <w:p w:rsidR="00E709CC" w:rsidRPr="00450C32" w:rsidRDefault="00011750" w:rsidP="00450C32">
      <w:pPr>
        <w:pStyle w:val="Heading1"/>
        <w:jc w:val="center"/>
        <w:rPr>
          <w:rFonts w:ascii="Times New Roman" w:hAnsi="Times New Roman" w:cs="Times New Roman"/>
          <w:sz w:val="28"/>
          <w:szCs w:val="28"/>
        </w:rPr>
      </w:pPr>
      <w:bookmarkStart w:id="132" w:name="_Toc383782880"/>
      <w:bookmarkStart w:id="133" w:name="_Toc383783633"/>
      <w:bookmarkStart w:id="134" w:name="_Toc384567330"/>
      <w:bookmarkStart w:id="135" w:name="_Toc384570767"/>
      <w:r w:rsidRPr="00450C32">
        <w:rPr>
          <w:rFonts w:ascii="Times New Roman" w:hAnsi="Times New Roman" w:cs="Times New Roman"/>
          <w:sz w:val="28"/>
          <w:szCs w:val="28"/>
        </w:rPr>
        <w:lastRenderedPageBreak/>
        <w:t>LITERATŪROS SĄRAŠAS</w:t>
      </w:r>
      <w:bookmarkEnd w:id="132"/>
      <w:bookmarkEnd w:id="133"/>
      <w:bookmarkEnd w:id="134"/>
      <w:bookmarkEnd w:id="135"/>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Adusei M., Afrane S.K. </w:t>
      </w:r>
      <w:r w:rsidRPr="00FC4939">
        <w:rPr>
          <w:rFonts w:ascii="Times New Roman" w:hAnsi="Times New Roman" w:cs="Times New Roman"/>
          <w:sz w:val="24"/>
          <w:szCs w:val="24"/>
          <w:lang w:val="et-EE"/>
        </w:rPr>
        <w:t>The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impact</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financial</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intermediation</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on</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economic</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growth: a multi – country</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analysis – Global</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Journal</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Business</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Research, 2013.</w:t>
      </w:r>
    </w:p>
    <w:p w:rsidR="00D835EC" w:rsidRPr="00FC4939" w:rsidRDefault="00E709CC" w:rsidP="006A5D98">
      <w:pPr>
        <w:pStyle w:val="ListParagraph"/>
        <w:numPr>
          <w:ilvl w:val="0"/>
          <w:numId w:val="13"/>
        </w:numPr>
        <w:spacing w:after="0" w:line="360" w:lineRule="auto"/>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Akmanidis P.,Sickles R.C.</w:t>
      </w:r>
      <w:r w:rsidR="00D835EC" w:rsidRPr="00FC4939">
        <w:rPr>
          <w:rFonts w:ascii="Times New Roman" w:hAnsi="Times New Roman" w:cs="Times New Roman"/>
          <w:b/>
          <w:sz w:val="24"/>
          <w:szCs w:val="24"/>
          <w:lang w:val="et-EE"/>
        </w:rPr>
        <w:t xml:space="preserve"> </w:t>
      </w:r>
      <w:r w:rsidRPr="00FC4939">
        <w:rPr>
          <w:rFonts w:ascii="Times New Roman" w:hAnsi="Times New Roman" w:cs="Times New Roman"/>
          <w:sz w:val="24"/>
          <w:szCs w:val="24"/>
          <w:lang w:val="et-EE"/>
        </w:rPr>
        <w:t>Banking</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Crises, Early</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Warning</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Models, and</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Efficiency – Houston, Texas, 2012.</w:t>
      </w:r>
    </w:p>
    <w:p w:rsidR="00A9202B" w:rsidRPr="00FC4939" w:rsidRDefault="00A9202B" w:rsidP="006A5D98">
      <w:pPr>
        <w:pStyle w:val="ListParagraph"/>
        <w:numPr>
          <w:ilvl w:val="0"/>
          <w:numId w:val="13"/>
        </w:numPr>
        <w:spacing w:after="0" w:line="360" w:lineRule="auto"/>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Altman E.I. </w:t>
      </w:r>
      <w:r w:rsidRPr="00FC4939">
        <w:rPr>
          <w:rFonts w:ascii="Times New Roman" w:hAnsi="Times New Roman" w:cs="Times New Roman"/>
          <w:sz w:val="24"/>
          <w:szCs w:val="24"/>
          <w:lang w:val="et-EE"/>
        </w:rPr>
        <w:t>Financial</w:t>
      </w:r>
      <w:r w:rsidR="00D835EC" w:rsidRPr="00FC4939">
        <w:rPr>
          <w:rFonts w:ascii="Times New Roman" w:hAnsi="Times New Roman" w:cs="Times New Roman"/>
          <w:sz w:val="24"/>
          <w:szCs w:val="24"/>
          <w:lang w:val="et-EE"/>
        </w:rPr>
        <w:t xml:space="preserve"> Ratios, </w:t>
      </w:r>
      <w:r w:rsidRPr="00FC4939">
        <w:rPr>
          <w:rFonts w:ascii="Times New Roman" w:hAnsi="Times New Roman" w:cs="Times New Roman"/>
          <w:sz w:val="24"/>
          <w:szCs w:val="24"/>
          <w:lang w:val="et-EE"/>
        </w:rPr>
        <w:t>Discriminant</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Analysis</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Prediction</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Corporate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 xml:space="preserve">Bankruptcy </w:t>
      </w:r>
      <w:r w:rsidR="00D835EC" w:rsidRPr="00FC4939">
        <w:rPr>
          <w:rFonts w:ascii="Times New Roman" w:hAnsi="Times New Roman" w:cs="Times New Roman"/>
          <w:sz w:val="24"/>
          <w:szCs w:val="24"/>
          <w:lang w:val="et-EE"/>
        </w:rPr>
        <w:t>–</w:t>
      </w:r>
      <w:r w:rsidRPr="00FC4939">
        <w:rPr>
          <w:rFonts w:ascii="Times New Roman" w:hAnsi="Times New Roman" w:cs="Times New Roman"/>
          <w:sz w:val="24"/>
          <w:szCs w:val="24"/>
          <w:lang w:val="et-EE"/>
        </w:rPr>
        <w:t xml:space="preserve"> The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Journal</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Finance, 1968.</w:t>
      </w:r>
    </w:p>
    <w:p w:rsidR="00FC4939" w:rsidRPr="00FC4939" w:rsidRDefault="00FC4939" w:rsidP="006A5D98">
      <w:pPr>
        <w:pStyle w:val="ListParagraph"/>
        <w:numPr>
          <w:ilvl w:val="0"/>
          <w:numId w:val="13"/>
        </w:numPr>
        <w:spacing w:after="0" w:line="36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Altman D.G., Royston P. </w:t>
      </w:r>
      <w:r>
        <w:rPr>
          <w:rFonts w:ascii="Times New Roman" w:hAnsi="Times New Roman" w:cs="Times New Roman"/>
          <w:sz w:val="24"/>
          <w:szCs w:val="24"/>
          <w:lang w:val="et-EE"/>
        </w:rPr>
        <w:t>External validation of the Cox prognostic model: principles and methods – Medical Research methology – 2013.</w:t>
      </w:r>
    </w:p>
    <w:p w:rsidR="00FC4939" w:rsidRPr="00FC4939" w:rsidRDefault="00FC4939" w:rsidP="006A5D98">
      <w:pPr>
        <w:pStyle w:val="ListParagraph"/>
        <w:numPr>
          <w:ilvl w:val="0"/>
          <w:numId w:val="13"/>
        </w:numPr>
        <w:spacing w:after="0" w:line="36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Anavatan A., Karoaz M. </w:t>
      </w:r>
      <w:r>
        <w:rPr>
          <w:rFonts w:ascii="Times New Roman" w:hAnsi="Times New Roman" w:cs="Times New Roman"/>
          <w:sz w:val="24"/>
          <w:szCs w:val="24"/>
          <w:lang w:val="et-EE"/>
        </w:rPr>
        <w:t>Cox Regression Models with Time – Varying Covariates Applied to Survival Success of Young Firms</w:t>
      </w:r>
      <w:r w:rsidR="0062683B">
        <w:rPr>
          <w:rFonts w:ascii="Times New Roman" w:hAnsi="Times New Roman" w:cs="Times New Roman"/>
          <w:sz w:val="24"/>
          <w:szCs w:val="24"/>
          <w:lang w:val="et-EE"/>
        </w:rPr>
        <w:t xml:space="preserve"> – Juornal of Economic and Social Studies, 2013. </w:t>
      </w:r>
    </w:p>
    <w:p w:rsidR="00E709CC" w:rsidRPr="00FC4939" w:rsidRDefault="00E709CC"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Balcaen S.</w:t>
      </w:r>
      <w:r w:rsidRPr="00FC4939">
        <w:rPr>
          <w:rFonts w:ascii="Times New Roman" w:hAnsi="Times New Roman" w:cs="Times New Roman"/>
          <w:sz w:val="24"/>
          <w:szCs w:val="24"/>
          <w:lang w:val="et-EE"/>
        </w:rPr>
        <w:t xml:space="preserve">, </w:t>
      </w:r>
      <w:r w:rsidRPr="00FC4939">
        <w:rPr>
          <w:rFonts w:ascii="Times New Roman" w:hAnsi="Times New Roman" w:cs="Times New Roman"/>
          <w:b/>
          <w:sz w:val="24"/>
          <w:szCs w:val="24"/>
          <w:lang w:val="et-EE"/>
        </w:rPr>
        <w:t>Ooghe H.</w:t>
      </w:r>
      <w:r w:rsidR="00FC4939" w:rsidRPr="00FC4939">
        <w:rPr>
          <w:rFonts w:ascii="Times New Roman" w:hAnsi="Times New Roman" w:cs="Times New Roman"/>
          <w:b/>
          <w:sz w:val="24"/>
          <w:szCs w:val="24"/>
          <w:lang w:val="et-EE"/>
        </w:rPr>
        <w:t xml:space="preserve"> </w:t>
      </w:r>
      <w:r w:rsidRPr="00FC4939">
        <w:rPr>
          <w:rFonts w:ascii="Times New Roman" w:hAnsi="Times New Roman" w:cs="Times New Roman"/>
          <w:sz w:val="24"/>
          <w:szCs w:val="24"/>
          <w:lang w:val="et-EE"/>
        </w:rPr>
        <w:t>Alternative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methodologies</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w:t>
      </w:r>
      <w:r w:rsidR="00D835EC" w:rsidRPr="00FC4939">
        <w:rPr>
          <w:rFonts w:ascii="Times New Roman" w:hAnsi="Times New Roman" w:cs="Times New Roman"/>
          <w:sz w:val="24"/>
          <w:szCs w:val="24"/>
          <w:lang w:val="et-EE"/>
        </w:rPr>
        <w:t xml:space="preserve"> studines </w:t>
      </w:r>
      <w:r w:rsidRPr="00FC4939">
        <w:rPr>
          <w:rFonts w:ascii="Times New Roman" w:hAnsi="Times New Roman" w:cs="Times New Roman"/>
          <w:sz w:val="24"/>
          <w:szCs w:val="24"/>
          <w:lang w:val="et-EE"/>
        </w:rPr>
        <w:t>on</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business</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failure: do</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they</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produce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better</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results</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than</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classical</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statistical</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methods? – 2004.</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Baležentis T., Kantaravičienė A., Kėdaitis V. </w:t>
      </w:r>
      <w:r w:rsidRPr="00FC4939">
        <w:rPr>
          <w:rFonts w:ascii="Times New Roman" w:hAnsi="Times New Roman" w:cs="Times New Roman"/>
          <w:sz w:val="24"/>
          <w:szCs w:val="24"/>
          <w:lang w:val="et-EE"/>
        </w:rPr>
        <w:t>A non-parametric</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analysis</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D835EC" w:rsidRPr="00FC4939">
        <w:rPr>
          <w:rFonts w:ascii="Times New Roman" w:hAnsi="Times New Roman" w:cs="Times New Roman"/>
          <w:sz w:val="24"/>
          <w:szCs w:val="24"/>
          <w:lang w:val="et-EE"/>
        </w:rPr>
        <w:t xml:space="preserve"> unijon </w:t>
      </w:r>
      <w:r w:rsidRPr="00FC4939">
        <w:rPr>
          <w:rFonts w:ascii="Times New Roman" w:hAnsi="Times New Roman" w:cs="Times New Roman"/>
          <w:sz w:val="24"/>
          <w:szCs w:val="24"/>
          <w:lang w:val="et-EE"/>
        </w:rPr>
        <w:t>performance</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w:t>
      </w:r>
      <w:r w:rsidR="00D835EC"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Lithuania – Management</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Theory</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Studies</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for</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Rural</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Business</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Infrastructure</w:t>
      </w:r>
      <w:r w:rsidR="009C22ED">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Development, 2013. – ISSN 1822-6760.</w:t>
      </w:r>
    </w:p>
    <w:p w:rsidR="0019452F" w:rsidRPr="00FC4939" w:rsidRDefault="0019452F"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Bivainis J., Garškaitė K. </w:t>
      </w:r>
      <w:r w:rsidRPr="00FC4939">
        <w:rPr>
          <w:rFonts w:ascii="Times New Roman" w:hAnsi="Times New Roman" w:cs="Times New Roman"/>
          <w:sz w:val="24"/>
          <w:szCs w:val="24"/>
          <w:lang w:val="et-EE"/>
        </w:rPr>
        <w:t>Įmonių bankroto grėsmės įvertinimas – Ekonomika – Vilnius 2000 (16 p.), ISSN 1392-1258.</w:t>
      </w:r>
    </w:p>
    <w:p w:rsidR="00A9202B" w:rsidRPr="00327CBD" w:rsidRDefault="00A9202B" w:rsidP="006A5D98">
      <w:pPr>
        <w:pStyle w:val="ListParagraph"/>
        <w:numPr>
          <w:ilvl w:val="0"/>
          <w:numId w:val="13"/>
        </w:numPr>
        <w:spacing w:after="0" w:line="360" w:lineRule="auto"/>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Bernhardsen E. </w:t>
      </w:r>
      <w:r w:rsidRPr="00FC4939">
        <w:rPr>
          <w:rFonts w:ascii="Times New Roman" w:hAnsi="Times New Roman" w:cs="Times New Roman"/>
          <w:sz w:val="24"/>
          <w:szCs w:val="24"/>
          <w:lang w:val="et-EE"/>
        </w:rPr>
        <w:t>A Model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Bankruptcy</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Prediction – Norges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Bank, 2001.</w:t>
      </w:r>
    </w:p>
    <w:p w:rsidR="00327CBD" w:rsidRPr="00327CBD" w:rsidRDefault="00327CBD" w:rsidP="006A5D98">
      <w:pPr>
        <w:pStyle w:val="ListParagraph"/>
        <w:numPr>
          <w:ilvl w:val="0"/>
          <w:numId w:val="13"/>
        </w:numPr>
        <w:spacing w:after="0" w:line="360" w:lineRule="auto"/>
        <w:jc w:val="both"/>
        <w:rPr>
          <w:rFonts w:ascii="Times New Roman" w:hAnsi="Times New Roman" w:cs="Times New Roman"/>
          <w:sz w:val="24"/>
          <w:szCs w:val="24"/>
          <w:lang w:val="et-EE"/>
        </w:rPr>
      </w:pPr>
      <w:r>
        <w:rPr>
          <w:rFonts w:ascii="Times New Roman" w:hAnsi="Times New Roman" w:cs="Times New Roman"/>
          <w:b/>
          <w:sz w:val="24"/>
          <w:szCs w:val="24"/>
          <w:lang w:val="et-EE"/>
        </w:rPr>
        <w:t xml:space="preserve">Boguslauskas V., Stundžienė A. </w:t>
      </w:r>
      <w:r w:rsidRPr="00327CBD">
        <w:rPr>
          <w:rFonts w:ascii="Times New Roman" w:hAnsi="Times New Roman" w:cs="Times New Roman"/>
          <w:sz w:val="24"/>
          <w:szCs w:val="24"/>
          <w:lang w:val="et-EE"/>
        </w:rPr>
        <w:t>Valuation of Bankruptcy Risk for Lithuanian Companies</w:t>
      </w:r>
      <w:r>
        <w:rPr>
          <w:rFonts w:ascii="Times New Roman" w:hAnsi="Times New Roman" w:cs="Times New Roman"/>
          <w:sz w:val="24"/>
          <w:szCs w:val="24"/>
          <w:lang w:val="et-EE"/>
        </w:rPr>
        <w:t xml:space="preserve"> – Economics of engineering Decisions, 2006. Nr. 4 (49).</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Braga M. J. et al. </w:t>
      </w:r>
      <w:r w:rsidRPr="00FC4939">
        <w:rPr>
          <w:rFonts w:ascii="Times New Roman" w:hAnsi="Times New Roman" w:cs="Times New Roman"/>
          <w:sz w:val="24"/>
          <w:szCs w:val="24"/>
          <w:lang w:val="et-EE"/>
        </w:rPr>
        <w:t>Investigating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solvency</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Brazilian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using a proportional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hazard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model – Annals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Public</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Cooperative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Economics, 2006.</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Cole R.A., Wu Q. </w:t>
      </w:r>
      <w:r w:rsidRPr="00FC4939">
        <w:rPr>
          <w:rFonts w:ascii="Times New Roman" w:hAnsi="Times New Roman" w:cs="Times New Roman"/>
          <w:sz w:val="24"/>
          <w:szCs w:val="24"/>
          <w:lang w:val="et-EE"/>
        </w:rPr>
        <w:t>Predicting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bank</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failures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using a simple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dynamic</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hazard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model, 2009.</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Cox D.R. </w:t>
      </w:r>
      <w:r w:rsidRPr="00FC4939">
        <w:rPr>
          <w:rFonts w:ascii="Times New Roman" w:hAnsi="Times New Roman" w:cs="Times New Roman"/>
          <w:sz w:val="24"/>
          <w:szCs w:val="24"/>
          <w:lang w:val="et-EE"/>
        </w:rPr>
        <w:t>Regression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Models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Life-Tables – Journal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 Royal Statistical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Society, 1972.</w:t>
      </w:r>
    </w:p>
    <w:p w:rsidR="00A9202B" w:rsidRPr="00FC4939" w:rsidRDefault="00A9202B" w:rsidP="006A5D98">
      <w:pPr>
        <w:pStyle w:val="ListParagraph"/>
        <w:numPr>
          <w:ilvl w:val="0"/>
          <w:numId w:val="13"/>
        </w:numPr>
        <w:spacing w:after="0" w:line="360" w:lineRule="auto"/>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Chang B. et al. </w:t>
      </w:r>
      <w:r w:rsidRPr="00FC4939">
        <w:rPr>
          <w:rFonts w:ascii="Times New Roman" w:hAnsi="Times New Roman" w:cs="Times New Roman"/>
          <w:sz w:val="24"/>
          <w:szCs w:val="24"/>
          <w:lang w:val="et-EE"/>
        </w:rPr>
        <w:t>Bank</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failure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prediction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models: for</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developing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developed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countries – Qual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Quant, 2012. 46:553-558.</w:t>
      </w:r>
    </w:p>
    <w:p w:rsidR="0033731C" w:rsidRPr="00ED22CC" w:rsidRDefault="0033731C" w:rsidP="006A5D98">
      <w:pPr>
        <w:pStyle w:val="ListParagraph"/>
        <w:numPr>
          <w:ilvl w:val="0"/>
          <w:numId w:val="13"/>
        </w:numPr>
        <w:spacing w:after="0" w:line="360" w:lineRule="auto"/>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Čekavičius V., Murauskas G. </w:t>
      </w:r>
      <w:r w:rsidRPr="00FC4939">
        <w:rPr>
          <w:rFonts w:ascii="Times New Roman" w:hAnsi="Times New Roman" w:cs="Times New Roman"/>
          <w:sz w:val="24"/>
          <w:szCs w:val="24"/>
          <w:lang w:val="et-EE"/>
        </w:rPr>
        <w:t>Statistika ir jos taikymai II, 2002.-ISBN 9955-491-16-7</w:t>
      </w:r>
    </w:p>
    <w:p w:rsidR="00ED22CC" w:rsidRPr="00FC4939" w:rsidRDefault="00ED22CC" w:rsidP="006A5D98">
      <w:pPr>
        <w:pStyle w:val="ListParagraph"/>
        <w:numPr>
          <w:ilvl w:val="0"/>
          <w:numId w:val="13"/>
        </w:numPr>
        <w:spacing w:after="0" w:line="36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lastRenderedPageBreak/>
        <w:t>Dagilien</w:t>
      </w:r>
      <w:r>
        <w:rPr>
          <w:rFonts w:ascii="Times New Roman" w:hAnsi="Times New Roman" w:cs="Times New Roman"/>
          <w:b/>
          <w:sz w:val="24"/>
          <w:szCs w:val="24"/>
          <w:lang w:val="lt-LT"/>
        </w:rPr>
        <w:t>ė L.</w:t>
      </w:r>
      <w:r>
        <w:rPr>
          <w:rFonts w:ascii="Times New Roman" w:hAnsi="Times New Roman" w:cs="Times New Roman"/>
          <w:b/>
          <w:sz w:val="24"/>
          <w:szCs w:val="24"/>
          <w:lang w:val="et-EE"/>
        </w:rPr>
        <w:t xml:space="preserve">, Menciūnienė V., Rugenytė D. </w:t>
      </w:r>
      <w:r>
        <w:rPr>
          <w:rFonts w:ascii="Times New Roman" w:hAnsi="Times New Roman" w:cs="Times New Roman"/>
          <w:sz w:val="24"/>
          <w:szCs w:val="24"/>
          <w:lang w:val="et-EE"/>
        </w:rPr>
        <w:t xml:space="preserve">Bankroto prognozavimo svarba ir metodai. – Kaunas, Verslas:Teorija ir Praktika, </w:t>
      </w:r>
      <w:r w:rsidRPr="00185A64">
        <w:rPr>
          <w:rFonts w:ascii="Times New Roman" w:hAnsi="Times New Roman" w:cs="Times New Roman"/>
          <w:sz w:val="24"/>
          <w:szCs w:val="24"/>
          <w:lang w:val="et-EE"/>
        </w:rPr>
        <w:t>2010.</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Dzindzevičiūtė L.</w:t>
      </w:r>
      <w:r w:rsidRPr="00FC4939">
        <w:rPr>
          <w:rFonts w:ascii="Times New Roman" w:hAnsi="Times New Roman" w:cs="Times New Roman"/>
          <w:sz w:val="24"/>
          <w:szCs w:val="24"/>
          <w:lang w:val="et-EE"/>
        </w:rPr>
        <w:t xml:space="preserve"> Statistinių vertinimo balais modelių kūrimo ir taikymo ypatumai – Pinigų studijos, 2011.</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Ferguson C., Glass J.C., McKillop D. </w:t>
      </w:r>
      <w:r w:rsidRPr="00FC4939">
        <w:rPr>
          <w:rFonts w:ascii="Times New Roman" w:hAnsi="Times New Roman" w:cs="Times New Roman"/>
          <w:sz w:val="24"/>
          <w:szCs w:val="24"/>
          <w:lang w:val="et-EE"/>
        </w:rPr>
        <w:t>Investigating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Cost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Performance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 UK 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Using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Radial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Non-Radial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Efficiency</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 xml:space="preserve">Measures. </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Ferguson C., McKillop D., Sibbald A. </w:t>
      </w:r>
      <w:r w:rsidRPr="00FC4939">
        <w:rPr>
          <w:rFonts w:ascii="Times New Roman" w:hAnsi="Times New Roman" w:cs="Times New Roman"/>
          <w:sz w:val="24"/>
          <w:szCs w:val="24"/>
          <w:lang w:val="et-EE"/>
        </w:rPr>
        <w:t>An</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examination</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key</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factors</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influence</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development</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process</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w:t>
      </w:r>
      <w:r w:rsidR="006A5D98">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industries – Annals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Public</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Cooperative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Economics, 2002.</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Finans</w:t>
      </w:r>
      <w:r w:rsidR="005E2F4E" w:rsidRPr="00FC4939">
        <w:rPr>
          <w:rFonts w:ascii="Times New Roman" w:hAnsi="Times New Roman" w:cs="Times New Roman"/>
          <w:b/>
          <w:sz w:val="24"/>
          <w:szCs w:val="24"/>
          <w:lang w:val="et-EE"/>
        </w:rPr>
        <w:t>ų</w:t>
      </w:r>
      <w:r w:rsidRPr="00FC4939">
        <w:rPr>
          <w:rFonts w:ascii="Times New Roman" w:hAnsi="Times New Roman" w:cs="Times New Roman"/>
          <w:b/>
          <w:sz w:val="24"/>
          <w:szCs w:val="24"/>
          <w:lang w:val="et-EE"/>
        </w:rPr>
        <w:t xml:space="preserve"> rinkos dalyvių veikla: Kredito unijų ir Lietuvos centrinės kredito unijos veiklos apžvalga 2013 m. </w:t>
      </w:r>
      <w:r w:rsidRPr="00FC4939">
        <w:rPr>
          <w:rFonts w:ascii="Times New Roman" w:hAnsi="Times New Roman" w:cs="Times New Roman"/>
          <w:sz w:val="24"/>
          <w:szCs w:val="24"/>
          <w:lang w:val="et-EE"/>
        </w:rPr>
        <w:t>Lietuvos Bankas, 2014 - ISSN 2335-819X.</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Garbanovas G. </w:t>
      </w:r>
      <w:r w:rsidRPr="00FC4939">
        <w:rPr>
          <w:rFonts w:ascii="Times New Roman" w:hAnsi="Times New Roman" w:cs="Times New Roman"/>
          <w:sz w:val="24"/>
          <w:szCs w:val="24"/>
          <w:lang w:val="et-EE"/>
        </w:rPr>
        <w:t>Banko vertės ir rizikų portfelio sąveika ir valdymas – Daktaro disertacija - Vilniaus Gedimino technikos universitetas, 2010. ISBN 978-9955-28-690-5.</w:t>
      </w:r>
    </w:p>
    <w:p w:rsidR="00A9202B" w:rsidRPr="00FC4939" w:rsidRDefault="00A9202B" w:rsidP="006A5D98">
      <w:pPr>
        <w:pStyle w:val="ListParagraph"/>
        <w:numPr>
          <w:ilvl w:val="0"/>
          <w:numId w:val="13"/>
        </w:numPr>
        <w:spacing w:after="0" w:line="360" w:lineRule="auto"/>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Garškaitė K. </w:t>
      </w:r>
      <w:r w:rsidRPr="00FC4939">
        <w:rPr>
          <w:rFonts w:ascii="Times New Roman" w:hAnsi="Times New Roman" w:cs="Times New Roman"/>
          <w:sz w:val="24"/>
          <w:szCs w:val="24"/>
          <w:lang w:val="et-EE"/>
        </w:rPr>
        <w:t>Įmonių bankroto prognozavimo modelių taikymas  - Verslas: teorija ir praktika. – Vilnius: Vilniaus Gedimino Technikos universitetas, 2008. ISSN 1822-4202.</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Ginevičius R., Podviezko A. </w:t>
      </w:r>
      <w:r w:rsidRPr="00FC4939">
        <w:rPr>
          <w:rFonts w:ascii="Times New Roman" w:hAnsi="Times New Roman" w:cs="Times New Roman"/>
          <w:sz w:val="24"/>
          <w:szCs w:val="24"/>
          <w:lang w:val="et-EE"/>
        </w:rPr>
        <w:t>Sprendimų  paramos metodų taikymo ypatumai vertinant finansinė komercinių bankų stabilumą – Verslas: teorija ir praktika, 2012. ISSN 1822-4202.</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Glogova E.et al. </w:t>
      </w:r>
      <w:r w:rsidRPr="00FC4939">
        <w:rPr>
          <w:rFonts w:ascii="Times New Roman" w:hAnsi="Times New Roman" w:cs="Times New Roman"/>
          <w:sz w:val="24"/>
          <w:szCs w:val="24"/>
          <w:lang w:val="et-EE"/>
        </w:rPr>
        <w:t>Using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Survival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Time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Analysis to Predict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Bank</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failure, 2005.</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Goddard J., McKillop D., Wilson J. O.S. </w:t>
      </w:r>
      <w:r w:rsidRPr="00FC4939">
        <w:rPr>
          <w:rFonts w:ascii="Times New Roman" w:hAnsi="Times New Roman" w:cs="Times New Roman"/>
          <w:sz w:val="24"/>
          <w:szCs w:val="24"/>
          <w:lang w:val="et-EE"/>
        </w:rPr>
        <w:t>What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drives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performance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cooperative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financial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institutions? Evidencefor US 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 – Applied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Financial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Economics, 2008.</w:t>
      </w:r>
    </w:p>
    <w:p w:rsidR="00E709CC" w:rsidRPr="00FC4939" w:rsidRDefault="00E709CC"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Goth P., Ferguson C., McKillop D. </w:t>
      </w:r>
      <w:r w:rsidRPr="00FC4939">
        <w:rPr>
          <w:rFonts w:ascii="Times New Roman" w:hAnsi="Times New Roman" w:cs="Times New Roman"/>
          <w:sz w:val="24"/>
          <w:szCs w:val="24"/>
          <w:lang w:val="et-EE"/>
        </w:rPr>
        <w:t>Building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better</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 – York: Joseph</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Rowntree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Foundation, 2006.</w:t>
      </w:r>
    </w:p>
    <w:p w:rsidR="00E709CC" w:rsidRPr="00FC4939" w:rsidRDefault="00E709CC"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Halling M., Hayden E. </w:t>
      </w:r>
      <w:r w:rsidRPr="00FC4939">
        <w:rPr>
          <w:rFonts w:ascii="Times New Roman" w:hAnsi="Times New Roman" w:cs="Times New Roman"/>
          <w:sz w:val="24"/>
          <w:szCs w:val="24"/>
          <w:lang w:val="et-EE"/>
        </w:rPr>
        <w:t>Bank</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Failure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Prediction: A Two-StepTime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Approach – 2006.</w:t>
      </w:r>
    </w:p>
    <w:p w:rsidR="00F01A75" w:rsidRPr="00FC4939" w:rsidRDefault="00F01A75"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Henebry K.L. </w:t>
      </w:r>
      <w:r w:rsidRPr="00FC4939">
        <w:rPr>
          <w:rFonts w:ascii="Times New Roman" w:hAnsi="Times New Roman" w:cs="Times New Roman"/>
          <w:sz w:val="24"/>
          <w:szCs w:val="24"/>
          <w:lang w:val="et-EE"/>
        </w:rPr>
        <w:t xml:space="preserve">A test of the temporal stability of proportional hazards models for predicting bank failure – Journal of Financial And Strategic Decisions, 1997. </w:t>
      </w:r>
    </w:p>
    <w:p w:rsidR="00A9202B" w:rsidRPr="00281AE0"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Igarytė J.,  Ramanauskas J. </w:t>
      </w:r>
      <w:r w:rsidRPr="00FC4939">
        <w:rPr>
          <w:rFonts w:ascii="Times New Roman" w:hAnsi="Times New Roman" w:cs="Times New Roman"/>
          <w:sz w:val="24"/>
          <w:szCs w:val="24"/>
          <w:lang w:val="et-EE"/>
        </w:rPr>
        <w:t xml:space="preserve">Lietuvos kredito unijų sistemos vystymosi tendencijų ir perspektyvų vertinimas – </w:t>
      </w:r>
      <w:r w:rsidR="00281AE0">
        <w:rPr>
          <w:rFonts w:ascii="Times New Roman" w:hAnsi="Times New Roman" w:cs="Times New Roman"/>
          <w:sz w:val="24"/>
          <w:szCs w:val="24"/>
          <w:lang w:val="et-EE"/>
        </w:rPr>
        <w:t>Vadybos mokslas ir studijos,</w:t>
      </w:r>
      <w:r w:rsidRPr="00FC4939">
        <w:rPr>
          <w:rFonts w:ascii="Times New Roman" w:hAnsi="Times New Roman" w:cs="Times New Roman"/>
          <w:sz w:val="24"/>
          <w:szCs w:val="24"/>
          <w:lang w:val="et-EE"/>
        </w:rPr>
        <w:t>2011 – ISSN 1822-6760.</w:t>
      </w:r>
    </w:p>
    <w:p w:rsidR="00281AE0" w:rsidRPr="00FC4939" w:rsidRDefault="00281AE0"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Kaleininkaitė L., Trumpaitė I. </w:t>
      </w:r>
      <w:r>
        <w:rPr>
          <w:rFonts w:ascii="Times New Roman" w:hAnsi="Times New Roman" w:cs="Times New Roman"/>
          <w:sz w:val="24"/>
          <w:szCs w:val="24"/>
          <w:lang w:val="et-EE"/>
        </w:rPr>
        <w:t>Verslo rizikos valdymas ir jo tobulinimas – Verslas: teorija ir praktika, 2007. ISSN 1648-0627.</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lastRenderedPageBreak/>
        <w:t xml:space="preserve">Kaupelytė D., Levišauskaitė K. </w:t>
      </w:r>
      <w:r w:rsidRPr="00FC4939">
        <w:rPr>
          <w:rFonts w:ascii="Times New Roman" w:hAnsi="Times New Roman" w:cs="Times New Roman"/>
          <w:sz w:val="24"/>
          <w:szCs w:val="24"/>
          <w:lang w:val="et-EE"/>
        </w:rPr>
        <w:t>Risk Management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 Tendencies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Impact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Sector’s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Development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Lithuania - Organizacijų vadyba: sisteminiai tyrimai, 2005 – ISSN-1392-1142.</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Kėdaitis V., Žilinskas E. </w:t>
      </w:r>
      <w:r w:rsidRPr="00FC4939">
        <w:rPr>
          <w:rFonts w:ascii="Times New Roman" w:hAnsi="Times New Roman" w:cs="Times New Roman"/>
          <w:sz w:val="24"/>
          <w:szCs w:val="24"/>
          <w:lang w:val="et-EE"/>
        </w:rPr>
        <w:t>Lietuvos kredito unijų veiklos rizikingumo vertinimas – Lithuanian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Journal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Statistics, 2013 – ISSN 2029-7262.</w:t>
      </w:r>
    </w:p>
    <w:p w:rsidR="00F01A75" w:rsidRPr="00FC4939" w:rsidRDefault="00F01A75"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Kim M.</w:t>
      </w:r>
      <w:r w:rsidR="00D835EC" w:rsidRPr="00FC4939">
        <w:rPr>
          <w:rFonts w:ascii="Times New Roman" w:hAnsi="Times New Roman" w:cs="Times New Roman"/>
          <w:b/>
          <w:sz w:val="24"/>
          <w:szCs w:val="24"/>
          <w:lang w:val="et-EE"/>
        </w:rPr>
        <w:t>, Partigton G.</w:t>
      </w:r>
      <w:r w:rsidRPr="00FC4939">
        <w:rPr>
          <w:rFonts w:ascii="Times New Roman" w:hAnsi="Times New Roman" w:cs="Times New Roman"/>
          <w:b/>
          <w:sz w:val="24"/>
          <w:szCs w:val="24"/>
          <w:lang w:val="et-EE"/>
        </w:rPr>
        <w:t xml:space="preserve"> </w:t>
      </w:r>
      <w:r w:rsidRPr="00FC4939">
        <w:rPr>
          <w:rFonts w:ascii="Times New Roman" w:hAnsi="Times New Roman" w:cs="Times New Roman"/>
          <w:sz w:val="24"/>
          <w:szCs w:val="24"/>
          <w:lang w:val="et-EE"/>
        </w:rPr>
        <w:t>The dyna</w:t>
      </w:r>
      <w:r w:rsidR="00D835EC" w:rsidRPr="00FC4939">
        <w:rPr>
          <w:rFonts w:ascii="Times New Roman" w:hAnsi="Times New Roman" w:cs="Times New Roman"/>
          <w:sz w:val="24"/>
          <w:szCs w:val="24"/>
          <w:lang w:val="et-EE"/>
        </w:rPr>
        <w:t>mic prediction of company failure – university of Wollongong, 2008.</w:t>
      </w:r>
    </w:p>
    <w:p w:rsidR="00A9202B" w:rsidRPr="00E00FAA"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Kotlica S., Rankov S. </w:t>
      </w:r>
      <w:r w:rsidRPr="00FC4939">
        <w:rPr>
          <w:rFonts w:ascii="Times New Roman" w:hAnsi="Times New Roman" w:cs="Times New Roman"/>
          <w:sz w:val="24"/>
          <w:szCs w:val="24"/>
          <w:lang w:val="et-EE"/>
        </w:rPr>
        <w:t>Bankcruptcy</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prediction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model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use</w:t>
      </w:r>
      <w:r w:rsidR="00FC4939" w:rsidRPr="00FC4939">
        <w:rPr>
          <w:rFonts w:ascii="Times New Roman" w:hAnsi="Times New Roman" w:cs="Times New Roman"/>
          <w:sz w:val="24"/>
          <w:szCs w:val="24"/>
          <w:lang w:val="et-EE"/>
        </w:rPr>
        <w:t xml:space="preserve">d </w:t>
      </w:r>
      <w:r w:rsidRPr="00FC4939">
        <w:rPr>
          <w:rFonts w:ascii="Times New Roman" w:hAnsi="Times New Roman" w:cs="Times New Roman"/>
          <w:sz w:val="24"/>
          <w:szCs w:val="24"/>
          <w:lang w:val="et-EE"/>
        </w:rPr>
        <w:t>in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 risk management – UDC005.521”336.717, 2013.</w:t>
      </w:r>
    </w:p>
    <w:p w:rsidR="00E00FAA" w:rsidRPr="004C38A3" w:rsidRDefault="00E00FAA"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Kredito unijų paskolų vertinimo taisyklės- </w:t>
      </w:r>
      <w:r w:rsidRPr="00E00FAA">
        <w:rPr>
          <w:rFonts w:ascii="Times New Roman" w:hAnsi="Times New Roman" w:cs="Times New Roman"/>
          <w:sz w:val="24"/>
          <w:szCs w:val="24"/>
          <w:lang w:val="et-EE"/>
        </w:rPr>
        <w:t>Lietuvos banko valdybos nutarimas Nr. 03-125, 2013.</w:t>
      </w:r>
    </w:p>
    <w:p w:rsidR="004C38A3" w:rsidRPr="00172AFA" w:rsidRDefault="004C38A3"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Lebedžinskaitė R. </w:t>
      </w:r>
      <w:r>
        <w:rPr>
          <w:rFonts w:ascii="Times New Roman" w:hAnsi="Times New Roman" w:cs="Times New Roman"/>
          <w:sz w:val="24"/>
          <w:szCs w:val="24"/>
          <w:lang w:val="et-EE"/>
        </w:rPr>
        <w:t>Bankroto diagnozavimo modelių analizė – Lietuvos žemės ūkio universitetas, 2007.</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Leonavičienė T. </w:t>
      </w:r>
      <w:r w:rsidRPr="00FC4939">
        <w:rPr>
          <w:rFonts w:ascii="Times New Roman" w:hAnsi="Times New Roman" w:cs="Times New Roman"/>
          <w:sz w:val="24"/>
          <w:szCs w:val="24"/>
          <w:lang w:val="et-EE"/>
        </w:rPr>
        <w:t>Studijų proceso analizė taikant analizės metodus – Vilniaus Gedimino technikos universitetas, 2008.</w:t>
      </w:r>
    </w:p>
    <w:p w:rsidR="00A9202B" w:rsidRPr="009843DD"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Levišauskaitė K.,  Račkauskas M. </w:t>
      </w:r>
      <w:r w:rsidRPr="00FC4939">
        <w:rPr>
          <w:rFonts w:ascii="Times New Roman" w:hAnsi="Times New Roman" w:cs="Times New Roman"/>
          <w:sz w:val="24"/>
          <w:szCs w:val="24"/>
          <w:lang w:val="et-EE"/>
        </w:rPr>
        <w:t>Possible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changes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the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performance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according to new</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Central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Bank</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regulations – Taikomoji ekonomika: sisteminiai tyrimai, 2013 – ISSN 1822-7996.</w:t>
      </w:r>
    </w:p>
    <w:p w:rsidR="009843DD" w:rsidRPr="00FC4939" w:rsidRDefault="009843DD" w:rsidP="009843DD">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Lietuvos bankas. Pagrindiniai kredito unijų sektoriaus veiklos rodikliai (</w:t>
      </w:r>
      <w:r>
        <w:rPr>
          <w:rFonts w:ascii="Times New Roman" w:hAnsi="Times New Roman" w:cs="Times New Roman"/>
          <w:b/>
          <w:sz w:val="24"/>
          <w:szCs w:val="24"/>
        </w:rPr>
        <w:t xml:space="preserve">2013 m. </w:t>
      </w:r>
      <w:proofErr w:type="spellStart"/>
      <w:r>
        <w:rPr>
          <w:rFonts w:ascii="Times New Roman" w:hAnsi="Times New Roman" w:cs="Times New Roman"/>
          <w:b/>
          <w:sz w:val="24"/>
          <w:szCs w:val="24"/>
        </w:rPr>
        <w:t>gruodžio</w:t>
      </w:r>
      <w:proofErr w:type="spellEnd"/>
      <w:r>
        <w:rPr>
          <w:rFonts w:ascii="Times New Roman" w:hAnsi="Times New Roman" w:cs="Times New Roman"/>
          <w:b/>
          <w:sz w:val="24"/>
          <w:szCs w:val="24"/>
        </w:rPr>
        <w:t xml:space="preserve"> 31 d. </w:t>
      </w:r>
      <w:proofErr w:type="spellStart"/>
      <w:r>
        <w:rPr>
          <w:rFonts w:ascii="Times New Roman" w:hAnsi="Times New Roman" w:cs="Times New Roman"/>
          <w:b/>
          <w:sz w:val="24"/>
          <w:szCs w:val="24"/>
        </w:rPr>
        <w:t>tūkst</w:t>
      </w:r>
      <w:proofErr w:type="spellEnd"/>
      <w:r>
        <w:rPr>
          <w:rFonts w:ascii="Times New Roman" w:hAnsi="Times New Roman" w:cs="Times New Roman"/>
          <w:b/>
          <w:sz w:val="24"/>
          <w:szCs w:val="24"/>
        </w:rPr>
        <w:t xml:space="preserve">. Lt) </w:t>
      </w:r>
      <w:r w:rsidRPr="009843DD">
        <w:rPr>
          <w:rFonts w:ascii="Times New Roman" w:hAnsi="Times New Roman" w:cs="Times New Roman"/>
          <w:sz w:val="24"/>
          <w:szCs w:val="24"/>
        </w:rPr>
        <w:t>– 2014.</w:t>
      </w:r>
      <w:r w:rsidRPr="009843DD">
        <w:t xml:space="preserve"> </w:t>
      </w:r>
      <w:r w:rsidRPr="009843DD">
        <w:rPr>
          <w:rFonts w:ascii="Times New Roman" w:hAnsi="Times New Roman" w:cs="Times New Roman"/>
          <w:sz w:val="24"/>
          <w:szCs w:val="24"/>
        </w:rPr>
        <w:t xml:space="preserve">https://www.lb.lt/2013_m_2 </w:t>
      </w:r>
      <w:r>
        <w:rPr>
          <w:rFonts w:ascii="Times New Roman" w:hAnsi="Times New Roman" w:cs="Times New Roman"/>
          <w:sz w:val="24"/>
          <w:szCs w:val="24"/>
        </w:rPr>
        <w:t>[</w:t>
      </w:r>
      <w:r w:rsidR="003D0D95">
        <w:rPr>
          <w:rFonts w:ascii="Times New Roman" w:hAnsi="Times New Roman" w:cs="Times New Roman"/>
          <w:sz w:val="24"/>
          <w:szCs w:val="24"/>
        </w:rPr>
        <w:t xml:space="preserve">interaktyvus, </w:t>
      </w:r>
      <w:r>
        <w:rPr>
          <w:rFonts w:ascii="Times New Roman" w:hAnsi="Times New Roman" w:cs="Times New Roman"/>
          <w:sz w:val="24"/>
          <w:szCs w:val="24"/>
          <w:lang w:val="lt-LT"/>
        </w:rPr>
        <w:t xml:space="preserve">žiūrėta </w:t>
      </w:r>
      <w:r>
        <w:rPr>
          <w:rFonts w:ascii="Times New Roman" w:hAnsi="Times New Roman" w:cs="Times New Roman"/>
          <w:sz w:val="24"/>
          <w:szCs w:val="24"/>
        </w:rPr>
        <w:t>2014-03-03]</w:t>
      </w:r>
    </w:p>
    <w:p w:rsidR="00A9202B" w:rsidRPr="006A5D98"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Lietuvos Respublikos Bankų įstatymas</w:t>
      </w:r>
      <w:r w:rsidRPr="00FC4939">
        <w:rPr>
          <w:rFonts w:ascii="Times New Roman" w:hAnsi="Times New Roman" w:cs="Times New Roman"/>
          <w:sz w:val="24"/>
          <w:szCs w:val="24"/>
          <w:lang w:val="et-EE"/>
        </w:rPr>
        <w:t xml:space="preserve"> – Valstybės žinios, 2004, Nr. 54-1832  [aktuali įstatymo redakcija nuo 2012-01-01]</w:t>
      </w:r>
    </w:p>
    <w:p w:rsidR="006A5D98" w:rsidRPr="00FC4939" w:rsidRDefault="006A5D98"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Lietuvos Respublikos Centrinės kredito unijos įstatymas – </w:t>
      </w:r>
      <w:r w:rsidRPr="006A5D98">
        <w:rPr>
          <w:rFonts w:ascii="Times New Roman" w:hAnsi="Times New Roman" w:cs="Times New Roman"/>
          <w:sz w:val="24"/>
          <w:szCs w:val="24"/>
          <w:lang w:val="et-EE"/>
        </w:rPr>
        <w:t>Valstybės žinios</w:t>
      </w:r>
      <w:r>
        <w:rPr>
          <w:rFonts w:ascii="Times New Roman" w:hAnsi="Times New Roman" w:cs="Times New Roman"/>
          <w:sz w:val="24"/>
          <w:szCs w:val="24"/>
          <w:lang w:val="et-EE"/>
        </w:rPr>
        <w:t>, 2000, Nr. 45-1288 [aktuali redakcija nuo 2012-01-01].</w:t>
      </w:r>
      <w:r>
        <w:rPr>
          <w:rFonts w:ascii="Times New Roman" w:hAnsi="Times New Roman" w:cs="Times New Roman"/>
          <w:b/>
          <w:sz w:val="24"/>
          <w:szCs w:val="24"/>
          <w:lang w:val="et-EE"/>
        </w:rPr>
        <w:t xml:space="preserve"> </w:t>
      </w:r>
    </w:p>
    <w:p w:rsidR="00A9202B" w:rsidRPr="00054374"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Lietuvos Respublikos Kredito Unijų įstatymas </w:t>
      </w:r>
      <w:r w:rsidRPr="00FC4939">
        <w:rPr>
          <w:rFonts w:ascii="Times New Roman" w:hAnsi="Times New Roman" w:cs="Times New Roman"/>
          <w:sz w:val="24"/>
          <w:szCs w:val="24"/>
          <w:lang w:val="et-EE"/>
        </w:rPr>
        <w:t>– Valstybės žinios, 2008, Nr. 76-3003 [aktuali redakcija nuo 2009-01-01].</w:t>
      </w:r>
    </w:p>
    <w:p w:rsidR="00054374" w:rsidRPr="00FC4939" w:rsidRDefault="00054374"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Mackevičius J., Rakštelienė A. </w:t>
      </w:r>
      <w:r>
        <w:rPr>
          <w:rFonts w:ascii="Times New Roman" w:hAnsi="Times New Roman" w:cs="Times New Roman"/>
          <w:sz w:val="24"/>
          <w:szCs w:val="24"/>
          <w:lang w:val="et-EE"/>
        </w:rPr>
        <w:t xml:space="preserve">Altman modelių taikymas Lietuvos įmonių bankrotui prognozuoti. – Vilnius, Pinigų studijos, </w:t>
      </w:r>
      <w:r w:rsidRPr="00185A64">
        <w:rPr>
          <w:rFonts w:ascii="Times New Roman" w:hAnsi="Times New Roman" w:cs="Times New Roman"/>
          <w:sz w:val="24"/>
          <w:szCs w:val="24"/>
          <w:lang w:val="et-EE"/>
        </w:rPr>
        <w:t>2005/1.</w:t>
      </w:r>
    </w:p>
    <w:p w:rsidR="00A9202B" w:rsidRPr="00FC4939" w:rsidRDefault="00A9202B" w:rsidP="006A5D98">
      <w:pPr>
        <w:pStyle w:val="ListParagraph"/>
        <w:numPr>
          <w:ilvl w:val="0"/>
          <w:numId w:val="13"/>
        </w:numPr>
        <w:spacing w:after="0" w:line="360" w:lineRule="auto"/>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lastRenderedPageBreak/>
        <w:t xml:space="preserve">Mackevičius J. </w:t>
      </w:r>
      <w:r w:rsidRPr="00FC4939">
        <w:rPr>
          <w:rFonts w:ascii="Times New Roman" w:hAnsi="Times New Roman" w:cs="Times New Roman"/>
          <w:sz w:val="24"/>
          <w:szCs w:val="24"/>
          <w:lang w:val="et-EE"/>
        </w:rPr>
        <w:t>Integruota įmonių bankroto prognozavimo metodika // Current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issues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Business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Law. – Vilnius: Vilniaus universiteto Tarptautinė verslo mokykla, 2010. ISSN 1822-9530.</w:t>
      </w:r>
    </w:p>
    <w:p w:rsidR="00A9202B" w:rsidRPr="00281AE0"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Maggiolini P., Mistrulli P. E. </w:t>
      </w:r>
      <w:r w:rsidRPr="00FC4939">
        <w:rPr>
          <w:rFonts w:ascii="Times New Roman" w:hAnsi="Times New Roman" w:cs="Times New Roman"/>
          <w:sz w:val="24"/>
          <w:szCs w:val="24"/>
          <w:lang w:val="et-EE"/>
        </w:rPr>
        <w:t>A survival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analysis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denovo</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co-operative</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banks – Empirical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Economics, 2005.</w:t>
      </w:r>
    </w:p>
    <w:p w:rsidR="00281AE0" w:rsidRPr="00FC4939" w:rsidRDefault="00281AE0"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Mulevičius S. </w:t>
      </w:r>
      <w:r>
        <w:rPr>
          <w:rFonts w:ascii="Times New Roman" w:hAnsi="Times New Roman" w:cs="Times New Roman"/>
          <w:sz w:val="24"/>
          <w:szCs w:val="24"/>
          <w:lang w:val="et-EE"/>
        </w:rPr>
        <w:t>Rizikos valdymo galimybė atliekant operatyvius veiksmus – Jurisprudencija, 2003. T. 49(41)</w:t>
      </w:r>
    </w:p>
    <w:p w:rsidR="00A9202B" w:rsidRPr="00FC4939" w:rsidRDefault="00A9202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McKillop D., Wilson J. O.S. </w:t>
      </w:r>
      <w:r w:rsidRPr="00FC4939">
        <w:rPr>
          <w:rFonts w:ascii="Times New Roman" w:hAnsi="Times New Roman" w:cs="Times New Roman"/>
          <w:sz w:val="24"/>
          <w:szCs w:val="24"/>
          <w:lang w:val="et-EE"/>
        </w:rPr>
        <w:t>Credit</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Unions: A Theoretical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Empirical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Overview – New</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York</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University</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Salomon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Center</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Wiley</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Periodicals, 2011.</w:t>
      </w:r>
    </w:p>
    <w:p w:rsidR="009843DD" w:rsidRPr="009843DD" w:rsidRDefault="00A9202B" w:rsidP="009843DD">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Nekrošiūtė G., Špicas R. </w:t>
      </w:r>
      <w:r w:rsidRPr="00FC4939">
        <w:rPr>
          <w:rFonts w:ascii="Times New Roman" w:hAnsi="Times New Roman" w:cs="Times New Roman"/>
          <w:sz w:val="24"/>
          <w:szCs w:val="24"/>
          <w:lang w:val="et-EE"/>
        </w:rPr>
        <w:t>Įmonių kredito rizikos vertinimo modelių taikymas Lietuvos kredito unijose – Ekonomika ir vadyba: aktualijos ir perspektyvos, 2012 – ISSN 1648-9098.</w:t>
      </w:r>
    </w:p>
    <w:p w:rsidR="00327CBD" w:rsidRPr="00FC4939" w:rsidRDefault="00327CBD"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Ragalevsky S. V. , Ricardi S. J. </w:t>
      </w:r>
      <w:r>
        <w:rPr>
          <w:rFonts w:ascii="Times New Roman" w:hAnsi="Times New Roman" w:cs="Times New Roman"/>
          <w:sz w:val="24"/>
          <w:szCs w:val="24"/>
          <w:lang w:val="et-EE"/>
        </w:rPr>
        <w:t>Anatomy of A Bank Failure – The banking Law Journal, 2009. 1-800-572-2797.</w:t>
      </w:r>
    </w:p>
    <w:p w:rsidR="00215B61" w:rsidRPr="00FC4939" w:rsidRDefault="00215B61"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Shen C.-H., </w:t>
      </w:r>
      <w:r w:rsidR="00367330" w:rsidRPr="00FC4939">
        <w:rPr>
          <w:rFonts w:ascii="Times New Roman" w:hAnsi="Times New Roman" w:cs="Times New Roman"/>
          <w:b/>
          <w:sz w:val="24"/>
          <w:szCs w:val="24"/>
          <w:lang w:val="et-EE"/>
        </w:rPr>
        <w:t xml:space="preserve">Hsieh M.-F. </w:t>
      </w:r>
      <w:r w:rsidR="00367330" w:rsidRPr="00FC4939">
        <w:rPr>
          <w:rFonts w:ascii="Times New Roman" w:hAnsi="Times New Roman" w:cs="Times New Roman"/>
          <w:sz w:val="24"/>
          <w:szCs w:val="24"/>
          <w:lang w:val="et-EE"/>
        </w:rPr>
        <w:t>Prediction</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Bank</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Failures</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Using</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Combined</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Micro</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Macro Data – International</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Review</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Accounting, Banking</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and</w:t>
      </w:r>
      <w:r w:rsidR="00FC4939" w:rsidRPr="00FC4939">
        <w:rPr>
          <w:rFonts w:ascii="Times New Roman" w:hAnsi="Times New Roman" w:cs="Times New Roman"/>
          <w:sz w:val="24"/>
          <w:szCs w:val="24"/>
          <w:lang w:val="et-EE"/>
        </w:rPr>
        <w:t xml:space="preserve"> </w:t>
      </w:r>
      <w:r w:rsidR="00367330" w:rsidRPr="00FC4939">
        <w:rPr>
          <w:rFonts w:ascii="Times New Roman" w:hAnsi="Times New Roman" w:cs="Times New Roman"/>
          <w:sz w:val="24"/>
          <w:szCs w:val="24"/>
          <w:lang w:val="et-EE"/>
        </w:rPr>
        <w:t>Finance, 2011.</w:t>
      </w:r>
    </w:p>
    <w:p w:rsidR="00255B61" w:rsidRPr="00FC4939" w:rsidRDefault="00255B61"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Valvonis V.</w:t>
      </w:r>
      <w:r w:rsidRPr="00FC4939">
        <w:rPr>
          <w:rFonts w:ascii="Times New Roman" w:hAnsi="Times New Roman" w:cs="Times New Roman"/>
          <w:sz w:val="24"/>
          <w:szCs w:val="24"/>
          <w:lang w:val="et-EE"/>
        </w:rPr>
        <w:t xml:space="preserve"> Šiuolaikinis kredito rizikos valdymo vertinimas banke: paskolų portfolio rizika ir ekonominio kapitalo paskirstymas – Pinigų studijos, 2006.</w:t>
      </w:r>
    </w:p>
    <w:p w:rsidR="002E3BA6" w:rsidRPr="00FC4939" w:rsidRDefault="00F420F4"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 xml:space="preserve">Venclovienė J. </w:t>
      </w:r>
      <w:r w:rsidRPr="00FC4939">
        <w:rPr>
          <w:rFonts w:ascii="Times New Roman" w:hAnsi="Times New Roman" w:cs="Times New Roman"/>
          <w:sz w:val="24"/>
          <w:szCs w:val="24"/>
          <w:lang w:val="et-EE"/>
        </w:rPr>
        <w:t>Statistiniai metodai medicinoje – Bendrasis vadovėlis aukštosioms mokykloms – Kaunas,2010. UDK:311-61(075.8).</w:t>
      </w:r>
    </w:p>
    <w:p w:rsidR="00E709CC" w:rsidRPr="00FC4939" w:rsidRDefault="00E709CC"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et-EE"/>
        </w:rPr>
      </w:pPr>
      <w:r w:rsidRPr="00FC4939">
        <w:rPr>
          <w:rFonts w:ascii="Times New Roman" w:hAnsi="Times New Roman" w:cs="Times New Roman"/>
          <w:b/>
          <w:sz w:val="24"/>
          <w:szCs w:val="24"/>
          <w:lang w:val="et-EE"/>
        </w:rPr>
        <w:t>Whalen G.</w:t>
      </w:r>
      <w:r w:rsidR="00FC4939" w:rsidRPr="00FC4939">
        <w:rPr>
          <w:rFonts w:ascii="Times New Roman" w:hAnsi="Times New Roman" w:cs="Times New Roman"/>
          <w:b/>
          <w:sz w:val="24"/>
          <w:szCs w:val="24"/>
          <w:lang w:val="et-EE"/>
        </w:rPr>
        <w:t xml:space="preserve"> </w:t>
      </w:r>
      <w:r w:rsidRPr="00FC4939">
        <w:rPr>
          <w:rFonts w:ascii="Times New Roman" w:hAnsi="Times New Roman" w:cs="Times New Roman"/>
          <w:sz w:val="24"/>
          <w:szCs w:val="24"/>
          <w:lang w:val="et-EE"/>
        </w:rPr>
        <w:t>Proportional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Hazards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Model</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Bank</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Failure: An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Examination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of</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Its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Usefulness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as</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an</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Early</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Warning</w:t>
      </w:r>
      <w:r w:rsidR="00FC4939" w:rsidRPr="00FC4939">
        <w:rPr>
          <w:rFonts w:ascii="Times New Roman" w:hAnsi="Times New Roman" w:cs="Times New Roman"/>
          <w:sz w:val="24"/>
          <w:szCs w:val="24"/>
          <w:lang w:val="et-EE"/>
        </w:rPr>
        <w:t xml:space="preserve"> </w:t>
      </w:r>
      <w:r w:rsidRPr="00FC4939">
        <w:rPr>
          <w:rFonts w:ascii="Times New Roman" w:hAnsi="Times New Roman" w:cs="Times New Roman"/>
          <w:sz w:val="24"/>
          <w:szCs w:val="24"/>
          <w:lang w:val="et-EE"/>
        </w:rPr>
        <w:t>Tool, 1991.</w:t>
      </w:r>
    </w:p>
    <w:p w:rsidR="00FA1042" w:rsidRPr="0062683B" w:rsidRDefault="00F01A75"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lt-LT"/>
        </w:rPr>
      </w:pPr>
      <w:proofErr w:type="spellStart"/>
      <w:r>
        <w:rPr>
          <w:rFonts w:ascii="Times New Roman" w:hAnsi="Times New Roman" w:cs="Times New Roman"/>
          <w:b/>
          <w:sz w:val="24"/>
          <w:szCs w:val="24"/>
          <w:lang w:val="lt-LT"/>
        </w:rPr>
        <w:t>Wor</w:t>
      </w:r>
      <w:r w:rsidR="0062683B">
        <w:rPr>
          <w:rFonts w:ascii="Times New Roman" w:hAnsi="Times New Roman" w:cs="Times New Roman"/>
          <w:b/>
          <w:sz w:val="24"/>
          <w:szCs w:val="24"/>
          <w:lang w:val="lt-LT"/>
        </w:rPr>
        <w:t>l</w:t>
      </w:r>
      <w:r>
        <w:rPr>
          <w:rFonts w:ascii="Times New Roman" w:hAnsi="Times New Roman" w:cs="Times New Roman"/>
          <w:b/>
          <w:sz w:val="24"/>
          <w:szCs w:val="24"/>
          <w:lang w:val="lt-LT"/>
        </w:rPr>
        <w:t>d</w:t>
      </w:r>
      <w:proofErr w:type="spellEnd"/>
      <w:r>
        <w:rPr>
          <w:rFonts w:ascii="Times New Roman" w:hAnsi="Times New Roman" w:cs="Times New Roman"/>
          <w:b/>
          <w:sz w:val="24"/>
          <w:szCs w:val="24"/>
          <w:lang w:val="lt-LT"/>
        </w:rPr>
        <w:t xml:space="preserve"> </w:t>
      </w:r>
      <w:proofErr w:type="spellStart"/>
      <w:r w:rsidR="0085075D" w:rsidRPr="000D37F1">
        <w:rPr>
          <w:rFonts w:ascii="Times New Roman" w:hAnsi="Times New Roman" w:cs="Times New Roman"/>
          <w:b/>
          <w:sz w:val="24"/>
          <w:szCs w:val="24"/>
          <w:lang w:val="lt-LT"/>
        </w:rPr>
        <w:t>Council</w:t>
      </w:r>
      <w:proofErr w:type="spellEnd"/>
      <w:r w:rsidR="00FC4939">
        <w:rPr>
          <w:rFonts w:ascii="Times New Roman" w:hAnsi="Times New Roman" w:cs="Times New Roman"/>
          <w:b/>
          <w:sz w:val="24"/>
          <w:szCs w:val="24"/>
          <w:lang w:val="lt-LT"/>
        </w:rPr>
        <w:t xml:space="preserve"> </w:t>
      </w:r>
      <w:proofErr w:type="spellStart"/>
      <w:r w:rsidR="0085075D" w:rsidRPr="000D37F1">
        <w:rPr>
          <w:rFonts w:ascii="Times New Roman" w:hAnsi="Times New Roman" w:cs="Times New Roman"/>
          <w:b/>
          <w:sz w:val="24"/>
          <w:szCs w:val="24"/>
          <w:lang w:val="lt-LT"/>
        </w:rPr>
        <w:t>of</w:t>
      </w:r>
      <w:proofErr w:type="spellEnd"/>
      <w:r>
        <w:rPr>
          <w:rFonts w:ascii="Times New Roman" w:hAnsi="Times New Roman" w:cs="Times New Roman"/>
          <w:b/>
          <w:sz w:val="24"/>
          <w:szCs w:val="24"/>
          <w:lang w:val="lt-LT"/>
        </w:rPr>
        <w:t xml:space="preserve"> </w:t>
      </w:r>
      <w:proofErr w:type="spellStart"/>
      <w:r w:rsidR="0085075D" w:rsidRPr="000D37F1">
        <w:rPr>
          <w:rFonts w:ascii="Times New Roman" w:hAnsi="Times New Roman" w:cs="Times New Roman"/>
          <w:b/>
          <w:sz w:val="24"/>
          <w:szCs w:val="24"/>
          <w:lang w:val="lt-LT"/>
        </w:rPr>
        <w:t>Credit</w:t>
      </w:r>
      <w:proofErr w:type="spellEnd"/>
      <w:r>
        <w:rPr>
          <w:rFonts w:ascii="Times New Roman" w:hAnsi="Times New Roman" w:cs="Times New Roman"/>
          <w:b/>
          <w:sz w:val="24"/>
          <w:szCs w:val="24"/>
          <w:lang w:val="lt-LT"/>
        </w:rPr>
        <w:t xml:space="preserve"> </w:t>
      </w:r>
      <w:proofErr w:type="spellStart"/>
      <w:r w:rsidR="0085075D" w:rsidRPr="000D37F1">
        <w:rPr>
          <w:rFonts w:ascii="Times New Roman" w:hAnsi="Times New Roman" w:cs="Times New Roman"/>
          <w:b/>
          <w:sz w:val="24"/>
          <w:szCs w:val="24"/>
          <w:lang w:val="lt-LT"/>
        </w:rPr>
        <w:t>Unions</w:t>
      </w:r>
      <w:proofErr w:type="spellEnd"/>
      <w:r>
        <w:rPr>
          <w:rFonts w:ascii="Times New Roman" w:hAnsi="Times New Roman" w:cs="Times New Roman"/>
          <w:b/>
          <w:sz w:val="24"/>
          <w:szCs w:val="24"/>
          <w:lang w:val="lt-LT"/>
        </w:rPr>
        <w:t xml:space="preserve"> </w:t>
      </w:r>
      <w:proofErr w:type="spellStart"/>
      <w:r w:rsidR="0085075D" w:rsidRPr="000D37F1">
        <w:rPr>
          <w:rFonts w:ascii="Times New Roman" w:hAnsi="Times New Roman" w:cs="Times New Roman"/>
          <w:sz w:val="24"/>
          <w:szCs w:val="24"/>
          <w:lang w:val="lt-LT"/>
        </w:rPr>
        <w:t>International</w:t>
      </w:r>
      <w:proofErr w:type="spellEnd"/>
      <w:r w:rsidR="00FC4939">
        <w:rPr>
          <w:rFonts w:ascii="Times New Roman" w:hAnsi="Times New Roman" w:cs="Times New Roman"/>
          <w:sz w:val="24"/>
          <w:szCs w:val="24"/>
          <w:lang w:val="lt-LT"/>
        </w:rPr>
        <w:t xml:space="preserve"> </w:t>
      </w:r>
      <w:proofErr w:type="spellStart"/>
      <w:r w:rsidR="0085075D" w:rsidRPr="000D37F1">
        <w:rPr>
          <w:rFonts w:ascii="Times New Roman" w:hAnsi="Times New Roman" w:cs="Times New Roman"/>
          <w:sz w:val="24"/>
          <w:szCs w:val="24"/>
          <w:lang w:val="lt-LT"/>
        </w:rPr>
        <w:t>Credit</w:t>
      </w:r>
      <w:proofErr w:type="spellEnd"/>
      <w:r w:rsidR="00FC4939">
        <w:rPr>
          <w:rFonts w:ascii="Times New Roman" w:hAnsi="Times New Roman" w:cs="Times New Roman"/>
          <w:sz w:val="24"/>
          <w:szCs w:val="24"/>
          <w:lang w:val="lt-LT"/>
        </w:rPr>
        <w:t xml:space="preserve"> </w:t>
      </w:r>
      <w:proofErr w:type="spellStart"/>
      <w:r w:rsidR="0085075D" w:rsidRPr="000D37F1">
        <w:rPr>
          <w:rFonts w:ascii="Times New Roman" w:hAnsi="Times New Roman" w:cs="Times New Roman"/>
          <w:sz w:val="24"/>
          <w:szCs w:val="24"/>
          <w:lang w:val="lt-LT"/>
        </w:rPr>
        <w:t>Union</w:t>
      </w:r>
      <w:proofErr w:type="spellEnd"/>
      <w:r w:rsidR="00FC4939">
        <w:rPr>
          <w:rFonts w:ascii="Times New Roman" w:hAnsi="Times New Roman" w:cs="Times New Roman"/>
          <w:sz w:val="24"/>
          <w:szCs w:val="24"/>
          <w:lang w:val="lt-LT"/>
        </w:rPr>
        <w:t xml:space="preserve"> </w:t>
      </w:r>
      <w:proofErr w:type="spellStart"/>
      <w:r w:rsidR="0085075D" w:rsidRPr="000D37F1">
        <w:rPr>
          <w:rFonts w:ascii="Times New Roman" w:hAnsi="Times New Roman" w:cs="Times New Roman"/>
          <w:sz w:val="24"/>
          <w:szCs w:val="24"/>
          <w:lang w:val="lt-LT"/>
        </w:rPr>
        <w:t>System</w:t>
      </w:r>
      <w:proofErr w:type="spellEnd"/>
      <w:r>
        <w:rPr>
          <w:rFonts w:ascii="Times New Roman" w:hAnsi="Times New Roman" w:cs="Times New Roman"/>
          <w:sz w:val="24"/>
          <w:szCs w:val="24"/>
          <w:lang w:val="lt-LT"/>
        </w:rPr>
        <w:t xml:space="preserve"> </w:t>
      </w:r>
      <w:hyperlink r:id="rId23" w:history="1">
        <w:r w:rsidR="0085075D" w:rsidRPr="000D37F1">
          <w:rPr>
            <w:rStyle w:val="Hyperlink"/>
            <w:rFonts w:ascii="Times New Roman" w:hAnsi="Times New Roman" w:cs="Times New Roman"/>
            <w:color w:val="auto"/>
            <w:sz w:val="24"/>
            <w:szCs w:val="24"/>
            <w:u w:val="none"/>
            <w:lang w:val="lt-LT"/>
          </w:rPr>
          <w:t>http://www.woccu.org/about/intlcusystem</w:t>
        </w:r>
      </w:hyperlink>
      <w:r w:rsidR="0085075D" w:rsidRPr="000D37F1">
        <w:rPr>
          <w:rFonts w:ascii="Times New Roman" w:hAnsi="Times New Roman" w:cs="Times New Roman"/>
          <w:sz w:val="24"/>
          <w:szCs w:val="24"/>
          <w:lang w:val="lt-LT"/>
        </w:rPr>
        <w:t xml:space="preserve"> [interaktyvus, žiūrėta 2014-02-28].</w:t>
      </w:r>
    </w:p>
    <w:p w:rsidR="0062683B" w:rsidRPr="000D37F1" w:rsidRDefault="0062683B" w:rsidP="006A5D98">
      <w:pPr>
        <w:pStyle w:val="ListParagraph"/>
        <w:numPr>
          <w:ilvl w:val="0"/>
          <w:numId w:val="13"/>
        </w:numPr>
        <w:spacing w:before="120" w:after="120" w:line="360" w:lineRule="auto"/>
        <w:ind w:right="57"/>
        <w:jc w:val="both"/>
        <w:rPr>
          <w:rFonts w:ascii="Times New Roman" w:hAnsi="Times New Roman" w:cs="Times New Roman"/>
          <w:b/>
          <w:sz w:val="24"/>
          <w:szCs w:val="24"/>
          <w:lang w:val="lt-LT"/>
        </w:rPr>
      </w:pPr>
      <w:proofErr w:type="spellStart"/>
      <w:r>
        <w:rPr>
          <w:rFonts w:ascii="Times New Roman" w:hAnsi="Times New Roman" w:cs="Times New Roman"/>
          <w:b/>
          <w:sz w:val="24"/>
          <w:szCs w:val="24"/>
          <w:lang w:val="lt-LT"/>
        </w:rPr>
        <w:t>World</w:t>
      </w:r>
      <w:proofErr w:type="spellEnd"/>
      <w:r>
        <w:rPr>
          <w:rFonts w:ascii="Times New Roman" w:hAnsi="Times New Roman" w:cs="Times New Roman"/>
          <w:b/>
          <w:sz w:val="24"/>
          <w:szCs w:val="24"/>
          <w:lang w:val="lt-LT"/>
        </w:rPr>
        <w:t xml:space="preserve"> </w:t>
      </w:r>
      <w:proofErr w:type="spellStart"/>
      <w:r>
        <w:rPr>
          <w:rFonts w:ascii="Times New Roman" w:hAnsi="Times New Roman" w:cs="Times New Roman"/>
          <w:b/>
          <w:sz w:val="24"/>
          <w:szCs w:val="24"/>
          <w:lang w:val="lt-LT"/>
        </w:rPr>
        <w:t>Council</w:t>
      </w:r>
      <w:proofErr w:type="spellEnd"/>
      <w:r>
        <w:rPr>
          <w:rFonts w:ascii="Times New Roman" w:hAnsi="Times New Roman" w:cs="Times New Roman"/>
          <w:b/>
          <w:sz w:val="24"/>
          <w:szCs w:val="24"/>
          <w:lang w:val="lt-LT"/>
        </w:rPr>
        <w:t xml:space="preserve"> </w:t>
      </w:r>
      <w:proofErr w:type="spellStart"/>
      <w:r>
        <w:rPr>
          <w:rFonts w:ascii="Times New Roman" w:hAnsi="Times New Roman" w:cs="Times New Roman"/>
          <w:b/>
          <w:sz w:val="24"/>
          <w:szCs w:val="24"/>
          <w:lang w:val="lt-LT"/>
        </w:rPr>
        <w:t>of</w:t>
      </w:r>
      <w:proofErr w:type="spellEnd"/>
      <w:r>
        <w:rPr>
          <w:rFonts w:ascii="Times New Roman" w:hAnsi="Times New Roman" w:cs="Times New Roman"/>
          <w:b/>
          <w:sz w:val="24"/>
          <w:szCs w:val="24"/>
          <w:lang w:val="lt-LT"/>
        </w:rPr>
        <w:t xml:space="preserve"> </w:t>
      </w:r>
      <w:proofErr w:type="spellStart"/>
      <w:r>
        <w:rPr>
          <w:rFonts w:ascii="Times New Roman" w:hAnsi="Times New Roman" w:cs="Times New Roman"/>
          <w:b/>
          <w:sz w:val="24"/>
          <w:szCs w:val="24"/>
          <w:lang w:val="lt-LT"/>
        </w:rPr>
        <w:t>Credit</w:t>
      </w:r>
      <w:proofErr w:type="spellEnd"/>
      <w:r>
        <w:rPr>
          <w:rFonts w:ascii="Times New Roman" w:hAnsi="Times New Roman" w:cs="Times New Roman"/>
          <w:b/>
          <w:sz w:val="24"/>
          <w:szCs w:val="24"/>
          <w:lang w:val="lt-LT"/>
        </w:rPr>
        <w:t xml:space="preserve"> </w:t>
      </w:r>
      <w:proofErr w:type="spellStart"/>
      <w:r>
        <w:rPr>
          <w:rFonts w:ascii="Times New Roman" w:hAnsi="Times New Roman" w:cs="Times New Roman"/>
          <w:b/>
          <w:sz w:val="24"/>
          <w:szCs w:val="24"/>
          <w:lang w:val="lt-LT"/>
        </w:rPr>
        <w:t>Unions</w:t>
      </w:r>
      <w:proofErr w:type="spellEnd"/>
      <w:r>
        <w:rPr>
          <w:rFonts w:ascii="Times New Roman" w:hAnsi="Times New Roman" w:cs="Times New Roman"/>
          <w:b/>
          <w:sz w:val="24"/>
          <w:szCs w:val="24"/>
          <w:lang w:val="lt-LT"/>
        </w:rPr>
        <w:t xml:space="preserve">, </w:t>
      </w:r>
      <w:proofErr w:type="spellStart"/>
      <w:r>
        <w:rPr>
          <w:rFonts w:ascii="Times New Roman" w:hAnsi="Times New Roman" w:cs="Times New Roman"/>
          <w:sz w:val="24"/>
          <w:szCs w:val="24"/>
          <w:lang w:val="lt-LT"/>
        </w:rPr>
        <w:t>Model</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Regulations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for</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Credit</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unions</w:t>
      </w:r>
      <w:proofErr w:type="spellEnd"/>
      <w:r>
        <w:rPr>
          <w:rFonts w:ascii="Times New Roman" w:hAnsi="Times New Roman" w:cs="Times New Roman"/>
          <w:sz w:val="24"/>
          <w:szCs w:val="24"/>
          <w:lang w:val="lt-LT"/>
        </w:rPr>
        <w:t xml:space="preserve"> -2008. AFP-A-00-04-00026-00.</w:t>
      </w:r>
    </w:p>
    <w:p w:rsidR="00FA0D12" w:rsidRPr="00E00FAA" w:rsidRDefault="00FA1042" w:rsidP="00FA0D12">
      <w:pPr>
        <w:pStyle w:val="ListParagraph"/>
        <w:numPr>
          <w:ilvl w:val="0"/>
          <w:numId w:val="13"/>
        </w:numPr>
        <w:spacing w:before="120" w:after="120" w:line="360" w:lineRule="auto"/>
        <w:ind w:right="57"/>
        <w:jc w:val="both"/>
        <w:rPr>
          <w:rFonts w:ascii="Times New Roman" w:hAnsi="Times New Roman" w:cs="Times New Roman"/>
          <w:b/>
          <w:sz w:val="24"/>
          <w:szCs w:val="24"/>
          <w:lang w:val="lt-LT"/>
        </w:rPr>
      </w:pPr>
      <w:r w:rsidRPr="000D37F1">
        <w:rPr>
          <w:rFonts w:ascii="Times New Roman" w:hAnsi="Times New Roman" w:cs="Times New Roman"/>
          <w:b/>
          <w:sz w:val="24"/>
          <w:szCs w:val="24"/>
          <w:lang w:val="lt-LT"/>
        </w:rPr>
        <w:t xml:space="preserve">43-iasis verslo apskaitos standartas “Kredito unijų apskaita ir finansinės ataskaitos” </w:t>
      </w:r>
      <w:r w:rsidRPr="000D37F1">
        <w:rPr>
          <w:rFonts w:ascii="Times New Roman" w:hAnsi="Times New Roman" w:cs="Times New Roman"/>
          <w:sz w:val="24"/>
          <w:szCs w:val="24"/>
          <w:lang w:val="lt-LT"/>
        </w:rPr>
        <w:t>Apskaitos ir audito tarnyba, 2011.</w:t>
      </w:r>
    </w:p>
    <w:p w:rsidR="00400426" w:rsidRPr="000D37F1" w:rsidRDefault="00400426" w:rsidP="00400426">
      <w:pPr>
        <w:pStyle w:val="ListParagraph"/>
        <w:spacing w:before="120" w:after="120" w:line="360" w:lineRule="auto"/>
        <w:ind w:right="57"/>
        <w:jc w:val="center"/>
        <w:rPr>
          <w:rFonts w:ascii="Times New Roman" w:hAnsi="Times New Roman" w:cs="Times New Roman"/>
          <w:b/>
          <w:sz w:val="24"/>
          <w:szCs w:val="24"/>
          <w:lang w:val="lt-LT"/>
        </w:rPr>
      </w:pPr>
    </w:p>
    <w:p w:rsidR="00CE7121" w:rsidRPr="00CE7121" w:rsidRDefault="00CE7121" w:rsidP="00CE7121">
      <w:pPr>
        <w:spacing w:after="0" w:line="360" w:lineRule="auto"/>
        <w:ind w:firstLine="720"/>
        <w:jc w:val="both"/>
        <w:rPr>
          <w:rFonts w:ascii="Times New Roman" w:eastAsia="Times New Roman" w:hAnsi="Times New Roman" w:cs="Times New Roman"/>
          <w:kern w:val="0"/>
          <w:sz w:val="24"/>
          <w:szCs w:val="24"/>
          <w:lang w:val="lt-LT" w:eastAsia="lt-LT"/>
          <w14:ligatures w14:val="none"/>
        </w:rPr>
      </w:pPr>
      <w:proofErr w:type="spellStart"/>
      <w:r w:rsidRPr="00CE7121">
        <w:rPr>
          <w:rFonts w:ascii="Times New Roman" w:eastAsia="Times New Roman" w:hAnsi="Times New Roman" w:cs="Times New Roman"/>
          <w:b/>
          <w:bCs/>
          <w:color w:val="222222"/>
          <w:kern w:val="0"/>
          <w:sz w:val="24"/>
          <w:szCs w:val="24"/>
          <w:lang w:val="lt-LT" w:eastAsia="lt-LT"/>
          <w14:ligatures w14:val="none"/>
        </w:rPr>
        <w:lastRenderedPageBreak/>
        <w:t>Jokūbaitytė</w:t>
      </w:r>
      <w:proofErr w:type="spellEnd"/>
      <w:r w:rsidRPr="00CE7121">
        <w:rPr>
          <w:rFonts w:ascii="Times New Roman" w:eastAsia="Times New Roman" w:hAnsi="Times New Roman" w:cs="Times New Roman"/>
          <w:b/>
          <w:bCs/>
          <w:color w:val="222222"/>
          <w:kern w:val="0"/>
          <w:sz w:val="24"/>
          <w:szCs w:val="24"/>
          <w:lang w:val="lt-LT" w:eastAsia="lt-LT"/>
          <w14:ligatures w14:val="none"/>
        </w:rPr>
        <w:t xml:space="preserve"> V. </w:t>
      </w:r>
      <w:r w:rsidRPr="00CE7121">
        <w:rPr>
          <w:rFonts w:ascii="Times New Roman" w:eastAsia="Times New Roman" w:hAnsi="Times New Roman" w:cs="Times New Roman"/>
          <w:color w:val="222222"/>
          <w:kern w:val="0"/>
          <w:sz w:val="24"/>
          <w:szCs w:val="24"/>
          <w:lang w:val="lt-LT" w:eastAsia="lt-LT"/>
          <w14:ligatures w14:val="none"/>
        </w:rPr>
        <w:t> Lietuvos kredito unijų veiklos rizikingumo vertinimas / Finansų valdymo magistro</w:t>
      </w:r>
      <w:r w:rsidR="004B5C1A">
        <w:rPr>
          <w:rFonts w:ascii="Times New Roman" w:eastAsia="Times New Roman" w:hAnsi="Times New Roman" w:cs="Times New Roman"/>
          <w:color w:val="222222"/>
          <w:kern w:val="0"/>
          <w:sz w:val="24"/>
          <w:szCs w:val="24"/>
          <w:lang w:val="lt-LT" w:eastAsia="lt-LT"/>
          <w14:ligatures w14:val="none"/>
        </w:rPr>
        <w:t xml:space="preserve"> baigiamasis darbas. Vadovas prof</w:t>
      </w:r>
      <w:r w:rsidRPr="00CE7121">
        <w:rPr>
          <w:rFonts w:ascii="Times New Roman" w:eastAsia="Times New Roman" w:hAnsi="Times New Roman" w:cs="Times New Roman"/>
          <w:color w:val="222222"/>
          <w:kern w:val="0"/>
          <w:sz w:val="24"/>
          <w:szCs w:val="24"/>
          <w:lang w:val="lt-LT" w:eastAsia="lt-LT"/>
          <w14:ligatures w14:val="none"/>
        </w:rPr>
        <w:t xml:space="preserve">. dr. G. Černius. –Vilnius: Mykolo </w:t>
      </w:r>
      <w:proofErr w:type="spellStart"/>
      <w:r w:rsidRPr="00CE7121">
        <w:rPr>
          <w:rFonts w:ascii="Times New Roman" w:eastAsia="Times New Roman" w:hAnsi="Times New Roman" w:cs="Times New Roman"/>
          <w:color w:val="222222"/>
          <w:kern w:val="0"/>
          <w:sz w:val="24"/>
          <w:szCs w:val="24"/>
          <w:lang w:val="lt-LT" w:eastAsia="lt-LT"/>
          <w14:ligatures w14:val="none"/>
        </w:rPr>
        <w:t>Romerio</w:t>
      </w:r>
      <w:proofErr w:type="spellEnd"/>
      <w:r w:rsidRPr="00CE7121">
        <w:rPr>
          <w:rFonts w:ascii="Times New Roman" w:eastAsia="Times New Roman" w:hAnsi="Times New Roman" w:cs="Times New Roman"/>
          <w:color w:val="222222"/>
          <w:kern w:val="0"/>
          <w:sz w:val="24"/>
          <w:szCs w:val="24"/>
          <w:lang w:val="lt-LT" w:eastAsia="lt-LT"/>
          <w14:ligatures w14:val="none"/>
        </w:rPr>
        <w:t xml:space="preserve"> universitetas, Ekonomikos ir finansų valdymo fakultetas, 2014. – </w:t>
      </w:r>
      <w:r w:rsidR="00FA0D12">
        <w:rPr>
          <w:rFonts w:ascii="Times New Roman" w:eastAsia="Times New Roman" w:hAnsi="Times New Roman" w:cs="Times New Roman"/>
          <w:color w:val="222222"/>
          <w:kern w:val="0"/>
          <w:sz w:val="24"/>
          <w:szCs w:val="24"/>
          <w:lang w:val="lt-LT" w:eastAsia="lt-LT"/>
          <w14:ligatures w14:val="none"/>
        </w:rPr>
        <w:t>6</w:t>
      </w:r>
      <w:r w:rsidR="00FA0D12">
        <w:rPr>
          <w:rFonts w:ascii="Times New Roman" w:eastAsia="Times New Roman" w:hAnsi="Times New Roman" w:cs="Times New Roman"/>
          <w:color w:val="222222"/>
          <w:kern w:val="0"/>
          <w:sz w:val="24"/>
          <w:szCs w:val="24"/>
          <w:lang w:eastAsia="lt-LT"/>
          <w14:ligatures w14:val="none"/>
        </w:rPr>
        <w:t>2</w:t>
      </w:r>
      <w:r w:rsidR="004B5C1A">
        <w:rPr>
          <w:rFonts w:ascii="Times New Roman" w:eastAsia="Times New Roman" w:hAnsi="Times New Roman" w:cs="Times New Roman"/>
          <w:color w:val="222222"/>
          <w:kern w:val="0"/>
          <w:sz w:val="24"/>
          <w:szCs w:val="24"/>
          <w:lang w:val="lt-LT" w:eastAsia="lt-LT"/>
          <w14:ligatures w14:val="none"/>
        </w:rPr>
        <w:t xml:space="preserve"> </w:t>
      </w:r>
      <w:r w:rsidRPr="00CE7121">
        <w:rPr>
          <w:rFonts w:ascii="Times New Roman" w:eastAsia="Times New Roman" w:hAnsi="Times New Roman" w:cs="Times New Roman"/>
          <w:color w:val="222222"/>
          <w:kern w:val="0"/>
          <w:sz w:val="24"/>
          <w:szCs w:val="24"/>
          <w:lang w:val="lt-LT" w:eastAsia="lt-LT"/>
          <w14:ligatures w14:val="none"/>
        </w:rPr>
        <w:t> </w:t>
      </w:r>
      <w:proofErr w:type="spellStart"/>
      <w:r w:rsidRPr="00CE7121">
        <w:rPr>
          <w:rFonts w:ascii="Times New Roman" w:eastAsia="Times New Roman" w:hAnsi="Times New Roman" w:cs="Times New Roman"/>
          <w:color w:val="222222"/>
          <w:kern w:val="0"/>
          <w:sz w:val="24"/>
          <w:szCs w:val="24"/>
          <w:lang w:val="lt-LT" w:eastAsia="lt-LT"/>
          <w14:ligatures w14:val="none"/>
        </w:rPr>
        <w:t>p</w:t>
      </w:r>
      <w:proofErr w:type="spellEnd"/>
      <w:r w:rsidRPr="00CE7121">
        <w:rPr>
          <w:rFonts w:ascii="Times New Roman" w:eastAsia="Times New Roman" w:hAnsi="Times New Roman" w:cs="Times New Roman"/>
          <w:color w:val="222222"/>
          <w:kern w:val="0"/>
          <w:sz w:val="24"/>
          <w:szCs w:val="24"/>
          <w:lang w:val="lt-LT" w:eastAsia="lt-LT"/>
          <w14:ligatures w14:val="none"/>
        </w:rPr>
        <w:t>.</w:t>
      </w:r>
    </w:p>
    <w:p w:rsidR="00CE7121" w:rsidRPr="00CE7121" w:rsidRDefault="00CE7121" w:rsidP="00CE7121">
      <w:pPr>
        <w:spacing w:after="0" w:line="360" w:lineRule="auto"/>
        <w:ind w:firstLine="720"/>
        <w:jc w:val="both"/>
        <w:rPr>
          <w:rFonts w:ascii="Times New Roman" w:eastAsia="Times New Roman" w:hAnsi="Times New Roman" w:cs="Times New Roman"/>
          <w:kern w:val="0"/>
          <w:sz w:val="24"/>
          <w:szCs w:val="24"/>
          <w:lang w:val="lt-LT" w:eastAsia="lt-LT"/>
          <w14:ligatures w14:val="none"/>
        </w:rPr>
      </w:pPr>
    </w:p>
    <w:p w:rsidR="00CE7121" w:rsidRPr="00450C32" w:rsidRDefault="00CE7121" w:rsidP="00450C32">
      <w:pPr>
        <w:pStyle w:val="Heading1"/>
        <w:jc w:val="center"/>
        <w:rPr>
          <w:rFonts w:ascii="Times New Roman" w:hAnsi="Times New Roman" w:cs="Times New Roman"/>
          <w:sz w:val="28"/>
          <w:szCs w:val="28"/>
        </w:rPr>
      </w:pPr>
      <w:bookmarkStart w:id="136" w:name="_Toc383782881"/>
      <w:bookmarkStart w:id="137" w:name="_Toc383783634"/>
      <w:bookmarkStart w:id="138" w:name="_Toc384567331"/>
      <w:bookmarkStart w:id="139" w:name="_Toc384570768"/>
      <w:r w:rsidRPr="00450C32">
        <w:rPr>
          <w:rFonts w:ascii="Times New Roman" w:hAnsi="Times New Roman" w:cs="Times New Roman"/>
          <w:sz w:val="28"/>
          <w:szCs w:val="28"/>
        </w:rPr>
        <w:t>ANOTACIJA</w:t>
      </w:r>
      <w:bookmarkEnd w:id="136"/>
      <w:bookmarkEnd w:id="137"/>
      <w:bookmarkEnd w:id="138"/>
      <w:bookmarkEnd w:id="139"/>
      <w:r w:rsidRPr="00450C32">
        <w:rPr>
          <w:rFonts w:ascii="Times New Roman" w:hAnsi="Times New Roman" w:cs="Times New Roman"/>
          <w:sz w:val="28"/>
          <w:szCs w:val="28"/>
        </w:rPr>
        <w:br/>
      </w:r>
    </w:p>
    <w:p w:rsidR="00CE7121" w:rsidRPr="00CE7121" w:rsidRDefault="00CE7121" w:rsidP="00CE7121">
      <w:pPr>
        <w:spacing w:after="0" w:line="360" w:lineRule="auto"/>
        <w:ind w:firstLine="720"/>
        <w:jc w:val="both"/>
        <w:rPr>
          <w:rFonts w:ascii="Times New Roman" w:eastAsia="Times New Roman" w:hAnsi="Times New Roman" w:cs="Times New Roman"/>
          <w:kern w:val="0"/>
          <w:sz w:val="24"/>
          <w:szCs w:val="24"/>
          <w:lang w:val="lt-LT" w:eastAsia="lt-LT"/>
          <w14:ligatures w14:val="none"/>
        </w:rPr>
      </w:pPr>
      <w:r w:rsidRPr="00CE7121">
        <w:rPr>
          <w:rFonts w:ascii="Times New Roman" w:eastAsia="Times New Roman" w:hAnsi="Times New Roman" w:cs="Times New Roman"/>
          <w:color w:val="222222"/>
          <w:kern w:val="0"/>
          <w:sz w:val="24"/>
          <w:szCs w:val="24"/>
          <w:lang w:val="lt-LT" w:eastAsia="lt-LT"/>
          <w14:ligatures w14:val="none"/>
        </w:rPr>
        <w:t>Magistro baigiamajame darbe nagrinėjami kredito unijų veiklos rizikingumo vertinimo ypatumai ir pasiūlomas tinkamiausias metodas, rizikingumui vertinti. Pirmoje darbo dalyje yra analizuojami kredito unijų ypatumai, išskiriant reglamentavimo ir riziką ribojančių normatyvų aspektus. Antroje dalyje analizuojami veiklos rizikos ir bankroto vertinimo metodai ir parenkamas metodas, kredito unijų veiklos rizikingumui vertinti, didžiausias dėmesys skiriamas Kokso proporcingosios rizikos metodui ir finansinių rodiklių atrankai. Trečioje dalyje atliekamas praktinis kredito unijų veiklos rizikingumo vertinimas remiantis Kokso proporcingosios rizikos modeliu ir naud</w:t>
      </w:r>
      <w:r w:rsidR="00AA1E5C">
        <w:rPr>
          <w:rFonts w:ascii="Times New Roman" w:eastAsia="Times New Roman" w:hAnsi="Times New Roman" w:cs="Times New Roman"/>
          <w:color w:val="222222"/>
          <w:kern w:val="0"/>
          <w:sz w:val="24"/>
          <w:szCs w:val="24"/>
          <w:lang w:val="lt-LT" w:eastAsia="lt-LT"/>
          <w14:ligatures w14:val="none"/>
        </w:rPr>
        <w:t>ojant 70 kredito unijų duomenis</w:t>
      </w:r>
      <w:r w:rsidRPr="00CE7121">
        <w:rPr>
          <w:rFonts w:ascii="Times New Roman" w:eastAsia="Times New Roman" w:hAnsi="Times New Roman" w:cs="Times New Roman"/>
          <w:color w:val="222222"/>
          <w:kern w:val="0"/>
          <w:sz w:val="24"/>
          <w:szCs w:val="24"/>
          <w:lang w:val="lt-LT" w:eastAsia="lt-LT"/>
          <w14:ligatures w14:val="none"/>
        </w:rPr>
        <w:t xml:space="preserve">. Darbo pabaigoje pateikiamos išvados ir siūlymai. Darbą sudaro 6 dalys: įvadas, teorinė dalis, metodologinė dalis, praktinė dalis,  išvados ir </w:t>
      </w:r>
      <w:r w:rsidR="00FA0D12">
        <w:rPr>
          <w:rFonts w:ascii="Times New Roman" w:eastAsia="Times New Roman" w:hAnsi="Times New Roman" w:cs="Times New Roman"/>
          <w:color w:val="222222"/>
          <w:kern w:val="0"/>
          <w:sz w:val="24"/>
          <w:szCs w:val="24"/>
          <w:lang w:val="lt-LT" w:eastAsia="lt-LT"/>
          <w14:ligatures w14:val="none"/>
        </w:rPr>
        <w:t>pa</w:t>
      </w:r>
      <w:r w:rsidRPr="00CE7121">
        <w:rPr>
          <w:rFonts w:ascii="Times New Roman" w:eastAsia="Times New Roman" w:hAnsi="Times New Roman" w:cs="Times New Roman"/>
          <w:color w:val="222222"/>
          <w:kern w:val="0"/>
          <w:sz w:val="24"/>
          <w:szCs w:val="24"/>
          <w:lang w:val="lt-LT" w:eastAsia="lt-LT"/>
          <w14:ligatures w14:val="none"/>
        </w:rPr>
        <w:t>siūlymai, literatūros sąrašas.</w:t>
      </w:r>
    </w:p>
    <w:p w:rsidR="004B5C1A" w:rsidRPr="00AA1E5C" w:rsidRDefault="00CE7121" w:rsidP="00AA1E5C">
      <w:pPr>
        <w:spacing w:after="0" w:line="360" w:lineRule="auto"/>
        <w:ind w:firstLine="720"/>
        <w:jc w:val="both"/>
        <w:rPr>
          <w:rFonts w:ascii="Times New Roman" w:eastAsia="Times New Roman" w:hAnsi="Times New Roman" w:cs="Times New Roman"/>
          <w:kern w:val="0"/>
          <w:sz w:val="24"/>
          <w:szCs w:val="24"/>
          <w:lang w:val="lt-LT" w:eastAsia="lt-LT"/>
          <w14:ligatures w14:val="none"/>
        </w:rPr>
      </w:pPr>
      <w:r w:rsidRPr="00CE7121">
        <w:rPr>
          <w:rFonts w:ascii="Times New Roman" w:eastAsia="Times New Roman" w:hAnsi="Times New Roman" w:cs="Times New Roman"/>
          <w:b/>
          <w:bCs/>
          <w:color w:val="222222"/>
          <w:kern w:val="0"/>
          <w:sz w:val="24"/>
          <w:szCs w:val="24"/>
          <w:lang w:val="lt-LT" w:eastAsia="lt-LT"/>
          <w14:ligatures w14:val="none"/>
        </w:rPr>
        <w:t>Pagrindiniai žodžiai:</w:t>
      </w:r>
      <w:r w:rsidRPr="00CE7121">
        <w:rPr>
          <w:rFonts w:ascii="Times New Roman" w:eastAsia="Times New Roman" w:hAnsi="Times New Roman" w:cs="Times New Roman"/>
          <w:color w:val="222222"/>
          <w:kern w:val="0"/>
          <w:sz w:val="24"/>
          <w:szCs w:val="24"/>
          <w:lang w:val="lt-LT" w:eastAsia="lt-LT"/>
          <w14:ligatures w14:val="none"/>
        </w:rPr>
        <w:t> kredito unijos, rizikingumas, Kokso p</w:t>
      </w:r>
      <w:r w:rsidR="00AA1E5C">
        <w:rPr>
          <w:rFonts w:ascii="Times New Roman" w:eastAsia="Times New Roman" w:hAnsi="Times New Roman" w:cs="Times New Roman"/>
          <w:color w:val="222222"/>
          <w:kern w:val="0"/>
          <w:sz w:val="24"/>
          <w:szCs w:val="24"/>
          <w:lang w:val="lt-LT" w:eastAsia="lt-LT"/>
          <w14:ligatures w14:val="none"/>
        </w:rPr>
        <w:t>roporcingosios rizikos modelis</w:t>
      </w:r>
      <w:r w:rsidRPr="00CE7121">
        <w:rPr>
          <w:rFonts w:ascii="Times New Roman" w:eastAsia="Times New Roman" w:hAnsi="Times New Roman" w:cs="Times New Roman"/>
          <w:color w:val="222222"/>
          <w:kern w:val="0"/>
          <w:sz w:val="24"/>
          <w:szCs w:val="24"/>
          <w:lang w:val="lt-LT" w:eastAsia="lt-LT"/>
          <w14:ligatures w14:val="none"/>
        </w:rPr>
        <w:t>, vertinimas</w:t>
      </w:r>
    </w:p>
    <w:p w:rsidR="004B5C1A" w:rsidRDefault="004B5C1A" w:rsidP="00CE7121">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lt-LT"/>
        </w:rPr>
      </w:pPr>
    </w:p>
    <w:p w:rsidR="004B5C1A" w:rsidRDefault="004B5C1A"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4B5C1A" w:rsidRDefault="004B5C1A"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4B5C1A" w:rsidRDefault="004B5C1A"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4B5C1A" w:rsidRDefault="004B5C1A"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12086F" w:rsidRPr="004F277E" w:rsidRDefault="0012086F" w:rsidP="0012086F">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en-GB"/>
        </w:rPr>
      </w:pPr>
      <w:proofErr w:type="spellStart"/>
      <w:r>
        <w:rPr>
          <w:rFonts w:ascii="Times New Roman" w:eastAsia="Times New Roman" w:hAnsi="Times New Roman" w:cs="Times New Roman"/>
          <w:b/>
          <w:bCs/>
          <w:color w:val="222222"/>
          <w:kern w:val="0"/>
          <w:sz w:val="24"/>
          <w:szCs w:val="24"/>
          <w:lang w:val="en-GB"/>
        </w:rPr>
        <w:lastRenderedPageBreak/>
        <w:t>J</w:t>
      </w:r>
      <w:r w:rsidRPr="004F277E">
        <w:rPr>
          <w:rFonts w:ascii="Times New Roman" w:eastAsia="Times New Roman" w:hAnsi="Times New Roman" w:cs="Times New Roman"/>
          <w:b/>
          <w:bCs/>
          <w:color w:val="222222"/>
          <w:kern w:val="0"/>
          <w:sz w:val="24"/>
          <w:szCs w:val="24"/>
          <w:lang w:val="en-GB"/>
        </w:rPr>
        <w:t>okūbaitytė</w:t>
      </w:r>
      <w:proofErr w:type="spellEnd"/>
      <w:r w:rsidRPr="004F277E">
        <w:rPr>
          <w:rFonts w:ascii="Times New Roman" w:eastAsia="Times New Roman" w:hAnsi="Times New Roman" w:cs="Times New Roman"/>
          <w:b/>
          <w:bCs/>
          <w:color w:val="222222"/>
          <w:kern w:val="0"/>
          <w:sz w:val="24"/>
          <w:szCs w:val="24"/>
          <w:lang w:val="en-GB"/>
        </w:rPr>
        <w:t xml:space="preserve"> V. </w:t>
      </w:r>
      <w:r w:rsidRPr="004F277E">
        <w:rPr>
          <w:rFonts w:ascii="Times New Roman" w:eastAsia="Times New Roman" w:hAnsi="Times New Roman" w:cs="Times New Roman"/>
          <w:color w:val="222222"/>
          <w:kern w:val="0"/>
          <w:sz w:val="24"/>
          <w:szCs w:val="24"/>
          <w:lang w:val="en-GB"/>
        </w:rPr>
        <w:t xml:space="preserve"> Evaluation of </w:t>
      </w:r>
      <w:r>
        <w:rPr>
          <w:rFonts w:ascii="Times New Roman" w:eastAsia="Times New Roman" w:hAnsi="Times New Roman" w:cs="Times New Roman"/>
          <w:color w:val="222222"/>
          <w:kern w:val="0"/>
          <w:sz w:val="24"/>
          <w:szCs w:val="24"/>
          <w:lang w:val="en-GB"/>
        </w:rPr>
        <w:t>risk exposure for</w:t>
      </w:r>
      <w:r w:rsidRPr="00A02456">
        <w:rPr>
          <w:rFonts w:ascii="Times New Roman" w:eastAsia="Times New Roman" w:hAnsi="Times New Roman" w:cs="Times New Roman"/>
          <w:color w:val="222222"/>
          <w:kern w:val="0"/>
          <w:sz w:val="24"/>
          <w:szCs w:val="24"/>
          <w:lang w:val="en-GB"/>
        </w:rPr>
        <w:t xml:space="preserve"> </w:t>
      </w:r>
      <w:r w:rsidRPr="004F277E">
        <w:rPr>
          <w:rFonts w:ascii="Times New Roman" w:eastAsia="Times New Roman" w:hAnsi="Times New Roman" w:cs="Times New Roman"/>
          <w:color w:val="222222"/>
          <w:kern w:val="0"/>
          <w:sz w:val="24"/>
          <w:szCs w:val="24"/>
          <w:lang w:val="en-GB"/>
        </w:rPr>
        <w:t>Lithuanian credit unions</w:t>
      </w:r>
      <w:r>
        <w:rPr>
          <w:rFonts w:ascii="Times New Roman" w:eastAsia="Times New Roman" w:hAnsi="Times New Roman" w:cs="Times New Roman"/>
          <w:color w:val="222222"/>
          <w:kern w:val="0"/>
          <w:sz w:val="24"/>
          <w:szCs w:val="24"/>
          <w:lang w:val="en-GB"/>
        </w:rPr>
        <w:t xml:space="preserve"> / Master’s thesis Finance management. Supervisor: prof. dr. G. </w:t>
      </w:r>
      <w:proofErr w:type="spellStart"/>
      <w:r>
        <w:rPr>
          <w:rFonts w:ascii="Times New Roman" w:eastAsia="Times New Roman" w:hAnsi="Times New Roman" w:cs="Times New Roman"/>
          <w:color w:val="222222"/>
          <w:kern w:val="0"/>
          <w:sz w:val="24"/>
          <w:szCs w:val="24"/>
          <w:lang w:val="en-GB"/>
        </w:rPr>
        <w:t>Černius</w:t>
      </w:r>
      <w:proofErr w:type="spellEnd"/>
      <w:r>
        <w:rPr>
          <w:rFonts w:ascii="Times New Roman" w:eastAsia="Times New Roman" w:hAnsi="Times New Roman" w:cs="Times New Roman"/>
          <w:color w:val="222222"/>
          <w:kern w:val="0"/>
          <w:sz w:val="24"/>
          <w:szCs w:val="24"/>
          <w:lang w:val="en-GB"/>
        </w:rPr>
        <w:t xml:space="preserve"> – Vilnius: </w:t>
      </w:r>
      <w:proofErr w:type="spellStart"/>
      <w:r>
        <w:rPr>
          <w:rFonts w:ascii="Times New Roman" w:eastAsia="Times New Roman" w:hAnsi="Times New Roman" w:cs="Times New Roman"/>
          <w:color w:val="222222"/>
          <w:kern w:val="0"/>
          <w:sz w:val="24"/>
          <w:szCs w:val="24"/>
          <w:lang w:val="en-GB"/>
        </w:rPr>
        <w:t>Mykolas</w:t>
      </w:r>
      <w:proofErr w:type="spellEnd"/>
      <w:r>
        <w:rPr>
          <w:rFonts w:ascii="Times New Roman" w:eastAsia="Times New Roman" w:hAnsi="Times New Roman" w:cs="Times New Roman"/>
          <w:color w:val="222222"/>
          <w:kern w:val="0"/>
          <w:sz w:val="24"/>
          <w:szCs w:val="24"/>
          <w:lang w:val="en-GB"/>
        </w:rPr>
        <w:t xml:space="preserve"> </w:t>
      </w:r>
      <w:proofErr w:type="spellStart"/>
      <w:r>
        <w:rPr>
          <w:rFonts w:ascii="Times New Roman" w:eastAsia="Times New Roman" w:hAnsi="Times New Roman" w:cs="Times New Roman"/>
          <w:color w:val="222222"/>
          <w:kern w:val="0"/>
          <w:sz w:val="24"/>
          <w:szCs w:val="24"/>
          <w:lang w:val="en-GB"/>
        </w:rPr>
        <w:t>Romeris</w:t>
      </w:r>
      <w:proofErr w:type="spellEnd"/>
      <w:r>
        <w:rPr>
          <w:rFonts w:ascii="Times New Roman" w:eastAsia="Times New Roman" w:hAnsi="Times New Roman" w:cs="Times New Roman"/>
          <w:color w:val="222222"/>
          <w:kern w:val="0"/>
          <w:sz w:val="24"/>
          <w:szCs w:val="24"/>
          <w:lang w:val="en-GB"/>
        </w:rPr>
        <w:t xml:space="preserve"> university, Faculty of Economics and Finance management, 2014 – 6</w:t>
      </w:r>
      <w:r w:rsidR="00103BC4">
        <w:rPr>
          <w:rFonts w:ascii="Times New Roman" w:eastAsia="Times New Roman" w:hAnsi="Times New Roman" w:cs="Times New Roman"/>
          <w:color w:val="222222"/>
          <w:kern w:val="0"/>
          <w:sz w:val="24"/>
          <w:szCs w:val="24"/>
          <w:lang w:val="en-GB"/>
        </w:rPr>
        <w:t>2</w:t>
      </w:r>
      <w:r>
        <w:rPr>
          <w:rFonts w:ascii="Times New Roman" w:eastAsia="Times New Roman" w:hAnsi="Times New Roman" w:cs="Times New Roman"/>
          <w:color w:val="222222"/>
          <w:kern w:val="0"/>
          <w:sz w:val="24"/>
          <w:szCs w:val="24"/>
          <w:lang w:val="en-GB"/>
        </w:rPr>
        <w:t xml:space="preserve"> p.</w:t>
      </w:r>
    </w:p>
    <w:p w:rsidR="0012086F" w:rsidRPr="000D37F1" w:rsidRDefault="0012086F" w:rsidP="0012086F">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lt-LT"/>
        </w:rPr>
      </w:pPr>
    </w:p>
    <w:p w:rsidR="0012086F" w:rsidRPr="00AA1E5C" w:rsidRDefault="0012086F" w:rsidP="0012086F">
      <w:pPr>
        <w:shd w:val="clear" w:color="auto" w:fill="FFFFFF"/>
        <w:spacing w:after="0" w:line="360" w:lineRule="auto"/>
        <w:ind w:firstLine="720"/>
        <w:jc w:val="center"/>
        <w:rPr>
          <w:rFonts w:ascii="Times New Roman" w:eastAsia="Times New Roman" w:hAnsi="Times New Roman" w:cs="Times New Roman"/>
          <w:b/>
          <w:color w:val="222222"/>
          <w:kern w:val="0"/>
          <w:sz w:val="24"/>
          <w:szCs w:val="24"/>
          <w:lang w:val="lt-LT"/>
        </w:rPr>
      </w:pPr>
      <w:r w:rsidRPr="00AA1E5C">
        <w:rPr>
          <w:rFonts w:ascii="Times New Roman" w:eastAsia="Times New Roman" w:hAnsi="Times New Roman" w:cs="Times New Roman"/>
          <w:b/>
          <w:color w:val="222222"/>
          <w:kern w:val="0"/>
          <w:sz w:val="24"/>
          <w:szCs w:val="24"/>
          <w:lang w:val="lt-LT"/>
        </w:rPr>
        <w:t>ANNOTATION</w:t>
      </w:r>
    </w:p>
    <w:p w:rsidR="0012086F" w:rsidRDefault="0012086F" w:rsidP="0012086F">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lt-LT"/>
        </w:rPr>
      </w:pPr>
    </w:p>
    <w:p w:rsidR="0012086F" w:rsidRPr="001D6BE4" w:rsidRDefault="0012086F" w:rsidP="0012086F">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en-GB"/>
        </w:rPr>
      </w:pPr>
      <w:r>
        <w:rPr>
          <w:rFonts w:ascii="Times New Roman" w:eastAsia="Times New Roman" w:hAnsi="Times New Roman" w:cs="Times New Roman"/>
          <w:color w:val="222222"/>
          <w:kern w:val="0"/>
          <w:sz w:val="24"/>
          <w:szCs w:val="24"/>
          <w:lang w:val="lt-LT"/>
        </w:rPr>
        <w:t>T</w:t>
      </w:r>
      <w:r>
        <w:rPr>
          <w:rFonts w:ascii="Times New Roman" w:eastAsia="Times New Roman" w:hAnsi="Times New Roman" w:cs="Times New Roman"/>
          <w:color w:val="222222"/>
          <w:kern w:val="0"/>
          <w:sz w:val="24"/>
          <w:szCs w:val="24"/>
          <w:lang w:val="en-GB"/>
        </w:rPr>
        <w:t>he master’s thesis examines the p</w:t>
      </w:r>
      <w:r w:rsidRPr="00134C14">
        <w:rPr>
          <w:rFonts w:ascii="Times New Roman" w:eastAsia="Times New Roman" w:hAnsi="Times New Roman" w:cs="Times New Roman"/>
          <w:color w:val="222222"/>
          <w:kern w:val="0"/>
          <w:sz w:val="24"/>
          <w:szCs w:val="24"/>
          <w:lang w:val="en-GB"/>
        </w:rPr>
        <w:t xml:space="preserve">eculiarities of </w:t>
      </w:r>
      <w:r>
        <w:rPr>
          <w:rFonts w:ascii="Times New Roman" w:eastAsia="Times New Roman" w:hAnsi="Times New Roman" w:cs="Times New Roman"/>
          <w:color w:val="222222"/>
          <w:kern w:val="0"/>
          <w:sz w:val="24"/>
          <w:szCs w:val="24"/>
          <w:lang w:val="en-GB"/>
        </w:rPr>
        <w:t>evaluation risk exposure for</w:t>
      </w:r>
      <w:r w:rsidRPr="00A02456">
        <w:rPr>
          <w:rFonts w:ascii="Times New Roman" w:eastAsia="Times New Roman" w:hAnsi="Times New Roman" w:cs="Times New Roman"/>
          <w:color w:val="222222"/>
          <w:kern w:val="0"/>
          <w:sz w:val="24"/>
          <w:szCs w:val="24"/>
          <w:lang w:val="en-GB"/>
        </w:rPr>
        <w:t xml:space="preserve"> </w:t>
      </w:r>
      <w:r w:rsidRPr="004F277E">
        <w:rPr>
          <w:rFonts w:ascii="Times New Roman" w:eastAsia="Times New Roman" w:hAnsi="Times New Roman" w:cs="Times New Roman"/>
          <w:color w:val="222222"/>
          <w:kern w:val="0"/>
          <w:sz w:val="24"/>
          <w:szCs w:val="24"/>
          <w:lang w:val="en-GB"/>
        </w:rPr>
        <w:t>Lithuanian credit unions</w:t>
      </w:r>
      <w:r>
        <w:rPr>
          <w:rFonts w:ascii="Times New Roman" w:eastAsia="Times New Roman" w:hAnsi="Times New Roman" w:cs="Times New Roman"/>
          <w:color w:val="222222"/>
          <w:kern w:val="0"/>
          <w:sz w:val="24"/>
          <w:szCs w:val="24"/>
          <w:lang w:val="en-GB"/>
        </w:rPr>
        <w:t xml:space="preserve"> and formulates the prime risk assessment method. The first part of the thesis includes the </w:t>
      </w:r>
      <w:r w:rsidRPr="004F4E07">
        <w:rPr>
          <w:rFonts w:ascii="Times New Roman" w:eastAsia="Times New Roman" w:hAnsi="Times New Roman" w:cs="Times New Roman"/>
          <w:color w:val="222222"/>
          <w:kern w:val="0"/>
          <w:sz w:val="24"/>
          <w:szCs w:val="24"/>
          <w:lang w:val="en-GB"/>
        </w:rPr>
        <w:t>analysis</w:t>
      </w:r>
      <w:r>
        <w:rPr>
          <w:rFonts w:ascii="Times New Roman" w:eastAsia="Times New Roman" w:hAnsi="Times New Roman" w:cs="Times New Roman"/>
          <w:color w:val="222222"/>
          <w:kern w:val="0"/>
          <w:sz w:val="24"/>
          <w:szCs w:val="24"/>
          <w:lang w:val="en-GB"/>
        </w:rPr>
        <w:t xml:space="preserve"> of credit unions’ features by distinguishing the regulatory and prudential aspects. The methods of risk exposure evaluation and bankruptcies are analysed in the second part of the thesis. The most suitable method for evaluating</w:t>
      </w:r>
      <w:r w:rsidRPr="00F8317E">
        <w:rPr>
          <w:rFonts w:ascii="Times New Roman" w:eastAsia="Times New Roman" w:hAnsi="Times New Roman" w:cs="Times New Roman"/>
          <w:color w:val="222222"/>
          <w:kern w:val="0"/>
          <w:sz w:val="24"/>
          <w:szCs w:val="24"/>
          <w:lang w:val="en-GB"/>
        </w:rPr>
        <w:t xml:space="preserve"> risk exposure</w:t>
      </w:r>
      <w:r>
        <w:rPr>
          <w:rFonts w:ascii="Times New Roman" w:eastAsia="Times New Roman" w:hAnsi="Times New Roman" w:cs="Times New Roman"/>
          <w:color w:val="222222"/>
          <w:kern w:val="0"/>
          <w:sz w:val="24"/>
          <w:szCs w:val="24"/>
          <w:lang w:val="en-GB"/>
        </w:rPr>
        <w:t>s</w:t>
      </w:r>
      <w:r w:rsidRPr="00F8317E">
        <w:rPr>
          <w:rFonts w:ascii="Times New Roman" w:eastAsia="Times New Roman" w:hAnsi="Times New Roman" w:cs="Times New Roman"/>
          <w:color w:val="222222"/>
          <w:kern w:val="0"/>
          <w:sz w:val="24"/>
          <w:szCs w:val="24"/>
          <w:lang w:val="en-GB"/>
        </w:rPr>
        <w:t xml:space="preserve"> is identified with focus on the Cox proportional </w:t>
      </w:r>
      <w:r w:rsidRPr="00D11F89">
        <w:rPr>
          <w:rFonts w:ascii="Times New Roman" w:eastAsia="Times New Roman" w:hAnsi="Times New Roman" w:cs="Times New Roman"/>
          <w:color w:val="222222"/>
          <w:kern w:val="0"/>
          <w:sz w:val="24"/>
          <w:szCs w:val="24"/>
          <w:lang w:val="en-GB"/>
        </w:rPr>
        <w:t>hazard model and selection of financial indicators.</w:t>
      </w:r>
      <w:r>
        <w:rPr>
          <w:rFonts w:ascii="Times New Roman" w:eastAsia="Times New Roman" w:hAnsi="Times New Roman" w:cs="Times New Roman"/>
          <w:color w:val="222222"/>
          <w:kern w:val="0"/>
          <w:sz w:val="24"/>
          <w:szCs w:val="24"/>
          <w:lang w:val="en-GB"/>
        </w:rPr>
        <w:t xml:space="preserve"> The third part gives the</w:t>
      </w:r>
      <w:r w:rsidRPr="00D11F89">
        <w:rPr>
          <w:rFonts w:ascii="Times New Roman" w:eastAsia="Times New Roman" w:hAnsi="Times New Roman" w:cs="Times New Roman"/>
          <w:color w:val="222222"/>
          <w:kern w:val="0"/>
          <w:sz w:val="24"/>
          <w:szCs w:val="24"/>
          <w:lang w:val="en-GB"/>
        </w:rPr>
        <w:t xml:space="preserve"> practical evaluation of credit unions’ risk exposures by invoking Cox proportional hazard model and u</w:t>
      </w:r>
      <w:r>
        <w:rPr>
          <w:rFonts w:ascii="Times New Roman" w:eastAsia="Times New Roman" w:hAnsi="Times New Roman" w:cs="Times New Roman"/>
          <w:color w:val="222222"/>
          <w:kern w:val="0"/>
          <w:sz w:val="24"/>
          <w:szCs w:val="24"/>
          <w:lang w:val="en-GB"/>
        </w:rPr>
        <w:t>sing data from 70 credit unions. The thesis is completed with conclusions and recommendations. The thesis is composed of 6 parts: introduction, theoretical framework, research methodology, practical research, conclusions and recommendations, references.</w:t>
      </w:r>
    </w:p>
    <w:p w:rsidR="0012086F" w:rsidRPr="005A516C" w:rsidRDefault="0012086F" w:rsidP="0012086F">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en-GB"/>
        </w:rPr>
      </w:pPr>
      <w:r w:rsidRPr="005A516C">
        <w:rPr>
          <w:rFonts w:ascii="Times New Roman" w:eastAsia="Times New Roman" w:hAnsi="Times New Roman" w:cs="Times New Roman"/>
          <w:b/>
          <w:bCs/>
          <w:color w:val="222222"/>
          <w:kern w:val="0"/>
          <w:sz w:val="24"/>
          <w:szCs w:val="24"/>
          <w:lang w:val="en-GB"/>
        </w:rPr>
        <w:t xml:space="preserve">Key words: </w:t>
      </w:r>
      <w:r>
        <w:rPr>
          <w:rFonts w:ascii="Times New Roman" w:eastAsia="Times New Roman" w:hAnsi="Times New Roman" w:cs="Times New Roman"/>
          <w:color w:val="222222"/>
          <w:kern w:val="0"/>
          <w:sz w:val="24"/>
          <w:szCs w:val="24"/>
          <w:lang w:val="en-GB"/>
        </w:rPr>
        <w:t>credit unions, risk exposure</w:t>
      </w:r>
      <w:r w:rsidRPr="005A516C">
        <w:rPr>
          <w:rFonts w:ascii="Times New Roman" w:eastAsia="Times New Roman" w:hAnsi="Times New Roman" w:cs="Times New Roman"/>
          <w:color w:val="222222"/>
          <w:kern w:val="0"/>
          <w:sz w:val="24"/>
          <w:szCs w:val="24"/>
          <w:lang w:val="en-GB"/>
        </w:rPr>
        <w:t>, Cox proportional hazard model, evaluation.</w:t>
      </w: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bookmarkStart w:id="140" w:name="_GoBack"/>
      <w:bookmarkEnd w:id="140"/>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AA1E5C" w:rsidRDefault="00AA1E5C"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4B5C1A" w:rsidRDefault="004B5C1A"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4B5C1A" w:rsidRDefault="004B5C1A"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4B5C1A" w:rsidRDefault="004B5C1A" w:rsidP="00CE7121">
      <w:pPr>
        <w:shd w:val="clear" w:color="auto" w:fill="FFFFFF"/>
        <w:spacing w:after="0" w:line="360" w:lineRule="auto"/>
        <w:ind w:firstLine="720"/>
        <w:jc w:val="both"/>
        <w:rPr>
          <w:rFonts w:ascii="Times New Roman" w:eastAsia="Times New Roman" w:hAnsi="Times New Roman" w:cs="Times New Roman"/>
          <w:b/>
          <w:bCs/>
          <w:color w:val="222222"/>
          <w:kern w:val="0"/>
          <w:sz w:val="24"/>
          <w:szCs w:val="24"/>
          <w:lang w:val="lt-LT"/>
        </w:rPr>
      </w:pPr>
    </w:p>
    <w:p w:rsidR="00400426" w:rsidRPr="000D37F1" w:rsidRDefault="00400426" w:rsidP="00CE7121">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lt-LT"/>
        </w:rPr>
      </w:pPr>
      <w:r w:rsidRPr="000D37F1">
        <w:rPr>
          <w:rFonts w:ascii="Times New Roman" w:eastAsia="Times New Roman" w:hAnsi="Times New Roman" w:cs="Times New Roman"/>
          <w:color w:val="222222"/>
          <w:kern w:val="0"/>
          <w:sz w:val="24"/>
          <w:szCs w:val="24"/>
          <w:lang w:val="lt-LT"/>
        </w:rPr>
        <w:t> </w:t>
      </w:r>
    </w:p>
    <w:p w:rsidR="00400426" w:rsidRPr="000D37F1" w:rsidRDefault="00400426" w:rsidP="00CE7121">
      <w:pPr>
        <w:shd w:val="clear" w:color="auto" w:fill="FFFFFF"/>
        <w:spacing w:after="0" w:line="360" w:lineRule="auto"/>
        <w:ind w:firstLine="720"/>
        <w:jc w:val="both"/>
        <w:rPr>
          <w:rFonts w:ascii="Times New Roman" w:eastAsia="Times New Roman" w:hAnsi="Times New Roman" w:cs="Times New Roman"/>
          <w:color w:val="222222"/>
          <w:kern w:val="0"/>
          <w:sz w:val="24"/>
          <w:szCs w:val="24"/>
          <w:lang w:val="lt-LT"/>
        </w:rPr>
      </w:pPr>
      <w:proofErr w:type="spellStart"/>
      <w:r w:rsidRPr="000D37F1">
        <w:rPr>
          <w:rFonts w:ascii="Times New Roman" w:eastAsia="Times New Roman" w:hAnsi="Times New Roman" w:cs="Times New Roman"/>
          <w:b/>
          <w:bCs/>
          <w:color w:val="222222"/>
          <w:kern w:val="0"/>
          <w:sz w:val="24"/>
          <w:szCs w:val="24"/>
          <w:lang w:val="lt-LT"/>
        </w:rPr>
        <w:lastRenderedPageBreak/>
        <w:t>Jokūbaitytė</w:t>
      </w:r>
      <w:proofErr w:type="spellEnd"/>
      <w:r w:rsidRPr="000D37F1">
        <w:rPr>
          <w:rFonts w:ascii="Times New Roman" w:eastAsia="Times New Roman" w:hAnsi="Times New Roman" w:cs="Times New Roman"/>
          <w:b/>
          <w:bCs/>
          <w:color w:val="222222"/>
          <w:kern w:val="0"/>
          <w:sz w:val="24"/>
          <w:szCs w:val="24"/>
          <w:lang w:val="lt-LT"/>
        </w:rPr>
        <w:t xml:space="preserve"> V. </w:t>
      </w:r>
      <w:r w:rsidRPr="000D37F1">
        <w:rPr>
          <w:rFonts w:ascii="Times New Roman" w:eastAsia="Times New Roman" w:hAnsi="Times New Roman" w:cs="Times New Roman"/>
          <w:color w:val="222222"/>
          <w:kern w:val="0"/>
          <w:sz w:val="24"/>
          <w:szCs w:val="24"/>
          <w:lang w:val="lt-LT"/>
        </w:rPr>
        <w:t> Lietuvos kredito unijų veiklos rizikingumo vertinimas / Finansų valdymo magistro</w:t>
      </w:r>
      <w:r w:rsidR="004B5C1A">
        <w:rPr>
          <w:rFonts w:ascii="Times New Roman" w:eastAsia="Times New Roman" w:hAnsi="Times New Roman" w:cs="Times New Roman"/>
          <w:color w:val="222222"/>
          <w:kern w:val="0"/>
          <w:sz w:val="24"/>
          <w:szCs w:val="24"/>
          <w:lang w:val="lt-LT"/>
        </w:rPr>
        <w:t xml:space="preserve"> baigiamasis darbas. Vadovas prof. d</w:t>
      </w:r>
      <w:r w:rsidRPr="000D37F1">
        <w:rPr>
          <w:rFonts w:ascii="Times New Roman" w:eastAsia="Times New Roman" w:hAnsi="Times New Roman" w:cs="Times New Roman"/>
          <w:color w:val="222222"/>
          <w:kern w:val="0"/>
          <w:sz w:val="24"/>
          <w:szCs w:val="24"/>
          <w:lang w:val="lt-LT"/>
        </w:rPr>
        <w:t xml:space="preserve">r. G. Černius. –Vilnius: Mykolo </w:t>
      </w:r>
      <w:proofErr w:type="spellStart"/>
      <w:r w:rsidRPr="000D37F1">
        <w:rPr>
          <w:rFonts w:ascii="Times New Roman" w:eastAsia="Times New Roman" w:hAnsi="Times New Roman" w:cs="Times New Roman"/>
          <w:color w:val="222222"/>
          <w:kern w:val="0"/>
          <w:sz w:val="24"/>
          <w:szCs w:val="24"/>
          <w:lang w:val="lt-LT"/>
        </w:rPr>
        <w:t>Romerio</w:t>
      </w:r>
      <w:proofErr w:type="spellEnd"/>
      <w:r w:rsidRPr="000D37F1">
        <w:rPr>
          <w:rFonts w:ascii="Times New Roman" w:eastAsia="Times New Roman" w:hAnsi="Times New Roman" w:cs="Times New Roman"/>
          <w:color w:val="222222"/>
          <w:kern w:val="0"/>
          <w:sz w:val="24"/>
          <w:szCs w:val="24"/>
          <w:lang w:val="lt-LT"/>
        </w:rPr>
        <w:t xml:space="preserve"> universitetas, Ekonomikos ir finansų valdymo fakultetas, 2014. – 6</w:t>
      </w:r>
      <w:r w:rsidR="00103BC4">
        <w:rPr>
          <w:rFonts w:ascii="Times New Roman" w:eastAsia="Times New Roman" w:hAnsi="Times New Roman" w:cs="Times New Roman"/>
          <w:color w:val="222222"/>
          <w:kern w:val="0"/>
          <w:sz w:val="24"/>
          <w:szCs w:val="24"/>
          <w:lang w:val="lt-LT"/>
        </w:rPr>
        <w:t>2</w:t>
      </w:r>
      <w:r w:rsidRPr="000D37F1">
        <w:rPr>
          <w:rFonts w:ascii="Times New Roman" w:eastAsia="Times New Roman" w:hAnsi="Times New Roman" w:cs="Times New Roman"/>
          <w:color w:val="222222"/>
          <w:kern w:val="0"/>
          <w:sz w:val="24"/>
          <w:szCs w:val="24"/>
          <w:lang w:val="lt-LT"/>
        </w:rPr>
        <w:t xml:space="preserve"> </w:t>
      </w:r>
      <w:proofErr w:type="spellStart"/>
      <w:r w:rsidRPr="000D37F1">
        <w:rPr>
          <w:rFonts w:ascii="Times New Roman" w:eastAsia="Times New Roman" w:hAnsi="Times New Roman" w:cs="Times New Roman"/>
          <w:color w:val="222222"/>
          <w:kern w:val="0"/>
          <w:sz w:val="24"/>
          <w:szCs w:val="24"/>
          <w:lang w:val="lt-LT"/>
        </w:rPr>
        <w:t>p</w:t>
      </w:r>
      <w:proofErr w:type="spellEnd"/>
      <w:r w:rsidRPr="000D37F1">
        <w:rPr>
          <w:rFonts w:ascii="Times New Roman" w:eastAsia="Times New Roman" w:hAnsi="Times New Roman" w:cs="Times New Roman"/>
          <w:color w:val="222222"/>
          <w:kern w:val="0"/>
          <w:sz w:val="24"/>
          <w:szCs w:val="24"/>
          <w:lang w:val="lt-LT"/>
        </w:rPr>
        <w:t>.</w:t>
      </w:r>
    </w:p>
    <w:p w:rsidR="00CE7121" w:rsidRPr="00450C32" w:rsidRDefault="00CE7121" w:rsidP="00450C32">
      <w:pPr>
        <w:pStyle w:val="Heading1"/>
        <w:jc w:val="center"/>
        <w:rPr>
          <w:rFonts w:ascii="Times New Roman" w:hAnsi="Times New Roman" w:cs="Times New Roman"/>
          <w:sz w:val="28"/>
          <w:szCs w:val="28"/>
        </w:rPr>
      </w:pPr>
      <w:bookmarkStart w:id="141" w:name="_Toc383782882"/>
      <w:bookmarkStart w:id="142" w:name="_Toc383783635"/>
      <w:bookmarkStart w:id="143" w:name="_Toc384567332"/>
      <w:bookmarkStart w:id="144" w:name="_Toc384570769"/>
      <w:r w:rsidRPr="00450C32">
        <w:rPr>
          <w:rFonts w:ascii="Times New Roman" w:hAnsi="Times New Roman" w:cs="Times New Roman"/>
          <w:sz w:val="28"/>
          <w:szCs w:val="28"/>
        </w:rPr>
        <w:t>SANTRAUKA</w:t>
      </w:r>
      <w:bookmarkEnd w:id="141"/>
      <w:bookmarkEnd w:id="142"/>
      <w:bookmarkEnd w:id="143"/>
      <w:bookmarkEnd w:id="144"/>
    </w:p>
    <w:p w:rsidR="00CE7121" w:rsidRPr="00CE7121" w:rsidRDefault="00CE7121" w:rsidP="00AA1E5C">
      <w:pPr>
        <w:spacing w:before="120" w:after="120" w:line="360" w:lineRule="auto"/>
        <w:ind w:left="57" w:right="57" w:firstLine="720"/>
        <w:jc w:val="both"/>
        <w:rPr>
          <w:rFonts w:ascii="Times New Roman" w:eastAsia="Times New Roman" w:hAnsi="Times New Roman" w:cs="Times New Roman"/>
          <w:kern w:val="0"/>
          <w:sz w:val="24"/>
          <w:szCs w:val="24"/>
          <w:lang w:val="lt-LT" w:eastAsia="lt-LT"/>
          <w14:ligatures w14:val="none"/>
        </w:rPr>
      </w:pPr>
      <w:r w:rsidRPr="00CE7121">
        <w:rPr>
          <w:rFonts w:ascii="Times New Roman" w:eastAsia="Times New Roman" w:hAnsi="Times New Roman" w:cs="Times New Roman"/>
          <w:color w:val="000000"/>
          <w:kern w:val="0"/>
          <w:sz w:val="24"/>
          <w:szCs w:val="24"/>
          <w:lang w:val="lt-LT" w:eastAsia="lt-LT"/>
          <w14:ligatures w14:val="none"/>
        </w:rPr>
        <w:t xml:space="preserve">Pastaraisiais metais išaugo kredito unijų bankrotų skaičius, o tai rodo padidėjusią riziką visoje kredito unijų sistemoje. Tam, kad būtų išvengta bankroto bei nenukentėtų visuomenės interesai, būtina kuo anksčiau identifikuoti veiklos kliūtis, taip pat nustatyti padidėjusią riziką lemiančius veiksnius bei įvertinti kredito unijų rizikingumą. </w:t>
      </w:r>
      <w:r w:rsidR="0012086F">
        <w:rPr>
          <w:rFonts w:ascii="Times New Roman" w:eastAsia="Times New Roman" w:hAnsi="Times New Roman" w:cs="Times New Roman"/>
          <w:color w:val="000000"/>
          <w:kern w:val="0"/>
          <w:sz w:val="24"/>
          <w:szCs w:val="24"/>
          <w:lang w:val="lt-LT" w:eastAsia="lt-LT"/>
          <w14:ligatures w14:val="none"/>
        </w:rPr>
        <w:t>Šio</w:t>
      </w:r>
      <w:r w:rsidRPr="00CE7121">
        <w:rPr>
          <w:rFonts w:ascii="Times New Roman" w:eastAsia="Times New Roman" w:hAnsi="Times New Roman" w:cs="Times New Roman"/>
          <w:color w:val="000000"/>
          <w:kern w:val="0"/>
          <w:sz w:val="24"/>
          <w:szCs w:val="24"/>
          <w:lang w:val="lt-LT" w:eastAsia="lt-LT"/>
          <w14:ligatures w14:val="none"/>
        </w:rPr>
        <w:t xml:space="preserve"> darbo problema – kaip tinkamai įvertinti kredito unijų rizikingumą. Tikslas – remiantis matematiniais metodais sudaryti modelį, skirtą kredito unijos rizikingumui vertinti.</w:t>
      </w:r>
      <w:r w:rsidR="00AA1E5C">
        <w:rPr>
          <w:rFonts w:ascii="Times New Roman" w:eastAsia="Times New Roman" w:hAnsi="Times New Roman" w:cs="Times New Roman"/>
          <w:kern w:val="0"/>
          <w:sz w:val="24"/>
          <w:szCs w:val="24"/>
          <w:lang w:val="lt-LT" w:eastAsia="lt-LT"/>
          <w14:ligatures w14:val="none"/>
        </w:rPr>
        <w:t xml:space="preserve"> </w:t>
      </w:r>
      <w:r w:rsidRPr="00CE7121">
        <w:rPr>
          <w:rFonts w:ascii="Times New Roman" w:eastAsia="Times New Roman" w:hAnsi="Times New Roman" w:cs="Times New Roman"/>
          <w:color w:val="000000"/>
          <w:kern w:val="0"/>
          <w:sz w:val="24"/>
          <w:szCs w:val="24"/>
          <w:lang w:val="lt-LT" w:eastAsia="lt-LT"/>
          <w14:ligatures w14:val="none"/>
        </w:rPr>
        <w:t>Tyrimo objekt</w:t>
      </w:r>
      <w:r w:rsidR="00AA1E5C">
        <w:rPr>
          <w:rFonts w:ascii="Times New Roman" w:eastAsia="Times New Roman" w:hAnsi="Times New Roman" w:cs="Times New Roman"/>
          <w:color w:val="000000"/>
          <w:kern w:val="0"/>
          <w:sz w:val="24"/>
          <w:szCs w:val="24"/>
          <w:lang w:val="lt-LT" w:eastAsia="lt-LT"/>
          <w14:ligatures w14:val="none"/>
        </w:rPr>
        <w:t>as – kredito unijų rizikingumas.</w:t>
      </w:r>
    </w:p>
    <w:p w:rsidR="00CE7121" w:rsidRPr="00CE7121" w:rsidRDefault="00CE7121" w:rsidP="00CE7121">
      <w:pPr>
        <w:spacing w:before="120" w:after="120" w:line="360" w:lineRule="auto"/>
        <w:ind w:right="57" w:firstLine="720"/>
        <w:jc w:val="both"/>
        <w:rPr>
          <w:rFonts w:ascii="Times New Roman" w:eastAsia="Times New Roman" w:hAnsi="Times New Roman" w:cs="Times New Roman"/>
          <w:kern w:val="0"/>
          <w:sz w:val="24"/>
          <w:szCs w:val="24"/>
          <w:lang w:val="lt-LT" w:eastAsia="lt-LT"/>
          <w14:ligatures w14:val="none"/>
        </w:rPr>
      </w:pPr>
      <w:r w:rsidRPr="00CE7121">
        <w:rPr>
          <w:rFonts w:ascii="Times New Roman" w:eastAsia="Times New Roman" w:hAnsi="Times New Roman" w:cs="Times New Roman"/>
          <w:color w:val="000000"/>
          <w:kern w:val="0"/>
          <w:sz w:val="24"/>
          <w:szCs w:val="24"/>
          <w:lang w:val="lt-LT" w:eastAsia="lt-LT"/>
          <w14:ligatures w14:val="none"/>
        </w:rPr>
        <w:t>Tyrimo uždaviniai:</w:t>
      </w:r>
    </w:p>
    <w:p w:rsidR="00AA1E5C" w:rsidRPr="00AA1E5C" w:rsidRDefault="00CE7121" w:rsidP="00AA1E5C">
      <w:pPr>
        <w:pStyle w:val="ListParagraph"/>
        <w:numPr>
          <w:ilvl w:val="0"/>
          <w:numId w:val="32"/>
        </w:numPr>
        <w:spacing w:after="0" w:line="360" w:lineRule="auto"/>
        <w:jc w:val="both"/>
        <w:textAlignment w:val="baseline"/>
        <w:rPr>
          <w:rFonts w:ascii="Arial" w:eastAsia="Times New Roman" w:hAnsi="Arial" w:cs="Arial"/>
          <w:color w:val="000000"/>
          <w:kern w:val="0"/>
          <w:sz w:val="24"/>
          <w:szCs w:val="24"/>
          <w:lang w:val="lt-LT" w:eastAsia="lt-LT"/>
          <w14:ligatures w14:val="none"/>
        </w:rPr>
      </w:pPr>
      <w:r w:rsidRPr="00AA1E5C">
        <w:rPr>
          <w:rFonts w:ascii="Times New Roman" w:eastAsia="Times New Roman" w:hAnsi="Times New Roman" w:cs="Times New Roman"/>
          <w:color w:val="000000"/>
          <w:kern w:val="0"/>
          <w:sz w:val="24"/>
          <w:szCs w:val="24"/>
          <w:lang w:val="lt-LT" w:eastAsia="lt-LT"/>
          <w14:ligatures w14:val="none"/>
        </w:rPr>
        <w:t>Atlikti Lietuvos ir užsienio autorių mokslinės literatūros analizę;</w:t>
      </w:r>
    </w:p>
    <w:p w:rsidR="00AA1E5C" w:rsidRPr="00AA1E5C" w:rsidRDefault="00CE7121" w:rsidP="00AA1E5C">
      <w:pPr>
        <w:pStyle w:val="ListParagraph"/>
        <w:numPr>
          <w:ilvl w:val="0"/>
          <w:numId w:val="32"/>
        </w:numPr>
        <w:spacing w:after="0" w:line="360" w:lineRule="auto"/>
        <w:jc w:val="both"/>
        <w:textAlignment w:val="baseline"/>
        <w:rPr>
          <w:rFonts w:ascii="Arial" w:eastAsia="Times New Roman" w:hAnsi="Arial" w:cs="Arial"/>
          <w:color w:val="000000"/>
          <w:kern w:val="0"/>
          <w:sz w:val="24"/>
          <w:szCs w:val="24"/>
          <w:lang w:val="lt-LT" w:eastAsia="lt-LT"/>
          <w14:ligatures w14:val="none"/>
        </w:rPr>
      </w:pPr>
      <w:r w:rsidRPr="00AA1E5C">
        <w:rPr>
          <w:rFonts w:ascii="Times New Roman" w:eastAsia="Times New Roman" w:hAnsi="Times New Roman" w:cs="Times New Roman"/>
          <w:color w:val="000000"/>
          <w:kern w:val="0"/>
          <w:sz w:val="24"/>
          <w:szCs w:val="24"/>
          <w:lang w:val="lt-LT" w:eastAsia="lt-LT"/>
          <w14:ligatures w14:val="none"/>
        </w:rPr>
        <w:t>Remiantis literatūros analize atrinkti tinkamiausius metodus kredito unijų rizikingumui įvertinti;</w:t>
      </w:r>
    </w:p>
    <w:p w:rsidR="00CE7121" w:rsidRPr="00AA1E5C" w:rsidRDefault="00CE7121" w:rsidP="00AA1E5C">
      <w:pPr>
        <w:pStyle w:val="ListParagraph"/>
        <w:numPr>
          <w:ilvl w:val="0"/>
          <w:numId w:val="32"/>
        </w:numPr>
        <w:spacing w:after="0" w:line="360" w:lineRule="auto"/>
        <w:jc w:val="both"/>
        <w:textAlignment w:val="baseline"/>
        <w:rPr>
          <w:rFonts w:ascii="Arial" w:eastAsia="Times New Roman" w:hAnsi="Arial" w:cs="Arial"/>
          <w:color w:val="000000"/>
          <w:kern w:val="0"/>
          <w:sz w:val="24"/>
          <w:szCs w:val="24"/>
          <w:lang w:val="lt-LT" w:eastAsia="lt-LT"/>
          <w14:ligatures w14:val="none"/>
        </w:rPr>
      </w:pPr>
      <w:r w:rsidRPr="00AA1E5C">
        <w:rPr>
          <w:rFonts w:ascii="Times New Roman" w:eastAsia="Times New Roman" w:hAnsi="Times New Roman" w:cs="Times New Roman"/>
          <w:color w:val="000000"/>
          <w:kern w:val="0"/>
          <w:sz w:val="24"/>
          <w:szCs w:val="24"/>
          <w:lang w:val="lt-LT" w:eastAsia="lt-LT"/>
          <w14:ligatures w14:val="none"/>
        </w:rPr>
        <w:t>Sudaryti kredito unijų rizikingumo vertinimo modelį.</w:t>
      </w:r>
    </w:p>
    <w:p w:rsidR="0012086F" w:rsidRDefault="00CE7121" w:rsidP="0012086F">
      <w:pPr>
        <w:spacing w:before="120" w:after="120" w:line="360" w:lineRule="auto"/>
        <w:ind w:left="57" w:right="57" w:firstLine="720"/>
        <w:jc w:val="both"/>
        <w:rPr>
          <w:rFonts w:ascii="Times New Roman" w:eastAsia="Times New Roman" w:hAnsi="Times New Roman" w:cs="Times New Roman"/>
          <w:kern w:val="0"/>
          <w:sz w:val="24"/>
          <w:szCs w:val="24"/>
          <w:lang w:val="lt-LT" w:eastAsia="lt-LT"/>
          <w14:ligatures w14:val="none"/>
        </w:rPr>
      </w:pPr>
      <w:r w:rsidRPr="00CE7121">
        <w:rPr>
          <w:rFonts w:ascii="Times New Roman" w:eastAsia="Times New Roman" w:hAnsi="Times New Roman" w:cs="Times New Roman"/>
          <w:color w:val="000000"/>
          <w:kern w:val="0"/>
          <w:sz w:val="24"/>
          <w:szCs w:val="24"/>
          <w:lang w:val="lt-LT" w:eastAsia="lt-LT"/>
          <w14:ligatures w14:val="none"/>
        </w:rPr>
        <w:t xml:space="preserve">Išanalizavus mokslinę literatūrą bei bendrus kredito unijų finansinius rezultatus, nustatyta, jog sparti kredito unijų plėtra, nepakankamai konservatyvi skolinimo politika bei kredito unijų vadovų neatsakingumas lėmė kredito unijų rizikos padidėjimą. Antroje darbo dalyje vertinamas modelių tinkamumas kredito unijoms. Nustatyta, jog tradiciniai bankroto tikimybės prognozavimo modeliai nėra tinkamai kredito unijoms, dėl jų veiklos specifikos. Atlikus tyrimą gauti rezultatai, kad rizikingos kredito unijos yra tos, kurios veikia didžiuosiuose miestuose, nepriklauso Centrinės kredito unijos tinklui, orientuotos į investicijas į vertybinius popierius, o ne į paskolų teikimą, nors pastarųjų rizikingumo procentas aukštas. Aukštesnės rizikos kredito unijos pasižymi  didesniu pajamų ir turto santykiu, tačiau veikia nuostolingai. Atlikus skaičiavimus, nustatyta, kad Kokso proporcingosios rizikos modelis tinkamas kredito unijų rizikingumui vertinti, todėl </w:t>
      </w:r>
      <w:r w:rsidR="0012086F">
        <w:rPr>
          <w:rFonts w:ascii="Times New Roman" w:eastAsia="Times New Roman" w:hAnsi="Times New Roman" w:cs="Times New Roman"/>
          <w:color w:val="000000"/>
          <w:kern w:val="0"/>
          <w:sz w:val="24"/>
          <w:szCs w:val="24"/>
          <w:lang w:val="lt-LT" w:eastAsia="lt-LT"/>
          <w14:ligatures w14:val="none"/>
        </w:rPr>
        <w:t xml:space="preserve">tyrimo </w:t>
      </w:r>
      <w:r w:rsidRPr="00CE7121">
        <w:rPr>
          <w:rFonts w:ascii="Times New Roman" w:eastAsia="Times New Roman" w:hAnsi="Times New Roman" w:cs="Times New Roman"/>
          <w:color w:val="000000"/>
          <w:kern w:val="0"/>
          <w:sz w:val="24"/>
          <w:szCs w:val="24"/>
          <w:lang w:val="lt-LT" w:eastAsia="lt-LT"/>
          <w14:ligatures w14:val="none"/>
        </w:rPr>
        <w:t xml:space="preserve">hipotezė priimama. </w:t>
      </w:r>
      <w:r w:rsidRPr="00CE7121">
        <w:rPr>
          <w:rFonts w:ascii="Times New Roman" w:eastAsia="Times New Roman" w:hAnsi="Times New Roman" w:cs="Times New Roman"/>
          <w:color w:val="222222"/>
          <w:kern w:val="0"/>
          <w:sz w:val="24"/>
          <w:szCs w:val="24"/>
          <w:lang w:val="lt-LT" w:eastAsia="lt-LT"/>
          <w14:ligatures w14:val="none"/>
        </w:rPr>
        <w:t>Darbą sudaro 6 dalys: įvadas, teorinė dalis, metodologinė dalis, praktinė dalis,  išvados i</w:t>
      </w:r>
      <w:r w:rsidR="0012086F">
        <w:rPr>
          <w:rFonts w:ascii="Times New Roman" w:eastAsia="Times New Roman" w:hAnsi="Times New Roman" w:cs="Times New Roman"/>
          <w:color w:val="222222"/>
          <w:kern w:val="0"/>
          <w:sz w:val="24"/>
          <w:szCs w:val="24"/>
          <w:lang w:val="lt-LT" w:eastAsia="lt-LT"/>
          <w14:ligatures w14:val="none"/>
        </w:rPr>
        <w:t>r siūlymai, literatūros sąrašas.</w:t>
      </w:r>
    </w:p>
    <w:p w:rsidR="004B5C1A" w:rsidRPr="0012086F" w:rsidRDefault="004B5C1A" w:rsidP="0012086F">
      <w:pPr>
        <w:spacing w:before="120" w:after="120" w:line="360" w:lineRule="auto"/>
        <w:ind w:left="57" w:right="57" w:firstLine="720"/>
        <w:jc w:val="both"/>
        <w:rPr>
          <w:rFonts w:ascii="Times New Roman" w:eastAsia="Times New Roman" w:hAnsi="Times New Roman" w:cs="Times New Roman"/>
          <w:kern w:val="0"/>
          <w:sz w:val="24"/>
          <w:szCs w:val="24"/>
          <w:lang w:val="lt-LT" w:eastAsia="lt-LT"/>
          <w14:ligatures w14:val="none"/>
        </w:rPr>
      </w:pPr>
      <w:proofErr w:type="spellStart"/>
      <w:r>
        <w:rPr>
          <w:rFonts w:ascii="Times New Roman" w:eastAsia="Times New Roman" w:hAnsi="Times New Roman" w:cs="Times New Roman"/>
          <w:b/>
          <w:bCs/>
          <w:color w:val="222222"/>
          <w:kern w:val="0"/>
          <w:sz w:val="24"/>
          <w:szCs w:val="24"/>
          <w:lang w:val="en-GB"/>
        </w:rPr>
        <w:lastRenderedPageBreak/>
        <w:t>J</w:t>
      </w:r>
      <w:r w:rsidRPr="004F277E">
        <w:rPr>
          <w:rFonts w:ascii="Times New Roman" w:eastAsia="Times New Roman" w:hAnsi="Times New Roman" w:cs="Times New Roman"/>
          <w:b/>
          <w:bCs/>
          <w:color w:val="222222"/>
          <w:kern w:val="0"/>
          <w:sz w:val="24"/>
          <w:szCs w:val="24"/>
          <w:lang w:val="en-GB"/>
        </w:rPr>
        <w:t>okūbaitytė</w:t>
      </w:r>
      <w:proofErr w:type="spellEnd"/>
      <w:r w:rsidRPr="004F277E">
        <w:rPr>
          <w:rFonts w:ascii="Times New Roman" w:eastAsia="Times New Roman" w:hAnsi="Times New Roman" w:cs="Times New Roman"/>
          <w:b/>
          <w:bCs/>
          <w:color w:val="222222"/>
          <w:kern w:val="0"/>
          <w:sz w:val="24"/>
          <w:szCs w:val="24"/>
          <w:lang w:val="en-GB"/>
        </w:rPr>
        <w:t xml:space="preserve"> V. </w:t>
      </w:r>
      <w:r w:rsidRPr="004F277E">
        <w:rPr>
          <w:rFonts w:ascii="Times New Roman" w:eastAsia="Times New Roman" w:hAnsi="Times New Roman" w:cs="Times New Roman"/>
          <w:color w:val="222222"/>
          <w:kern w:val="0"/>
          <w:sz w:val="24"/>
          <w:szCs w:val="24"/>
          <w:lang w:val="en-GB"/>
        </w:rPr>
        <w:t xml:space="preserve"> Evaluation of </w:t>
      </w:r>
      <w:r>
        <w:rPr>
          <w:rFonts w:ascii="Times New Roman" w:eastAsia="Times New Roman" w:hAnsi="Times New Roman" w:cs="Times New Roman"/>
          <w:color w:val="222222"/>
          <w:kern w:val="0"/>
          <w:sz w:val="24"/>
          <w:szCs w:val="24"/>
          <w:lang w:val="en-GB"/>
        </w:rPr>
        <w:t>risk exposure for</w:t>
      </w:r>
      <w:r w:rsidRPr="00A02456">
        <w:rPr>
          <w:rFonts w:ascii="Times New Roman" w:eastAsia="Times New Roman" w:hAnsi="Times New Roman" w:cs="Times New Roman"/>
          <w:color w:val="222222"/>
          <w:kern w:val="0"/>
          <w:sz w:val="24"/>
          <w:szCs w:val="24"/>
          <w:lang w:val="en-GB"/>
        </w:rPr>
        <w:t xml:space="preserve"> </w:t>
      </w:r>
      <w:r w:rsidRPr="004F277E">
        <w:rPr>
          <w:rFonts w:ascii="Times New Roman" w:eastAsia="Times New Roman" w:hAnsi="Times New Roman" w:cs="Times New Roman"/>
          <w:color w:val="222222"/>
          <w:kern w:val="0"/>
          <w:sz w:val="24"/>
          <w:szCs w:val="24"/>
          <w:lang w:val="en-GB"/>
        </w:rPr>
        <w:t>Lithuanian credit unions</w:t>
      </w:r>
      <w:r>
        <w:rPr>
          <w:rFonts w:ascii="Times New Roman" w:eastAsia="Times New Roman" w:hAnsi="Times New Roman" w:cs="Times New Roman"/>
          <w:color w:val="222222"/>
          <w:kern w:val="0"/>
          <w:sz w:val="24"/>
          <w:szCs w:val="24"/>
          <w:lang w:val="en-GB"/>
        </w:rPr>
        <w:t xml:space="preserve"> / Master’s thesis Finance management. Supervisor: prof. dr. G. </w:t>
      </w:r>
      <w:proofErr w:type="spellStart"/>
      <w:r>
        <w:rPr>
          <w:rFonts w:ascii="Times New Roman" w:eastAsia="Times New Roman" w:hAnsi="Times New Roman" w:cs="Times New Roman"/>
          <w:color w:val="222222"/>
          <w:kern w:val="0"/>
          <w:sz w:val="24"/>
          <w:szCs w:val="24"/>
          <w:lang w:val="en-GB"/>
        </w:rPr>
        <w:t>Černius</w:t>
      </w:r>
      <w:proofErr w:type="spellEnd"/>
      <w:r>
        <w:rPr>
          <w:rFonts w:ascii="Times New Roman" w:eastAsia="Times New Roman" w:hAnsi="Times New Roman" w:cs="Times New Roman"/>
          <w:color w:val="222222"/>
          <w:kern w:val="0"/>
          <w:sz w:val="24"/>
          <w:szCs w:val="24"/>
          <w:lang w:val="en-GB"/>
        </w:rPr>
        <w:t xml:space="preserve"> – Vilnius: </w:t>
      </w:r>
      <w:proofErr w:type="spellStart"/>
      <w:r>
        <w:rPr>
          <w:rFonts w:ascii="Times New Roman" w:eastAsia="Times New Roman" w:hAnsi="Times New Roman" w:cs="Times New Roman"/>
          <w:color w:val="222222"/>
          <w:kern w:val="0"/>
          <w:sz w:val="24"/>
          <w:szCs w:val="24"/>
          <w:lang w:val="en-GB"/>
        </w:rPr>
        <w:t>Mykolas</w:t>
      </w:r>
      <w:proofErr w:type="spellEnd"/>
      <w:r>
        <w:rPr>
          <w:rFonts w:ascii="Times New Roman" w:eastAsia="Times New Roman" w:hAnsi="Times New Roman" w:cs="Times New Roman"/>
          <w:color w:val="222222"/>
          <w:kern w:val="0"/>
          <w:sz w:val="24"/>
          <w:szCs w:val="24"/>
          <w:lang w:val="en-GB"/>
        </w:rPr>
        <w:t xml:space="preserve"> </w:t>
      </w:r>
      <w:proofErr w:type="spellStart"/>
      <w:r>
        <w:rPr>
          <w:rFonts w:ascii="Times New Roman" w:eastAsia="Times New Roman" w:hAnsi="Times New Roman" w:cs="Times New Roman"/>
          <w:color w:val="222222"/>
          <w:kern w:val="0"/>
          <w:sz w:val="24"/>
          <w:szCs w:val="24"/>
          <w:lang w:val="en-GB"/>
        </w:rPr>
        <w:t>Romeris</w:t>
      </w:r>
      <w:proofErr w:type="spellEnd"/>
      <w:r>
        <w:rPr>
          <w:rFonts w:ascii="Times New Roman" w:eastAsia="Times New Roman" w:hAnsi="Times New Roman" w:cs="Times New Roman"/>
          <w:color w:val="222222"/>
          <w:kern w:val="0"/>
          <w:sz w:val="24"/>
          <w:szCs w:val="24"/>
          <w:lang w:val="en-GB"/>
        </w:rPr>
        <w:t xml:space="preserve"> university, Faculty of Economics and Finance management, 2014 –</w:t>
      </w:r>
      <w:r w:rsidR="00AA1E5C">
        <w:rPr>
          <w:rFonts w:ascii="Times New Roman" w:eastAsia="Times New Roman" w:hAnsi="Times New Roman" w:cs="Times New Roman"/>
          <w:color w:val="222222"/>
          <w:kern w:val="0"/>
          <w:sz w:val="24"/>
          <w:szCs w:val="24"/>
          <w:lang w:val="en-GB"/>
        </w:rPr>
        <w:t xml:space="preserve"> 6</w:t>
      </w:r>
      <w:r w:rsidR="00103BC4">
        <w:rPr>
          <w:rFonts w:ascii="Times New Roman" w:eastAsia="Times New Roman" w:hAnsi="Times New Roman" w:cs="Times New Roman"/>
          <w:color w:val="222222"/>
          <w:kern w:val="0"/>
          <w:sz w:val="24"/>
          <w:szCs w:val="24"/>
          <w:lang w:val="en-GB"/>
        </w:rPr>
        <w:t>2</w:t>
      </w:r>
      <w:r>
        <w:rPr>
          <w:rFonts w:ascii="Times New Roman" w:eastAsia="Times New Roman" w:hAnsi="Times New Roman" w:cs="Times New Roman"/>
          <w:color w:val="222222"/>
          <w:kern w:val="0"/>
          <w:sz w:val="24"/>
          <w:szCs w:val="24"/>
          <w:lang w:val="en-GB"/>
        </w:rPr>
        <w:t xml:space="preserve"> p.</w:t>
      </w:r>
    </w:p>
    <w:p w:rsidR="004B5C1A" w:rsidRPr="0012086F" w:rsidRDefault="0012086F" w:rsidP="0012086F">
      <w:pPr>
        <w:shd w:val="clear" w:color="auto" w:fill="FFFFFF"/>
        <w:spacing w:after="0" w:line="360" w:lineRule="auto"/>
        <w:ind w:firstLine="720"/>
        <w:jc w:val="center"/>
        <w:rPr>
          <w:rFonts w:ascii="Times New Roman" w:eastAsia="Times New Roman" w:hAnsi="Times New Roman" w:cs="Times New Roman"/>
          <w:b/>
          <w:color w:val="222222"/>
          <w:kern w:val="0"/>
          <w:sz w:val="24"/>
          <w:szCs w:val="24"/>
          <w:lang w:val="lt-LT"/>
        </w:rPr>
      </w:pPr>
      <w:r>
        <w:rPr>
          <w:rFonts w:ascii="Times New Roman" w:eastAsia="Times New Roman" w:hAnsi="Times New Roman" w:cs="Times New Roman"/>
          <w:b/>
          <w:color w:val="222222"/>
          <w:kern w:val="0"/>
          <w:sz w:val="24"/>
          <w:szCs w:val="24"/>
          <w:lang w:val="lt-LT"/>
        </w:rPr>
        <w:t>SUMMARY</w:t>
      </w:r>
    </w:p>
    <w:p w:rsidR="004B5C1A" w:rsidRPr="00C81A1C" w:rsidRDefault="004B5C1A" w:rsidP="004B5C1A">
      <w:pPr>
        <w:shd w:val="clear" w:color="auto" w:fill="FFFFFF"/>
        <w:spacing w:after="0" w:line="360" w:lineRule="auto"/>
        <w:ind w:firstLine="720"/>
        <w:jc w:val="both"/>
        <w:rPr>
          <w:rFonts w:ascii="Times New Roman" w:hAnsi="Times New Roman" w:cs="Times New Roman"/>
          <w:color w:val="000000"/>
          <w:sz w:val="24"/>
          <w:szCs w:val="24"/>
        </w:rPr>
      </w:pPr>
      <w:r w:rsidRPr="00897744">
        <w:rPr>
          <w:rFonts w:ascii="Times New Roman" w:eastAsia="Times New Roman" w:hAnsi="Times New Roman" w:cs="Times New Roman"/>
          <w:color w:val="222222"/>
          <w:kern w:val="0"/>
          <w:sz w:val="24"/>
          <w:szCs w:val="24"/>
          <w:lang w:val="en-GB"/>
        </w:rPr>
        <w:t xml:space="preserve">The </w:t>
      </w:r>
      <w:r>
        <w:rPr>
          <w:rFonts w:ascii="Times New Roman" w:eastAsia="Times New Roman" w:hAnsi="Times New Roman" w:cs="Times New Roman"/>
          <w:color w:val="222222"/>
          <w:kern w:val="0"/>
          <w:sz w:val="24"/>
          <w:szCs w:val="24"/>
          <w:lang w:val="en-GB"/>
        </w:rPr>
        <w:t>growing numbers of bankruptcy</w:t>
      </w:r>
      <w:r w:rsidRPr="00897744">
        <w:rPr>
          <w:rFonts w:ascii="Times New Roman" w:eastAsia="Times New Roman" w:hAnsi="Times New Roman" w:cs="Times New Roman"/>
          <w:color w:val="222222"/>
          <w:kern w:val="0"/>
          <w:sz w:val="24"/>
          <w:szCs w:val="24"/>
          <w:lang w:val="en-GB"/>
        </w:rPr>
        <w:t xml:space="preserve"> cases </w:t>
      </w:r>
      <w:r>
        <w:rPr>
          <w:rFonts w:ascii="Times New Roman" w:eastAsia="Times New Roman" w:hAnsi="Times New Roman" w:cs="Times New Roman"/>
          <w:color w:val="222222"/>
          <w:kern w:val="0"/>
          <w:sz w:val="24"/>
          <w:szCs w:val="24"/>
          <w:lang w:val="en-GB"/>
        </w:rPr>
        <w:t xml:space="preserve">among credit unions in the recent years indicates the increase of overall risk exposure in the credit union system. In order to avoid bankruptcies and protect the public interest, threats of such financial activities, factors influencing increase of risk and risk exposure of particular credit unions should be </w:t>
      </w:r>
      <w:r w:rsidR="00AA1E5C">
        <w:rPr>
          <w:rFonts w:ascii="Times New Roman" w:eastAsia="Times New Roman" w:hAnsi="Times New Roman" w:cs="Times New Roman"/>
          <w:color w:val="222222"/>
          <w:kern w:val="0"/>
          <w:sz w:val="24"/>
          <w:szCs w:val="24"/>
          <w:lang w:val="en-GB"/>
        </w:rPr>
        <w:t>identified</w:t>
      </w:r>
      <w:r>
        <w:rPr>
          <w:rFonts w:ascii="Times New Roman" w:eastAsia="Times New Roman" w:hAnsi="Times New Roman" w:cs="Times New Roman"/>
          <w:color w:val="222222"/>
          <w:kern w:val="0"/>
          <w:sz w:val="24"/>
          <w:szCs w:val="24"/>
          <w:lang w:val="en-GB"/>
        </w:rPr>
        <w:t xml:space="preserve"> as early as possible. </w:t>
      </w:r>
      <w:r w:rsidRPr="00C81A1C">
        <w:rPr>
          <w:rFonts w:ascii="Times New Roman" w:hAnsi="Times New Roman" w:cs="Times New Roman"/>
          <w:color w:val="000000"/>
          <w:sz w:val="24"/>
          <w:szCs w:val="24"/>
        </w:rPr>
        <w:t>Thus the question of the research</w:t>
      </w:r>
      <w:r>
        <w:rPr>
          <w:rFonts w:ascii="Times New Roman" w:hAnsi="Times New Roman" w:cs="Times New Roman"/>
          <w:color w:val="000000"/>
          <w:sz w:val="24"/>
          <w:szCs w:val="24"/>
        </w:rPr>
        <w:t xml:space="preserve"> is formulated</w:t>
      </w:r>
      <w:r w:rsidRPr="00C81A1C">
        <w:rPr>
          <w:rFonts w:ascii="Times New Roman" w:hAnsi="Times New Roman" w:cs="Times New Roman"/>
          <w:color w:val="000000"/>
          <w:sz w:val="24"/>
          <w:szCs w:val="24"/>
        </w:rPr>
        <w:t xml:space="preserve"> – what is the appropriate way to evaluate the risk exposure of credit unions?</w:t>
      </w:r>
      <w:r>
        <w:rPr>
          <w:rFonts w:ascii="Times New Roman" w:hAnsi="Times New Roman" w:cs="Times New Roman"/>
          <w:color w:val="000000"/>
          <w:sz w:val="24"/>
          <w:szCs w:val="24"/>
        </w:rPr>
        <w:t xml:space="preserve"> The purpose – creation of a risk exposure evaluation model for credit unions, which is based on mathematical methods. Object of the research – risk exposure of credit unions.</w:t>
      </w:r>
    </w:p>
    <w:p w:rsidR="004B5C1A" w:rsidRPr="00C81A1C" w:rsidRDefault="004B5C1A" w:rsidP="004B5C1A">
      <w:pPr>
        <w:spacing w:before="120" w:after="120" w:line="360" w:lineRule="auto"/>
        <w:ind w:right="57"/>
        <w:jc w:val="both"/>
        <w:rPr>
          <w:rFonts w:ascii="Times New Roman" w:hAnsi="Times New Roman" w:cs="Times New Roman"/>
          <w:sz w:val="24"/>
          <w:szCs w:val="24"/>
        </w:rPr>
      </w:pPr>
      <w:r>
        <w:rPr>
          <w:rFonts w:ascii="Times New Roman" w:hAnsi="Times New Roman" w:cs="Times New Roman"/>
          <w:sz w:val="24"/>
          <w:szCs w:val="24"/>
        </w:rPr>
        <w:t>Objectives of the re</w:t>
      </w:r>
      <w:r w:rsidRPr="00C81A1C">
        <w:rPr>
          <w:rFonts w:ascii="Times New Roman" w:hAnsi="Times New Roman" w:cs="Times New Roman"/>
          <w:sz w:val="24"/>
          <w:szCs w:val="24"/>
        </w:rPr>
        <w:t>search:</w:t>
      </w:r>
    </w:p>
    <w:p w:rsidR="004B5C1A" w:rsidRDefault="004B5C1A" w:rsidP="004B5C1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Perform the analysis of scientific literature by Lithuanian and foreign authors;</w:t>
      </w:r>
    </w:p>
    <w:p w:rsidR="004B5C1A" w:rsidRDefault="004B5C1A" w:rsidP="004B5C1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performed analysis, select the most suitable methods for evaluation of credit unions’ risk exposure;</w:t>
      </w:r>
    </w:p>
    <w:p w:rsidR="004B5C1A" w:rsidRPr="00CF7E78" w:rsidRDefault="004B5C1A" w:rsidP="004B5C1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Create a </w:t>
      </w:r>
      <w:r>
        <w:rPr>
          <w:rFonts w:ascii="Times New Roman" w:hAnsi="Times New Roman" w:cs="Times New Roman"/>
          <w:color w:val="000000"/>
          <w:sz w:val="24"/>
          <w:szCs w:val="24"/>
        </w:rPr>
        <w:t>risk exposure evaluation model for credit unions.</w:t>
      </w:r>
    </w:p>
    <w:p w:rsidR="004B5C1A" w:rsidRPr="0012086F" w:rsidRDefault="004B5C1A" w:rsidP="0012086F">
      <w:pPr>
        <w:spacing w:before="120" w:after="120" w:line="360" w:lineRule="auto"/>
        <w:ind w:right="57" w:firstLine="720"/>
        <w:jc w:val="both"/>
        <w:rPr>
          <w:rFonts w:ascii="Times New Roman" w:hAnsi="Times New Roman" w:cs="Times New Roman"/>
          <w:sz w:val="24"/>
          <w:szCs w:val="24"/>
          <w:lang w:val="en-GB"/>
        </w:rPr>
      </w:pPr>
      <w:r w:rsidRPr="00F96285">
        <w:rPr>
          <w:rFonts w:ascii="Times New Roman" w:hAnsi="Times New Roman" w:cs="Times New Roman"/>
          <w:sz w:val="24"/>
          <w:szCs w:val="24"/>
          <w:lang w:val="en-GB"/>
        </w:rPr>
        <w:t>Analysis</w:t>
      </w:r>
      <w:r>
        <w:rPr>
          <w:rFonts w:ascii="Times New Roman" w:hAnsi="Times New Roman" w:cs="Times New Roman"/>
          <w:sz w:val="24"/>
          <w:szCs w:val="24"/>
          <w:lang w:val="en-GB"/>
        </w:rPr>
        <w:t xml:space="preserve"> of the literature and the general financial results of credit unions led to the exposure of factors influencing the increase of risk exposure: rapid expansion of credit unions, too liberal lending policies and irresponsibility of </w:t>
      </w:r>
      <w:r w:rsidR="0012086F">
        <w:rPr>
          <w:rFonts w:ascii="Times New Roman" w:hAnsi="Times New Roman" w:cs="Times New Roman"/>
          <w:sz w:val="24"/>
          <w:szCs w:val="24"/>
          <w:lang w:val="en-GB"/>
        </w:rPr>
        <w:t>the management of credit unions</w:t>
      </w:r>
      <w:r>
        <w:rPr>
          <w:rFonts w:ascii="Times New Roman" w:hAnsi="Times New Roman" w:cs="Times New Roman"/>
          <w:sz w:val="24"/>
          <w:szCs w:val="24"/>
          <w:lang w:val="en-GB"/>
        </w:rPr>
        <w:t>. The second part of the thesis includes evaluation of models relevance for credit unions. It was determined, that traditional models of bankruptcy prediction are not suitable for credit unions due to the specifics of their operation.</w:t>
      </w:r>
      <w:r w:rsidR="0012086F">
        <w:rPr>
          <w:rFonts w:ascii="Times New Roman" w:hAnsi="Times New Roman" w:cs="Times New Roman"/>
          <w:sz w:val="24"/>
          <w:szCs w:val="24"/>
          <w:lang w:val="en-GB"/>
        </w:rPr>
        <w:t xml:space="preserve"> </w:t>
      </w:r>
      <w:r>
        <w:rPr>
          <w:rFonts w:ascii="Times New Roman" w:eastAsia="Times New Roman" w:hAnsi="Times New Roman" w:cs="Times New Roman"/>
          <w:color w:val="222222"/>
          <w:kern w:val="0"/>
          <w:sz w:val="24"/>
          <w:szCs w:val="24"/>
          <w:lang w:val="en-GB"/>
        </w:rPr>
        <w:t xml:space="preserve">The research results indicate that credit unions with high risk exposure are operating in the major cities, do not belong to the network of Central credit union and focus on investing in securities, rather than providing loans, although they boast high percentage of risk. Credit unions with higher levels of risk have a higher income to assets ratio, but operate at a loss. According to the calculations, </w:t>
      </w:r>
      <w:r>
        <w:rPr>
          <w:rFonts w:ascii="Times New Roman" w:hAnsi="Times New Roman" w:cs="Times New Roman"/>
          <w:sz w:val="24"/>
          <w:szCs w:val="24"/>
          <w:lang w:val="en-GB"/>
        </w:rPr>
        <w:t xml:space="preserve">the </w:t>
      </w:r>
      <w:r w:rsidRPr="005A516C">
        <w:rPr>
          <w:rFonts w:ascii="Times New Roman" w:eastAsia="Times New Roman" w:hAnsi="Times New Roman" w:cs="Times New Roman"/>
          <w:color w:val="222222"/>
          <w:kern w:val="0"/>
          <w:sz w:val="24"/>
          <w:szCs w:val="24"/>
          <w:lang w:val="en-GB"/>
        </w:rPr>
        <w:t>Cox proportional hazard model</w:t>
      </w:r>
      <w:r>
        <w:rPr>
          <w:rFonts w:ascii="Times New Roman" w:eastAsia="Times New Roman" w:hAnsi="Times New Roman" w:cs="Times New Roman"/>
          <w:color w:val="222222"/>
          <w:kern w:val="0"/>
          <w:sz w:val="24"/>
          <w:szCs w:val="24"/>
          <w:lang w:val="en-GB"/>
        </w:rPr>
        <w:t xml:space="preserve"> is suitable to evaluate risk exposure of credit unions, thus the </w:t>
      </w:r>
      <w:r w:rsidR="0012086F">
        <w:rPr>
          <w:rFonts w:ascii="Times New Roman" w:eastAsia="Times New Roman" w:hAnsi="Times New Roman" w:cs="Times New Roman"/>
          <w:color w:val="222222"/>
          <w:kern w:val="0"/>
          <w:sz w:val="24"/>
          <w:szCs w:val="24"/>
          <w:lang w:val="en-GB"/>
        </w:rPr>
        <w:t xml:space="preserve">research </w:t>
      </w:r>
      <w:r>
        <w:rPr>
          <w:rFonts w:ascii="Times New Roman" w:eastAsia="Times New Roman" w:hAnsi="Times New Roman" w:cs="Times New Roman"/>
          <w:color w:val="222222"/>
          <w:kern w:val="0"/>
          <w:sz w:val="24"/>
          <w:szCs w:val="24"/>
          <w:lang w:val="en-GB"/>
        </w:rPr>
        <w:t>hypothesis is acceptable. The thesis is composed of 6 parts: introduction, theoretical framework, research methodology, practical research, conclusions and recommendations, references.</w:t>
      </w:r>
    </w:p>
    <w:p w:rsidR="004B5C1A" w:rsidRPr="004F277E" w:rsidRDefault="004B5C1A" w:rsidP="004B5C1A">
      <w:pPr>
        <w:rPr>
          <w:lang w:val="lt-LT"/>
        </w:rPr>
      </w:pPr>
    </w:p>
    <w:p w:rsidR="004B5C1A" w:rsidRPr="000D37F1" w:rsidRDefault="004B5C1A" w:rsidP="00CE7121">
      <w:pPr>
        <w:pStyle w:val="ListParagraph"/>
        <w:spacing w:before="120" w:after="120" w:line="360" w:lineRule="auto"/>
        <w:ind w:right="57" w:firstLine="720"/>
        <w:jc w:val="both"/>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Default="00007EB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Pr="00450C32" w:rsidRDefault="0012086F" w:rsidP="00450C32">
      <w:pPr>
        <w:pStyle w:val="Heading1"/>
        <w:jc w:val="center"/>
        <w:rPr>
          <w:rFonts w:ascii="Times New Roman" w:hAnsi="Times New Roman" w:cs="Times New Roman"/>
          <w:sz w:val="28"/>
          <w:szCs w:val="28"/>
        </w:rPr>
      </w:pPr>
      <w:bookmarkStart w:id="145" w:name="_Toc383782883"/>
      <w:bookmarkStart w:id="146" w:name="_Toc383783636"/>
      <w:bookmarkStart w:id="147" w:name="_Toc384567333"/>
      <w:bookmarkStart w:id="148" w:name="_Toc384570770"/>
      <w:r w:rsidRPr="00450C32">
        <w:rPr>
          <w:rFonts w:ascii="Times New Roman" w:hAnsi="Times New Roman" w:cs="Times New Roman"/>
          <w:sz w:val="28"/>
          <w:szCs w:val="28"/>
        </w:rPr>
        <w:t>PRIEDAI</w:t>
      </w:r>
      <w:bookmarkEnd w:id="145"/>
      <w:bookmarkEnd w:id="146"/>
      <w:bookmarkEnd w:id="147"/>
      <w:bookmarkEnd w:id="148"/>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Default="0012086F" w:rsidP="0012086F">
      <w:pPr>
        <w:spacing w:before="120" w:after="120" w:line="360" w:lineRule="auto"/>
        <w:ind w:right="57"/>
        <w:rPr>
          <w:rFonts w:ascii="Times New Roman" w:hAnsi="Times New Roman" w:cs="Times New Roman"/>
          <w:b/>
          <w:sz w:val="24"/>
          <w:szCs w:val="24"/>
          <w:lang w:val="lt-LT"/>
        </w:rPr>
      </w:pPr>
    </w:p>
    <w:p w:rsidR="0012086F" w:rsidRPr="0012086F" w:rsidRDefault="0012086F" w:rsidP="0012086F">
      <w:pPr>
        <w:spacing w:before="120" w:after="120" w:line="360" w:lineRule="auto"/>
        <w:ind w:right="57"/>
        <w:rPr>
          <w:rFonts w:ascii="Times New Roman" w:hAnsi="Times New Roman" w:cs="Times New Roman"/>
          <w:b/>
          <w:sz w:val="24"/>
          <w:szCs w:val="24"/>
          <w:lang w:val="lt-LT"/>
        </w:rPr>
      </w:pPr>
    </w:p>
    <w:p w:rsidR="00007EBF" w:rsidRPr="000D37F1" w:rsidRDefault="00007EBF" w:rsidP="00007EBF">
      <w:pPr>
        <w:spacing w:before="120" w:after="120" w:line="360" w:lineRule="auto"/>
        <w:ind w:right="57"/>
        <w:rPr>
          <w:rFonts w:ascii="Times New Roman" w:hAnsi="Times New Roman" w:cs="Times New Roman"/>
          <w:b/>
          <w:sz w:val="24"/>
          <w:szCs w:val="24"/>
          <w:lang w:val="lt-LT"/>
        </w:rPr>
      </w:pPr>
    </w:p>
    <w:p w:rsidR="00007EBF" w:rsidRPr="004462A5" w:rsidRDefault="000F03BC" w:rsidP="004462A5">
      <w:pPr>
        <w:pStyle w:val="Heading3"/>
        <w:jc w:val="center"/>
        <w:rPr>
          <w:rFonts w:ascii="Times New Roman" w:hAnsi="Times New Roman" w:cs="Times New Roman"/>
          <w:color w:val="auto"/>
          <w:sz w:val="24"/>
          <w:szCs w:val="24"/>
        </w:rPr>
      </w:pPr>
      <w:bookmarkStart w:id="149" w:name="_Toc384567334"/>
      <w:bookmarkStart w:id="150" w:name="_Toc384570771"/>
      <w:r w:rsidRPr="00185A64">
        <w:rPr>
          <w:rFonts w:ascii="Times New Roman" w:hAnsi="Times New Roman" w:cs="Times New Roman"/>
          <w:color w:val="auto"/>
          <w:sz w:val="24"/>
          <w:szCs w:val="24"/>
          <w:lang w:val="lt-LT"/>
        </w:rPr>
        <w:lastRenderedPageBreak/>
        <w:t xml:space="preserve">1 priedas. </w:t>
      </w:r>
      <w:r w:rsidR="00007EBF" w:rsidRPr="00185A64">
        <w:rPr>
          <w:rFonts w:ascii="Times New Roman" w:hAnsi="Times New Roman" w:cs="Times New Roman"/>
          <w:color w:val="auto"/>
          <w:sz w:val="24"/>
          <w:szCs w:val="24"/>
          <w:lang w:val="lt-LT"/>
        </w:rPr>
        <w:t>Lietuvos kredito unijų bendri finansiniai duomenys</w:t>
      </w:r>
      <w:r w:rsidR="004462A5" w:rsidRPr="00185A64">
        <w:rPr>
          <w:rFonts w:ascii="Times New Roman" w:hAnsi="Times New Roman" w:cs="Times New Roman"/>
          <w:color w:val="auto"/>
          <w:sz w:val="24"/>
          <w:szCs w:val="24"/>
          <w:lang w:val="lt-LT"/>
        </w:rPr>
        <w:t xml:space="preserve"> 2009 – 2013 m. (tūkst. </w:t>
      </w:r>
      <w:r w:rsidR="009C40B0" w:rsidRPr="00185A64">
        <w:rPr>
          <w:rFonts w:ascii="Times New Roman" w:hAnsi="Times New Roman" w:cs="Times New Roman"/>
          <w:color w:val="auto"/>
          <w:sz w:val="24"/>
          <w:szCs w:val="24"/>
          <w:lang w:val="lt-LT"/>
        </w:rPr>
        <w:t xml:space="preserve"> </w:t>
      </w:r>
      <w:r w:rsidR="009C40B0" w:rsidRPr="004462A5">
        <w:rPr>
          <w:rFonts w:ascii="Times New Roman" w:hAnsi="Times New Roman" w:cs="Times New Roman"/>
          <w:color w:val="auto"/>
          <w:sz w:val="24"/>
          <w:szCs w:val="24"/>
        </w:rPr>
        <w:t>Lt)</w:t>
      </w:r>
      <w:bookmarkEnd w:id="149"/>
      <w:bookmarkEnd w:id="150"/>
    </w:p>
    <w:tbl>
      <w:tblPr>
        <w:tblW w:w="9576" w:type="dxa"/>
        <w:tblLook w:val="04A0" w:firstRow="1" w:lastRow="0" w:firstColumn="1" w:lastColumn="0" w:noHBand="0" w:noVBand="1"/>
      </w:tblPr>
      <w:tblGrid>
        <w:gridCol w:w="3867"/>
        <w:gridCol w:w="1061"/>
        <w:gridCol w:w="1162"/>
        <w:gridCol w:w="1162"/>
        <w:gridCol w:w="1162"/>
        <w:gridCol w:w="1162"/>
      </w:tblGrid>
      <w:tr w:rsidR="009C40B0" w:rsidRPr="000F03BC" w:rsidTr="009C40B0">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xml:space="preserve">2009 </w:t>
            </w:r>
            <w:proofErr w:type="spellStart"/>
            <w:r w:rsidRPr="000D37F1">
              <w:rPr>
                <w:rFonts w:ascii="Times New Roman" w:eastAsia="Times New Roman" w:hAnsi="Times New Roman" w:cs="Times New Roman"/>
                <w:kern w:val="0"/>
                <w:sz w:val="20"/>
                <w:szCs w:val="20"/>
                <w:lang w:val="lt-LT"/>
              </w:rPr>
              <w:t>m</w:t>
            </w:r>
            <w:proofErr w:type="spellEnd"/>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xml:space="preserve">2010 </w:t>
            </w:r>
            <w:proofErr w:type="spellStart"/>
            <w:r w:rsidRPr="000D37F1">
              <w:rPr>
                <w:rFonts w:ascii="Times New Roman" w:eastAsia="Times New Roman" w:hAnsi="Times New Roman" w:cs="Times New Roman"/>
                <w:kern w:val="0"/>
                <w:sz w:val="20"/>
                <w:szCs w:val="20"/>
                <w:lang w:val="lt-LT"/>
              </w:rPr>
              <w:t>m</w:t>
            </w:r>
            <w:proofErr w:type="spellEnd"/>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xml:space="preserve">2011 </w:t>
            </w:r>
            <w:proofErr w:type="spellStart"/>
            <w:r w:rsidRPr="000D37F1">
              <w:rPr>
                <w:rFonts w:ascii="Times New Roman" w:eastAsia="Times New Roman" w:hAnsi="Times New Roman" w:cs="Times New Roman"/>
                <w:kern w:val="0"/>
                <w:sz w:val="20"/>
                <w:szCs w:val="20"/>
                <w:lang w:val="lt-LT"/>
              </w:rPr>
              <w:t>m</w:t>
            </w:r>
            <w:proofErr w:type="spellEnd"/>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xml:space="preserve">2012 </w:t>
            </w:r>
            <w:proofErr w:type="spellStart"/>
            <w:r w:rsidRPr="000D37F1">
              <w:rPr>
                <w:rFonts w:ascii="Times New Roman" w:eastAsia="Times New Roman" w:hAnsi="Times New Roman" w:cs="Times New Roman"/>
                <w:kern w:val="0"/>
                <w:sz w:val="20"/>
                <w:szCs w:val="20"/>
                <w:lang w:val="lt-LT"/>
              </w:rPr>
              <w:t>m</w:t>
            </w:r>
            <w:proofErr w:type="spellEnd"/>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xml:space="preserve">2013 </w:t>
            </w:r>
            <w:proofErr w:type="spellStart"/>
            <w:r w:rsidRPr="000D37F1">
              <w:rPr>
                <w:rFonts w:ascii="Times New Roman" w:eastAsia="Times New Roman" w:hAnsi="Times New Roman" w:cs="Times New Roman"/>
                <w:kern w:val="0"/>
                <w:sz w:val="20"/>
                <w:szCs w:val="20"/>
                <w:lang w:val="lt-LT"/>
              </w:rPr>
              <w:t>m</w:t>
            </w:r>
            <w:proofErr w:type="spellEnd"/>
            <w:r w:rsidRPr="000D37F1">
              <w:rPr>
                <w:rFonts w:ascii="Times New Roman" w:eastAsia="Times New Roman" w:hAnsi="Times New Roman" w:cs="Times New Roman"/>
                <w:kern w:val="0"/>
                <w:sz w:val="20"/>
                <w:szCs w:val="20"/>
                <w:lang w:val="lt-LT"/>
              </w:rPr>
              <w:t>.</w:t>
            </w:r>
          </w:p>
        </w:tc>
      </w:tr>
      <w:tr w:rsidR="009C40B0" w:rsidRPr="000F03BC"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TURTAS (AKTYVAI)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r>
      <w:tr w:rsidR="009C40B0" w:rsidRPr="000F03BC"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 PINIGAI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8005.00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9616.00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12474.00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14788.00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16886.00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 Banknotai ir monetos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8005.00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9616.00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12474.00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14788.00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16886.00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 Kitos mokėjimo priemonės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 LĖŠOS BANKUOSE</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35885.00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60712.00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44784.00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80566.00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30389.00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 INDĖLIAI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35885.00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60712.00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44784.00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80566.00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30389.00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2.1.1. Iki pareikalavimo</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19823.00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35422.00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43105.00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76734.00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30389.00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2.1.2. Terminuotieji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16063.00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25290.00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1678.00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3832.00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 LĖŠOS UŽSIENIO BANKUOSE</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 LĖŠOS CENTRINĖJE KREDITO UNIJOJE</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177260.00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276473.00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312948.00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310200.00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292194.00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 INDĖLIAI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170842.00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267768.00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301688.00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296816.00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275021.00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4.1.1. Iki pareikalavimo</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85415.00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121701.00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139476.00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137899.00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132855.00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4.1.2. Terminuotieji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85427.00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146067.00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162212.00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158917.00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142167.00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4.2. Specialiosios lėšos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6418.00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8705.00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11259.00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13385.00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17173.00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4.3. PASKOLOS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4.3.1. Trumpalaikės (iki 1 metų)</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4.3.2. Ilgalaikės (daugiau kaip metai)</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 LĖŠOS KREDITO UNIJOSE</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1263.00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 INDĖLIAI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1263.00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5.1.1. Iki pareikalavimo</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5.1.2. Terminuotieji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1263.00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5.2. PASKOLOS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5.2.1. Trumpalaikės (iki 1 metų)</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5.2.2. Ilgalaikės (daugiau kaip metai)</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SUTEIKTOS PASKOLOS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599549.00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752098.00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933499.00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1122905.00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1027959.00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 TRUMPALAIKĖS (iki 1 metų)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35031.00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26902.00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31850.00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41255.00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26063.00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6.1.1. KREDITO UNIJOS NARIAMS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29382.00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17939.00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18130.00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22491.00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14717.00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6.1.1.1. Juridiniams asmenims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2466.00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2530.00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6.1.1.2. Fiziniams asmenims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29382.00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17939.00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18130.00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20025.00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12187.00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6.1.2. KREDITO UNIJOS ASOCIJUOTIEMS NARIAMS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5649.00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8963.00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13535.00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18764.00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11346.00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6.1.2.1. Juridiniams asmenims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5164.00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8602.00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13428.00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18745.00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11338.00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6.1.2.2. Fiziniams asmenims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484.00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361.00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6.1.3. Kredito unijų asociacijoms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184.00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 ILGALAIKĖS (daugiau kaip metai)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564518.00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725196.00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901648.00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1081650.00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1001896.00</w:t>
            </w:r>
          </w:p>
        </w:tc>
      </w:tr>
      <w:tr w:rsidR="009C40B0" w:rsidRPr="000D37F1" w:rsidTr="000F03BC">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6.2.1. KREDITO UNIJOS NARIAMS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482711.00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583346.00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681755.00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714151.00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714954.00</w:t>
            </w:r>
          </w:p>
        </w:tc>
      </w:tr>
      <w:tr w:rsidR="009C40B0" w:rsidRPr="000D37F1" w:rsidTr="000F03BC">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6.2.1.1. Juridiniams asmenims</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20.00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0F03BC">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lastRenderedPageBreak/>
              <w:t>6.2.1.2. Fiziniams asmenims</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482711.00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583346.00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681734.00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714151.00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714954.00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6.2.2. KREDITO UNIJOS ASOCIJUOTIEMS NARIAMS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81807.00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141850.00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219894.00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367499.00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286942.00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6.2.2.1. Juridiniams asmenims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61679.00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128823.00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213777.00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362322.00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284167.00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6.2.2.2. Fiziniams asmenims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20128.00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13027.00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6117.00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5177.00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2775.00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6.2.3. Kredito unijų asociacijoms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 DISKONTUOTIEJI VEKSELIAI</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INVESTICIJOS Į  VERTYBINIUS POPIERIUS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73172.00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133096.00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237261.00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412442.00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645722.00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8.1. Trumpalaikius (iki 1 metų)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21449.00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19761.00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20124.00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8005.00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10300.00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8.1.1. Lietuvos Respublikos Vyriausybės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20591.00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14275.00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15243.00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7144.00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8894.00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8.1.2. Lietuvos banko</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105.00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8.1.3. ES valstybių narių ir EEE valstybių vyriausybių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858.00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5486.00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4777.00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860.00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1406.00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8.2. Ilgalaikius (daugiau kaip metai)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51723.00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113335.00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217136.00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404437.00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635423.00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8.2.1. Lietuvos Respublikos Vyriausybės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27980.00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85059.00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185289.00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309121.00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382744.00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8.2.2. Lietuvos banko</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1021.00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2548.00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8.2.3. ES valstybių narių ir EEE valstybių vyriausybių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23743.00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28171.00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30826.00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94508.00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250131.00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 INVESTICIJOS Į CENTRINĖS KREDITO UNIJOS KAPITALĄ</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9679.00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10284.00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23111.00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26304.00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29688.00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 ILGALAIKIS TURTAS (likutinė vertė)</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15085.00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17628.00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33559.00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39860.00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49298.00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10.1. Materialusis turtas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14790.00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17257.00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33043.00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39068.00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48567.00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10.2. Nematerialusis turtas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371.00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792.00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731.00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 UŽ SKOLAS PERIMTAS TURTAS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1966.00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6357.00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10733.00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19066.00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 KITAS TURTAS (AKTYVAI)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13404.00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13763.00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24509.00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37973.00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33008.00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IŠ VISO</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932960.00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1276900.00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1628501.00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2055771.00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2144212.00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ĮSIPAREIGOJIMAI, NUOSAVYBĖ (PASYVAI)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 ĮSISKOLINIMAI BANKAMS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2716.00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37908.00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13.1. Trumpalaikės paskolos (iki 1 metų)</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2716.00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37908.00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13.2. Ilgalaikės paskolos (daugiau kaip metai)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 ĮSISKOLINIMAI UŽSIENIO BANKAMS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 ĮSISKOLINIMAI CENTRINEI KREDITO UNIJAI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45171.00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11858.00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21600.00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27080.00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33637.00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15.1. Paskolos likvidumui palaikyti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38.00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15.2. Kitos paskolos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45132.00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11858.00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21600.00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27080.00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33637.00</w:t>
            </w:r>
          </w:p>
        </w:tc>
      </w:tr>
      <w:tr w:rsidR="009C40B0" w:rsidRPr="000D37F1" w:rsidTr="000F03BC">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 ĮSISKOLINIMAI KREDITO UNIJOMS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1263.00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0F03BC">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16.1. INDĖLIAI</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298.00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1263.00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0F03BC">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lastRenderedPageBreak/>
              <w:t>16.1.1. Iki pareikalavimo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16.1.2. Terminuotieji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1263.00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16.2. PASKOLOS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16.2.1. Trumpalaikės (iki 1 metų)</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16.2.2. Ilgalaikės (daugiau kaip metai)</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 ĮSISKOLINIMAI KREDITO UNIJŲ ASOCIACIJOMS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INDĖLIAI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773798.00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1083498.00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1405800.00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1822022.00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1868138.00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  IKI PAREIKALAVIMO</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118699.00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196108.00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270755.00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313244.00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388183.00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18.1.1. KREDITO UNIJOS NARIŲ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108497.00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179686.00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243095.00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283252.00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355884.00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18.1.1.1. Juridinių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18.1.1.2. Fizinių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108207.00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179682.00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243082.00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283228.00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355884.00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18.1.2. KREDITO UNIJOS ASOCIJUOTŲ NARIŲ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6520.00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11190.00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17968.00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21944.00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24270.00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18.1.2.1. Juridinių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5066.00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9622.00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16928.00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21037.00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23545.00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18.1.2.2. Fizinių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1454.00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1568.00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1040.00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907.00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725.00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18.1.3. Kredito unijų asociacijų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18.1.4. Kitų organizacijų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3678.00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5232.00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9691.00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8048.00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8029.00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 TERMINUOTIEJI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655098.00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887390.00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1135045.00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1508778.00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1479955.00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18.2.1. KREDITO UNIJOS NARIŲ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620980.00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857086.00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1108397.00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1476949.00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1454457.00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18.2.1.1. Juridinių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276.00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209.00</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18.2.1.2. Fizinių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620704.00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857086.00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1108392.00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1476740.00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1454457.00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18.2.2. KREDITO UNIJOS ASOCIJUOTŲ NARIŲ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30726.00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28211.00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23876.00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28639.00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21191.00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18.2.2.1. Juridinių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6945.00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9097.00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11822.00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18297.00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15628.00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400" w:firstLine="8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18.2.2.2. Fizinių asmenų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23781.00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19113.00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12054.00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10343.00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5563.00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18.2.3. Kredito unijų asociacijų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758.00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687.00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656.00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201.00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300" w:firstLine="6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18.2.4. Kitų organizacijų</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2634.00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1407.00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2115.00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2591.00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4105.00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 INKASUOTIEJI VEKSELIAI</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 KITI  ĮSISKOLINIMAI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2122.00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28628.00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13988.00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14398.00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12185.00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 SPECIALIEJI IR KITI REZERVAI</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xml:space="preserve">21.1. Specialieji </w:t>
            </w:r>
            <w:proofErr w:type="spellStart"/>
            <w:r w:rsidRPr="000D37F1">
              <w:rPr>
                <w:rFonts w:ascii="Times New Roman" w:eastAsia="Times New Roman" w:hAnsi="Times New Roman" w:cs="Times New Roman"/>
                <w:kern w:val="0"/>
                <w:sz w:val="20"/>
                <w:szCs w:val="20"/>
                <w:lang w:val="lt-LT"/>
              </w:rPr>
              <w:t>atidėjiniai</w:t>
            </w:r>
            <w:proofErr w:type="spellEnd"/>
            <w:r w:rsidRPr="000D37F1">
              <w:rPr>
                <w:rFonts w:ascii="Times New Roman" w:eastAsia="Times New Roman" w:hAnsi="Times New Roman" w:cs="Times New Roman"/>
                <w:kern w:val="0"/>
                <w:sz w:val="20"/>
                <w:szCs w:val="20"/>
                <w:lang w:val="lt-LT"/>
              </w:rPr>
              <w:t xml:space="preserve"> nebalansiniams straipsniams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21.2. Kiti rezervai</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22. SUBORDINUOTOSIOS PASKOLOS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986.00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18449.00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25561.00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26002.00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28914.00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 KREDITO UNIJOS KAPITALAS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110557.00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133204.00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161552.00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163554.00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163429.00</w:t>
            </w:r>
          </w:p>
        </w:tc>
      </w:tr>
      <w:tr w:rsidR="009C40B0" w:rsidRPr="000D37F1" w:rsidTr="000F03BC">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23.1. Pajinis kapitalas</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107973.00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135751.00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177766.00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236221.00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208676.00</w:t>
            </w:r>
          </w:p>
        </w:tc>
      </w:tr>
      <w:tr w:rsidR="009C40B0" w:rsidRPr="000D37F1" w:rsidTr="000F03BC">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23.2. Privalomasis rezervas arba rezervinis kapitalas</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8354.00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8207.00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7170.00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8339.00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11630.00</w:t>
            </w:r>
          </w:p>
        </w:tc>
      </w:tr>
      <w:tr w:rsidR="009C40B0" w:rsidRPr="000D37F1" w:rsidTr="000F03BC">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lastRenderedPageBreak/>
              <w:t>23.3. Atsargos kapitalas</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323.00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585.00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4141.00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3458.00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23.4. Praėjusių metų nepaskirstytasis pelnas (nuostoliai)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-875.00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-5752.00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-10073.00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-25135.00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-22064.00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23.5. Ilgalaikio materialiojo turto perkainojimo rezervas</w:t>
            </w:r>
          </w:p>
        </w:tc>
        <w:tc>
          <w:tcPr>
            <w:tcW w:w="1059"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vAlign w:val="center"/>
            <w:hideMark/>
          </w:tcPr>
          <w:p w:rsidR="009C40B0" w:rsidRPr="000D37F1" w:rsidRDefault="009C40B0" w:rsidP="009C40B0">
            <w:pPr>
              <w:spacing w:after="0" w:line="240" w:lineRule="auto"/>
              <w:jc w:val="center"/>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51.00</w:t>
            </w:r>
          </w:p>
        </w:tc>
      </w:tr>
      <w:tr w:rsidR="009C40B0" w:rsidRPr="000D37F1" w:rsidTr="009C40B0">
        <w:trPr>
          <w:trHeight w:val="300"/>
        </w:trPr>
        <w:tc>
          <w:tcPr>
            <w:tcW w:w="3885" w:type="dxa"/>
            <w:tcBorders>
              <w:top w:val="nil"/>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23.6. Kiti rezervai</w:t>
            </w:r>
          </w:p>
        </w:tc>
        <w:tc>
          <w:tcPr>
            <w:tcW w:w="1059"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411.00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87.00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71.00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64.00</w:t>
            </w:r>
          </w:p>
        </w:tc>
        <w:tc>
          <w:tcPr>
            <w:tcW w:w="1158" w:type="dxa"/>
            <w:tcBorders>
              <w:top w:val="nil"/>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19.00</w:t>
            </w:r>
          </w:p>
        </w:tc>
      </w:tr>
      <w:tr w:rsidR="009C40B0" w:rsidRPr="000D37F1" w:rsidTr="009C40B0">
        <w:trPr>
          <w:trHeight w:val="300"/>
        </w:trPr>
        <w:tc>
          <w:tcPr>
            <w:tcW w:w="3885" w:type="dxa"/>
            <w:tcBorders>
              <w:top w:val="nil"/>
              <w:left w:val="single" w:sz="4" w:space="0" w:color="auto"/>
              <w:bottom w:val="nil"/>
              <w:right w:val="single" w:sz="4" w:space="0" w:color="auto"/>
            </w:tcBorders>
            <w:shd w:val="clear" w:color="auto" w:fill="auto"/>
            <w:noWrap/>
            <w:vAlign w:val="bottom"/>
            <w:hideMark/>
          </w:tcPr>
          <w:p w:rsidR="009C40B0" w:rsidRPr="000D37F1" w:rsidRDefault="009C40B0" w:rsidP="009C40B0">
            <w:pPr>
              <w:spacing w:after="0" w:line="240" w:lineRule="auto"/>
              <w:ind w:firstLineChars="200" w:firstLine="4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Pelnas (nuostoliai)</w:t>
            </w:r>
          </w:p>
        </w:tc>
        <w:tc>
          <w:tcPr>
            <w:tcW w:w="1059" w:type="dxa"/>
            <w:tcBorders>
              <w:top w:val="nil"/>
              <w:left w:val="nil"/>
              <w:bottom w:val="nil"/>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-5307.00</w:t>
            </w:r>
          </w:p>
        </w:tc>
        <w:tc>
          <w:tcPr>
            <w:tcW w:w="1158" w:type="dxa"/>
            <w:tcBorders>
              <w:top w:val="nil"/>
              <w:left w:val="nil"/>
              <w:bottom w:val="nil"/>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-5412.00</w:t>
            </w:r>
          </w:p>
        </w:tc>
        <w:tc>
          <w:tcPr>
            <w:tcW w:w="1158" w:type="dxa"/>
            <w:tcBorders>
              <w:top w:val="nil"/>
              <w:left w:val="nil"/>
              <w:bottom w:val="nil"/>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-14018.00</w:t>
            </w:r>
          </w:p>
        </w:tc>
        <w:tc>
          <w:tcPr>
            <w:tcW w:w="1158" w:type="dxa"/>
            <w:tcBorders>
              <w:top w:val="nil"/>
              <w:left w:val="nil"/>
              <w:bottom w:val="nil"/>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-60128.00</w:t>
            </w:r>
          </w:p>
        </w:tc>
        <w:tc>
          <w:tcPr>
            <w:tcW w:w="1158" w:type="dxa"/>
            <w:tcBorders>
              <w:top w:val="nil"/>
              <w:left w:val="nil"/>
              <w:bottom w:val="nil"/>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-38342.00</w:t>
            </w:r>
          </w:p>
        </w:tc>
      </w:tr>
      <w:tr w:rsidR="009C40B0" w:rsidRPr="000D37F1" w:rsidTr="009C40B0">
        <w:trPr>
          <w:trHeight w:val="300"/>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ind w:firstLineChars="100" w:firstLine="200"/>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IŠ VISO</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932960.00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1276900.00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1628501.00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2055771.00</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9C40B0" w:rsidRPr="000D37F1" w:rsidRDefault="009C40B0" w:rsidP="009C40B0">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2144212.00</w:t>
            </w:r>
          </w:p>
        </w:tc>
      </w:tr>
    </w:tbl>
    <w:p w:rsidR="009C40B0" w:rsidRPr="000D37F1" w:rsidRDefault="009C40B0" w:rsidP="00007EBF">
      <w:pPr>
        <w:spacing w:before="120" w:after="120" w:line="360" w:lineRule="auto"/>
        <w:ind w:right="57"/>
        <w:jc w:val="center"/>
        <w:rPr>
          <w:rFonts w:ascii="Times New Roman" w:hAnsi="Times New Roman" w:cs="Times New Roman"/>
          <w:b/>
          <w:sz w:val="24"/>
          <w:szCs w:val="24"/>
          <w:lang w:val="lt-LT"/>
        </w:rPr>
      </w:pPr>
    </w:p>
    <w:p w:rsidR="00007EBF" w:rsidRPr="000D37F1" w:rsidRDefault="00007EBF" w:rsidP="00007EBF">
      <w:pPr>
        <w:pStyle w:val="ListParagraph"/>
        <w:spacing w:before="120" w:after="120" w:line="360" w:lineRule="auto"/>
        <w:ind w:right="57"/>
        <w:jc w:val="center"/>
        <w:rPr>
          <w:rFonts w:ascii="Times New Roman" w:hAnsi="Times New Roman" w:cs="Times New Roman"/>
          <w:b/>
          <w:sz w:val="24"/>
          <w:szCs w:val="24"/>
          <w:lang w:val="lt-LT"/>
        </w:rPr>
      </w:pPr>
    </w:p>
    <w:p w:rsidR="00007EBF" w:rsidRPr="000D37F1" w:rsidRDefault="00007EBF" w:rsidP="000F1D59">
      <w:pPr>
        <w:pStyle w:val="ListParagraph"/>
        <w:spacing w:before="120" w:after="120" w:line="360" w:lineRule="auto"/>
        <w:ind w:right="57" w:firstLine="720"/>
        <w:jc w:val="both"/>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007EBF" w:rsidRPr="000D37F1" w:rsidRDefault="00007EBF" w:rsidP="00D1783E">
      <w:pPr>
        <w:pStyle w:val="ListParagraph"/>
        <w:spacing w:before="120" w:after="120" w:line="360" w:lineRule="auto"/>
        <w:ind w:right="57"/>
        <w:rPr>
          <w:rFonts w:ascii="Times New Roman" w:hAnsi="Times New Roman" w:cs="Times New Roman"/>
          <w:b/>
          <w:sz w:val="24"/>
          <w:szCs w:val="24"/>
          <w:lang w:val="lt-LT"/>
        </w:rPr>
      </w:pPr>
    </w:p>
    <w:p w:rsidR="00304442" w:rsidRPr="000D37F1" w:rsidRDefault="00304442" w:rsidP="00D1783E">
      <w:pPr>
        <w:pStyle w:val="ListParagraph"/>
        <w:spacing w:before="120" w:after="120" w:line="360" w:lineRule="auto"/>
        <w:ind w:right="57"/>
        <w:rPr>
          <w:rFonts w:ascii="Times New Roman" w:hAnsi="Times New Roman" w:cs="Times New Roman"/>
          <w:b/>
          <w:sz w:val="24"/>
          <w:szCs w:val="24"/>
          <w:lang w:val="lt-LT"/>
        </w:rPr>
      </w:pPr>
    </w:p>
    <w:p w:rsidR="000F1D59" w:rsidRPr="000D37F1" w:rsidRDefault="000F1D59" w:rsidP="00D1783E">
      <w:pPr>
        <w:pStyle w:val="ListParagraph"/>
        <w:spacing w:before="120" w:after="120" w:line="360" w:lineRule="auto"/>
        <w:ind w:right="57"/>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0F03BC" w:rsidRDefault="000F03BC" w:rsidP="000F1D59">
      <w:pPr>
        <w:pStyle w:val="ListParagraph"/>
        <w:spacing w:before="120" w:after="120" w:line="360" w:lineRule="auto"/>
        <w:ind w:right="57"/>
        <w:jc w:val="right"/>
        <w:rPr>
          <w:rFonts w:ascii="Times New Roman" w:hAnsi="Times New Roman" w:cs="Times New Roman"/>
          <w:b/>
          <w:sz w:val="24"/>
          <w:szCs w:val="24"/>
          <w:lang w:val="lt-LT"/>
        </w:rPr>
      </w:pPr>
    </w:p>
    <w:p w:rsidR="00D037F9" w:rsidRPr="004462A5" w:rsidRDefault="000F03BC" w:rsidP="004462A5">
      <w:pPr>
        <w:pStyle w:val="Heading3"/>
        <w:jc w:val="center"/>
        <w:rPr>
          <w:rFonts w:ascii="Times New Roman" w:hAnsi="Times New Roman" w:cs="Times New Roman"/>
          <w:color w:val="auto"/>
          <w:sz w:val="24"/>
          <w:szCs w:val="24"/>
        </w:rPr>
      </w:pPr>
      <w:bookmarkStart w:id="151" w:name="_Toc384567335"/>
      <w:bookmarkStart w:id="152" w:name="_Toc384570772"/>
      <w:r w:rsidRPr="004462A5">
        <w:rPr>
          <w:rFonts w:ascii="Times New Roman" w:hAnsi="Times New Roman" w:cs="Times New Roman"/>
          <w:color w:val="auto"/>
          <w:sz w:val="24"/>
          <w:szCs w:val="24"/>
        </w:rPr>
        <w:lastRenderedPageBreak/>
        <w:t xml:space="preserve">2 priedas. </w:t>
      </w:r>
      <w:proofErr w:type="spellStart"/>
      <w:r w:rsidRPr="004462A5">
        <w:rPr>
          <w:rFonts w:ascii="Times New Roman" w:hAnsi="Times New Roman" w:cs="Times New Roman"/>
          <w:color w:val="auto"/>
          <w:sz w:val="24"/>
          <w:szCs w:val="24"/>
        </w:rPr>
        <w:t>Finansinių</w:t>
      </w:r>
      <w:proofErr w:type="spellEnd"/>
      <w:r w:rsidRPr="004462A5">
        <w:rPr>
          <w:rFonts w:ascii="Times New Roman" w:hAnsi="Times New Roman" w:cs="Times New Roman"/>
          <w:color w:val="auto"/>
          <w:sz w:val="24"/>
          <w:szCs w:val="24"/>
        </w:rPr>
        <w:t xml:space="preserve"> </w:t>
      </w:r>
      <w:proofErr w:type="spellStart"/>
      <w:r w:rsidRPr="004462A5">
        <w:rPr>
          <w:rFonts w:ascii="Times New Roman" w:hAnsi="Times New Roman" w:cs="Times New Roman"/>
          <w:color w:val="auto"/>
          <w:sz w:val="24"/>
          <w:szCs w:val="24"/>
        </w:rPr>
        <w:t>rodiklių</w:t>
      </w:r>
      <w:proofErr w:type="spellEnd"/>
      <w:r w:rsidRPr="004462A5">
        <w:rPr>
          <w:rFonts w:ascii="Times New Roman" w:hAnsi="Times New Roman" w:cs="Times New Roman"/>
          <w:color w:val="auto"/>
          <w:sz w:val="24"/>
          <w:szCs w:val="24"/>
        </w:rPr>
        <w:t xml:space="preserve"> </w:t>
      </w:r>
      <w:proofErr w:type="spellStart"/>
      <w:r w:rsidRPr="004462A5">
        <w:rPr>
          <w:rFonts w:ascii="Times New Roman" w:hAnsi="Times New Roman" w:cs="Times New Roman"/>
          <w:color w:val="auto"/>
          <w:sz w:val="24"/>
          <w:szCs w:val="24"/>
        </w:rPr>
        <w:t>s</w:t>
      </w:r>
      <w:r w:rsidR="00E20DB2" w:rsidRPr="004462A5">
        <w:rPr>
          <w:rFonts w:ascii="Times New Roman" w:hAnsi="Times New Roman" w:cs="Times New Roman"/>
          <w:color w:val="auto"/>
          <w:sz w:val="24"/>
          <w:szCs w:val="24"/>
        </w:rPr>
        <w:t>tatistinės</w:t>
      </w:r>
      <w:proofErr w:type="spellEnd"/>
      <w:r w:rsidR="00E20DB2" w:rsidRPr="004462A5">
        <w:rPr>
          <w:rFonts w:ascii="Times New Roman" w:hAnsi="Times New Roman" w:cs="Times New Roman"/>
          <w:color w:val="auto"/>
          <w:sz w:val="24"/>
          <w:szCs w:val="24"/>
        </w:rPr>
        <w:t xml:space="preserve"> </w:t>
      </w:r>
      <w:proofErr w:type="spellStart"/>
      <w:r w:rsidR="00E20DB2" w:rsidRPr="004462A5">
        <w:rPr>
          <w:rFonts w:ascii="Times New Roman" w:hAnsi="Times New Roman" w:cs="Times New Roman"/>
          <w:color w:val="auto"/>
          <w:sz w:val="24"/>
          <w:szCs w:val="24"/>
        </w:rPr>
        <w:t>charakteristikos</w:t>
      </w:r>
      <w:bookmarkEnd w:id="151"/>
      <w:bookmarkEnd w:id="152"/>
      <w:proofErr w:type="spellEnd"/>
    </w:p>
    <w:tbl>
      <w:tblPr>
        <w:tblW w:w="10682" w:type="dxa"/>
        <w:jc w:val="center"/>
        <w:tblInd w:w="2192" w:type="dxa"/>
        <w:tblLook w:val="04A0" w:firstRow="1" w:lastRow="0" w:firstColumn="1" w:lastColumn="0" w:noHBand="0" w:noVBand="1"/>
      </w:tblPr>
      <w:tblGrid>
        <w:gridCol w:w="1252"/>
        <w:gridCol w:w="798"/>
        <w:gridCol w:w="1115"/>
        <w:gridCol w:w="927"/>
        <w:gridCol w:w="1066"/>
        <w:gridCol w:w="1066"/>
        <w:gridCol w:w="1038"/>
        <w:gridCol w:w="1288"/>
        <w:gridCol w:w="1080"/>
        <w:gridCol w:w="1052"/>
      </w:tblGrid>
      <w:tr w:rsidR="00634D57" w:rsidRPr="000D37F1" w:rsidTr="00CE31E3">
        <w:trPr>
          <w:trHeight w:val="540"/>
          <w:jc w:val="center"/>
        </w:trPr>
        <w:tc>
          <w:tcPr>
            <w:tcW w:w="1252" w:type="dxa"/>
            <w:tcBorders>
              <w:top w:val="single" w:sz="4" w:space="0" w:color="auto"/>
              <w:left w:val="single" w:sz="4" w:space="0" w:color="auto"/>
              <w:bottom w:val="nil"/>
              <w:right w:val="single" w:sz="4" w:space="0" w:color="auto"/>
            </w:tcBorders>
            <w:shd w:val="clear" w:color="auto" w:fill="auto"/>
            <w:noWrap/>
            <w:vAlign w:val="center"/>
            <w:hideMark/>
          </w:tcPr>
          <w:p w:rsidR="00634D57" w:rsidRPr="000D37F1" w:rsidRDefault="00634D57" w:rsidP="00634D57">
            <w:pPr>
              <w:spacing w:after="0" w:line="240" w:lineRule="auto"/>
              <w:jc w:val="center"/>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Rodikliai</w:t>
            </w:r>
          </w:p>
        </w:tc>
        <w:tc>
          <w:tcPr>
            <w:tcW w:w="798" w:type="dxa"/>
            <w:tcBorders>
              <w:top w:val="single" w:sz="4" w:space="0" w:color="auto"/>
              <w:left w:val="nil"/>
              <w:bottom w:val="nil"/>
              <w:right w:val="single" w:sz="4" w:space="0" w:color="auto"/>
            </w:tcBorders>
            <w:shd w:val="clear" w:color="auto" w:fill="auto"/>
            <w:noWrap/>
            <w:vAlign w:val="center"/>
            <w:hideMark/>
          </w:tcPr>
          <w:p w:rsidR="00634D57" w:rsidRPr="000D37F1" w:rsidRDefault="00634D57" w:rsidP="00634D57">
            <w:pPr>
              <w:spacing w:after="0" w:line="240" w:lineRule="auto"/>
              <w:jc w:val="center"/>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Metai</w:t>
            </w:r>
          </w:p>
        </w:tc>
        <w:tc>
          <w:tcPr>
            <w:tcW w:w="2042" w:type="dxa"/>
            <w:gridSpan w:val="2"/>
            <w:tcBorders>
              <w:top w:val="single" w:sz="4" w:space="0" w:color="auto"/>
              <w:left w:val="nil"/>
              <w:bottom w:val="single" w:sz="4" w:space="0" w:color="auto"/>
              <w:right w:val="single" w:sz="4" w:space="0" w:color="auto"/>
            </w:tcBorders>
            <w:shd w:val="clear" w:color="auto" w:fill="auto"/>
            <w:vAlign w:val="center"/>
            <w:hideMark/>
          </w:tcPr>
          <w:p w:rsidR="00634D57" w:rsidRPr="000D37F1" w:rsidRDefault="00634D57" w:rsidP="00634D57">
            <w:pPr>
              <w:spacing w:after="0" w:line="240" w:lineRule="auto"/>
              <w:jc w:val="center"/>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Mažiausia reikšmė</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634D57" w:rsidRPr="000D37F1" w:rsidRDefault="00634D57" w:rsidP="00634D57">
            <w:pPr>
              <w:spacing w:after="0" w:line="240" w:lineRule="auto"/>
              <w:jc w:val="center"/>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Didžiausia reikšmė</w:t>
            </w:r>
          </w:p>
        </w:tc>
        <w:tc>
          <w:tcPr>
            <w:tcW w:w="2326" w:type="dxa"/>
            <w:gridSpan w:val="2"/>
            <w:tcBorders>
              <w:top w:val="single" w:sz="4" w:space="0" w:color="auto"/>
              <w:left w:val="nil"/>
              <w:bottom w:val="single" w:sz="4" w:space="0" w:color="auto"/>
              <w:right w:val="single" w:sz="4" w:space="0" w:color="auto"/>
            </w:tcBorders>
            <w:shd w:val="clear" w:color="auto" w:fill="auto"/>
            <w:vAlign w:val="center"/>
            <w:hideMark/>
          </w:tcPr>
          <w:p w:rsidR="00634D57" w:rsidRPr="000D37F1" w:rsidRDefault="00634D57" w:rsidP="00634D57">
            <w:pPr>
              <w:spacing w:after="0" w:line="240" w:lineRule="auto"/>
              <w:jc w:val="center"/>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Vidurkis</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634D57" w:rsidRPr="000D37F1" w:rsidRDefault="00634D57" w:rsidP="00634D57">
            <w:pPr>
              <w:spacing w:after="0" w:line="240" w:lineRule="auto"/>
              <w:jc w:val="center"/>
              <w:rPr>
                <w:rFonts w:ascii="Times New Roman" w:eastAsia="Times New Roman" w:hAnsi="Times New Roman" w:cs="Times New Roman"/>
                <w:b/>
                <w:bCs/>
                <w:color w:val="000000"/>
                <w:kern w:val="0"/>
                <w:sz w:val="20"/>
                <w:szCs w:val="20"/>
                <w:lang w:val="lt-LT"/>
              </w:rPr>
            </w:pPr>
            <w:r w:rsidRPr="000D37F1">
              <w:rPr>
                <w:rFonts w:ascii="Times New Roman" w:eastAsia="Times New Roman" w:hAnsi="Times New Roman" w:cs="Times New Roman"/>
                <w:b/>
                <w:bCs/>
                <w:color w:val="000000"/>
                <w:kern w:val="0"/>
                <w:sz w:val="20"/>
                <w:szCs w:val="20"/>
                <w:lang w:val="lt-LT"/>
              </w:rPr>
              <w:t>Standartinis nuokrypis</w:t>
            </w:r>
          </w:p>
        </w:tc>
      </w:tr>
      <w:tr w:rsidR="0004220C" w:rsidRPr="000D37F1" w:rsidTr="00CE31E3">
        <w:trPr>
          <w:trHeight w:val="510"/>
          <w:jc w:val="center"/>
        </w:trPr>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467480"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Veikla nebuvo apribota</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Apribota</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467480"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Veikla nebuvo apribota</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Apribota</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467480"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Veikla nebuvo apribota</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Apribota</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467480"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Veikla nebuvo apribota</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Apribota</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ROA</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-0.0627</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-0.0876</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0.0252</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0.0479</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-0.0003</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-0.0064</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0.0162</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0.0278</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-0.2335</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-0.5799</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0.0192</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0.0092</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-0.0140</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-0.1053</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0.0384</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0.1623</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-0.0425</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-0.1178</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0.0226</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0.0139</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0.0013</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-0.0228</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0.0106</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0.0420</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ROE</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-0.7514</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-0.3863</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0.2080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0.2162</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-0.0038</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-0.0382</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0.1666</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0.1425</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-0.9984</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-2.0844</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0.3362</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0.1418</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-0.0168</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-0.3160</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0.2004</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0.5918</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-0.2219</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-0.9320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0.5541</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0.2224</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0.0294</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-0.1173</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0.1045</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0.2855</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04220C"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AKT</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-0.0292</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0.0299</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0.1874</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0.1494</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0.0880</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0.0818</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0.0444</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0.0293</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0.0279</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-0.2989</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0.1531</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0.1405</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0.0973</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0.0441</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0.0229</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0.1122</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0.0384</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0.3028</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0.1941</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0.1557</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0.1047</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0.0559</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0.0622</w:t>
            </w:r>
          </w:p>
        </w:tc>
      </w:tr>
      <w:tr w:rsidR="0004220C" w:rsidRPr="000D37F1" w:rsidTr="00CE31E3">
        <w:trPr>
          <w:trHeight w:val="35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04220C"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LIKV</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22.8200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21.3100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122.5000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92.6100</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46.6220</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49.2119</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16.7925</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17.5775</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32.8500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33.7200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122.5000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92.6100</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47.8578</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46.9825</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17.2721</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16.5724</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34.2600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115.2800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98.0100</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50.8202</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51.3286</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14.1907</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23.9991</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DA6BAB" w:rsidP="00634D57">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SAPS</w:t>
            </w:r>
          </w:p>
          <w:p w:rsidR="00634D57" w:rsidRPr="000D37F1" w:rsidRDefault="00634D57" w:rsidP="00634D57">
            <w:pPr>
              <w:spacing w:after="0" w:line="240" w:lineRule="auto"/>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0.0135</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0.0149</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0.1119</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w:t>
            </w:r>
            <w:r w:rsidR="00F558B5" w:rsidRPr="000D37F1">
              <w:rPr>
                <w:rFonts w:ascii="Times New Roman" w:eastAsia="Times New Roman" w:hAnsi="Times New Roman" w:cs="Times New Roman"/>
                <w:kern w:val="0"/>
                <w:sz w:val="20"/>
                <w:szCs w:val="20"/>
                <w:lang w:val="lt-LT"/>
              </w:rPr>
              <w:t>515</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0.0344</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0.0324</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w:t>
            </w:r>
            <w:r w:rsidR="00F558B5" w:rsidRPr="000D37F1">
              <w:rPr>
                <w:rFonts w:ascii="Times New Roman" w:eastAsia="Times New Roman" w:hAnsi="Times New Roman" w:cs="Times New Roman"/>
                <w:kern w:val="0"/>
                <w:sz w:val="20"/>
                <w:szCs w:val="20"/>
                <w:lang w:val="lt-LT"/>
              </w:rPr>
              <w:t>0142</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w:t>
            </w:r>
            <w:r w:rsidR="00F558B5" w:rsidRPr="000D37F1">
              <w:rPr>
                <w:rFonts w:ascii="Times New Roman" w:eastAsia="Times New Roman" w:hAnsi="Times New Roman" w:cs="Times New Roman"/>
                <w:kern w:val="0"/>
                <w:sz w:val="20"/>
                <w:szCs w:val="20"/>
                <w:lang w:val="lt-LT"/>
              </w:rPr>
              <w:t>105</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-0,0017</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0.0132</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w:t>
            </w:r>
            <w:r w:rsidR="00F558B5" w:rsidRPr="000D37F1">
              <w:rPr>
                <w:rFonts w:ascii="Times New Roman" w:eastAsia="Times New Roman" w:hAnsi="Times New Roman" w:cs="Times New Roman"/>
                <w:kern w:val="0"/>
                <w:sz w:val="20"/>
                <w:szCs w:val="20"/>
                <w:lang w:val="lt-LT"/>
              </w:rPr>
              <w:t>804</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w:t>
            </w:r>
            <w:r w:rsidR="00F558B5" w:rsidRPr="000D37F1">
              <w:rPr>
                <w:rFonts w:ascii="Times New Roman" w:eastAsia="Times New Roman" w:hAnsi="Times New Roman" w:cs="Times New Roman"/>
                <w:kern w:val="0"/>
                <w:sz w:val="20"/>
                <w:szCs w:val="20"/>
                <w:lang w:val="lt-LT"/>
              </w:rPr>
              <w:t>484</w:t>
            </w:r>
          </w:p>
        </w:tc>
        <w:tc>
          <w:tcPr>
            <w:tcW w:w="1038" w:type="dxa"/>
            <w:tcBorders>
              <w:top w:val="nil"/>
              <w:left w:val="nil"/>
              <w:bottom w:val="single" w:sz="4" w:space="0" w:color="auto"/>
              <w:right w:val="single" w:sz="4" w:space="0" w:color="auto"/>
            </w:tcBorders>
            <w:shd w:val="clear" w:color="auto" w:fill="auto"/>
            <w:noWrap/>
            <w:vAlign w:val="bottom"/>
            <w:hideMark/>
          </w:tcPr>
          <w:p w:rsidR="00F558B5" w:rsidRPr="000D37F1" w:rsidRDefault="00F558B5"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0.0347</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F558B5" w:rsidP="00634D57">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0.0328</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w:t>
            </w:r>
            <w:r w:rsidR="00F558B5" w:rsidRPr="000D37F1">
              <w:rPr>
                <w:rFonts w:ascii="Times New Roman" w:eastAsia="Times New Roman" w:hAnsi="Times New Roman" w:cs="Times New Roman"/>
                <w:kern w:val="0"/>
                <w:sz w:val="20"/>
                <w:szCs w:val="20"/>
                <w:lang w:val="lt-LT"/>
              </w:rPr>
              <w:t>0134</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F558B5">
            <w:pPr>
              <w:spacing w:after="0" w:line="240" w:lineRule="auto"/>
              <w:jc w:val="right"/>
              <w:rPr>
                <w:rFonts w:ascii="Times New Roman" w:eastAsia="Times New Roman" w:hAnsi="Times New Roman" w:cs="Times New Roman"/>
                <w:kern w:val="0"/>
                <w:sz w:val="20"/>
                <w:szCs w:val="20"/>
                <w:lang w:val="lt-LT"/>
              </w:rPr>
            </w:pPr>
            <w:r w:rsidRPr="000D37F1">
              <w:rPr>
                <w:rFonts w:ascii="Times New Roman" w:eastAsia="Times New Roman" w:hAnsi="Times New Roman" w:cs="Times New Roman"/>
                <w:kern w:val="0"/>
                <w:sz w:val="20"/>
                <w:szCs w:val="20"/>
                <w:lang w:val="lt-LT"/>
              </w:rPr>
              <w:t>0.0</w:t>
            </w:r>
            <w:r w:rsidR="00F558B5" w:rsidRPr="000D37F1">
              <w:rPr>
                <w:rFonts w:ascii="Times New Roman" w:eastAsia="Times New Roman" w:hAnsi="Times New Roman" w:cs="Times New Roman"/>
                <w:kern w:val="0"/>
                <w:sz w:val="20"/>
                <w:szCs w:val="20"/>
                <w:lang w:val="lt-LT"/>
              </w:rPr>
              <w:t>105</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04220C"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KP</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8.1500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46.5700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30.7000</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20.4719</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17.6606</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6.3312</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9.7115</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15.1900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39.1800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29.0100</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21.8661</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17.3425</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5.3935</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7.8459</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14.1900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34.8200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29.7700</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21.5619</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15.7794</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4.8167</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10.3001</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DA6BAB"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GPPM</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0.4092</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0.3343</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0.7811</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0.7161</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0.6210</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0.5154</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0.0856</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0.0994</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-0.1818</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0.7637</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0.7166</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0.5696</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0.4462</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0.1487</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0.1995</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04220C"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PI</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0.1884</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2.7333</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0.8829</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0.6938</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0.6427</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0.3536</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0.2039</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0.1835</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0.3560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10.7185</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4.8379</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0.8295</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0.8962</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1.3872</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1.0654</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0.1657</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1.1500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0.7585</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0.6436</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0.4700</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0.1968</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0.2631</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467480"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VP</w:t>
            </w:r>
            <w:r w:rsidR="0004220C" w:rsidRPr="000D37F1">
              <w:rPr>
                <w:rFonts w:ascii="Times New Roman" w:eastAsia="Times New Roman" w:hAnsi="Times New Roman" w:cs="Times New Roman"/>
                <w:color w:val="000000"/>
                <w:kern w:val="0"/>
                <w:sz w:val="20"/>
                <w:szCs w:val="20"/>
                <w:lang w:val="lt-LT"/>
              </w:rPr>
              <w:t>T</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0.0307</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0.0474</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0.1589</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0.1195</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0.0622</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0.0681</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0.0187</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0.0177</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0.0161</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0.0483</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0.1444</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0.2782</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0.0669</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0.0894</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0.0204</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0.0617</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0.0286</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0.1960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0.2566</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0.1048</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0.1065</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0.0357</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0.0774</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467480"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IVPT</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0.9687</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0.3023</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0.1094</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0.1090</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0.1806</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0.0970</w:t>
            </w:r>
          </w:p>
        </w:tc>
      </w:tr>
      <w:tr w:rsidR="0004220C"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0.8536</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0.5281</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0.0888</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0.1344</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0.1585</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0.1445</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0.8152</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0.6409</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0.1234</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0.1927</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0.1585</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0.2046</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04220C"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BAS</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0.1959</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0.7118</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0.6327</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0.5153</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0.4078</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0.1073</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0.1382</w:t>
            </w:r>
          </w:p>
        </w:tc>
      </w:tr>
      <w:tr w:rsidR="0004220C"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0.0000</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0.7121</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0.5916</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0.4824</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0.3628</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0.1136</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0.1809</w:t>
            </w:r>
          </w:p>
        </w:tc>
      </w:tr>
      <w:tr w:rsidR="0004220C" w:rsidRPr="000D37F1" w:rsidTr="00CE31E3">
        <w:trPr>
          <w:trHeight w:val="300"/>
          <w:jc w:val="center"/>
        </w:trPr>
        <w:tc>
          <w:tcPr>
            <w:tcW w:w="1252" w:type="dxa"/>
            <w:vMerge w:val="restart"/>
            <w:tcBorders>
              <w:top w:val="nil"/>
              <w:left w:val="single" w:sz="4" w:space="0" w:color="auto"/>
              <w:right w:val="single" w:sz="4" w:space="0" w:color="auto"/>
            </w:tcBorders>
            <w:shd w:val="clear" w:color="auto" w:fill="auto"/>
            <w:noWrap/>
            <w:vAlign w:val="bottom"/>
            <w:hideMark/>
          </w:tcPr>
          <w:p w:rsidR="00634D57" w:rsidRPr="000D37F1" w:rsidRDefault="0004220C"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GPG</w:t>
            </w:r>
          </w:p>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 </w:t>
            </w: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-1.0567</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-1.2518</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0.3674</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0.7475</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-0.0019</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-0.1019</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0.2731</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0.4218</w:t>
            </w:r>
          </w:p>
        </w:tc>
      </w:tr>
      <w:tr w:rsidR="00B5042B"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-4.2727</w:t>
            </w:r>
          </w:p>
        </w:tc>
        <w:tc>
          <w:tcPr>
            <w:tcW w:w="927"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-3.4383</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0.4341</w:t>
            </w:r>
          </w:p>
        </w:tc>
        <w:tc>
          <w:tcPr>
            <w:tcW w:w="1066"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0.1633</w:t>
            </w:r>
          </w:p>
        </w:tc>
        <w:tc>
          <w:tcPr>
            <w:tcW w:w="103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-0.1363</w:t>
            </w:r>
          </w:p>
        </w:tc>
        <w:tc>
          <w:tcPr>
            <w:tcW w:w="1288"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-0.4717</w:t>
            </w:r>
          </w:p>
        </w:tc>
        <w:tc>
          <w:tcPr>
            <w:tcW w:w="1080"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0.7533</w:t>
            </w:r>
          </w:p>
        </w:tc>
        <w:tc>
          <w:tcPr>
            <w:tcW w:w="1052" w:type="dxa"/>
            <w:tcBorders>
              <w:top w:val="nil"/>
              <w:left w:val="nil"/>
              <w:bottom w:val="single" w:sz="4" w:space="0" w:color="auto"/>
              <w:right w:val="single" w:sz="4" w:space="0" w:color="auto"/>
            </w:tcBorders>
            <w:shd w:val="clear" w:color="auto" w:fill="auto"/>
            <w:noWrap/>
            <w:vAlign w:val="bottom"/>
            <w:hideMark/>
          </w:tcPr>
          <w:p w:rsidR="00634D57" w:rsidRPr="000D37F1" w:rsidRDefault="00634D57"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1.0409</w:t>
            </w:r>
          </w:p>
        </w:tc>
      </w:tr>
      <w:tr w:rsidR="00367802" w:rsidRPr="000D37F1" w:rsidTr="00CE31E3">
        <w:trPr>
          <w:trHeight w:val="300"/>
          <w:jc w:val="center"/>
        </w:trPr>
        <w:tc>
          <w:tcPr>
            <w:tcW w:w="1252" w:type="dxa"/>
            <w:vMerge w:val="restart"/>
            <w:tcBorders>
              <w:top w:val="single" w:sz="4" w:space="0" w:color="auto"/>
              <w:left w:val="single" w:sz="4" w:space="0" w:color="auto"/>
              <w:right w:val="single" w:sz="4" w:space="0" w:color="auto"/>
            </w:tcBorders>
            <w:shd w:val="clear" w:color="auto" w:fill="auto"/>
            <w:noWrap/>
            <w:vAlign w:val="center"/>
          </w:tcPr>
          <w:p w:rsidR="00367802" w:rsidRPr="000D37F1" w:rsidRDefault="00367802" w:rsidP="00367802">
            <w:pPr>
              <w:spacing w:after="0" w:line="240" w:lineRule="auto"/>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Turtas (</w:t>
            </w:r>
            <w:proofErr w:type="spellStart"/>
            <w:r w:rsidRPr="000D37F1">
              <w:rPr>
                <w:rFonts w:ascii="Times New Roman" w:eastAsia="Times New Roman" w:hAnsi="Times New Roman" w:cs="Times New Roman"/>
                <w:color w:val="000000"/>
                <w:kern w:val="0"/>
                <w:sz w:val="20"/>
                <w:szCs w:val="20"/>
                <w:lang w:val="lt-LT"/>
              </w:rPr>
              <w:t>tūkst.Lt</w:t>
            </w:r>
            <w:proofErr w:type="spellEnd"/>
            <w:r w:rsidRPr="000D37F1">
              <w:rPr>
                <w:rFonts w:ascii="Times New Roman" w:eastAsia="Times New Roman" w:hAnsi="Times New Roman" w:cs="Times New Roman"/>
                <w:color w:val="000000"/>
                <w:kern w:val="0"/>
                <w:sz w:val="20"/>
                <w:szCs w:val="20"/>
                <w:lang w:val="lt-LT"/>
              </w:rPr>
              <w:t>)</w:t>
            </w: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367802" w:rsidP="00AC3C04">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2011</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1797.04</w:t>
            </w:r>
          </w:p>
        </w:tc>
        <w:tc>
          <w:tcPr>
            <w:tcW w:w="927"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2654.00</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109591</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368374.00</w:t>
            </w:r>
          </w:p>
        </w:tc>
        <w:tc>
          <w:tcPr>
            <w:tcW w:w="1038"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23097.83</w:t>
            </w:r>
          </w:p>
        </w:tc>
        <w:tc>
          <w:tcPr>
            <w:tcW w:w="1288"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37364.40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23168.59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367802"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88926.41</w:t>
            </w:r>
          </w:p>
        </w:tc>
      </w:tr>
      <w:tr w:rsidR="00B5042B" w:rsidRPr="000D37F1" w:rsidTr="00CE31E3">
        <w:trPr>
          <w:trHeight w:val="300"/>
          <w:jc w:val="center"/>
        </w:trPr>
        <w:tc>
          <w:tcPr>
            <w:tcW w:w="1252" w:type="dxa"/>
            <w:vMerge/>
            <w:tcBorders>
              <w:left w:val="single" w:sz="4" w:space="0" w:color="auto"/>
              <w:right w:val="single" w:sz="4" w:space="0" w:color="auto"/>
            </w:tcBorders>
            <w:shd w:val="clear" w:color="auto" w:fill="auto"/>
            <w:noWrap/>
            <w:vAlign w:val="bottom"/>
          </w:tcPr>
          <w:p w:rsidR="00B5042B" w:rsidRPr="000D37F1" w:rsidRDefault="00B5042B"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AC3C04">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2012</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.00</w:t>
            </w:r>
          </w:p>
        </w:tc>
        <w:tc>
          <w:tcPr>
            <w:tcW w:w="927"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2747.00</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98411</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224784.00</w:t>
            </w:r>
          </w:p>
        </w:tc>
        <w:tc>
          <w:tcPr>
            <w:tcW w:w="1038"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21012.00</w:t>
            </w:r>
          </w:p>
        </w:tc>
        <w:tc>
          <w:tcPr>
            <w:tcW w:w="1288"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30447.88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22307.43</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53217.27</w:t>
            </w:r>
          </w:p>
        </w:tc>
      </w:tr>
      <w:tr w:rsidR="00B5042B" w:rsidRPr="000D37F1" w:rsidTr="00CE31E3">
        <w:trPr>
          <w:trHeight w:val="300"/>
          <w:jc w:val="center"/>
        </w:trPr>
        <w:tc>
          <w:tcPr>
            <w:tcW w:w="1252" w:type="dxa"/>
            <w:vMerge/>
            <w:tcBorders>
              <w:left w:val="single" w:sz="4" w:space="0" w:color="auto"/>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rPr>
                <w:rFonts w:ascii="Times New Roman" w:eastAsia="Times New Roman" w:hAnsi="Times New Roman" w:cs="Times New Roman"/>
                <w:color w:val="000000"/>
                <w:kern w:val="0"/>
                <w:sz w:val="20"/>
                <w:szCs w:val="20"/>
                <w:lang w:val="lt-LT"/>
              </w:rPr>
            </w:pPr>
          </w:p>
        </w:tc>
        <w:tc>
          <w:tcPr>
            <w:tcW w:w="798"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AC3C04">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2013</w:t>
            </w:r>
          </w:p>
        </w:tc>
        <w:tc>
          <w:tcPr>
            <w:tcW w:w="1115"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2014.53</w:t>
            </w:r>
          </w:p>
        </w:tc>
        <w:tc>
          <w:tcPr>
            <w:tcW w:w="927"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2470.32</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103214.77</w:t>
            </w:r>
          </w:p>
        </w:tc>
        <w:tc>
          <w:tcPr>
            <w:tcW w:w="1066"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634D57">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275096.34</w:t>
            </w:r>
          </w:p>
        </w:tc>
        <w:tc>
          <w:tcPr>
            <w:tcW w:w="1038"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25962.80</w:t>
            </w:r>
          </w:p>
        </w:tc>
        <w:tc>
          <w:tcPr>
            <w:tcW w:w="1288"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41673.22</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25626.10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B5042B" w:rsidRPr="000D37F1" w:rsidRDefault="00B5042B" w:rsidP="00B5042B">
            <w:pPr>
              <w:spacing w:after="0" w:line="240" w:lineRule="auto"/>
              <w:jc w:val="right"/>
              <w:rPr>
                <w:rFonts w:ascii="Times New Roman" w:eastAsia="Times New Roman" w:hAnsi="Times New Roman" w:cs="Times New Roman"/>
                <w:color w:val="000000"/>
                <w:kern w:val="0"/>
                <w:sz w:val="20"/>
                <w:szCs w:val="20"/>
                <w:lang w:val="lt-LT"/>
              </w:rPr>
            </w:pPr>
            <w:r w:rsidRPr="000D37F1">
              <w:rPr>
                <w:rFonts w:ascii="Times New Roman" w:eastAsia="Times New Roman" w:hAnsi="Times New Roman" w:cs="Times New Roman"/>
                <w:color w:val="000000"/>
                <w:kern w:val="0"/>
                <w:sz w:val="20"/>
                <w:szCs w:val="20"/>
                <w:lang w:val="lt-LT"/>
              </w:rPr>
              <w:t>67251.18</w:t>
            </w:r>
          </w:p>
        </w:tc>
      </w:tr>
    </w:tbl>
    <w:p w:rsidR="00E20DB2" w:rsidRPr="004462A5" w:rsidRDefault="000F03BC" w:rsidP="004462A5">
      <w:pPr>
        <w:pStyle w:val="Heading3"/>
        <w:jc w:val="center"/>
        <w:rPr>
          <w:rFonts w:ascii="Times New Roman" w:hAnsi="Times New Roman" w:cs="Times New Roman"/>
          <w:color w:val="auto"/>
          <w:sz w:val="24"/>
          <w:szCs w:val="24"/>
        </w:rPr>
      </w:pPr>
      <w:bookmarkStart w:id="153" w:name="_Toc384567336"/>
      <w:bookmarkStart w:id="154" w:name="_Toc384570773"/>
      <w:r w:rsidRPr="004462A5">
        <w:rPr>
          <w:rFonts w:ascii="Times New Roman" w:hAnsi="Times New Roman" w:cs="Times New Roman"/>
          <w:color w:val="auto"/>
          <w:sz w:val="24"/>
          <w:szCs w:val="24"/>
        </w:rPr>
        <w:lastRenderedPageBreak/>
        <w:t xml:space="preserve">3 priedas. </w:t>
      </w:r>
      <w:proofErr w:type="spellStart"/>
      <w:r w:rsidRPr="004462A5">
        <w:rPr>
          <w:rFonts w:ascii="Times New Roman" w:hAnsi="Times New Roman" w:cs="Times New Roman"/>
          <w:color w:val="auto"/>
          <w:sz w:val="24"/>
          <w:szCs w:val="24"/>
        </w:rPr>
        <w:t>Finansinių</w:t>
      </w:r>
      <w:proofErr w:type="spellEnd"/>
      <w:r w:rsidRPr="004462A5">
        <w:rPr>
          <w:rFonts w:ascii="Times New Roman" w:hAnsi="Times New Roman" w:cs="Times New Roman"/>
          <w:color w:val="auto"/>
          <w:sz w:val="24"/>
          <w:szCs w:val="24"/>
        </w:rPr>
        <w:t xml:space="preserve"> </w:t>
      </w:r>
      <w:proofErr w:type="spellStart"/>
      <w:r w:rsidRPr="004462A5">
        <w:rPr>
          <w:rFonts w:ascii="Times New Roman" w:hAnsi="Times New Roman" w:cs="Times New Roman"/>
          <w:color w:val="auto"/>
          <w:sz w:val="24"/>
          <w:szCs w:val="24"/>
        </w:rPr>
        <w:t>rodiklių</w:t>
      </w:r>
      <w:proofErr w:type="spellEnd"/>
      <w:r w:rsidRPr="004462A5">
        <w:rPr>
          <w:rFonts w:ascii="Times New Roman" w:hAnsi="Times New Roman" w:cs="Times New Roman"/>
          <w:color w:val="auto"/>
          <w:sz w:val="24"/>
          <w:szCs w:val="24"/>
        </w:rPr>
        <w:t xml:space="preserve"> </w:t>
      </w:r>
      <w:proofErr w:type="spellStart"/>
      <w:r w:rsidRPr="004462A5">
        <w:rPr>
          <w:rFonts w:ascii="Times New Roman" w:hAnsi="Times New Roman" w:cs="Times New Roman"/>
          <w:color w:val="auto"/>
          <w:sz w:val="24"/>
          <w:szCs w:val="24"/>
        </w:rPr>
        <w:t>sugrupavimas</w:t>
      </w:r>
      <w:proofErr w:type="spellEnd"/>
      <w:r w:rsidRPr="004462A5">
        <w:rPr>
          <w:rFonts w:ascii="Times New Roman" w:hAnsi="Times New Roman" w:cs="Times New Roman"/>
          <w:color w:val="auto"/>
          <w:sz w:val="24"/>
          <w:szCs w:val="24"/>
        </w:rPr>
        <w:t xml:space="preserve"> </w:t>
      </w:r>
      <w:proofErr w:type="spellStart"/>
      <w:r w:rsidRPr="004462A5">
        <w:rPr>
          <w:rFonts w:ascii="Times New Roman" w:hAnsi="Times New Roman" w:cs="Times New Roman"/>
          <w:color w:val="auto"/>
          <w:sz w:val="24"/>
          <w:szCs w:val="24"/>
        </w:rPr>
        <w:t>pagal</w:t>
      </w:r>
      <w:proofErr w:type="spellEnd"/>
      <w:r w:rsidRPr="004462A5">
        <w:rPr>
          <w:rFonts w:ascii="Times New Roman" w:hAnsi="Times New Roman" w:cs="Times New Roman"/>
          <w:color w:val="auto"/>
          <w:sz w:val="24"/>
          <w:szCs w:val="24"/>
        </w:rPr>
        <w:t xml:space="preserve"> </w:t>
      </w:r>
      <w:proofErr w:type="spellStart"/>
      <w:r w:rsidRPr="004462A5">
        <w:rPr>
          <w:rFonts w:ascii="Times New Roman" w:hAnsi="Times New Roman" w:cs="Times New Roman"/>
          <w:color w:val="auto"/>
          <w:sz w:val="24"/>
          <w:szCs w:val="24"/>
        </w:rPr>
        <w:t>kvartile</w:t>
      </w:r>
      <w:r w:rsidR="00E20DB2" w:rsidRPr="004462A5">
        <w:rPr>
          <w:rFonts w:ascii="Times New Roman" w:hAnsi="Times New Roman" w:cs="Times New Roman"/>
          <w:color w:val="auto"/>
          <w:sz w:val="24"/>
          <w:szCs w:val="24"/>
        </w:rPr>
        <w:t>s</w:t>
      </w:r>
      <w:bookmarkEnd w:id="153"/>
      <w:bookmarkEnd w:id="154"/>
      <w:proofErr w:type="spellEnd"/>
    </w:p>
    <w:p w:rsidR="00E20DB2" w:rsidRPr="000D37F1" w:rsidRDefault="00E20DB2" w:rsidP="00E20DB2">
      <w:pPr>
        <w:pStyle w:val="ListParagraph"/>
        <w:spacing w:before="120" w:after="120" w:line="360" w:lineRule="auto"/>
        <w:ind w:right="57"/>
        <w:jc w:val="center"/>
        <w:rPr>
          <w:rFonts w:ascii="Times New Roman" w:hAnsi="Times New Roman" w:cs="Times New Roman"/>
          <w:b/>
          <w:sz w:val="24"/>
          <w:szCs w:val="24"/>
          <w:lang w:val="lt-LT"/>
        </w:rPr>
      </w:pPr>
    </w:p>
    <w:tbl>
      <w:tblPr>
        <w:tblW w:w="8115" w:type="dxa"/>
        <w:jc w:val="center"/>
        <w:tblInd w:w="93" w:type="dxa"/>
        <w:tblLook w:val="04A0" w:firstRow="1" w:lastRow="0" w:firstColumn="1" w:lastColumn="0" w:noHBand="0" w:noVBand="1"/>
      </w:tblPr>
      <w:tblGrid>
        <w:gridCol w:w="1545"/>
        <w:gridCol w:w="1800"/>
        <w:gridCol w:w="1710"/>
        <w:gridCol w:w="1620"/>
        <w:gridCol w:w="1440"/>
      </w:tblGrid>
      <w:tr w:rsidR="00AF5FEF" w:rsidRPr="000F03BC" w:rsidTr="000F03BC">
        <w:trPr>
          <w:trHeight w:val="300"/>
          <w:jc w:val="center"/>
        </w:trPr>
        <w:tc>
          <w:tcPr>
            <w:tcW w:w="1545" w:type="dxa"/>
            <w:vMerge w:val="restart"/>
            <w:tcBorders>
              <w:top w:val="single" w:sz="4" w:space="0" w:color="auto"/>
              <w:left w:val="single" w:sz="4" w:space="0" w:color="auto"/>
              <w:right w:val="single" w:sz="4" w:space="0" w:color="auto"/>
            </w:tcBorders>
            <w:shd w:val="clear" w:color="auto" w:fill="auto"/>
            <w:noWrap/>
            <w:vAlign w:val="center"/>
            <w:hideMark/>
          </w:tcPr>
          <w:p w:rsidR="00AF5FEF" w:rsidRPr="00AF5FEF" w:rsidRDefault="00AF5FEF" w:rsidP="003E77E3">
            <w:pPr>
              <w:spacing w:after="0" w:line="240" w:lineRule="auto"/>
              <w:jc w:val="center"/>
              <w:rPr>
                <w:rFonts w:ascii="Times New Roman" w:eastAsia="Times New Roman" w:hAnsi="Times New Roman" w:cs="Times New Roman"/>
                <w:b/>
                <w:bCs/>
                <w:color w:val="000000"/>
                <w:kern w:val="0"/>
                <w:sz w:val="20"/>
                <w:szCs w:val="20"/>
                <w:lang w:val="lt-LT"/>
              </w:rPr>
            </w:pPr>
            <w:r w:rsidRPr="00AF5FEF">
              <w:rPr>
                <w:rFonts w:ascii="Times New Roman" w:eastAsia="Times New Roman" w:hAnsi="Times New Roman" w:cs="Times New Roman"/>
                <w:b/>
                <w:bCs/>
                <w:color w:val="000000"/>
                <w:kern w:val="0"/>
                <w:sz w:val="20"/>
                <w:szCs w:val="20"/>
                <w:lang w:val="lt-LT"/>
              </w:rPr>
              <w:t>Rodikliai</w:t>
            </w:r>
          </w:p>
          <w:p w:rsidR="00AF5FEF" w:rsidRPr="00AF5FEF" w:rsidRDefault="00AF5FEF" w:rsidP="003E77E3">
            <w:pPr>
              <w:spacing w:after="0" w:line="240" w:lineRule="auto"/>
              <w:rPr>
                <w:rFonts w:ascii="Times New Roman" w:eastAsia="Times New Roman" w:hAnsi="Times New Roman" w:cs="Times New Roman"/>
                <w:b/>
                <w:bCs/>
                <w:color w:val="000000"/>
                <w:kern w:val="0"/>
                <w:sz w:val="20"/>
                <w:szCs w:val="20"/>
                <w:lang w:val="lt-LT"/>
              </w:rPr>
            </w:pPr>
            <w:r w:rsidRPr="00AF5FEF">
              <w:rPr>
                <w:rFonts w:ascii="Times New Roman" w:eastAsia="Times New Roman" w:hAnsi="Times New Roman" w:cs="Times New Roman"/>
                <w:color w:val="000000"/>
                <w:kern w:val="0"/>
                <w:sz w:val="20"/>
                <w:szCs w:val="20"/>
                <w:lang w:val="lt-LT"/>
              </w:rPr>
              <w:t> </w:t>
            </w:r>
          </w:p>
        </w:tc>
        <w:tc>
          <w:tcPr>
            <w:tcW w:w="1800" w:type="dxa"/>
            <w:vMerge w:val="restart"/>
            <w:tcBorders>
              <w:top w:val="single" w:sz="4" w:space="0" w:color="auto"/>
              <w:left w:val="nil"/>
              <w:right w:val="single" w:sz="4" w:space="0" w:color="auto"/>
            </w:tcBorders>
            <w:shd w:val="clear" w:color="auto" w:fill="auto"/>
            <w:noWrap/>
            <w:vAlign w:val="center"/>
            <w:hideMark/>
          </w:tcPr>
          <w:p w:rsidR="00AF5FEF" w:rsidRPr="00AF5FEF" w:rsidRDefault="00AF5FEF" w:rsidP="003E77E3">
            <w:pPr>
              <w:spacing w:after="0" w:line="240" w:lineRule="auto"/>
              <w:jc w:val="center"/>
              <w:rPr>
                <w:rFonts w:ascii="Times New Roman" w:eastAsia="Times New Roman" w:hAnsi="Times New Roman" w:cs="Times New Roman"/>
                <w:b/>
                <w:bCs/>
                <w:color w:val="000000"/>
                <w:kern w:val="0"/>
                <w:sz w:val="20"/>
                <w:szCs w:val="20"/>
                <w:lang w:val="lt-LT"/>
              </w:rPr>
            </w:pPr>
            <w:r w:rsidRPr="00AF5FEF">
              <w:rPr>
                <w:rFonts w:ascii="Times New Roman" w:eastAsia="Times New Roman" w:hAnsi="Times New Roman" w:cs="Times New Roman"/>
                <w:b/>
                <w:bCs/>
                <w:color w:val="000000"/>
                <w:kern w:val="0"/>
                <w:sz w:val="20"/>
                <w:szCs w:val="20"/>
                <w:lang w:val="lt-LT"/>
              </w:rPr>
              <w:t>Metai</w:t>
            </w:r>
          </w:p>
          <w:p w:rsidR="00AF5FEF" w:rsidRPr="00AF5FEF" w:rsidRDefault="00AF5FEF" w:rsidP="003E77E3">
            <w:pPr>
              <w:spacing w:after="0" w:line="240" w:lineRule="auto"/>
              <w:rPr>
                <w:rFonts w:ascii="Times New Roman" w:eastAsia="Times New Roman" w:hAnsi="Times New Roman" w:cs="Times New Roman"/>
                <w:b/>
                <w:bCs/>
                <w:color w:val="000000"/>
                <w:kern w:val="0"/>
                <w:sz w:val="20"/>
                <w:szCs w:val="20"/>
                <w:lang w:val="lt-LT"/>
              </w:rPr>
            </w:pPr>
            <w:r w:rsidRPr="00AF5FEF">
              <w:rPr>
                <w:rFonts w:ascii="Times New Roman" w:eastAsia="Times New Roman" w:hAnsi="Times New Roman" w:cs="Times New Roman"/>
                <w:color w:val="000000"/>
                <w:kern w:val="0"/>
                <w:sz w:val="20"/>
                <w:szCs w:val="20"/>
                <w:lang w:val="lt-LT"/>
              </w:rPr>
              <w:t> </w:t>
            </w:r>
          </w:p>
        </w:tc>
        <w:tc>
          <w:tcPr>
            <w:tcW w:w="4770" w:type="dxa"/>
            <w:gridSpan w:val="3"/>
            <w:tcBorders>
              <w:top w:val="single" w:sz="4" w:space="0" w:color="auto"/>
              <w:left w:val="nil"/>
              <w:bottom w:val="single" w:sz="4" w:space="0" w:color="auto"/>
              <w:right w:val="single" w:sz="4" w:space="0" w:color="000000"/>
            </w:tcBorders>
            <w:shd w:val="clear" w:color="auto" w:fill="auto"/>
            <w:vAlign w:val="bottom"/>
            <w:hideMark/>
          </w:tcPr>
          <w:p w:rsidR="00AF5FEF" w:rsidRPr="00AF5FEF" w:rsidRDefault="00AF5FEF" w:rsidP="003E77E3">
            <w:pPr>
              <w:spacing w:after="0" w:line="240" w:lineRule="auto"/>
              <w:jc w:val="center"/>
              <w:rPr>
                <w:rFonts w:ascii="Times New Roman" w:eastAsia="Times New Roman" w:hAnsi="Times New Roman" w:cs="Times New Roman"/>
                <w:b/>
                <w:bCs/>
                <w:color w:val="000000"/>
                <w:kern w:val="0"/>
                <w:lang w:val="lt-LT"/>
              </w:rPr>
            </w:pPr>
            <w:r w:rsidRPr="00AF5FEF">
              <w:rPr>
                <w:rFonts w:ascii="Times New Roman" w:eastAsia="Times New Roman" w:hAnsi="Times New Roman" w:cs="Times New Roman"/>
                <w:b/>
                <w:bCs/>
                <w:color w:val="000000"/>
                <w:kern w:val="0"/>
                <w:lang w:val="lt-LT"/>
              </w:rPr>
              <w:t>Kvartilės</w:t>
            </w:r>
          </w:p>
        </w:tc>
      </w:tr>
      <w:tr w:rsidR="00AF5FEF" w:rsidRPr="000F03BC" w:rsidTr="000F03BC">
        <w:trPr>
          <w:trHeight w:val="300"/>
          <w:jc w:val="center"/>
        </w:trPr>
        <w:tc>
          <w:tcPr>
            <w:tcW w:w="1545" w:type="dxa"/>
            <w:vMerge/>
            <w:tcBorders>
              <w:left w:val="single" w:sz="4" w:space="0" w:color="auto"/>
              <w:bottom w:val="single" w:sz="4" w:space="0" w:color="auto"/>
              <w:right w:val="single" w:sz="4" w:space="0" w:color="auto"/>
            </w:tcBorders>
            <w:shd w:val="clear" w:color="auto" w:fill="auto"/>
            <w:noWrap/>
            <w:vAlign w:val="center"/>
            <w:hideMark/>
          </w:tcPr>
          <w:p w:rsidR="00AF5FEF" w:rsidRPr="00AF5FEF" w:rsidRDefault="00AF5FEF"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vMerge/>
            <w:tcBorders>
              <w:left w:val="nil"/>
              <w:bottom w:val="single" w:sz="4" w:space="0" w:color="auto"/>
              <w:right w:val="single" w:sz="4" w:space="0" w:color="auto"/>
            </w:tcBorders>
            <w:shd w:val="clear" w:color="auto" w:fill="auto"/>
            <w:noWrap/>
            <w:vAlign w:val="center"/>
            <w:hideMark/>
          </w:tcPr>
          <w:p w:rsidR="00AF5FEF" w:rsidRPr="00AF5FEF" w:rsidRDefault="00AF5FEF" w:rsidP="003E77E3">
            <w:pPr>
              <w:spacing w:after="0" w:line="240" w:lineRule="auto"/>
              <w:rPr>
                <w:rFonts w:ascii="Times New Roman" w:eastAsia="Times New Roman" w:hAnsi="Times New Roman" w:cs="Times New Roman"/>
                <w:color w:val="000000"/>
                <w:kern w:val="0"/>
                <w:sz w:val="20"/>
                <w:szCs w:val="20"/>
                <w:lang w:val="lt-LT"/>
              </w:rPr>
            </w:pPr>
          </w:p>
        </w:tc>
        <w:tc>
          <w:tcPr>
            <w:tcW w:w="1710" w:type="dxa"/>
            <w:tcBorders>
              <w:top w:val="nil"/>
              <w:left w:val="nil"/>
              <w:bottom w:val="single" w:sz="4" w:space="0" w:color="auto"/>
              <w:right w:val="single" w:sz="4" w:space="0" w:color="auto"/>
            </w:tcBorders>
            <w:shd w:val="clear" w:color="auto" w:fill="auto"/>
            <w:noWrap/>
            <w:vAlign w:val="bottom"/>
            <w:hideMark/>
          </w:tcPr>
          <w:p w:rsidR="00AF5FEF" w:rsidRPr="00AF5FEF" w:rsidRDefault="00AF5FEF"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25%</w:t>
            </w:r>
          </w:p>
        </w:tc>
        <w:tc>
          <w:tcPr>
            <w:tcW w:w="1620" w:type="dxa"/>
            <w:tcBorders>
              <w:top w:val="nil"/>
              <w:left w:val="nil"/>
              <w:bottom w:val="single" w:sz="4" w:space="0" w:color="auto"/>
              <w:right w:val="single" w:sz="4" w:space="0" w:color="auto"/>
            </w:tcBorders>
            <w:shd w:val="clear" w:color="auto" w:fill="auto"/>
            <w:noWrap/>
            <w:vAlign w:val="bottom"/>
            <w:hideMark/>
          </w:tcPr>
          <w:p w:rsidR="00AF5FEF" w:rsidRPr="00AF5FEF" w:rsidRDefault="00AF5FEF"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50%</w:t>
            </w:r>
          </w:p>
        </w:tc>
        <w:tc>
          <w:tcPr>
            <w:tcW w:w="1440" w:type="dxa"/>
            <w:tcBorders>
              <w:top w:val="nil"/>
              <w:left w:val="nil"/>
              <w:bottom w:val="single" w:sz="4" w:space="0" w:color="auto"/>
              <w:right w:val="single" w:sz="4" w:space="0" w:color="auto"/>
            </w:tcBorders>
            <w:shd w:val="clear" w:color="auto" w:fill="auto"/>
            <w:noWrap/>
            <w:vAlign w:val="bottom"/>
            <w:hideMark/>
          </w:tcPr>
          <w:p w:rsidR="00AF5FEF" w:rsidRPr="00AF5FEF" w:rsidRDefault="00AF5FEF"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75%</w:t>
            </w:r>
          </w:p>
        </w:tc>
      </w:tr>
      <w:tr w:rsidR="003E77E3" w:rsidRPr="000F03BC"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ROA</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-0.0031</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0.0018</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0.0066</w:t>
            </w:r>
          </w:p>
        </w:tc>
      </w:tr>
      <w:tr w:rsidR="003E77E3" w:rsidRPr="000F03BC"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-0.0271</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-0.0017</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0.0042</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-0.0042</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0.0011</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0.0066</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ROE</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-0.0279</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0.0223</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0.0698</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-0.0918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0.0196</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0.0553</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-0.0347</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0.0138</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0.0639</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AKT</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0.0641</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0.0873</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0.1115</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0.0808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0.0932</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0.1093</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0.1029</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0.1390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0.1931</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LIKV</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38.4250</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42.8300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47.7850</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37.5050</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42.6050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49.4525</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41.2475</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47.9000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58.5175</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GPPG</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-0.0191</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-0.0057</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0.0001</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-0.0342</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-0.0131</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-0.0006</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KP</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16.0500</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18.8800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22.5375</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17.3425</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19.9750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24.1800</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17.0275</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20.5300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24.8225</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GPPM</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0.0278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0.0323</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0.0392</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0.0269</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0.0318</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0.0400</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PI</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0.5298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0.6605</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0.8176</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0.5072</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0.6353</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0.7990</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0.5108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0.6230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0.7624</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VPT</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0.0518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0.0620</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0.0701</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0.0550</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0.0629</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0.0799</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0.0798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0.1004</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0.1273</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IVPT</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0.0000</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0.0604</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0.1534</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0.0000</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0.0355</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0.1476</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0.0000</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0.0863</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0.2233</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BAS</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0.4418</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0.5134</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0.5682</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0.3911</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0.4794</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0.5432</w:t>
            </w:r>
          </w:p>
        </w:tc>
      </w:tr>
      <w:tr w:rsidR="003E77E3" w:rsidRPr="00AF5FEF" w:rsidTr="000F03BC">
        <w:trPr>
          <w:trHeight w:val="300"/>
          <w:jc w:val="center"/>
        </w:trPr>
        <w:tc>
          <w:tcPr>
            <w:tcW w:w="15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GPG</w:t>
            </w: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-0.0536</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0.0343</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0.1209</w:t>
            </w:r>
          </w:p>
        </w:tc>
      </w:tr>
      <w:tr w:rsidR="003E77E3" w:rsidRPr="00AF5FEF" w:rsidTr="000F03BC">
        <w:trPr>
          <w:trHeight w:val="300"/>
          <w:jc w:val="center"/>
        </w:trPr>
        <w:tc>
          <w:tcPr>
            <w:tcW w:w="1545" w:type="dxa"/>
            <w:vMerge/>
            <w:tcBorders>
              <w:top w:val="nil"/>
              <w:left w:val="single" w:sz="4" w:space="0" w:color="auto"/>
              <w:bottom w:val="single" w:sz="4" w:space="0" w:color="auto"/>
              <w:right w:val="single" w:sz="4" w:space="0" w:color="auto"/>
            </w:tcBorders>
            <w:vAlign w:val="center"/>
            <w:hideMark/>
          </w:tcPr>
          <w:p w:rsidR="003E77E3" w:rsidRPr="00AF5FEF" w:rsidRDefault="003E77E3"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nil"/>
              <w:left w:val="nil"/>
              <w:bottom w:val="single" w:sz="4" w:space="0" w:color="auto"/>
              <w:right w:val="single" w:sz="4" w:space="0" w:color="auto"/>
            </w:tcBorders>
            <w:shd w:val="clear" w:color="auto" w:fill="auto"/>
            <w:noWrap/>
            <w:vAlign w:val="center"/>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-0.0895</w:t>
            </w:r>
          </w:p>
        </w:tc>
        <w:tc>
          <w:tcPr>
            <w:tcW w:w="162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0.0282</w:t>
            </w:r>
          </w:p>
        </w:tc>
        <w:tc>
          <w:tcPr>
            <w:tcW w:w="1440" w:type="dxa"/>
            <w:tcBorders>
              <w:top w:val="nil"/>
              <w:left w:val="nil"/>
              <w:bottom w:val="single" w:sz="4" w:space="0" w:color="auto"/>
              <w:right w:val="single" w:sz="4" w:space="0" w:color="auto"/>
            </w:tcBorders>
            <w:shd w:val="clear" w:color="auto" w:fill="auto"/>
            <w:noWrap/>
            <w:vAlign w:val="bottom"/>
            <w:hideMark/>
          </w:tcPr>
          <w:p w:rsidR="003E77E3" w:rsidRPr="00AF5FEF" w:rsidRDefault="003E77E3"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0.0922</w:t>
            </w:r>
          </w:p>
        </w:tc>
      </w:tr>
      <w:tr w:rsidR="00367802" w:rsidRPr="00AF5FEF" w:rsidTr="000F03BC">
        <w:trPr>
          <w:trHeight w:val="300"/>
          <w:jc w:val="center"/>
        </w:trPr>
        <w:tc>
          <w:tcPr>
            <w:tcW w:w="1545" w:type="dxa"/>
            <w:vMerge w:val="restart"/>
            <w:tcBorders>
              <w:top w:val="single" w:sz="4" w:space="0" w:color="auto"/>
              <w:left w:val="single" w:sz="4" w:space="0" w:color="auto"/>
              <w:right w:val="single" w:sz="4" w:space="0" w:color="auto"/>
            </w:tcBorders>
            <w:vAlign w:val="center"/>
          </w:tcPr>
          <w:p w:rsidR="00367802" w:rsidRPr="00AF5FEF" w:rsidRDefault="00367802" w:rsidP="003E77E3">
            <w:pPr>
              <w:spacing w:after="0" w:line="240" w:lineRule="auto"/>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Turtas (</w:t>
            </w:r>
            <w:proofErr w:type="spellStart"/>
            <w:r w:rsidRPr="00AF5FEF">
              <w:rPr>
                <w:rFonts w:ascii="Times New Roman" w:eastAsia="Times New Roman" w:hAnsi="Times New Roman" w:cs="Times New Roman"/>
                <w:color w:val="000000"/>
                <w:kern w:val="0"/>
                <w:sz w:val="20"/>
                <w:szCs w:val="20"/>
                <w:lang w:val="lt-LT"/>
              </w:rPr>
              <w:t>tūkst.Lt</w:t>
            </w:r>
            <w:proofErr w:type="spellEnd"/>
            <w:r w:rsidRPr="00AF5FEF">
              <w:rPr>
                <w:rFonts w:ascii="Times New Roman" w:eastAsia="Times New Roman" w:hAnsi="Times New Roman" w:cs="Times New Roman"/>
                <w:color w:val="000000"/>
                <w:kern w:val="0"/>
                <w:sz w:val="20"/>
                <w:szCs w:val="20"/>
                <w:lang w:val="lt-LT"/>
              </w:rPr>
              <w:t>)</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367802" w:rsidRPr="00AF5FEF" w:rsidRDefault="00367802" w:rsidP="00AC3C04">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2011</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8.483.73</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13.676.91</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30.269.74</w:t>
            </w:r>
          </w:p>
        </w:tc>
      </w:tr>
      <w:tr w:rsidR="00367802" w:rsidRPr="00AF5FEF" w:rsidTr="000F03BC">
        <w:trPr>
          <w:trHeight w:val="300"/>
          <w:jc w:val="center"/>
        </w:trPr>
        <w:tc>
          <w:tcPr>
            <w:tcW w:w="1545" w:type="dxa"/>
            <w:vMerge/>
            <w:tcBorders>
              <w:left w:val="single" w:sz="4" w:space="0" w:color="auto"/>
              <w:right w:val="single" w:sz="4" w:space="0" w:color="auto"/>
            </w:tcBorders>
            <w:vAlign w:val="center"/>
          </w:tcPr>
          <w:p w:rsidR="00367802" w:rsidRPr="00AF5FEF" w:rsidRDefault="00367802"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367802" w:rsidRPr="00AF5FEF" w:rsidRDefault="00367802" w:rsidP="00AC3C04">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2012</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6.834.08</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12.610.00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31.097.50</w:t>
            </w:r>
          </w:p>
        </w:tc>
      </w:tr>
      <w:tr w:rsidR="00367802" w:rsidRPr="00AF5FEF" w:rsidTr="000F03BC">
        <w:trPr>
          <w:trHeight w:val="300"/>
          <w:jc w:val="center"/>
        </w:trPr>
        <w:tc>
          <w:tcPr>
            <w:tcW w:w="1545" w:type="dxa"/>
            <w:vMerge/>
            <w:tcBorders>
              <w:left w:val="single" w:sz="4" w:space="0" w:color="auto"/>
              <w:bottom w:val="single" w:sz="4" w:space="0" w:color="auto"/>
              <w:right w:val="single" w:sz="4" w:space="0" w:color="auto"/>
            </w:tcBorders>
            <w:vAlign w:val="center"/>
          </w:tcPr>
          <w:p w:rsidR="00367802" w:rsidRPr="00AF5FEF" w:rsidRDefault="00367802" w:rsidP="003E77E3">
            <w:pPr>
              <w:spacing w:after="0" w:line="240" w:lineRule="auto"/>
              <w:rPr>
                <w:rFonts w:ascii="Times New Roman" w:eastAsia="Times New Roman" w:hAnsi="Times New Roman" w:cs="Times New Roman"/>
                <w:color w:val="000000"/>
                <w:kern w:val="0"/>
                <w:sz w:val="20"/>
                <w:szCs w:val="20"/>
                <w:lang w:val="lt-LT"/>
              </w:rPr>
            </w:pP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367802" w:rsidRPr="00AF5FEF" w:rsidRDefault="00367802" w:rsidP="00AC3C04">
            <w:pPr>
              <w:spacing w:after="0" w:line="240" w:lineRule="auto"/>
              <w:jc w:val="right"/>
              <w:rPr>
                <w:rFonts w:ascii="Times New Roman" w:eastAsia="Times New Roman" w:hAnsi="Times New Roman" w:cs="Times New Roman"/>
                <w:color w:val="000000"/>
                <w:kern w:val="0"/>
                <w:sz w:val="20"/>
                <w:szCs w:val="20"/>
                <w:lang w:val="lt-LT"/>
              </w:rPr>
            </w:pPr>
            <w:r w:rsidRPr="00AF5FEF">
              <w:rPr>
                <w:rFonts w:ascii="Times New Roman" w:eastAsia="Times New Roman" w:hAnsi="Times New Roman" w:cs="Times New Roman"/>
                <w:color w:val="000000"/>
                <w:kern w:val="0"/>
                <w:sz w:val="20"/>
                <w:szCs w:val="20"/>
                <w:lang w:val="lt-LT"/>
              </w:rPr>
              <w:t>2013</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9.399.85</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15.532.74</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367802" w:rsidRPr="00AF5FEF" w:rsidRDefault="00367802" w:rsidP="003E77E3">
            <w:pPr>
              <w:spacing w:after="0" w:line="240" w:lineRule="auto"/>
              <w:jc w:val="right"/>
              <w:rPr>
                <w:rFonts w:ascii="Times New Roman" w:eastAsia="Times New Roman" w:hAnsi="Times New Roman" w:cs="Times New Roman"/>
                <w:color w:val="000000"/>
                <w:kern w:val="0"/>
                <w:lang w:val="lt-LT"/>
              </w:rPr>
            </w:pPr>
            <w:r w:rsidRPr="00AF5FEF">
              <w:rPr>
                <w:rFonts w:ascii="Times New Roman" w:eastAsia="Times New Roman" w:hAnsi="Times New Roman" w:cs="Times New Roman"/>
                <w:color w:val="000000"/>
                <w:kern w:val="0"/>
                <w:lang w:val="lt-LT"/>
              </w:rPr>
              <w:t>35.255.06</w:t>
            </w:r>
          </w:p>
        </w:tc>
      </w:tr>
    </w:tbl>
    <w:p w:rsidR="003A3A04" w:rsidRPr="005A0B80" w:rsidRDefault="003A3A04" w:rsidP="005A0B80">
      <w:pPr>
        <w:spacing w:before="120" w:after="120" w:line="360" w:lineRule="auto"/>
        <w:ind w:right="57"/>
        <w:rPr>
          <w:rFonts w:ascii="Times New Roman" w:hAnsi="Times New Roman" w:cs="Times New Roman"/>
          <w:b/>
          <w:sz w:val="24"/>
          <w:szCs w:val="24"/>
          <w:lang w:val="lt-LT"/>
        </w:rPr>
      </w:pPr>
    </w:p>
    <w:p w:rsidR="00C429F5" w:rsidRPr="00185A64" w:rsidRDefault="000F03BC" w:rsidP="004462A5">
      <w:pPr>
        <w:pStyle w:val="Heading3"/>
        <w:jc w:val="center"/>
        <w:rPr>
          <w:rFonts w:ascii="Times New Roman" w:hAnsi="Times New Roman" w:cs="Times New Roman"/>
          <w:color w:val="auto"/>
          <w:sz w:val="24"/>
          <w:szCs w:val="24"/>
          <w:lang w:val="lt-LT"/>
        </w:rPr>
      </w:pPr>
      <w:bookmarkStart w:id="155" w:name="_Toc384567337"/>
      <w:bookmarkStart w:id="156" w:name="_Toc384570774"/>
      <w:r w:rsidRPr="00185A64">
        <w:rPr>
          <w:rFonts w:ascii="Times New Roman" w:hAnsi="Times New Roman" w:cs="Times New Roman"/>
          <w:color w:val="auto"/>
          <w:sz w:val="24"/>
          <w:szCs w:val="24"/>
          <w:lang w:val="lt-LT"/>
        </w:rPr>
        <w:lastRenderedPageBreak/>
        <w:t xml:space="preserve">4 priedas. </w:t>
      </w:r>
      <w:r w:rsidR="00C429F5" w:rsidRPr="00185A64">
        <w:rPr>
          <w:rFonts w:ascii="Times New Roman" w:hAnsi="Times New Roman" w:cs="Times New Roman"/>
          <w:color w:val="auto"/>
          <w:sz w:val="24"/>
          <w:szCs w:val="24"/>
          <w:lang w:val="lt-LT"/>
        </w:rPr>
        <w:t xml:space="preserve">LML </w:t>
      </w:r>
      <w:r w:rsidRPr="00185A64">
        <w:rPr>
          <w:rFonts w:ascii="Times New Roman" w:hAnsi="Times New Roman" w:cs="Times New Roman"/>
          <w:color w:val="auto"/>
          <w:sz w:val="24"/>
          <w:szCs w:val="24"/>
          <w:lang w:val="lt-LT"/>
        </w:rPr>
        <w:t xml:space="preserve">finansinių rodiklių </w:t>
      </w:r>
      <w:r w:rsidR="00C429F5" w:rsidRPr="00185A64">
        <w:rPr>
          <w:rFonts w:ascii="Times New Roman" w:hAnsi="Times New Roman" w:cs="Times New Roman"/>
          <w:color w:val="auto"/>
          <w:sz w:val="24"/>
          <w:szCs w:val="24"/>
          <w:lang w:val="lt-LT"/>
        </w:rPr>
        <w:t>grafikai modelio tinkamumui nustatyti</w:t>
      </w:r>
      <w:bookmarkEnd w:id="155"/>
      <w:bookmarkEnd w:id="156"/>
    </w:p>
    <w:p w:rsidR="003A3A04" w:rsidRPr="000F03BC" w:rsidRDefault="00AF5FEF" w:rsidP="000F03BC">
      <w:pPr>
        <w:pStyle w:val="ListParagraph"/>
        <w:spacing w:before="120" w:after="120" w:line="360" w:lineRule="auto"/>
        <w:ind w:left="0" w:right="-421"/>
        <w:jc w:val="center"/>
        <w:rPr>
          <w:rFonts w:ascii="Times New Roman" w:hAnsi="Times New Roman" w:cs="Times New Roman"/>
          <w:b/>
          <w:sz w:val="24"/>
          <w:szCs w:val="24"/>
          <w:lang w:val="lt-LT"/>
        </w:rPr>
      </w:pPr>
      <w:r>
        <w:rPr>
          <w:noProof/>
        </w:rPr>
        <w:drawing>
          <wp:inline distT="0" distB="0" distL="0" distR="0" wp14:anchorId="728C7390" wp14:editId="113A3DD9">
            <wp:extent cx="3210692" cy="2254103"/>
            <wp:effectExtent l="0" t="0" r="889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4"/>
                    <a:stretch>
                      <a:fillRect/>
                    </a:stretch>
                  </pic:blipFill>
                  <pic:spPr>
                    <a:xfrm>
                      <a:off x="0" y="0"/>
                      <a:ext cx="3213799" cy="2256284"/>
                    </a:xfrm>
                    <a:prstGeom prst="rect">
                      <a:avLst/>
                    </a:prstGeom>
                  </pic:spPr>
                </pic:pic>
              </a:graphicData>
            </a:graphic>
          </wp:inline>
        </w:drawing>
      </w:r>
      <w:r>
        <w:rPr>
          <w:noProof/>
        </w:rPr>
        <w:drawing>
          <wp:inline distT="0" distB="0" distL="0" distR="0" wp14:anchorId="02635BEB" wp14:editId="38C9EEAF">
            <wp:extent cx="3211033" cy="2328531"/>
            <wp:effectExtent l="0" t="0" r="889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5"/>
                    <a:stretch>
                      <a:fillRect/>
                    </a:stretch>
                  </pic:blipFill>
                  <pic:spPr>
                    <a:xfrm>
                      <a:off x="0" y="0"/>
                      <a:ext cx="3218422" cy="2333889"/>
                    </a:xfrm>
                    <a:prstGeom prst="rect">
                      <a:avLst/>
                    </a:prstGeom>
                  </pic:spPr>
                </pic:pic>
              </a:graphicData>
            </a:graphic>
          </wp:inline>
        </w:drawing>
      </w:r>
    </w:p>
    <w:p w:rsidR="003A3A04" w:rsidRPr="000D37F1" w:rsidRDefault="003A3A04" w:rsidP="00AF5FEF">
      <w:pPr>
        <w:pStyle w:val="ListParagraph"/>
        <w:spacing w:before="120" w:after="120" w:line="360" w:lineRule="auto"/>
        <w:ind w:right="57"/>
        <w:rPr>
          <w:rFonts w:ascii="Times New Roman" w:hAnsi="Times New Roman" w:cs="Times New Roman"/>
          <w:b/>
          <w:sz w:val="24"/>
          <w:szCs w:val="24"/>
          <w:lang w:val="lt-LT"/>
        </w:rPr>
      </w:pPr>
    </w:p>
    <w:p w:rsidR="003A3A04" w:rsidRPr="005A0B80" w:rsidRDefault="00AF5FEF" w:rsidP="005A0B80">
      <w:pPr>
        <w:pStyle w:val="ListParagraph"/>
        <w:spacing w:before="120" w:after="120" w:line="360" w:lineRule="auto"/>
        <w:ind w:right="57"/>
        <w:jc w:val="center"/>
        <w:rPr>
          <w:rFonts w:ascii="Times New Roman" w:hAnsi="Times New Roman" w:cs="Times New Roman"/>
          <w:b/>
          <w:sz w:val="24"/>
          <w:szCs w:val="24"/>
          <w:lang w:val="lt-LT"/>
        </w:rPr>
      </w:pPr>
      <w:r>
        <w:rPr>
          <w:noProof/>
        </w:rPr>
        <w:drawing>
          <wp:inline distT="0" distB="0" distL="0" distR="0" wp14:anchorId="06574B09" wp14:editId="5DE6520A">
            <wp:extent cx="3168502" cy="2434856"/>
            <wp:effectExtent l="0" t="0" r="0" b="38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6"/>
                    <a:stretch>
                      <a:fillRect/>
                    </a:stretch>
                  </pic:blipFill>
                  <pic:spPr>
                    <a:xfrm>
                      <a:off x="0" y="0"/>
                      <a:ext cx="3171178" cy="2436912"/>
                    </a:xfrm>
                    <a:prstGeom prst="rect">
                      <a:avLst/>
                    </a:prstGeom>
                  </pic:spPr>
                </pic:pic>
              </a:graphicData>
            </a:graphic>
          </wp:inline>
        </w:drawing>
      </w:r>
    </w:p>
    <w:p w:rsidR="003A3A04" w:rsidRPr="000D37F1" w:rsidRDefault="003A3A04" w:rsidP="00E20DB2">
      <w:pPr>
        <w:pStyle w:val="ListParagraph"/>
        <w:spacing w:before="120" w:after="120" w:line="360" w:lineRule="auto"/>
        <w:ind w:right="57"/>
        <w:jc w:val="center"/>
        <w:rPr>
          <w:rFonts w:ascii="Times New Roman" w:hAnsi="Times New Roman" w:cs="Times New Roman"/>
          <w:b/>
          <w:sz w:val="24"/>
          <w:szCs w:val="24"/>
          <w:lang w:val="lt-LT"/>
        </w:rPr>
      </w:pPr>
    </w:p>
    <w:p w:rsidR="003A3A04" w:rsidRPr="000F03BC" w:rsidRDefault="00AF5FEF" w:rsidP="000F03BC">
      <w:pPr>
        <w:pStyle w:val="ListParagraph"/>
        <w:spacing w:before="120" w:after="120" w:line="360" w:lineRule="auto"/>
        <w:ind w:right="57"/>
        <w:jc w:val="center"/>
        <w:rPr>
          <w:rFonts w:ascii="Times New Roman" w:hAnsi="Times New Roman" w:cs="Times New Roman"/>
          <w:b/>
          <w:sz w:val="24"/>
          <w:szCs w:val="24"/>
          <w:lang w:val="lt-LT"/>
        </w:rPr>
      </w:pPr>
      <w:r>
        <w:rPr>
          <w:noProof/>
        </w:rPr>
        <w:lastRenderedPageBreak/>
        <w:drawing>
          <wp:inline distT="0" distB="0" distL="0" distR="0" wp14:anchorId="6F336EEC" wp14:editId="23333A51">
            <wp:extent cx="3370521" cy="2360428"/>
            <wp:effectExtent l="0" t="0" r="1905" b="1905"/>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7"/>
                    <a:stretch>
                      <a:fillRect/>
                    </a:stretch>
                  </pic:blipFill>
                  <pic:spPr>
                    <a:xfrm>
                      <a:off x="0" y="0"/>
                      <a:ext cx="3394054" cy="2376909"/>
                    </a:xfrm>
                    <a:prstGeom prst="rect">
                      <a:avLst/>
                    </a:prstGeom>
                  </pic:spPr>
                </pic:pic>
              </a:graphicData>
            </a:graphic>
          </wp:inline>
        </w:drawing>
      </w:r>
    </w:p>
    <w:p w:rsidR="003A3A04" w:rsidRPr="000D37F1" w:rsidRDefault="00AF5FEF" w:rsidP="000F03BC">
      <w:pPr>
        <w:pStyle w:val="ListParagraph"/>
        <w:spacing w:before="120" w:after="120" w:line="360" w:lineRule="auto"/>
        <w:ind w:right="57"/>
        <w:jc w:val="center"/>
        <w:rPr>
          <w:rFonts w:ascii="Times New Roman" w:hAnsi="Times New Roman" w:cs="Times New Roman"/>
          <w:b/>
          <w:sz w:val="24"/>
          <w:szCs w:val="24"/>
          <w:lang w:val="lt-LT"/>
        </w:rPr>
      </w:pPr>
      <w:r>
        <w:rPr>
          <w:noProof/>
        </w:rPr>
        <w:drawing>
          <wp:inline distT="0" distB="0" distL="0" distR="0" wp14:anchorId="7F50E78D" wp14:editId="5DCFF9EB">
            <wp:extent cx="3517168" cy="2371060"/>
            <wp:effectExtent l="0" t="0" r="762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8"/>
                    <a:stretch>
                      <a:fillRect/>
                    </a:stretch>
                  </pic:blipFill>
                  <pic:spPr>
                    <a:xfrm>
                      <a:off x="0" y="0"/>
                      <a:ext cx="3521835" cy="2374206"/>
                    </a:xfrm>
                    <a:prstGeom prst="rect">
                      <a:avLst/>
                    </a:prstGeom>
                  </pic:spPr>
                </pic:pic>
              </a:graphicData>
            </a:graphic>
          </wp:inline>
        </w:drawing>
      </w:r>
    </w:p>
    <w:p w:rsidR="003A3A04" w:rsidRDefault="00AF5FEF" w:rsidP="000F03BC">
      <w:pPr>
        <w:pStyle w:val="ListParagraph"/>
        <w:spacing w:before="120" w:after="120" w:line="360" w:lineRule="auto"/>
        <w:ind w:right="57"/>
        <w:jc w:val="center"/>
        <w:rPr>
          <w:rFonts w:ascii="Times New Roman" w:hAnsi="Times New Roman" w:cs="Times New Roman"/>
          <w:b/>
          <w:sz w:val="24"/>
          <w:szCs w:val="24"/>
          <w:lang w:val="lt-LT"/>
        </w:rPr>
      </w:pPr>
      <w:r>
        <w:rPr>
          <w:noProof/>
        </w:rPr>
        <w:drawing>
          <wp:inline distT="0" distB="0" distL="0" distR="0" wp14:anchorId="0EB38337" wp14:editId="17BD9C77">
            <wp:extent cx="3486522" cy="2647507"/>
            <wp:effectExtent l="0" t="0" r="0" b="635"/>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29"/>
                    <a:stretch>
                      <a:fillRect/>
                    </a:stretch>
                  </pic:blipFill>
                  <pic:spPr>
                    <a:xfrm>
                      <a:off x="0" y="0"/>
                      <a:ext cx="3486101" cy="2647187"/>
                    </a:xfrm>
                    <a:prstGeom prst="rect">
                      <a:avLst/>
                    </a:prstGeom>
                  </pic:spPr>
                </pic:pic>
              </a:graphicData>
            </a:graphic>
          </wp:inline>
        </w:drawing>
      </w:r>
    </w:p>
    <w:p w:rsidR="00106EAB" w:rsidRDefault="00106EAB" w:rsidP="000F03BC">
      <w:pPr>
        <w:pStyle w:val="ListParagraph"/>
        <w:spacing w:before="120" w:after="120" w:line="360" w:lineRule="auto"/>
        <w:ind w:right="57"/>
        <w:jc w:val="center"/>
        <w:rPr>
          <w:rFonts w:ascii="Times New Roman" w:hAnsi="Times New Roman" w:cs="Times New Roman"/>
          <w:b/>
          <w:sz w:val="24"/>
          <w:szCs w:val="24"/>
          <w:lang w:val="lt-LT"/>
        </w:rPr>
      </w:pPr>
    </w:p>
    <w:p w:rsidR="006A6713" w:rsidRDefault="006A6713">
      <w:pPr>
        <w:rPr>
          <w:rFonts w:ascii="Times New Roman" w:hAnsi="Times New Roman" w:cs="Times New Roman"/>
          <w:b/>
          <w:sz w:val="24"/>
          <w:szCs w:val="24"/>
          <w:lang w:val="lt-LT"/>
        </w:rPr>
      </w:pPr>
      <w:r>
        <w:rPr>
          <w:rFonts w:ascii="Times New Roman" w:hAnsi="Times New Roman" w:cs="Times New Roman"/>
          <w:b/>
          <w:sz w:val="24"/>
          <w:szCs w:val="24"/>
          <w:lang w:val="lt-LT"/>
        </w:rPr>
        <w:br w:type="page"/>
      </w:r>
    </w:p>
    <w:p w:rsidR="006A6713" w:rsidRDefault="006A6713" w:rsidP="006A6713">
      <w:pPr>
        <w:rPr>
          <w:rFonts w:ascii="Times New Roman" w:hAnsi="Times New Roman" w:cs="Times New Roman"/>
          <w:b/>
          <w:sz w:val="24"/>
          <w:szCs w:val="24"/>
          <w:lang w:val="lt-LT"/>
        </w:rPr>
        <w:sectPr w:rsidR="006A6713" w:rsidSect="006F3D25">
          <w:footerReference w:type="default" r:id="rId30"/>
          <w:pgSz w:w="12240" w:h="15840"/>
          <w:pgMar w:top="1440" w:right="1440" w:bottom="1440" w:left="1440" w:header="720" w:footer="720" w:gutter="0"/>
          <w:cols w:space="720"/>
          <w:docGrid w:linePitch="360"/>
        </w:sectPr>
      </w:pPr>
    </w:p>
    <w:p w:rsidR="006A6713" w:rsidRPr="006F3D25" w:rsidRDefault="006A6713" w:rsidP="006F3D25">
      <w:pPr>
        <w:pStyle w:val="Heading3"/>
        <w:jc w:val="center"/>
        <w:rPr>
          <w:rFonts w:ascii="Times New Roman" w:hAnsi="Times New Roman" w:cs="Times New Roman"/>
          <w:color w:val="auto"/>
          <w:sz w:val="24"/>
          <w:szCs w:val="24"/>
          <w:lang w:val="lt-LT"/>
        </w:rPr>
      </w:pPr>
      <w:bookmarkStart w:id="157" w:name="_Toc384567338"/>
      <w:bookmarkStart w:id="158" w:name="_Toc384570775"/>
      <w:r w:rsidRPr="006F3D25">
        <w:rPr>
          <w:rFonts w:ascii="Times New Roman" w:hAnsi="Times New Roman" w:cs="Times New Roman"/>
          <w:color w:val="auto"/>
          <w:sz w:val="24"/>
          <w:szCs w:val="24"/>
          <w:lang w:val="lt-LT"/>
        </w:rPr>
        <w:lastRenderedPageBreak/>
        <w:t xml:space="preserve">5 priedas. </w:t>
      </w:r>
      <w:proofErr w:type="spellStart"/>
      <w:r w:rsidRPr="006F3D25">
        <w:rPr>
          <w:rFonts w:ascii="Times New Roman" w:hAnsi="Times New Roman" w:cs="Times New Roman"/>
          <w:color w:val="auto"/>
          <w:sz w:val="24"/>
          <w:szCs w:val="24"/>
          <w:lang w:val="lt-LT"/>
        </w:rPr>
        <w:t>Altman</w:t>
      </w:r>
      <w:proofErr w:type="spellEnd"/>
      <w:r w:rsidRPr="006F3D25">
        <w:rPr>
          <w:rFonts w:ascii="Times New Roman" w:hAnsi="Times New Roman" w:cs="Times New Roman"/>
          <w:color w:val="auto"/>
          <w:sz w:val="24"/>
          <w:szCs w:val="24"/>
          <w:lang w:val="lt-LT"/>
        </w:rPr>
        <w:t xml:space="preserve"> Z funkcijos kredito unijoms apskaičiavimas</w:t>
      </w:r>
      <w:bookmarkEnd w:id="157"/>
      <w:bookmarkEnd w:id="158"/>
    </w:p>
    <w:p w:rsidR="00E91DD6" w:rsidRDefault="00E91DD6" w:rsidP="00E91DD6">
      <w:pPr>
        <w:pStyle w:val="Header"/>
        <w:rPr>
          <w:rFonts w:ascii="Times New Roman" w:hAnsi="Times New Roman" w:cs="Times New Roman"/>
          <w:b/>
          <w:sz w:val="24"/>
          <w:szCs w:val="24"/>
          <w:lang w:val="lt-LT"/>
        </w:rPr>
      </w:pPr>
    </w:p>
    <w:p w:rsidR="00E91DD6" w:rsidRDefault="00E91DD6" w:rsidP="00E91DD6">
      <w:pPr>
        <w:pStyle w:val="Header"/>
        <w:rPr>
          <w:rFonts w:ascii="Times New Roman" w:hAnsi="Times New Roman" w:cs="Times New Roman"/>
          <w:b/>
          <w:sz w:val="24"/>
          <w:szCs w:val="24"/>
          <w:lang w:val="lt-LT"/>
        </w:rPr>
      </w:pPr>
      <w:proofErr w:type="spellStart"/>
      <w:r>
        <w:rPr>
          <w:rFonts w:ascii="Times New Roman" w:hAnsi="Times New Roman" w:cs="Times New Roman"/>
          <w:b/>
          <w:sz w:val="24"/>
          <w:szCs w:val="24"/>
          <w:lang w:val="lt-LT"/>
        </w:rPr>
        <w:t>Altman</w:t>
      </w:r>
      <w:proofErr w:type="spellEnd"/>
      <w:r>
        <w:rPr>
          <w:rFonts w:ascii="Times New Roman" w:hAnsi="Times New Roman" w:cs="Times New Roman"/>
          <w:b/>
          <w:sz w:val="24"/>
          <w:szCs w:val="24"/>
          <w:lang w:val="lt-LT"/>
        </w:rPr>
        <w:t xml:space="preserve"> Z funkcija biržoje</w:t>
      </w:r>
      <w:r w:rsidR="00192756">
        <w:rPr>
          <w:rFonts w:ascii="Times New Roman" w:hAnsi="Times New Roman" w:cs="Times New Roman"/>
          <w:b/>
          <w:sz w:val="24"/>
          <w:szCs w:val="24"/>
          <w:lang w:val="lt-LT"/>
        </w:rPr>
        <w:t xml:space="preserve"> nekotiruo</w:t>
      </w:r>
      <w:r>
        <w:rPr>
          <w:rFonts w:ascii="Times New Roman" w:hAnsi="Times New Roman" w:cs="Times New Roman"/>
          <w:b/>
          <w:sz w:val="24"/>
          <w:szCs w:val="24"/>
          <w:lang w:val="lt-LT"/>
        </w:rPr>
        <w:t>jamoms įmonėms:</w:t>
      </w:r>
    </w:p>
    <w:p w:rsidR="00E91DD6" w:rsidRDefault="00E91DD6" w:rsidP="00E91DD6">
      <w:pPr>
        <w:spacing w:line="360" w:lineRule="auto"/>
        <w:jc w:val="both"/>
        <w:rPr>
          <w:rFonts w:ascii="Times New Roman" w:eastAsiaTheme="minorEastAsia" w:hAnsi="Times New Roman" w:cs="Times New Roman"/>
          <w:sz w:val="24"/>
          <w:szCs w:val="24"/>
          <w:lang w:val="lt-LT"/>
        </w:rPr>
      </w:pPr>
      <w:r>
        <w:rPr>
          <w:rFonts w:ascii="Times New Roman" w:hAnsi="Times New Roman" w:cs="Times New Roman"/>
          <w:sz w:val="24"/>
          <w:szCs w:val="24"/>
          <w:lang w:val="lt-LT"/>
        </w:rPr>
        <w:t>Z=0,717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1</m:t>
            </m:r>
          </m:sub>
        </m:sSub>
      </m:oMath>
      <w:r>
        <w:rPr>
          <w:rFonts w:ascii="Times New Roman" w:eastAsiaTheme="minorEastAsia" w:hAnsi="Times New Roman" w:cs="Times New Roman"/>
          <w:sz w:val="24"/>
          <w:szCs w:val="24"/>
          <w:lang w:val="lt-LT"/>
        </w:rPr>
        <w:t xml:space="preserve"> + 0,847 *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2</m:t>
            </m:r>
          </m:sub>
        </m:sSub>
      </m:oMath>
      <w:r>
        <w:rPr>
          <w:rFonts w:ascii="Times New Roman" w:eastAsiaTheme="minorEastAsia" w:hAnsi="Times New Roman" w:cs="Times New Roman"/>
          <w:sz w:val="24"/>
          <w:szCs w:val="24"/>
          <w:lang w:val="lt-LT"/>
        </w:rPr>
        <w:t xml:space="preserve"> + 3,107 *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3</m:t>
            </m:r>
          </m:sub>
        </m:sSub>
      </m:oMath>
      <w:r>
        <w:rPr>
          <w:rFonts w:ascii="Times New Roman" w:eastAsiaTheme="minorEastAsia" w:hAnsi="Times New Roman" w:cs="Times New Roman"/>
          <w:sz w:val="24"/>
          <w:szCs w:val="24"/>
          <w:lang w:val="lt-LT"/>
        </w:rPr>
        <w:t xml:space="preserve"> + 0,420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4</m:t>
            </m:r>
          </m:sub>
        </m:sSub>
      </m:oMath>
      <w:r>
        <w:rPr>
          <w:rFonts w:ascii="Times New Roman" w:eastAsiaTheme="minorEastAsia" w:hAnsi="Times New Roman" w:cs="Times New Roman"/>
          <w:sz w:val="24"/>
          <w:szCs w:val="24"/>
          <w:lang w:val="lt-LT"/>
        </w:rPr>
        <w:t xml:space="preserve"> + 0,995 *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5</m:t>
            </m:r>
          </m:sub>
        </m:sSub>
      </m:oMath>
      <w:r>
        <w:rPr>
          <w:rFonts w:ascii="Times New Roman" w:eastAsiaTheme="minorEastAsia" w:hAnsi="Times New Roman" w:cs="Times New Roman"/>
          <w:sz w:val="24"/>
          <w:szCs w:val="24"/>
          <w:lang w:val="lt-LT"/>
        </w:rPr>
        <w:t>,</w:t>
      </w:r>
    </w:p>
    <w:p w:rsidR="00E91DD6" w:rsidRDefault="00E91DD6" w:rsidP="005A0B80">
      <w:pPr>
        <w:spacing w:line="360" w:lineRule="auto"/>
        <w:ind w:firstLine="720"/>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Kur:</w:t>
      </w:r>
      <w:r>
        <w:rPr>
          <w:rFonts w:ascii="Times New Roman" w:eastAsiaTheme="minorEastAsia" w:hAnsi="Times New Roman" w:cs="Times New Roman"/>
          <w:sz w:val="24"/>
          <w:szCs w:val="24"/>
          <w:lang w:val="lt-LT"/>
        </w:rPr>
        <w:tab/>
        <w:t xml:space="preserve"> </w:t>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1</m:t>
            </m:r>
          </m:sub>
        </m:sSub>
      </m:oMath>
      <w:r>
        <w:rPr>
          <w:rFonts w:ascii="Times New Roman" w:eastAsiaTheme="minorEastAsia" w:hAnsi="Times New Roman" w:cs="Times New Roman"/>
          <w:sz w:val="24"/>
          <w:szCs w:val="24"/>
          <w:lang w:val="lt-LT"/>
        </w:rPr>
        <w:t>=</w:t>
      </w:r>
      <m:oMath>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Apyvartinis kapitalas</m:t>
            </m:r>
          </m:num>
          <m:den>
            <m:r>
              <w:rPr>
                <w:rFonts w:ascii="Cambria Math" w:eastAsiaTheme="minorEastAsia" w:hAnsi="Cambria Math" w:cs="Times New Roman"/>
                <w:sz w:val="24"/>
                <w:szCs w:val="24"/>
                <w:lang w:val="lt-LT"/>
              </w:rPr>
              <m:t>Turtas</m:t>
            </m:r>
          </m:den>
        </m:f>
      </m:oMath>
      <w:r>
        <w:rPr>
          <w:rFonts w:ascii="Times New Roman" w:eastAsiaTheme="minorEastAsia" w:hAnsi="Times New Roman" w:cs="Times New Roman"/>
          <w:sz w:val="24"/>
          <w:szCs w:val="24"/>
          <w:lang w:val="lt-LT"/>
        </w:rPr>
        <w:t>;</w:t>
      </w:r>
      <w:r w:rsidR="005A0B80">
        <w:rPr>
          <w:rFonts w:ascii="Times New Roman" w:eastAsiaTheme="minorEastAsia" w:hAnsi="Times New Roman" w:cs="Times New Roman"/>
          <w:sz w:val="24"/>
          <w:szCs w:val="24"/>
          <w:lang w:val="lt-LT"/>
        </w:rPr>
        <w:tab/>
      </w:r>
      <w:r w:rsidR="005A0B80">
        <w:rPr>
          <w:rFonts w:ascii="Times New Roman" w:eastAsiaTheme="minorEastAsia" w:hAnsi="Times New Roman" w:cs="Times New Roman"/>
          <w:sz w:val="24"/>
          <w:szCs w:val="24"/>
          <w:lang w:val="lt-LT"/>
        </w:rPr>
        <w:tab/>
      </w:r>
      <w:r w:rsidR="005A0B80">
        <w:rPr>
          <w:rFonts w:ascii="Times New Roman" w:eastAsiaTheme="minorEastAsia" w:hAnsi="Times New Roman" w:cs="Times New Roman"/>
          <w:sz w:val="24"/>
          <w:szCs w:val="24"/>
          <w:lang w:val="lt-LT"/>
        </w:rPr>
        <w:tab/>
      </w:r>
      <w:r w:rsidR="005A0B80">
        <w:rPr>
          <w:rFonts w:ascii="Times New Roman" w:eastAsiaTheme="minorEastAsia" w:hAnsi="Times New Roman" w:cs="Times New Roman"/>
          <w:sz w:val="24"/>
          <w:szCs w:val="24"/>
          <w:lang w:val="lt-LT"/>
        </w:rPr>
        <w:tab/>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4</m:t>
            </m:r>
          </m:sub>
        </m:sSub>
      </m:oMath>
      <w:r w:rsidR="005A0B80">
        <w:rPr>
          <w:rFonts w:ascii="Times New Roman" w:eastAsiaTheme="minorEastAsia" w:hAnsi="Times New Roman" w:cs="Times New Roman"/>
          <w:sz w:val="24"/>
          <w:szCs w:val="24"/>
          <w:lang w:val="lt-LT"/>
        </w:rPr>
        <w:t>=</w:t>
      </w:r>
      <m:oMath>
        <m:r>
          <w:rPr>
            <w:rFonts w:ascii="Cambria Math" w:eastAsiaTheme="minorEastAsia" w:hAnsi="Cambria Math" w:cs="Times New Roman"/>
            <w:sz w:val="24"/>
            <w:szCs w:val="24"/>
            <w:lang w:val="lt-LT"/>
          </w:rPr>
          <m:t xml:space="preserve">  </m:t>
        </m:r>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Nuosavas kapitalas</m:t>
            </m:r>
          </m:num>
          <m:den>
            <m:r>
              <w:rPr>
                <w:rFonts w:ascii="Cambria Math" w:eastAsiaTheme="minorEastAsia" w:hAnsi="Cambria Math" w:cs="Times New Roman"/>
                <w:sz w:val="24"/>
                <w:szCs w:val="24"/>
                <w:lang w:val="lt-LT"/>
              </w:rPr>
              <m:t>Įsipareigojimai</m:t>
            </m:r>
          </m:den>
        </m:f>
      </m:oMath>
      <w:r w:rsidR="005A0B80">
        <w:rPr>
          <w:rFonts w:ascii="Times New Roman" w:eastAsiaTheme="minorEastAsia" w:hAnsi="Times New Roman" w:cs="Times New Roman"/>
          <w:sz w:val="24"/>
          <w:szCs w:val="24"/>
          <w:lang w:val="lt-LT"/>
        </w:rPr>
        <w:t>;</w:t>
      </w:r>
    </w:p>
    <w:p w:rsidR="00E91DD6" w:rsidRDefault="00E91DD6" w:rsidP="005A0B80">
      <w:pPr>
        <w:spacing w:line="360" w:lineRule="auto"/>
        <w:ind w:firstLine="720"/>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ab/>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2</m:t>
            </m:r>
          </m:sub>
        </m:sSub>
      </m:oMath>
      <w:r>
        <w:rPr>
          <w:rFonts w:ascii="Times New Roman" w:eastAsiaTheme="minorEastAsia" w:hAnsi="Times New Roman" w:cs="Times New Roman"/>
          <w:sz w:val="24"/>
          <w:szCs w:val="24"/>
          <w:lang w:val="lt-LT"/>
        </w:rPr>
        <w:t>=</w:t>
      </w:r>
      <m:oMath>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Pardavimų pajamos</m:t>
            </m:r>
          </m:num>
          <m:den>
            <m:r>
              <w:rPr>
                <w:rFonts w:ascii="Cambria Math" w:eastAsiaTheme="minorEastAsia" w:hAnsi="Cambria Math" w:cs="Times New Roman"/>
                <w:sz w:val="24"/>
                <w:szCs w:val="24"/>
                <w:lang w:val="lt-LT"/>
              </w:rPr>
              <m:t>Turtas</m:t>
            </m:r>
          </m:den>
        </m:f>
      </m:oMath>
      <w:r>
        <w:rPr>
          <w:rFonts w:ascii="Times New Roman" w:eastAsiaTheme="minorEastAsia" w:hAnsi="Times New Roman" w:cs="Times New Roman"/>
          <w:sz w:val="24"/>
          <w:szCs w:val="24"/>
          <w:lang w:val="lt-LT"/>
        </w:rPr>
        <w:t>;</w:t>
      </w:r>
      <w:r w:rsidR="005A0B80">
        <w:rPr>
          <w:rFonts w:ascii="Times New Roman" w:eastAsiaTheme="minorEastAsia" w:hAnsi="Times New Roman" w:cs="Times New Roman"/>
          <w:sz w:val="24"/>
          <w:szCs w:val="24"/>
          <w:lang w:val="lt-LT"/>
        </w:rPr>
        <w:tab/>
      </w:r>
      <w:r w:rsidR="005A0B80">
        <w:rPr>
          <w:rFonts w:ascii="Times New Roman" w:eastAsiaTheme="minorEastAsia" w:hAnsi="Times New Roman" w:cs="Times New Roman"/>
          <w:sz w:val="24"/>
          <w:szCs w:val="24"/>
          <w:lang w:val="lt-LT"/>
        </w:rPr>
        <w:tab/>
      </w:r>
      <w:r w:rsidR="005A0B80">
        <w:rPr>
          <w:rFonts w:ascii="Times New Roman" w:eastAsiaTheme="minorEastAsia" w:hAnsi="Times New Roman" w:cs="Times New Roman"/>
          <w:sz w:val="24"/>
          <w:szCs w:val="24"/>
          <w:lang w:val="lt-LT"/>
        </w:rPr>
        <w:tab/>
      </w:r>
      <w:r w:rsidR="005A0B80">
        <w:rPr>
          <w:rFonts w:ascii="Times New Roman" w:eastAsiaTheme="minorEastAsia" w:hAnsi="Times New Roman" w:cs="Times New Roman"/>
          <w:sz w:val="24"/>
          <w:szCs w:val="24"/>
          <w:lang w:val="lt-LT"/>
        </w:rPr>
        <w:tab/>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5</m:t>
            </m:r>
          </m:sub>
        </m:sSub>
        <m:r>
          <w:rPr>
            <w:rFonts w:ascii="Cambria Math" w:hAnsi="Cambria Math" w:cs="Times New Roman"/>
            <w:sz w:val="24"/>
            <w:szCs w:val="24"/>
            <w:lang w:val="lt-LT"/>
          </w:rPr>
          <m:t>=</m:t>
        </m:r>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Nepaskirstytas pelnas</m:t>
            </m:r>
          </m:num>
          <m:den>
            <m:r>
              <w:rPr>
                <w:rFonts w:ascii="Cambria Math" w:eastAsiaTheme="minorEastAsia" w:hAnsi="Cambria Math" w:cs="Times New Roman"/>
                <w:sz w:val="24"/>
                <w:szCs w:val="24"/>
                <w:lang w:val="lt-LT"/>
              </w:rPr>
              <m:t>Turtas</m:t>
            </m:r>
          </m:den>
        </m:f>
      </m:oMath>
      <w:r w:rsidR="005A0B80">
        <w:rPr>
          <w:rFonts w:ascii="Times New Roman" w:eastAsiaTheme="minorEastAsia" w:hAnsi="Times New Roman" w:cs="Times New Roman"/>
          <w:sz w:val="24"/>
          <w:szCs w:val="24"/>
          <w:lang w:val="lt-LT"/>
        </w:rPr>
        <w:t>;</w:t>
      </w:r>
    </w:p>
    <w:p w:rsidR="00E91DD6" w:rsidRDefault="00E91DD6" w:rsidP="005A0B80">
      <w:pPr>
        <w:spacing w:line="360" w:lineRule="auto"/>
        <w:ind w:firstLine="720"/>
        <w:jc w:val="both"/>
        <w:rPr>
          <w:rFonts w:ascii="Times New Roman" w:eastAsiaTheme="minorEastAsia" w:hAnsi="Times New Roman" w:cs="Times New Roman"/>
          <w:sz w:val="24"/>
          <w:szCs w:val="24"/>
          <w:lang w:val="lt-LT"/>
        </w:rPr>
      </w:pPr>
      <w:r>
        <w:rPr>
          <w:rFonts w:ascii="Times New Roman" w:eastAsiaTheme="minorEastAsia" w:hAnsi="Times New Roman" w:cs="Times New Roman"/>
          <w:sz w:val="24"/>
          <w:szCs w:val="24"/>
          <w:lang w:val="lt-LT"/>
        </w:rPr>
        <w:tab/>
      </w: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X</m:t>
            </m:r>
          </m:e>
          <m:sub>
            <m:r>
              <w:rPr>
                <w:rFonts w:ascii="Cambria Math" w:hAnsi="Cambria Math" w:cs="Times New Roman"/>
                <w:sz w:val="24"/>
                <w:szCs w:val="24"/>
                <w:lang w:val="lt-LT"/>
              </w:rPr>
              <m:t>3</m:t>
            </m:r>
          </m:sub>
        </m:sSub>
        <m:r>
          <w:rPr>
            <w:rFonts w:ascii="Cambria Math" w:hAnsi="Cambria Math" w:cs="Times New Roman"/>
            <w:sz w:val="24"/>
            <w:szCs w:val="24"/>
            <w:lang w:val="lt-LT"/>
          </w:rPr>
          <m:t>=</m:t>
        </m:r>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Pelnas iki apmokestinimo</m:t>
            </m:r>
          </m:num>
          <m:den>
            <m:r>
              <w:rPr>
                <w:rFonts w:ascii="Cambria Math" w:eastAsiaTheme="minorEastAsia" w:hAnsi="Cambria Math" w:cs="Times New Roman"/>
                <w:sz w:val="24"/>
                <w:szCs w:val="24"/>
                <w:lang w:val="lt-LT"/>
              </w:rPr>
              <m:t>Turtas</m:t>
            </m:r>
          </m:den>
        </m:f>
      </m:oMath>
      <w:r w:rsidR="005A0B80">
        <w:rPr>
          <w:rFonts w:ascii="Times New Roman" w:eastAsiaTheme="minorEastAsia" w:hAnsi="Times New Roman" w:cs="Times New Roman"/>
          <w:sz w:val="24"/>
          <w:szCs w:val="24"/>
          <w:lang w:val="lt-LT"/>
        </w:rPr>
        <w:t>;</w:t>
      </w:r>
    </w:p>
    <w:p w:rsidR="00E91DD6" w:rsidRPr="00E91DD6" w:rsidRDefault="00E91DD6" w:rsidP="00E91DD6">
      <w:pPr>
        <w:spacing w:line="360" w:lineRule="auto"/>
        <w:ind w:firstLine="720"/>
        <w:jc w:val="both"/>
        <w:rPr>
          <w:rFonts w:ascii="Times New Roman" w:hAnsi="Times New Roman" w:cs="Times New Roman"/>
          <w:sz w:val="24"/>
          <w:szCs w:val="24"/>
          <w:lang w:val="lt-LT"/>
        </w:rPr>
      </w:pPr>
      <w:r>
        <w:rPr>
          <w:rFonts w:ascii="Times New Roman" w:eastAsiaTheme="minorEastAsia" w:hAnsi="Times New Roman" w:cs="Times New Roman"/>
          <w:sz w:val="24"/>
          <w:szCs w:val="24"/>
          <w:lang w:val="lt-LT"/>
        </w:rPr>
        <w:t xml:space="preserve">Bankroto tikimybė labai didelė, jei Z reikšmė yra mažiau nei </w:t>
      </w:r>
      <w:r w:rsidRPr="00185A64">
        <w:rPr>
          <w:rFonts w:ascii="Times New Roman" w:eastAsiaTheme="minorEastAsia" w:hAnsi="Times New Roman" w:cs="Times New Roman"/>
          <w:sz w:val="24"/>
          <w:szCs w:val="24"/>
          <w:lang w:val="lt-LT"/>
        </w:rPr>
        <w:t>1,23. Jei reik</w:t>
      </w:r>
      <w:r>
        <w:rPr>
          <w:rFonts w:ascii="Times New Roman" w:eastAsiaTheme="minorEastAsia" w:hAnsi="Times New Roman" w:cs="Times New Roman"/>
          <w:sz w:val="24"/>
          <w:szCs w:val="24"/>
          <w:lang w:val="lt-LT"/>
        </w:rPr>
        <w:t xml:space="preserve">šmė yra tarp </w:t>
      </w:r>
      <w:r w:rsidRPr="00185A64">
        <w:rPr>
          <w:rFonts w:ascii="Times New Roman" w:eastAsiaTheme="minorEastAsia" w:hAnsi="Times New Roman" w:cs="Times New Roman"/>
          <w:sz w:val="24"/>
          <w:szCs w:val="24"/>
          <w:lang w:val="lt-LT"/>
        </w:rPr>
        <w:t xml:space="preserve">1,23 ir 2,90 – bankrotas </w:t>
      </w:r>
      <w:r>
        <w:rPr>
          <w:rFonts w:ascii="Times New Roman" w:eastAsiaTheme="minorEastAsia" w:hAnsi="Times New Roman" w:cs="Times New Roman"/>
          <w:sz w:val="24"/>
          <w:szCs w:val="24"/>
          <w:lang w:val="lt-LT"/>
        </w:rPr>
        <w:t xml:space="preserve">įmanomas, o jei ji yra daugiau nei </w:t>
      </w:r>
      <w:r w:rsidRPr="00185A64">
        <w:rPr>
          <w:rFonts w:ascii="Times New Roman" w:eastAsiaTheme="minorEastAsia" w:hAnsi="Times New Roman" w:cs="Times New Roman"/>
          <w:sz w:val="24"/>
          <w:szCs w:val="24"/>
          <w:lang w:val="lt-LT"/>
        </w:rPr>
        <w:t>2,90 – bankroto tikimyb</w:t>
      </w:r>
      <w:r>
        <w:rPr>
          <w:rFonts w:ascii="Times New Roman" w:eastAsiaTheme="minorEastAsia" w:hAnsi="Times New Roman" w:cs="Times New Roman"/>
          <w:sz w:val="24"/>
          <w:szCs w:val="24"/>
          <w:lang w:val="lt-LT"/>
        </w:rPr>
        <w:t>ė labai maža.</w:t>
      </w:r>
    </w:p>
    <w:tbl>
      <w:tblPr>
        <w:tblW w:w="14424" w:type="dxa"/>
        <w:tblInd w:w="-162" w:type="dxa"/>
        <w:tblLook w:val="04A0" w:firstRow="1" w:lastRow="0" w:firstColumn="1" w:lastColumn="0" w:noHBand="0" w:noVBand="1"/>
      </w:tblPr>
      <w:tblGrid>
        <w:gridCol w:w="1530"/>
        <w:gridCol w:w="900"/>
        <w:gridCol w:w="666"/>
        <w:gridCol w:w="684"/>
        <w:gridCol w:w="666"/>
        <w:gridCol w:w="684"/>
        <w:gridCol w:w="720"/>
        <w:gridCol w:w="810"/>
        <w:gridCol w:w="666"/>
        <w:gridCol w:w="720"/>
        <w:gridCol w:w="720"/>
        <w:gridCol w:w="752"/>
        <w:gridCol w:w="666"/>
        <w:gridCol w:w="742"/>
        <w:gridCol w:w="712"/>
        <w:gridCol w:w="824"/>
        <w:gridCol w:w="666"/>
        <w:gridCol w:w="666"/>
        <w:gridCol w:w="666"/>
      </w:tblGrid>
      <w:tr w:rsidR="00E91DD6" w:rsidRPr="00195CE8" w:rsidTr="001E71AB">
        <w:trPr>
          <w:trHeight w:val="367"/>
        </w:trPr>
        <w:tc>
          <w:tcPr>
            <w:tcW w:w="1530" w:type="dxa"/>
            <w:tcBorders>
              <w:top w:val="single" w:sz="8" w:space="0" w:color="auto"/>
              <w:left w:val="single" w:sz="8" w:space="0" w:color="auto"/>
              <w:bottom w:val="nil"/>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X1</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X2</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X3</w:t>
            </w:r>
          </w:p>
        </w:tc>
        <w:tc>
          <w:tcPr>
            <w:tcW w:w="21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X4</w:t>
            </w:r>
          </w:p>
        </w:tc>
        <w:tc>
          <w:tcPr>
            <w:tcW w:w="22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X5</w:t>
            </w:r>
          </w:p>
        </w:tc>
        <w:tc>
          <w:tcPr>
            <w:tcW w:w="1998" w:type="dxa"/>
            <w:gridSpan w:val="3"/>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Z funkcija</w:t>
            </w:r>
          </w:p>
        </w:tc>
      </w:tr>
      <w:tr w:rsidR="001E71AB" w:rsidRPr="00195CE8" w:rsidTr="001E71AB">
        <w:trPr>
          <w:trHeight w:val="548"/>
        </w:trPr>
        <w:tc>
          <w:tcPr>
            <w:tcW w:w="1530" w:type="dxa"/>
            <w:tcBorders>
              <w:top w:val="nil"/>
              <w:left w:val="single" w:sz="8" w:space="0" w:color="auto"/>
              <w:bottom w:val="nil"/>
              <w:right w:val="single" w:sz="4" w:space="0" w:color="auto"/>
            </w:tcBorders>
            <w:shd w:val="clear" w:color="auto" w:fill="auto"/>
            <w:vAlign w:val="bottom"/>
            <w:hideMark/>
          </w:tcPr>
          <w:p w:rsidR="00E91DD6" w:rsidRPr="00195CE8" w:rsidRDefault="00E91DD6" w:rsidP="00266693">
            <w:pPr>
              <w:spacing w:after="0" w:line="240" w:lineRule="auto"/>
              <w:jc w:val="center"/>
              <w:rPr>
                <w:rFonts w:ascii="Times New Roman" w:eastAsia="Times New Roman" w:hAnsi="Times New Roman" w:cs="Times New Roman"/>
                <w:b/>
                <w:bCs/>
                <w:kern w:val="0"/>
                <w:sz w:val="20"/>
                <w:szCs w:val="20"/>
                <w:lang w:val="lt-LT"/>
                <w14:ligatures w14:val="none"/>
              </w:rPr>
            </w:pPr>
            <w:r w:rsidRPr="00195CE8">
              <w:rPr>
                <w:rFonts w:ascii="Times New Roman" w:eastAsia="Times New Roman" w:hAnsi="Times New Roman" w:cs="Times New Roman"/>
                <w:b/>
                <w:bCs/>
                <w:kern w:val="0"/>
                <w:sz w:val="20"/>
                <w:szCs w:val="20"/>
                <w:lang w:val="lt-LT"/>
                <w14:ligatures w14:val="none"/>
              </w:rPr>
              <w:t> </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2011</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2012</w:t>
            </w:r>
          </w:p>
        </w:tc>
        <w:tc>
          <w:tcPr>
            <w:tcW w:w="684"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2013</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2011</w:t>
            </w:r>
          </w:p>
        </w:tc>
        <w:tc>
          <w:tcPr>
            <w:tcW w:w="684"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2012</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2013</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2011</w:t>
            </w:r>
          </w:p>
        </w:tc>
        <w:tc>
          <w:tcPr>
            <w:tcW w:w="63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2012</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2013</w:t>
            </w:r>
          </w:p>
        </w:tc>
        <w:tc>
          <w:tcPr>
            <w:tcW w:w="72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2011</w:t>
            </w:r>
          </w:p>
        </w:tc>
        <w:tc>
          <w:tcPr>
            <w:tcW w:w="75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2012</w:t>
            </w:r>
          </w:p>
        </w:tc>
        <w:tc>
          <w:tcPr>
            <w:tcW w:w="666"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2013</w:t>
            </w:r>
          </w:p>
        </w:tc>
        <w:tc>
          <w:tcPr>
            <w:tcW w:w="74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2011</w:t>
            </w:r>
          </w:p>
        </w:tc>
        <w:tc>
          <w:tcPr>
            <w:tcW w:w="712"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2012</w:t>
            </w:r>
          </w:p>
        </w:tc>
        <w:tc>
          <w:tcPr>
            <w:tcW w:w="824"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2013</w:t>
            </w:r>
          </w:p>
        </w:tc>
        <w:tc>
          <w:tcPr>
            <w:tcW w:w="666" w:type="dxa"/>
            <w:tcBorders>
              <w:top w:val="nil"/>
              <w:left w:val="single" w:sz="4" w:space="0" w:color="auto"/>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2011</w:t>
            </w:r>
          </w:p>
        </w:tc>
        <w:tc>
          <w:tcPr>
            <w:tcW w:w="666" w:type="dxa"/>
            <w:tcBorders>
              <w:top w:val="nil"/>
              <w:left w:val="nil"/>
              <w:bottom w:val="single" w:sz="4" w:space="0" w:color="auto"/>
              <w:right w:val="single" w:sz="4"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2012</w:t>
            </w:r>
          </w:p>
        </w:tc>
        <w:tc>
          <w:tcPr>
            <w:tcW w:w="666" w:type="dxa"/>
            <w:tcBorders>
              <w:top w:val="nil"/>
              <w:left w:val="nil"/>
              <w:bottom w:val="single" w:sz="4" w:space="0" w:color="auto"/>
              <w:right w:val="single" w:sz="8" w:space="0" w:color="auto"/>
            </w:tcBorders>
            <w:shd w:val="clear" w:color="auto" w:fill="E7E6E6" w:themeFill="background2"/>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2013</w:t>
            </w:r>
          </w:p>
        </w:tc>
      </w:tr>
      <w:tr w:rsidR="001E71AB" w:rsidRPr="00195CE8" w:rsidTr="001E71AB">
        <w:trPr>
          <w:trHeight w:val="315"/>
        </w:trPr>
        <w:tc>
          <w:tcPr>
            <w:tcW w:w="1530" w:type="dxa"/>
            <w:tcBorders>
              <w:top w:val="single" w:sz="4" w:space="0" w:color="000000"/>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Achemos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0.098</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0.159</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0.155</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0.172</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Akademinė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0.106</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0.176</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0.263</w:t>
            </w:r>
          </w:p>
        </w:tc>
      </w:tr>
      <w:tr w:rsidR="001E71AB" w:rsidRPr="00195CE8" w:rsidTr="001E71AB">
        <w:trPr>
          <w:trHeight w:val="300"/>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Alytaus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0.148</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0.252</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0.302</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Anykščių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0.164</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0.179</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0.200</w:t>
            </w:r>
          </w:p>
        </w:tc>
      </w:tr>
      <w:tr w:rsidR="001E71AB" w:rsidRPr="00195CE8" w:rsidTr="001E71AB">
        <w:trPr>
          <w:trHeight w:val="315"/>
        </w:trPr>
        <w:tc>
          <w:tcPr>
            <w:tcW w:w="1530" w:type="dxa"/>
            <w:tcBorders>
              <w:top w:val="nil"/>
              <w:left w:val="single" w:sz="8"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Aukštaitijos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0.235</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0.257</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0.285</w:t>
            </w: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Biržų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0.149</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0.151</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0.196</w:t>
            </w:r>
          </w:p>
        </w:tc>
      </w:tr>
      <w:tr w:rsidR="001E71AB" w:rsidRPr="00195CE8" w:rsidTr="001E71AB">
        <w:trPr>
          <w:trHeight w:val="315"/>
        </w:trPr>
        <w:tc>
          <w:tcPr>
            <w:tcW w:w="1530" w:type="dxa"/>
            <w:tcBorders>
              <w:top w:val="single" w:sz="4" w:space="0" w:color="auto"/>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Centrinė taupomoji kasa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-0.022</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0.112</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0.068</w:t>
            </w:r>
          </w:p>
        </w:tc>
      </w:tr>
      <w:tr w:rsidR="001E71AB" w:rsidRPr="00195CE8" w:rsidTr="001E71AB">
        <w:trPr>
          <w:trHeight w:val="315"/>
        </w:trPr>
        <w:tc>
          <w:tcPr>
            <w:tcW w:w="1530" w:type="dxa"/>
            <w:tcBorders>
              <w:top w:val="nil"/>
              <w:left w:val="single" w:sz="8"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Druskininkų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0.089</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0.255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-0.291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-0.028</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0.125</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-0.116</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0.305</w:t>
            </w: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lastRenderedPageBreak/>
              <w:t>Gargždų taupa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0.156</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0.223</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0.188</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0.273</w:t>
            </w:r>
          </w:p>
        </w:tc>
      </w:tr>
      <w:tr w:rsidR="001E71AB" w:rsidRPr="00195CE8" w:rsidTr="001E71AB">
        <w:trPr>
          <w:trHeight w:val="315"/>
        </w:trPr>
        <w:tc>
          <w:tcPr>
            <w:tcW w:w="1530" w:type="dxa"/>
            <w:tcBorders>
              <w:top w:val="single" w:sz="4" w:space="0" w:color="auto"/>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Germanto lobis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0.122</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0.148</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0.208</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Giminėlė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0.074</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0.149</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0.209</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0.025</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-0.029</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0.208</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-0.133</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0.253</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Grigiškių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0.266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0.059</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-0.142</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-0.153</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0.485</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Grinkiškio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0.158</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0.267</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0.230</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0.269</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Gyventojų ir smulkaus verslo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0.179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0.226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-0.026</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0.296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0.152</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0.243</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Ignalinos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0.234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0.101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0.044</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0.346</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Jonavos žemė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0.172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0.064</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0.157</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0.068</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0.256</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Joniškio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0.159</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0.176</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0.170</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Jurbarko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0.206</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0.286</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Kaišiadorių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0.172</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0.159</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0.218</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Kauno arkivyskupijos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0.303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0.281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0.165</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0.034</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0.400</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Kauno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-0.234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-0.234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0.143</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-0.819</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0.319</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Kėdainių krašto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0.137</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0.120</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0.268</w:t>
            </w:r>
          </w:p>
        </w:tc>
      </w:tr>
      <w:tr w:rsidR="001E71AB" w:rsidRPr="00195CE8" w:rsidTr="001E71AB">
        <w:trPr>
          <w:trHeight w:val="315"/>
        </w:trPr>
        <w:tc>
          <w:tcPr>
            <w:tcW w:w="1530" w:type="dxa"/>
            <w:tcBorders>
              <w:top w:val="nil"/>
              <w:left w:val="single" w:sz="8"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Kelmės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0.086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0.194</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0.175</w:t>
            </w: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Klaipėdos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0.140</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0.241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-0.019</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0.119</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-0.046</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0.236</w:t>
            </w:r>
          </w:p>
        </w:tc>
      </w:tr>
      <w:tr w:rsidR="001E71AB" w:rsidRPr="00195CE8" w:rsidTr="001E71AB">
        <w:trPr>
          <w:trHeight w:val="315"/>
        </w:trPr>
        <w:tc>
          <w:tcPr>
            <w:tcW w:w="1530" w:type="dxa"/>
            <w:tcBorders>
              <w:top w:val="single" w:sz="4" w:space="0" w:color="auto"/>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Klausučių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0.274</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0.280</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0.223</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0.359</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Kretingos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0.155</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0.148</w:t>
            </w:r>
          </w:p>
        </w:tc>
        <w:tc>
          <w:tcPr>
            <w:tcW w:w="666" w:type="dxa"/>
            <w:tcBorders>
              <w:top w:val="nil"/>
              <w:left w:val="nil"/>
              <w:bottom w:val="single" w:sz="4" w:space="0" w:color="auto"/>
              <w:right w:val="single" w:sz="8" w:space="0" w:color="auto"/>
            </w:tcBorders>
            <w:shd w:val="clear" w:color="auto" w:fill="auto"/>
            <w:noWrap/>
            <w:vAlign w:val="bottom"/>
            <w:hideMark/>
          </w:tcPr>
          <w:p w:rsidR="005A0B80" w:rsidRPr="00195CE8" w:rsidRDefault="00E91DD6" w:rsidP="005A0B80">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0.208</w:t>
            </w:r>
          </w:p>
        </w:tc>
      </w:tr>
      <w:tr w:rsidR="001E71AB" w:rsidRPr="00195CE8" w:rsidTr="001E71AB">
        <w:trPr>
          <w:trHeight w:val="315"/>
        </w:trPr>
        <w:tc>
          <w:tcPr>
            <w:tcW w:w="1530" w:type="dxa"/>
            <w:tcBorders>
              <w:top w:val="nil"/>
              <w:left w:val="single" w:sz="8" w:space="0" w:color="auto"/>
              <w:bottom w:val="single" w:sz="4" w:space="0" w:color="auto"/>
              <w:right w:val="single" w:sz="4" w:space="0" w:color="auto"/>
            </w:tcBorders>
            <w:shd w:val="clear" w:color="auto" w:fill="auto"/>
            <w:noWrap/>
          </w:tcPr>
          <w:p w:rsidR="001E71AB" w:rsidRPr="00195CE8" w:rsidRDefault="001E71AB" w:rsidP="00266693">
            <w:pPr>
              <w:spacing w:after="0" w:line="240" w:lineRule="auto"/>
              <w:rPr>
                <w:rFonts w:ascii="Times New Roman" w:eastAsia="Times New Roman" w:hAnsi="Times New Roman" w:cs="Times New Roman"/>
                <w:color w:val="000000"/>
                <w:kern w:val="0"/>
                <w:sz w:val="20"/>
                <w:szCs w:val="20"/>
                <w:lang w:val="lt-LT"/>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p>
        </w:tc>
        <w:tc>
          <w:tcPr>
            <w:tcW w:w="666" w:type="dxa"/>
            <w:tcBorders>
              <w:top w:val="nil"/>
              <w:left w:val="single" w:sz="4" w:space="0" w:color="auto"/>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p>
        </w:tc>
        <w:tc>
          <w:tcPr>
            <w:tcW w:w="666" w:type="dxa"/>
            <w:tcBorders>
              <w:top w:val="nil"/>
              <w:left w:val="nil"/>
              <w:bottom w:val="single" w:sz="4" w:space="0" w:color="auto"/>
              <w:right w:val="single" w:sz="4" w:space="0" w:color="auto"/>
            </w:tcBorders>
            <w:shd w:val="clear" w:color="auto" w:fill="auto"/>
            <w:noWrap/>
            <w:vAlign w:val="bottom"/>
          </w:tcPr>
          <w:p w:rsidR="001E71AB" w:rsidRPr="00195CE8" w:rsidRDefault="001E71AB"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p>
        </w:tc>
        <w:tc>
          <w:tcPr>
            <w:tcW w:w="666" w:type="dxa"/>
            <w:tcBorders>
              <w:top w:val="nil"/>
              <w:left w:val="nil"/>
              <w:bottom w:val="single" w:sz="4" w:space="0" w:color="auto"/>
              <w:right w:val="single" w:sz="8" w:space="0" w:color="auto"/>
            </w:tcBorders>
            <w:shd w:val="clear" w:color="auto" w:fill="auto"/>
            <w:noWrap/>
            <w:vAlign w:val="bottom"/>
          </w:tcPr>
          <w:p w:rsidR="001E71AB" w:rsidRPr="00195CE8" w:rsidRDefault="001E71AB" w:rsidP="005A0B80">
            <w:pPr>
              <w:spacing w:after="0" w:line="240" w:lineRule="auto"/>
              <w:jc w:val="center"/>
              <w:rPr>
                <w:rFonts w:ascii="Times New Roman" w:eastAsia="Times New Roman" w:hAnsi="Times New Roman" w:cs="Times New Roman"/>
                <w:b/>
                <w:color w:val="000000"/>
                <w:kern w:val="0"/>
                <w:sz w:val="20"/>
                <w:szCs w:val="20"/>
                <w:lang w:val="lt-LT"/>
                <w14:ligatures w14:val="none"/>
              </w:rPr>
            </w:pP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1E71AB" w:rsidP="00266693">
            <w:pPr>
              <w:spacing w:after="0" w:line="240" w:lineRule="auto"/>
              <w:rPr>
                <w:rFonts w:ascii="Times New Roman" w:eastAsia="Times New Roman" w:hAnsi="Times New Roman" w:cs="Times New Roman"/>
                <w:color w:val="000000"/>
                <w:kern w:val="0"/>
                <w:sz w:val="20"/>
                <w:szCs w:val="20"/>
                <w:lang w:val="lt-LT"/>
                <w14:ligatures w14:val="none"/>
              </w:rPr>
            </w:pPr>
            <w:proofErr w:type="spellStart"/>
            <w:r>
              <w:rPr>
                <w:rFonts w:ascii="Times New Roman" w:eastAsia="Times New Roman" w:hAnsi="Times New Roman" w:cs="Times New Roman"/>
                <w:color w:val="000000"/>
                <w:kern w:val="0"/>
                <w:sz w:val="20"/>
                <w:szCs w:val="20"/>
                <w:lang w:val="lt-LT"/>
                <w14:ligatures w14:val="none"/>
              </w:rPr>
              <w:lastRenderedPageBreak/>
              <w:t>Kupiškėnų</w:t>
            </w:r>
            <w:proofErr w:type="spellEnd"/>
            <w:r>
              <w:rPr>
                <w:rFonts w:ascii="Times New Roman" w:eastAsia="Times New Roman" w:hAnsi="Times New Roman" w:cs="Times New Roman"/>
                <w:color w:val="000000"/>
                <w:kern w:val="0"/>
                <w:sz w:val="20"/>
                <w:szCs w:val="20"/>
                <w:lang w:val="lt-LT"/>
                <w14:ligatures w14:val="none"/>
              </w:rPr>
              <w:t xml:space="preserve"> taupa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0.129</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0.167</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0.150</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0.288</w:t>
            </w:r>
          </w:p>
        </w:tc>
      </w:tr>
      <w:tr w:rsidR="001E71AB" w:rsidRPr="00195CE8" w:rsidTr="001E71AB">
        <w:trPr>
          <w:trHeight w:val="315"/>
        </w:trPr>
        <w:tc>
          <w:tcPr>
            <w:tcW w:w="1530" w:type="dxa"/>
            <w:tcBorders>
              <w:top w:val="single" w:sz="4" w:space="0" w:color="auto"/>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Kvėdarnos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0.074</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0.025</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0.121</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0.202</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Laikinosios sostines kreditas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0.099</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0.121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-0.233</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0.000</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451DAA" w:rsidP="00266693">
            <w:pPr>
              <w:spacing w:after="0" w:line="240" w:lineRule="auto"/>
              <w:rPr>
                <w:rFonts w:ascii="Times New Roman" w:eastAsia="Times New Roman" w:hAnsi="Times New Roman" w:cs="Times New Roman"/>
                <w:color w:val="000000"/>
                <w:kern w:val="0"/>
                <w:sz w:val="20"/>
                <w:szCs w:val="20"/>
                <w:lang w:val="lt-LT"/>
                <w14:ligatures w14:val="none"/>
              </w:rPr>
            </w:pPr>
            <w:r>
              <w:rPr>
                <w:rFonts w:ascii="Times New Roman" w:eastAsia="Times New Roman" w:hAnsi="Times New Roman" w:cs="Times New Roman"/>
                <w:color w:val="000000"/>
                <w:kern w:val="0"/>
                <w:sz w:val="20"/>
                <w:szCs w:val="20"/>
                <w:lang w:val="lt-LT"/>
                <w14:ligatures w14:val="none"/>
              </w:rPr>
              <w:t>Maž</w:t>
            </w:r>
            <w:r w:rsidR="00E91DD6" w:rsidRPr="00195CE8">
              <w:rPr>
                <w:rFonts w:ascii="Times New Roman" w:eastAsia="Times New Roman" w:hAnsi="Times New Roman" w:cs="Times New Roman"/>
                <w:color w:val="000000"/>
                <w:kern w:val="0"/>
                <w:sz w:val="20"/>
                <w:szCs w:val="20"/>
                <w:lang w:val="lt-LT"/>
                <w14:ligatures w14:val="none"/>
              </w:rPr>
              <w:t>eikių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0.185</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0.163</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0.234</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proofErr w:type="spellStart"/>
            <w:r w:rsidRPr="00195CE8">
              <w:rPr>
                <w:rFonts w:ascii="Times New Roman" w:eastAsia="Times New Roman" w:hAnsi="Times New Roman" w:cs="Times New Roman"/>
                <w:color w:val="000000"/>
                <w:kern w:val="0"/>
                <w:sz w:val="20"/>
                <w:szCs w:val="20"/>
                <w:lang w:val="lt-LT"/>
                <w14:ligatures w14:val="none"/>
              </w:rPr>
              <w:t>Mėmelio</w:t>
            </w:r>
            <w:proofErr w:type="spellEnd"/>
            <w:r w:rsidRPr="00195CE8">
              <w:rPr>
                <w:rFonts w:ascii="Times New Roman" w:eastAsia="Times New Roman" w:hAnsi="Times New Roman" w:cs="Times New Roman"/>
                <w:color w:val="000000"/>
                <w:kern w:val="0"/>
                <w:sz w:val="20"/>
                <w:szCs w:val="20"/>
                <w:lang w:val="lt-LT"/>
                <w14:ligatures w14:val="none"/>
              </w:rPr>
              <w:t xml:space="preserve"> taupomoji kasa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0.136</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0.185</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0.134</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0.108</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Moterų taupa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0.107</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0.154</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0.163</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0.173</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Nacionalinė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-0.299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0.084</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0.278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-0.580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0.172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0.214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-0.580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-2.267</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0.000</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Naftininkų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0.129</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0.017</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0.320</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0.266</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0.283</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Pagėgių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0.226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0.157</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0.170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0.186</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0.372</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Pajūrio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0.178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0.257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0.312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-0.146</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0.023</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-0.332</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0.114</w:t>
            </w:r>
          </w:p>
        </w:tc>
      </w:tr>
      <w:tr w:rsidR="001E71AB" w:rsidRPr="00195CE8" w:rsidTr="001E71AB">
        <w:trPr>
          <w:trHeight w:val="300"/>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Pakruojo ūkininkų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0.069</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-0.036</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-0.047</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0.195</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0.186</w:t>
            </w:r>
          </w:p>
        </w:tc>
      </w:tr>
      <w:tr w:rsidR="001E71AB" w:rsidRPr="00195CE8" w:rsidTr="001E71AB">
        <w:trPr>
          <w:trHeight w:val="300"/>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Palangos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0.223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-0.231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0.247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0.048</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-0.258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-0.097</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0.408</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-0.900</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-0.034</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Panevėžio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0.074</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-0.026</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0.056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0.164</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0.108</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Pareigūnų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0.214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0.016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0.187</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0.276</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Pasvalio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0.153</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0.232</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Prienų taupa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0.131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0.163</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0.244</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Radviliškio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0.191</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0.098</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0.286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0.197</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0.232</w:t>
            </w:r>
          </w:p>
        </w:tc>
      </w:tr>
      <w:tr w:rsidR="001E71AB" w:rsidRPr="00195CE8" w:rsidTr="001E71AB">
        <w:trPr>
          <w:trHeight w:val="64"/>
        </w:trPr>
        <w:tc>
          <w:tcPr>
            <w:tcW w:w="1530" w:type="dxa"/>
            <w:tcBorders>
              <w:top w:val="nil"/>
              <w:left w:val="single" w:sz="8"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Raseinių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0.094</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0.127</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0.016</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0.015</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0.244</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0.186</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0.320</w:t>
            </w: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Rokiškio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0.152</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0.153</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0.146</w:t>
            </w:r>
          </w:p>
        </w:tc>
      </w:tr>
      <w:tr w:rsidR="001E71AB" w:rsidRPr="00195CE8" w:rsidTr="001E71AB">
        <w:trPr>
          <w:trHeight w:val="315"/>
        </w:trPr>
        <w:tc>
          <w:tcPr>
            <w:tcW w:w="1530" w:type="dxa"/>
            <w:tcBorders>
              <w:top w:val="single" w:sz="4" w:space="0" w:color="auto"/>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lastRenderedPageBreak/>
              <w:t>Savas rūpestis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0.139</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0.344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0.187</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0.267</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Sedos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0.173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0.168</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0.244</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0.268</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0.299</w:t>
            </w:r>
          </w:p>
        </w:tc>
      </w:tr>
      <w:tr w:rsidR="001E71AB" w:rsidRPr="00195CE8" w:rsidTr="001E71AB">
        <w:trPr>
          <w:trHeight w:val="315"/>
        </w:trPr>
        <w:tc>
          <w:tcPr>
            <w:tcW w:w="1530" w:type="dxa"/>
            <w:tcBorders>
              <w:top w:val="nil"/>
              <w:left w:val="single" w:sz="8"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proofErr w:type="spellStart"/>
            <w:r w:rsidRPr="00195CE8">
              <w:rPr>
                <w:rFonts w:ascii="Times New Roman" w:eastAsia="Times New Roman" w:hAnsi="Times New Roman" w:cs="Times New Roman"/>
                <w:color w:val="000000"/>
                <w:kern w:val="0"/>
                <w:sz w:val="20"/>
                <w:szCs w:val="20"/>
                <w:lang w:val="lt-LT"/>
                <w14:ligatures w14:val="none"/>
              </w:rPr>
              <w:t>Šešiagrašis</w:t>
            </w:r>
            <w:proofErr w:type="spellEnd"/>
            <w:r w:rsidRPr="00195CE8">
              <w:rPr>
                <w:rFonts w:ascii="Times New Roman" w:eastAsia="Times New Roman" w:hAnsi="Times New Roman" w:cs="Times New Roman"/>
                <w:color w:val="000000"/>
                <w:kern w:val="0"/>
                <w:sz w:val="20"/>
                <w:szCs w:val="20"/>
                <w:lang w:val="lt-LT"/>
                <w14:ligatures w14:val="none"/>
              </w:rPr>
              <w:t xml:space="preserve">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0.257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0.223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0.073</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0.335</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0.395</w:t>
            </w: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Šilalės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0.124</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0.236</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0.096</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0.226</w:t>
            </w:r>
          </w:p>
        </w:tc>
      </w:tr>
      <w:tr w:rsidR="001E71AB" w:rsidRPr="00195CE8" w:rsidTr="001E71AB">
        <w:trPr>
          <w:trHeight w:val="315"/>
        </w:trPr>
        <w:tc>
          <w:tcPr>
            <w:tcW w:w="1530" w:type="dxa"/>
            <w:tcBorders>
              <w:top w:val="single" w:sz="4" w:space="0" w:color="auto"/>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Šilutės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0.174</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0.188</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0.229</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Skuodo bankelis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0.107</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0.162</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0.144</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0.135</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Sostinės kreditas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0.118</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0.174</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0.198</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0.162</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Sūduvos parama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0.159</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0.160</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0.375</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proofErr w:type="spellStart"/>
            <w:r w:rsidRPr="00195CE8">
              <w:rPr>
                <w:rFonts w:ascii="Times New Roman" w:eastAsia="Times New Roman" w:hAnsi="Times New Roman" w:cs="Times New Roman"/>
                <w:color w:val="000000"/>
                <w:kern w:val="0"/>
                <w:sz w:val="20"/>
                <w:szCs w:val="20"/>
                <w:lang w:val="lt-LT"/>
                <w14:ligatures w14:val="none"/>
              </w:rPr>
              <w:t>Svyturio</w:t>
            </w:r>
            <w:proofErr w:type="spellEnd"/>
            <w:r w:rsidRPr="00195CE8">
              <w:rPr>
                <w:rFonts w:ascii="Times New Roman" w:eastAsia="Times New Roman" w:hAnsi="Times New Roman" w:cs="Times New Roman"/>
                <w:color w:val="000000"/>
                <w:kern w:val="0"/>
                <w:sz w:val="20"/>
                <w:szCs w:val="20"/>
                <w:lang w:val="lt-LT"/>
                <w14:ligatures w14:val="none"/>
              </w:rPr>
              <w:t xml:space="preserve"> taupomoji kasa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-0.217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0.184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-0.088</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-0.217</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-0.146</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-0.710</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0.000</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Tauragės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0.130</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0.188</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0.200</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0.224</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Tikroji viltis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0.011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0.159</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0.257</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Trakų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0.209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0.168</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0.160</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0.187</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0.385</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Ūkininkų taupa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-0.015</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0.217</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0.147</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0.267</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Ukmergės ūkininkų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0.230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0.162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0.007</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0.273</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0.249</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0.358</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Utenos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-0.029</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0.167</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0.071</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0.234</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Varėnos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0.100</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0.153</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0.162</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0.187</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Vievio taupa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0.193</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0.099</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0.190</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Vilkaviškio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0.127</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0.150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0.140</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0.019</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0.012</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0.211</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0.302</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0.287</w:t>
            </w:r>
          </w:p>
        </w:tc>
      </w:tr>
      <w:tr w:rsidR="001E71AB" w:rsidRPr="00195CE8" w:rsidTr="001E71AB">
        <w:trPr>
          <w:trHeight w:val="315"/>
        </w:trPr>
        <w:tc>
          <w:tcPr>
            <w:tcW w:w="1530" w:type="dxa"/>
            <w:tcBorders>
              <w:top w:val="nil"/>
              <w:left w:val="single" w:sz="8"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Vilniaus kreditas“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0.046</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0.079</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0.191</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0.142</w:t>
            </w: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lastRenderedPageBreak/>
              <w:t>Vilniaus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0.109</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0.048</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0.103</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0.159</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0.189</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0.195</w:t>
            </w:r>
          </w:p>
        </w:tc>
      </w:tr>
      <w:tr w:rsidR="001E71AB" w:rsidRPr="00195CE8" w:rsidTr="001E71AB">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Vilniaus regiono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0.075</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0.225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0.172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0.222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-0.037</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0.012</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0.145</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0.445</w:t>
            </w:r>
          </w:p>
        </w:tc>
      </w:tr>
      <w:tr w:rsidR="001E71AB" w:rsidRPr="00195CE8" w:rsidTr="001E71AB">
        <w:trPr>
          <w:trHeight w:val="315"/>
        </w:trPr>
        <w:tc>
          <w:tcPr>
            <w:tcW w:w="1530" w:type="dxa"/>
            <w:tcBorders>
              <w:top w:val="single" w:sz="4" w:space="0" w:color="auto"/>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Vilniaus taupomoji kasa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0.127</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0.134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0.173</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0.102</w:t>
            </w:r>
          </w:p>
        </w:tc>
        <w:tc>
          <w:tcPr>
            <w:tcW w:w="666" w:type="dxa"/>
            <w:tcBorders>
              <w:top w:val="single" w:sz="4" w:space="0" w:color="auto"/>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-0.215</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Zanavykų bankelis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0.083</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0.032</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0.047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0.068</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0.003</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0.001</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0.113</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0.150</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0.114</w:t>
            </w:r>
          </w:p>
        </w:tc>
      </w:tr>
      <w:tr w:rsidR="001E71AB" w:rsidRPr="00195CE8" w:rsidTr="001E71AB">
        <w:trPr>
          <w:trHeight w:val="315"/>
        </w:trPr>
        <w:tc>
          <w:tcPr>
            <w:tcW w:w="1530" w:type="dxa"/>
            <w:tcBorders>
              <w:top w:val="nil"/>
              <w:left w:val="single" w:sz="8" w:space="0" w:color="auto"/>
              <w:bottom w:val="single" w:sz="4" w:space="0" w:color="000000"/>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Žemaitijos valstiečių kredito unija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0.104</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0.141</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0.060</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0.095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0.145</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0.110</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0.008</w:t>
            </w:r>
          </w:p>
        </w:tc>
        <w:tc>
          <w:tcPr>
            <w:tcW w:w="666" w:type="dxa"/>
            <w:tcBorders>
              <w:top w:val="nil"/>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0.247</w:t>
            </w:r>
          </w:p>
        </w:tc>
        <w:tc>
          <w:tcPr>
            <w:tcW w:w="666" w:type="dxa"/>
            <w:tcBorders>
              <w:top w:val="nil"/>
              <w:left w:val="nil"/>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0.207</w:t>
            </w:r>
          </w:p>
        </w:tc>
        <w:tc>
          <w:tcPr>
            <w:tcW w:w="666" w:type="dxa"/>
            <w:tcBorders>
              <w:top w:val="nil"/>
              <w:left w:val="nil"/>
              <w:bottom w:val="single" w:sz="4"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0.259</w:t>
            </w:r>
          </w:p>
        </w:tc>
      </w:tr>
      <w:tr w:rsidR="001E71AB" w:rsidRPr="00195CE8" w:rsidTr="001E71AB">
        <w:trPr>
          <w:trHeight w:val="330"/>
        </w:trPr>
        <w:tc>
          <w:tcPr>
            <w:tcW w:w="1530" w:type="dxa"/>
            <w:tcBorders>
              <w:top w:val="nil"/>
              <w:left w:val="single" w:sz="8" w:space="0" w:color="auto"/>
              <w:bottom w:val="single" w:sz="8" w:space="0" w:color="auto"/>
              <w:right w:val="single" w:sz="4" w:space="0" w:color="auto"/>
            </w:tcBorders>
            <w:shd w:val="clear" w:color="auto" w:fill="auto"/>
            <w:noWrap/>
            <w:hideMark/>
          </w:tcPr>
          <w:p w:rsidR="00E91DD6" w:rsidRPr="00195CE8" w:rsidRDefault="00E91DD6" w:rsidP="00266693">
            <w:pPr>
              <w:spacing w:after="0" w:line="240" w:lineRule="auto"/>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Žemdirbio gerovė</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0.061</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0.066</w:t>
            </w:r>
          </w:p>
        </w:tc>
        <w:tc>
          <w:tcPr>
            <w:tcW w:w="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0.125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-0.056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0.082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0.065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0.142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0.021</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-0.078</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color w:val="000000"/>
                <w:kern w:val="0"/>
                <w:sz w:val="20"/>
                <w:szCs w:val="20"/>
                <w:lang w:val="lt-LT"/>
                <w14:ligatures w14:val="none"/>
              </w:rPr>
            </w:pPr>
            <w:r w:rsidRPr="00195CE8">
              <w:rPr>
                <w:rFonts w:ascii="Times New Roman" w:eastAsia="Times New Roman" w:hAnsi="Times New Roman" w:cs="Times New Roman"/>
                <w:color w:val="000000"/>
                <w:kern w:val="0"/>
                <w:sz w:val="20"/>
                <w:szCs w:val="20"/>
                <w:lang w:val="lt-LT"/>
                <w14:ligatures w14:val="none"/>
              </w:rPr>
              <w:t>0.010</w:t>
            </w:r>
          </w:p>
        </w:tc>
        <w:tc>
          <w:tcPr>
            <w:tcW w:w="666" w:type="dxa"/>
            <w:tcBorders>
              <w:top w:val="nil"/>
              <w:left w:val="single" w:sz="4" w:space="0" w:color="auto"/>
              <w:bottom w:val="single" w:sz="8"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0.236</w:t>
            </w:r>
          </w:p>
        </w:tc>
        <w:tc>
          <w:tcPr>
            <w:tcW w:w="666" w:type="dxa"/>
            <w:tcBorders>
              <w:top w:val="nil"/>
              <w:left w:val="nil"/>
              <w:bottom w:val="single" w:sz="8" w:space="0" w:color="auto"/>
              <w:right w:val="single" w:sz="4"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-0.116</w:t>
            </w:r>
          </w:p>
        </w:tc>
        <w:tc>
          <w:tcPr>
            <w:tcW w:w="666" w:type="dxa"/>
            <w:tcBorders>
              <w:top w:val="nil"/>
              <w:left w:val="nil"/>
              <w:bottom w:val="single" w:sz="8" w:space="0" w:color="auto"/>
              <w:right w:val="single" w:sz="8" w:space="0" w:color="auto"/>
            </w:tcBorders>
            <w:shd w:val="clear" w:color="auto" w:fill="auto"/>
            <w:noWrap/>
            <w:vAlign w:val="bottom"/>
            <w:hideMark/>
          </w:tcPr>
          <w:p w:rsidR="00E91DD6" w:rsidRPr="00195CE8" w:rsidRDefault="00E91DD6" w:rsidP="00266693">
            <w:pPr>
              <w:spacing w:after="0" w:line="240" w:lineRule="auto"/>
              <w:jc w:val="center"/>
              <w:rPr>
                <w:rFonts w:ascii="Times New Roman" w:eastAsia="Times New Roman" w:hAnsi="Times New Roman" w:cs="Times New Roman"/>
                <w:b/>
                <w:color w:val="000000"/>
                <w:kern w:val="0"/>
                <w:sz w:val="20"/>
                <w:szCs w:val="20"/>
                <w:lang w:val="lt-LT"/>
                <w14:ligatures w14:val="none"/>
              </w:rPr>
            </w:pPr>
            <w:r w:rsidRPr="00195CE8">
              <w:rPr>
                <w:rFonts w:ascii="Times New Roman" w:eastAsia="Times New Roman" w:hAnsi="Times New Roman" w:cs="Times New Roman"/>
                <w:b/>
                <w:color w:val="000000"/>
                <w:kern w:val="0"/>
                <w:sz w:val="20"/>
                <w:szCs w:val="20"/>
                <w:lang w:val="lt-LT"/>
                <w14:ligatures w14:val="none"/>
              </w:rPr>
              <w:t>0.297</w:t>
            </w:r>
          </w:p>
        </w:tc>
      </w:tr>
    </w:tbl>
    <w:p w:rsidR="006A6713" w:rsidRDefault="006A6713" w:rsidP="006A6713">
      <w:pPr>
        <w:jc w:val="center"/>
        <w:rPr>
          <w:rFonts w:ascii="Times New Roman" w:hAnsi="Times New Roman" w:cs="Times New Roman"/>
          <w:b/>
          <w:sz w:val="24"/>
          <w:szCs w:val="24"/>
          <w:lang w:val="lt-LT"/>
        </w:rPr>
      </w:pPr>
    </w:p>
    <w:p w:rsidR="006A6713" w:rsidRDefault="006A6713" w:rsidP="006A6713">
      <w:pPr>
        <w:rPr>
          <w:rFonts w:ascii="Times New Roman" w:hAnsi="Times New Roman" w:cs="Times New Roman"/>
          <w:b/>
          <w:sz w:val="24"/>
          <w:szCs w:val="24"/>
          <w:lang w:val="lt-LT"/>
        </w:rPr>
      </w:pPr>
    </w:p>
    <w:p w:rsidR="006A6713" w:rsidRDefault="006A6713">
      <w:pPr>
        <w:rPr>
          <w:rFonts w:ascii="Times New Roman" w:hAnsi="Times New Roman" w:cs="Times New Roman"/>
          <w:b/>
          <w:sz w:val="24"/>
          <w:szCs w:val="24"/>
          <w:lang w:val="lt-LT"/>
        </w:rPr>
      </w:pPr>
      <w:r>
        <w:rPr>
          <w:rFonts w:ascii="Times New Roman" w:hAnsi="Times New Roman" w:cs="Times New Roman"/>
          <w:b/>
          <w:sz w:val="24"/>
          <w:szCs w:val="24"/>
          <w:lang w:val="lt-LT"/>
        </w:rPr>
        <w:br w:type="page"/>
      </w:r>
    </w:p>
    <w:p w:rsidR="00192756" w:rsidRDefault="00192756" w:rsidP="006F3D25">
      <w:pPr>
        <w:pStyle w:val="Heading3"/>
        <w:jc w:val="center"/>
        <w:rPr>
          <w:rFonts w:ascii="Times New Roman" w:hAnsi="Times New Roman" w:cs="Times New Roman"/>
          <w:color w:val="auto"/>
          <w:sz w:val="24"/>
          <w:szCs w:val="24"/>
          <w:lang w:val="lt-LT"/>
        </w:rPr>
      </w:pPr>
      <w:bookmarkStart w:id="159" w:name="_Toc384567339"/>
      <w:bookmarkStart w:id="160" w:name="_Toc384570776"/>
      <w:r w:rsidRPr="006F3D25">
        <w:rPr>
          <w:rFonts w:ascii="Times New Roman" w:hAnsi="Times New Roman" w:cs="Times New Roman"/>
          <w:color w:val="auto"/>
          <w:sz w:val="24"/>
          <w:szCs w:val="24"/>
          <w:lang w:val="lt-LT"/>
        </w:rPr>
        <w:lastRenderedPageBreak/>
        <w:t>6 priedas. Finansiniai rodikliai, naudoti kredito įstaigų  ir įmonių bankroto grėsmei prognozuoti</w:t>
      </w:r>
      <w:bookmarkEnd w:id="159"/>
      <w:bookmarkEnd w:id="160"/>
    </w:p>
    <w:p w:rsidR="001E71AB" w:rsidRPr="001E71AB" w:rsidRDefault="001E71AB" w:rsidP="001E71AB">
      <w:pPr>
        <w:rPr>
          <w:lang w:val="lt-LT"/>
        </w:rPr>
      </w:pPr>
    </w:p>
    <w:tbl>
      <w:tblPr>
        <w:tblW w:w="139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260"/>
        <w:gridCol w:w="1440"/>
        <w:gridCol w:w="1350"/>
        <w:gridCol w:w="1350"/>
        <w:gridCol w:w="1170"/>
        <w:gridCol w:w="1440"/>
        <w:gridCol w:w="1260"/>
        <w:gridCol w:w="900"/>
      </w:tblGrid>
      <w:tr w:rsidR="000B3C3F" w:rsidRPr="0089170C" w:rsidTr="001E71AB">
        <w:trPr>
          <w:trHeight w:val="600"/>
        </w:trPr>
        <w:tc>
          <w:tcPr>
            <w:tcW w:w="378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Rodikliai</w:t>
            </w:r>
          </w:p>
        </w:tc>
        <w:tc>
          <w:tcPr>
            <w:tcW w:w="126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 xml:space="preserve">H. </w:t>
            </w:r>
            <w:proofErr w:type="spellStart"/>
            <w:r w:rsidRPr="000B3C3F">
              <w:rPr>
                <w:rFonts w:ascii="Times New Roman" w:eastAsia="Times New Roman" w:hAnsi="Times New Roman" w:cs="Times New Roman"/>
                <w:b/>
                <w:bCs/>
                <w:color w:val="000000"/>
                <w:kern w:val="0"/>
                <w:sz w:val="20"/>
                <w:szCs w:val="20"/>
                <w:lang w:val="lt-LT"/>
                <w14:ligatures w14:val="none"/>
              </w:rPr>
              <w:t>Andersen</w:t>
            </w:r>
            <w:proofErr w:type="spellEnd"/>
            <w:r w:rsidRPr="000B3C3F">
              <w:rPr>
                <w:rFonts w:ascii="Times New Roman" w:eastAsia="Times New Roman" w:hAnsi="Times New Roman" w:cs="Times New Roman"/>
                <w:b/>
                <w:bCs/>
                <w:color w:val="000000"/>
                <w:kern w:val="0"/>
                <w:sz w:val="20"/>
                <w:szCs w:val="20"/>
                <w:lang w:val="lt-LT"/>
                <w14:ligatures w14:val="none"/>
              </w:rPr>
              <w:t xml:space="preserve"> (2008)</w:t>
            </w:r>
          </w:p>
        </w:tc>
        <w:tc>
          <w:tcPr>
            <w:tcW w:w="144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 xml:space="preserve">R. </w:t>
            </w:r>
            <w:proofErr w:type="spellStart"/>
            <w:r w:rsidRPr="000B3C3F">
              <w:rPr>
                <w:rFonts w:ascii="Times New Roman" w:eastAsia="Times New Roman" w:hAnsi="Times New Roman" w:cs="Times New Roman"/>
                <w:b/>
                <w:bCs/>
                <w:color w:val="000000"/>
                <w:kern w:val="0"/>
                <w:sz w:val="20"/>
                <w:szCs w:val="20"/>
                <w:lang w:val="lt-LT"/>
                <w14:ligatures w14:val="none"/>
              </w:rPr>
              <w:t>Ginevičius</w:t>
            </w:r>
            <w:proofErr w:type="spellEnd"/>
            <w:r w:rsidRPr="000B3C3F">
              <w:rPr>
                <w:rFonts w:ascii="Times New Roman" w:eastAsia="Times New Roman" w:hAnsi="Times New Roman" w:cs="Times New Roman"/>
                <w:b/>
                <w:bCs/>
                <w:color w:val="000000"/>
                <w:kern w:val="0"/>
                <w:sz w:val="20"/>
                <w:szCs w:val="20"/>
                <w:lang w:val="lt-LT"/>
                <w14:ligatures w14:val="none"/>
              </w:rPr>
              <w:t xml:space="preserve">, A. </w:t>
            </w:r>
            <w:proofErr w:type="spellStart"/>
            <w:r w:rsidRPr="000B3C3F">
              <w:rPr>
                <w:rFonts w:ascii="Times New Roman" w:eastAsia="Times New Roman" w:hAnsi="Times New Roman" w:cs="Times New Roman"/>
                <w:b/>
                <w:bCs/>
                <w:color w:val="000000"/>
                <w:kern w:val="0"/>
                <w:sz w:val="20"/>
                <w:szCs w:val="20"/>
                <w:lang w:val="lt-LT"/>
                <w14:ligatures w14:val="none"/>
              </w:rPr>
              <w:t>Podviezko</w:t>
            </w:r>
            <w:proofErr w:type="spellEnd"/>
            <w:r w:rsidRPr="000B3C3F">
              <w:rPr>
                <w:rFonts w:ascii="Times New Roman" w:eastAsia="Times New Roman" w:hAnsi="Times New Roman" w:cs="Times New Roman"/>
                <w:b/>
                <w:bCs/>
                <w:color w:val="000000"/>
                <w:kern w:val="0"/>
                <w:sz w:val="20"/>
                <w:szCs w:val="20"/>
                <w:lang w:val="lt-LT"/>
                <w14:ligatures w14:val="none"/>
              </w:rPr>
              <w:t xml:space="preserve"> (2012)</w:t>
            </w:r>
          </w:p>
        </w:tc>
        <w:tc>
          <w:tcPr>
            <w:tcW w:w="135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 xml:space="preserve">E. </w:t>
            </w:r>
            <w:proofErr w:type="spellStart"/>
            <w:r w:rsidRPr="000B3C3F">
              <w:rPr>
                <w:rFonts w:ascii="Times New Roman" w:eastAsia="Times New Roman" w:hAnsi="Times New Roman" w:cs="Times New Roman"/>
                <w:b/>
                <w:bCs/>
                <w:color w:val="000000"/>
                <w:kern w:val="0"/>
                <w:sz w:val="20"/>
                <w:szCs w:val="20"/>
                <w:lang w:val="lt-LT"/>
                <w14:ligatures w14:val="none"/>
              </w:rPr>
              <w:t>Altman</w:t>
            </w:r>
            <w:proofErr w:type="spellEnd"/>
            <w:r w:rsidRPr="000B3C3F">
              <w:rPr>
                <w:rFonts w:ascii="Times New Roman" w:eastAsia="Times New Roman" w:hAnsi="Times New Roman" w:cs="Times New Roman"/>
                <w:b/>
                <w:bCs/>
                <w:color w:val="000000"/>
                <w:kern w:val="0"/>
                <w:sz w:val="20"/>
                <w:szCs w:val="20"/>
                <w:lang w:val="lt-LT"/>
                <w14:ligatures w14:val="none"/>
              </w:rPr>
              <w:t xml:space="preserve"> Z modelis</w:t>
            </w:r>
          </w:p>
        </w:tc>
        <w:tc>
          <w:tcPr>
            <w:tcW w:w="135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 xml:space="preserve">C - H. </w:t>
            </w:r>
            <w:proofErr w:type="spellStart"/>
            <w:r w:rsidRPr="000B3C3F">
              <w:rPr>
                <w:rFonts w:ascii="Times New Roman" w:eastAsia="Times New Roman" w:hAnsi="Times New Roman" w:cs="Times New Roman"/>
                <w:b/>
                <w:bCs/>
                <w:color w:val="000000"/>
                <w:kern w:val="0"/>
                <w:sz w:val="20"/>
                <w:szCs w:val="20"/>
                <w:lang w:val="lt-LT"/>
                <w14:ligatures w14:val="none"/>
              </w:rPr>
              <w:t>Shen</w:t>
            </w:r>
            <w:proofErr w:type="spellEnd"/>
            <w:r w:rsidRPr="000B3C3F">
              <w:rPr>
                <w:rFonts w:ascii="Times New Roman" w:eastAsia="Times New Roman" w:hAnsi="Times New Roman" w:cs="Times New Roman"/>
                <w:b/>
                <w:bCs/>
                <w:color w:val="000000"/>
                <w:kern w:val="0"/>
                <w:sz w:val="20"/>
                <w:szCs w:val="20"/>
                <w:lang w:val="lt-LT"/>
                <w14:ligatures w14:val="none"/>
              </w:rPr>
              <w:t xml:space="preserve">, M -F. </w:t>
            </w:r>
            <w:proofErr w:type="spellStart"/>
            <w:r w:rsidRPr="000B3C3F">
              <w:rPr>
                <w:rFonts w:ascii="Times New Roman" w:eastAsia="Times New Roman" w:hAnsi="Times New Roman" w:cs="Times New Roman"/>
                <w:b/>
                <w:bCs/>
                <w:color w:val="000000"/>
                <w:kern w:val="0"/>
                <w:sz w:val="20"/>
                <w:szCs w:val="20"/>
                <w:lang w:val="lt-LT"/>
                <w14:ligatures w14:val="none"/>
              </w:rPr>
              <w:t>Hsieh</w:t>
            </w:r>
            <w:proofErr w:type="spellEnd"/>
            <w:r w:rsidRPr="000B3C3F">
              <w:rPr>
                <w:rFonts w:ascii="Times New Roman" w:eastAsia="Times New Roman" w:hAnsi="Times New Roman" w:cs="Times New Roman"/>
                <w:b/>
                <w:bCs/>
                <w:color w:val="000000"/>
                <w:kern w:val="0"/>
                <w:sz w:val="20"/>
                <w:szCs w:val="20"/>
                <w:lang w:val="lt-LT"/>
                <w14:ligatures w14:val="none"/>
              </w:rPr>
              <w:t xml:space="preserve"> (2011)</w:t>
            </w:r>
          </w:p>
        </w:tc>
        <w:tc>
          <w:tcPr>
            <w:tcW w:w="117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 xml:space="preserve">P. </w:t>
            </w:r>
            <w:proofErr w:type="spellStart"/>
            <w:r w:rsidRPr="000B3C3F">
              <w:rPr>
                <w:rFonts w:ascii="Times New Roman" w:eastAsia="Times New Roman" w:hAnsi="Times New Roman" w:cs="Times New Roman"/>
                <w:b/>
                <w:bCs/>
                <w:color w:val="000000"/>
                <w:kern w:val="0"/>
                <w:sz w:val="20"/>
                <w:szCs w:val="20"/>
                <w:lang w:val="lt-LT"/>
                <w14:ligatures w14:val="none"/>
              </w:rPr>
              <w:t>Almanidis</w:t>
            </w:r>
            <w:proofErr w:type="spellEnd"/>
            <w:r w:rsidRPr="000B3C3F">
              <w:rPr>
                <w:rFonts w:ascii="Times New Roman" w:eastAsia="Times New Roman" w:hAnsi="Times New Roman" w:cs="Times New Roman"/>
                <w:b/>
                <w:bCs/>
                <w:color w:val="000000"/>
                <w:kern w:val="0"/>
                <w:sz w:val="20"/>
                <w:szCs w:val="20"/>
                <w:lang w:val="lt-LT"/>
                <w14:ligatures w14:val="none"/>
              </w:rPr>
              <w:t xml:space="preserve"> (2012)</w:t>
            </w:r>
          </w:p>
        </w:tc>
        <w:tc>
          <w:tcPr>
            <w:tcW w:w="144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 xml:space="preserve">D - T. </w:t>
            </w:r>
            <w:proofErr w:type="spellStart"/>
            <w:r w:rsidRPr="000B3C3F">
              <w:rPr>
                <w:rFonts w:ascii="Times New Roman" w:eastAsia="Times New Roman" w:hAnsi="Times New Roman" w:cs="Times New Roman"/>
                <w:b/>
                <w:bCs/>
                <w:color w:val="000000"/>
                <w:kern w:val="0"/>
                <w:sz w:val="20"/>
                <w:szCs w:val="20"/>
                <w:lang w:val="lt-LT"/>
                <w14:ligatures w14:val="none"/>
              </w:rPr>
              <w:t>Huang</w:t>
            </w:r>
            <w:proofErr w:type="spellEnd"/>
            <w:r w:rsidRPr="000B3C3F">
              <w:rPr>
                <w:rFonts w:ascii="Times New Roman" w:eastAsia="Times New Roman" w:hAnsi="Times New Roman" w:cs="Times New Roman"/>
                <w:b/>
                <w:bCs/>
                <w:color w:val="000000"/>
                <w:kern w:val="0"/>
                <w:sz w:val="20"/>
                <w:szCs w:val="20"/>
                <w:lang w:val="lt-LT"/>
                <w14:ligatures w14:val="none"/>
              </w:rPr>
              <w:t xml:space="preserve">, B. </w:t>
            </w:r>
            <w:proofErr w:type="spellStart"/>
            <w:r w:rsidRPr="000B3C3F">
              <w:rPr>
                <w:rFonts w:ascii="Times New Roman" w:eastAsia="Times New Roman" w:hAnsi="Times New Roman" w:cs="Times New Roman"/>
                <w:b/>
                <w:bCs/>
                <w:color w:val="000000"/>
                <w:kern w:val="0"/>
                <w:sz w:val="20"/>
                <w:szCs w:val="20"/>
                <w:lang w:val="lt-LT"/>
                <w14:ligatures w14:val="none"/>
              </w:rPr>
              <w:t>Chang</w:t>
            </w:r>
            <w:proofErr w:type="spellEnd"/>
            <w:r w:rsidRPr="000B3C3F">
              <w:rPr>
                <w:rFonts w:ascii="Times New Roman" w:eastAsia="Times New Roman" w:hAnsi="Times New Roman" w:cs="Times New Roman"/>
                <w:b/>
                <w:bCs/>
                <w:color w:val="000000"/>
                <w:kern w:val="0"/>
                <w:sz w:val="20"/>
                <w:szCs w:val="20"/>
                <w:lang w:val="lt-LT"/>
                <w14:ligatures w14:val="none"/>
              </w:rPr>
              <w:t>, Z-C L. (2010)</w:t>
            </w:r>
          </w:p>
        </w:tc>
        <w:tc>
          <w:tcPr>
            <w:tcW w:w="126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r w:rsidRPr="000B3C3F">
              <w:rPr>
                <w:rFonts w:ascii="Times New Roman" w:eastAsia="Times New Roman" w:hAnsi="Times New Roman" w:cs="Times New Roman"/>
                <w:b/>
                <w:bCs/>
                <w:color w:val="000000"/>
                <w:kern w:val="0"/>
                <w:sz w:val="20"/>
                <w:szCs w:val="20"/>
                <w:lang w:val="lt-LT"/>
                <w14:ligatures w14:val="none"/>
              </w:rPr>
              <w:t xml:space="preserve">V. </w:t>
            </w:r>
            <w:proofErr w:type="spellStart"/>
            <w:r w:rsidRPr="000B3C3F">
              <w:rPr>
                <w:rFonts w:ascii="Times New Roman" w:eastAsia="Times New Roman" w:hAnsi="Times New Roman" w:cs="Times New Roman"/>
                <w:b/>
                <w:bCs/>
                <w:color w:val="000000"/>
                <w:kern w:val="0"/>
                <w:sz w:val="20"/>
                <w:szCs w:val="20"/>
                <w:lang w:val="lt-LT"/>
                <w14:ligatures w14:val="none"/>
              </w:rPr>
              <w:t>Kėdaitis</w:t>
            </w:r>
            <w:proofErr w:type="spellEnd"/>
            <w:r w:rsidRPr="000B3C3F">
              <w:rPr>
                <w:rFonts w:ascii="Times New Roman" w:eastAsia="Times New Roman" w:hAnsi="Times New Roman" w:cs="Times New Roman"/>
                <w:b/>
                <w:bCs/>
                <w:color w:val="000000"/>
                <w:kern w:val="0"/>
                <w:sz w:val="20"/>
                <w:szCs w:val="20"/>
                <w:lang w:val="lt-LT"/>
                <w14:ligatures w14:val="none"/>
              </w:rPr>
              <w:t>, E. Žilinskas (2013)</w:t>
            </w:r>
          </w:p>
        </w:tc>
        <w:tc>
          <w:tcPr>
            <w:tcW w:w="900" w:type="dxa"/>
            <w:shd w:val="clear" w:color="auto" w:fill="auto"/>
            <w:vAlign w:val="center"/>
            <w:hideMark/>
          </w:tcPr>
          <w:p w:rsidR="000B3C3F" w:rsidRPr="000B3C3F" w:rsidRDefault="000B3C3F" w:rsidP="000B3C3F">
            <w:pPr>
              <w:spacing w:after="0" w:line="240" w:lineRule="auto"/>
              <w:rPr>
                <w:rFonts w:ascii="Times New Roman" w:eastAsia="Times New Roman" w:hAnsi="Times New Roman" w:cs="Times New Roman"/>
                <w:b/>
                <w:bCs/>
                <w:color w:val="000000"/>
                <w:kern w:val="0"/>
                <w:sz w:val="20"/>
                <w:szCs w:val="20"/>
                <w:lang w:val="lt-LT"/>
                <w14:ligatures w14:val="none"/>
              </w:rPr>
            </w:pPr>
            <w:proofErr w:type="spellStart"/>
            <w:r w:rsidRPr="000B3C3F">
              <w:rPr>
                <w:rFonts w:ascii="Times New Roman" w:eastAsia="Times New Roman" w:hAnsi="Times New Roman" w:cs="Times New Roman"/>
                <w:b/>
                <w:bCs/>
                <w:color w:val="000000"/>
                <w:kern w:val="0"/>
                <w:sz w:val="20"/>
                <w:szCs w:val="20"/>
                <w:lang w:val="lt-LT"/>
                <w14:ligatures w14:val="none"/>
              </w:rPr>
              <w:t>Whalen</w:t>
            </w:r>
            <w:proofErr w:type="spellEnd"/>
            <w:r w:rsidRPr="000B3C3F">
              <w:rPr>
                <w:rFonts w:ascii="Times New Roman" w:eastAsia="Times New Roman" w:hAnsi="Times New Roman" w:cs="Times New Roman"/>
                <w:b/>
                <w:bCs/>
                <w:color w:val="000000"/>
                <w:kern w:val="0"/>
                <w:sz w:val="20"/>
                <w:szCs w:val="20"/>
                <w:lang w:val="lt-LT"/>
                <w14:ligatures w14:val="none"/>
              </w:rPr>
              <w:t xml:space="preserve"> (1991)</w:t>
            </w: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Grynasis pelnas / turtas (ROA)</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17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90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b/>
                <w:bCs/>
                <w:color w:val="000000"/>
                <w:kern w:val="0"/>
                <w:lang w:val="lt-LT"/>
                <w14:ligatures w14:val="none"/>
              </w:rPr>
            </w:pP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Grynasis pelnas / Kapitalas (ROE)</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90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b/>
                <w:bCs/>
                <w:color w:val="000000"/>
                <w:kern w:val="0"/>
                <w:lang w:val="lt-LT"/>
                <w14:ligatures w14:val="none"/>
              </w:rPr>
            </w:pP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Kapitalas / Visas turtas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Pajamos /  Turtas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Operacinės sąnaudos / Visas turtas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b/>
                <w:bCs/>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Pelnas prieš mokesčius / Visas turtas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Abejotinos paskolos / Visos paskolos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Kapitalo pakankamumas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Likvidumas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Visi indėliai / Visos paskolos</w:t>
            </w:r>
          </w:p>
        </w:tc>
        <w:tc>
          <w:tcPr>
            <w:tcW w:w="126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r>
      <w:tr w:rsidR="001E71AB" w:rsidRPr="0089170C" w:rsidTr="001E71AB">
        <w:trPr>
          <w:trHeight w:val="35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Paskolų vertės sumažėjimas/ Visas turtas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r>
      <w:tr w:rsidR="001E71AB" w:rsidRPr="0089170C" w:rsidTr="001E71AB">
        <w:trPr>
          <w:trHeight w:val="260"/>
        </w:trPr>
        <w:tc>
          <w:tcPr>
            <w:tcW w:w="3780" w:type="dxa"/>
            <w:shd w:val="clear" w:color="auto" w:fill="auto"/>
            <w:vAlign w:val="center"/>
            <w:hideMark/>
          </w:tcPr>
          <w:p w:rsidR="000B3C3F" w:rsidRPr="000B3C3F" w:rsidRDefault="000B3C3F" w:rsidP="001E71AB">
            <w:pPr>
              <w:spacing w:after="0" w:line="240" w:lineRule="auto"/>
              <w:rPr>
                <w:rFonts w:ascii="Times New Roman" w:eastAsia="Times New Roman" w:hAnsi="Times New Roman" w:cs="Times New Roman"/>
                <w:color w:val="000000"/>
                <w:kern w:val="0"/>
                <w:sz w:val="20"/>
                <w:szCs w:val="20"/>
                <w:lang w:val="lt-LT"/>
                <w14:ligatures w14:val="none"/>
              </w:rPr>
            </w:pPr>
            <w:r w:rsidRPr="000B3C3F">
              <w:rPr>
                <w:rFonts w:ascii="Times New Roman" w:eastAsia="Times New Roman" w:hAnsi="Times New Roman" w:cs="Times New Roman"/>
                <w:color w:val="000000"/>
                <w:kern w:val="0"/>
                <w:sz w:val="20"/>
                <w:szCs w:val="20"/>
                <w:lang w:val="lt-LT"/>
                <w14:ligatures w14:val="none"/>
              </w:rPr>
              <w:t>Paskolos / Turtas</w:t>
            </w:r>
          </w:p>
        </w:tc>
        <w:tc>
          <w:tcPr>
            <w:tcW w:w="126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c>
          <w:tcPr>
            <w:tcW w:w="135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35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17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p>
        </w:tc>
        <w:tc>
          <w:tcPr>
            <w:tcW w:w="144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1260" w:type="dxa"/>
            <w:shd w:val="clear" w:color="auto" w:fill="auto"/>
            <w:vAlign w:val="bottom"/>
            <w:hideMark/>
          </w:tcPr>
          <w:p w:rsidR="000B3C3F" w:rsidRPr="000B3C3F" w:rsidRDefault="000B3C3F" w:rsidP="000B3C3F">
            <w:pPr>
              <w:spacing w:after="0" w:line="240" w:lineRule="auto"/>
              <w:jc w:val="center"/>
              <w:rPr>
                <w:rFonts w:ascii="Calibri" w:eastAsia="Times New Roman" w:hAnsi="Calibri" w:cs="Times New Roman"/>
                <w:color w:val="000000"/>
                <w:kern w:val="0"/>
                <w:lang w:val="lt-LT"/>
                <w14:ligatures w14:val="none"/>
              </w:rPr>
            </w:pPr>
          </w:p>
        </w:tc>
        <w:tc>
          <w:tcPr>
            <w:tcW w:w="900" w:type="dxa"/>
            <w:shd w:val="clear" w:color="auto" w:fill="auto"/>
            <w:vAlign w:val="bottom"/>
            <w:hideMark/>
          </w:tcPr>
          <w:p w:rsidR="000B3C3F" w:rsidRPr="000B3C3F" w:rsidRDefault="000B3C3F" w:rsidP="000B3C3F">
            <w:pPr>
              <w:spacing w:after="0" w:line="240" w:lineRule="auto"/>
              <w:jc w:val="center"/>
              <w:rPr>
                <w:rFonts w:ascii="Wingdings" w:eastAsia="Times New Roman" w:hAnsi="Wingdings" w:cs="Times New Roman"/>
                <w:b/>
                <w:bCs/>
                <w:color w:val="000000"/>
                <w:kern w:val="0"/>
                <w:lang w:val="lt-LT"/>
                <w14:ligatures w14:val="none"/>
              </w:rPr>
            </w:pPr>
            <w:r w:rsidRPr="000B3C3F">
              <w:rPr>
                <w:rFonts w:ascii="Wingdings" w:eastAsia="Times New Roman" w:hAnsi="Wingdings" w:cs="Times New Roman"/>
                <w:b/>
                <w:bCs/>
                <w:color w:val="000000"/>
                <w:kern w:val="0"/>
                <w:lang w:val="lt-LT"/>
                <w14:ligatures w14:val="none"/>
              </w:rPr>
              <w:t></w:t>
            </w:r>
          </w:p>
        </w:tc>
      </w:tr>
    </w:tbl>
    <w:p w:rsidR="000B3C3F" w:rsidRPr="0089170C" w:rsidRDefault="000B3C3F" w:rsidP="006A6713">
      <w:pPr>
        <w:rPr>
          <w:rFonts w:ascii="Times New Roman" w:hAnsi="Times New Roman" w:cs="Times New Roman"/>
          <w:b/>
          <w:sz w:val="24"/>
          <w:szCs w:val="24"/>
          <w:lang w:val="lt-LT"/>
        </w:rPr>
      </w:pPr>
    </w:p>
    <w:p w:rsidR="006A6713" w:rsidRPr="0089170C" w:rsidRDefault="000B3C3F" w:rsidP="000B3C3F">
      <w:pPr>
        <w:spacing w:line="360" w:lineRule="auto"/>
        <w:ind w:firstLine="720"/>
        <w:jc w:val="both"/>
        <w:rPr>
          <w:rFonts w:ascii="Times New Roman" w:hAnsi="Times New Roman" w:cs="Times New Roman"/>
          <w:b/>
          <w:sz w:val="24"/>
          <w:szCs w:val="24"/>
          <w:lang w:val="lt-LT"/>
        </w:rPr>
      </w:pPr>
      <w:r w:rsidRPr="0089170C">
        <w:rPr>
          <w:rFonts w:ascii="Times New Roman" w:hAnsi="Times New Roman" w:cs="Times New Roman"/>
          <w:b/>
          <w:sz w:val="24"/>
          <w:szCs w:val="24"/>
          <w:lang w:val="lt-LT"/>
        </w:rPr>
        <w:t xml:space="preserve">Rodikliai, kurie nesikartojo kituose modeliuose: </w:t>
      </w:r>
      <w:r w:rsidRPr="000B3C3F">
        <w:rPr>
          <w:rFonts w:ascii="Times New Roman" w:eastAsia="Times New Roman" w:hAnsi="Times New Roman" w:cs="Times New Roman"/>
          <w:color w:val="000000"/>
          <w:kern w:val="0"/>
          <w:sz w:val="24"/>
          <w:szCs w:val="24"/>
          <w:lang w:val="lt-LT"/>
          <w14:ligatures w14:val="none"/>
        </w:rPr>
        <w:t>Tikėtinų nuostolių indeksas</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Valdymo kompetencija</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Rizikingas turtas / Visas turtas</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Ne</w:t>
      </w:r>
      <w:r w:rsidR="001E71AB">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 xml:space="preserve">palūkanų sąnaudos / Visos </w:t>
      </w:r>
      <w:r w:rsidRPr="0089170C">
        <w:rPr>
          <w:rFonts w:ascii="Times New Roman" w:eastAsia="Times New Roman" w:hAnsi="Times New Roman" w:cs="Times New Roman"/>
          <w:color w:val="000000"/>
          <w:kern w:val="0"/>
          <w:sz w:val="24"/>
          <w:szCs w:val="24"/>
          <w:lang w:val="lt-LT"/>
          <w14:ligatures w14:val="none"/>
        </w:rPr>
        <w:t xml:space="preserve">pajamas, </w:t>
      </w:r>
      <w:r w:rsidRPr="000B3C3F">
        <w:rPr>
          <w:rFonts w:ascii="Times New Roman" w:eastAsia="Times New Roman" w:hAnsi="Times New Roman" w:cs="Times New Roman"/>
          <w:color w:val="000000"/>
          <w:kern w:val="0"/>
          <w:sz w:val="24"/>
          <w:szCs w:val="24"/>
          <w:lang w:val="lt-LT"/>
          <w14:ligatures w14:val="none"/>
        </w:rPr>
        <w:t>Grynosios palūkanų pajamos / ĮRA</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bCs/>
          <w:color w:val="000000"/>
          <w:kern w:val="0"/>
          <w:sz w:val="24"/>
          <w:szCs w:val="24"/>
          <w:lang w:val="lt-LT"/>
          <w14:ligatures w14:val="none"/>
        </w:rPr>
        <w:t>Apyvartinis kapitalas/ Visas turtas</w:t>
      </w:r>
      <w:r w:rsidRPr="0089170C">
        <w:rPr>
          <w:rFonts w:ascii="Times New Roman" w:eastAsia="Times New Roman" w:hAnsi="Times New Roman" w:cs="Times New Roman"/>
          <w:b/>
          <w:bCs/>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Nuosavas kapitalas / Įsipareigojimai</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Nepaskirstytas pelnas / Turtas</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Visos paskolos / Visi indėliai</w:t>
      </w:r>
      <w:r w:rsidRPr="0089170C">
        <w:rPr>
          <w:rFonts w:ascii="Times New Roman" w:eastAsia="Times New Roman" w:hAnsi="Times New Roman" w:cs="Times New Roman"/>
          <w:color w:val="000000"/>
          <w:kern w:val="0"/>
          <w:sz w:val="24"/>
          <w:szCs w:val="24"/>
          <w:lang w:val="lt-LT"/>
          <w14:ligatures w14:val="none"/>
        </w:rPr>
        <w:t xml:space="preserve">, </w:t>
      </w:r>
      <w:r w:rsidR="0089170C">
        <w:rPr>
          <w:rFonts w:ascii="Times New Roman" w:eastAsia="Times New Roman" w:hAnsi="Times New Roman" w:cs="Times New Roman"/>
          <w:color w:val="000000"/>
          <w:kern w:val="0"/>
          <w:sz w:val="24"/>
          <w:szCs w:val="24"/>
          <w:lang w:val="lt-LT"/>
          <w14:ligatures w14:val="none"/>
        </w:rPr>
        <w:t xml:space="preserve">(Darbuotojai / </w:t>
      </w:r>
      <w:proofErr w:type="spellStart"/>
      <w:r w:rsidR="0089170C">
        <w:rPr>
          <w:rFonts w:ascii="Times New Roman" w:eastAsia="Times New Roman" w:hAnsi="Times New Roman" w:cs="Times New Roman"/>
          <w:color w:val="000000"/>
          <w:kern w:val="0"/>
          <w:sz w:val="24"/>
          <w:szCs w:val="24"/>
          <w:lang w:val="lt-LT"/>
          <w14:ligatures w14:val="none"/>
        </w:rPr>
        <w:t>Vid</w:t>
      </w:r>
      <w:proofErr w:type="spellEnd"/>
      <w:r w:rsidR="0089170C">
        <w:rPr>
          <w:rFonts w:ascii="Times New Roman" w:eastAsia="Times New Roman" w:hAnsi="Times New Roman" w:cs="Times New Roman"/>
          <w:color w:val="000000"/>
          <w:kern w:val="0"/>
          <w:sz w:val="24"/>
          <w:szCs w:val="24"/>
          <w:lang w:val="lt-LT"/>
          <w14:ligatures w14:val="none"/>
        </w:rPr>
        <w:t>.</w:t>
      </w:r>
      <w:r w:rsidRPr="000B3C3F">
        <w:rPr>
          <w:rFonts w:ascii="Times New Roman" w:eastAsia="Times New Roman" w:hAnsi="Times New Roman" w:cs="Times New Roman"/>
          <w:color w:val="000000"/>
          <w:kern w:val="0"/>
          <w:sz w:val="24"/>
          <w:szCs w:val="24"/>
          <w:lang w:val="lt-LT"/>
          <w14:ligatures w14:val="none"/>
        </w:rPr>
        <w:t xml:space="preserve"> Turtas)*1000</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Nekilnojamojo turto paskolos verslui / Visos paskolos</w:t>
      </w:r>
      <w:r w:rsidRPr="0089170C">
        <w:rPr>
          <w:rFonts w:ascii="Times New Roman" w:eastAsia="Times New Roman" w:hAnsi="Times New Roman" w:cs="Times New Roman"/>
          <w:color w:val="000000"/>
          <w:kern w:val="0"/>
          <w:sz w:val="24"/>
          <w:szCs w:val="24"/>
          <w:lang w:val="lt-LT"/>
          <w14:ligatures w14:val="none"/>
        </w:rPr>
        <w:t xml:space="preserve">, </w:t>
      </w:r>
      <w:r w:rsidRPr="000B3C3F">
        <w:rPr>
          <w:rFonts w:ascii="Times New Roman" w:eastAsia="Times New Roman" w:hAnsi="Times New Roman" w:cs="Times New Roman"/>
          <w:color w:val="000000"/>
          <w:kern w:val="0"/>
          <w:sz w:val="24"/>
          <w:szCs w:val="24"/>
          <w:lang w:val="lt-LT"/>
          <w14:ligatures w14:val="none"/>
        </w:rPr>
        <w:t xml:space="preserve">Palūkanų pajamos - palūkanų sąnaudos)/ palūkanų </w:t>
      </w:r>
      <w:r w:rsidRPr="0089170C">
        <w:rPr>
          <w:rFonts w:ascii="Times New Roman" w:eastAsia="Times New Roman" w:hAnsi="Times New Roman" w:cs="Times New Roman"/>
          <w:color w:val="000000"/>
          <w:kern w:val="0"/>
          <w:sz w:val="24"/>
          <w:szCs w:val="24"/>
          <w:lang w:val="lt-LT"/>
          <w14:ligatures w14:val="none"/>
        </w:rPr>
        <w:t xml:space="preserve">pajamas,  </w:t>
      </w:r>
      <w:r w:rsidRPr="000B3C3F">
        <w:rPr>
          <w:rFonts w:ascii="Times New Roman" w:eastAsia="Times New Roman" w:hAnsi="Times New Roman" w:cs="Times New Roman"/>
          <w:color w:val="000000"/>
          <w:kern w:val="0"/>
          <w:sz w:val="24"/>
          <w:szCs w:val="24"/>
          <w:lang w:val="lt-LT"/>
          <w14:ligatures w14:val="none"/>
        </w:rPr>
        <w:t>Paskolos / Pajinis kapitalas</w:t>
      </w:r>
      <w:r w:rsidRPr="0089170C">
        <w:rPr>
          <w:rFonts w:ascii="Times New Roman" w:eastAsia="Times New Roman" w:hAnsi="Times New Roman" w:cs="Times New Roman"/>
          <w:color w:val="000000"/>
          <w:kern w:val="0"/>
          <w:sz w:val="24"/>
          <w:szCs w:val="24"/>
          <w:lang w:val="lt-LT"/>
          <w14:ligatures w14:val="none"/>
        </w:rPr>
        <w:t>.</w:t>
      </w:r>
    </w:p>
    <w:p w:rsidR="000B3C3F" w:rsidRDefault="000B3C3F" w:rsidP="006A6713">
      <w:pPr>
        <w:rPr>
          <w:rFonts w:ascii="Times New Roman" w:hAnsi="Times New Roman" w:cs="Times New Roman"/>
          <w:b/>
          <w:sz w:val="24"/>
          <w:szCs w:val="24"/>
          <w:lang w:val="lt-LT"/>
        </w:rPr>
      </w:pPr>
    </w:p>
    <w:p w:rsidR="000B3C3F" w:rsidRPr="006A6713" w:rsidRDefault="000B3C3F" w:rsidP="006A6713">
      <w:pPr>
        <w:rPr>
          <w:rFonts w:ascii="Times New Roman" w:hAnsi="Times New Roman" w:cs="Times New Roman"/>
          <w:b/>
          <w:sz w:val="24"/>
          <w:szCs w:val="24"/>
          <w:lang w:val="lt-LT"/>
        </w:rPr>
      </w:pPr>
    </w:p>
    <w:sectPr w:rsidR="000B3C3F" w:rsidRPr="006A6713" w:rsidSect="005A0B80">
      <w:pgSz w:w="15840" w:h="12240" w:orient="landscape"/>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43" w:rsidRDefault="00F20243" w:rsidP="00BE2DE4">
      <w:pPr>
        <w:spacing w:after="0" w:line="240" w:lineRule="auto"/>
      </w:pPr>
      <w:r>
        <w:separator/>
      </w:r>
    </w:p>
  </w:endnote>
  <w:endnote w:type="continuationSeparator" w:id="0">
    <w:p w:rsidR="00F20243" w:rsidRDefault="00F20243" w:rsidP="00BE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986483"/>
      <w:docPartObj>
        <w:docPartGallery w:val="Page Numbers (Bottom of Page)"/>
        <w:docPartUnique/>
      </w:docPartObj>
    </w:sdtPr>
    <w:sdtEndPr>
      <w:rPr>
        <w:noProof/>
      </w:rPr>
    </w:sdtEndPr>
    <w:sdtContent>
      <w:p w:rsidR="00FA0D12" w:rsidRDefault="00FA0D12">
        <w:pPr>
          <w:pStyle w:val="Footer"/>
          <w:jc w:val="center"/>
        </w:pPr>
        <w:r>
          <w:fldChar w:fldCharType="begin"/>
        </w:r>
        <w:r>
          <w:instrText xml:space="preserve"> PAGE   \* MERGEFORMAT </w:instrText>
        </w:r>
        <w:r>
          <w:fldChar w:fldCharType="separate"/>
        </w:r>
        <w:r w:rsidR="004804FA">
          <w:rPr>
            <w:noProof/>
          </w:rPr>
          <w:t>6</w:t>
        </w:r>
        <w:r>
          <w:rPr>
            <w:noProof/>
          </w:rPr>
          <w:fldChar w:fldCharType="end"/>
        </w:r>
      </w:p>
    </w:sdtContent>
  </w:sdt>
  <w:p w:rsidR="00FA0D12" w:rsidRDefault="00FA0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43" w:rsidRDefault="00F20243" w:rsidP="00BE2DE4">
      <w:pPr>
        <w:spacing w:after="0" w:line="240" w:lineRule="auto"/>
      </w:pPr>
      <w:r>
        <w:separator/>
      </w:r>
    </w:p>
  </w:footnote>
  <w:footnote w:type="continuationSeparator" w:id="0">
    <w:p w:rsidR="00F20243" w:rsidRDefault="00F20243" w:rsidP="00BE2DE4">
      <w:pPr>
        <w:spacing w:after="0" w:line="240" w:lineRule="auto"/>
      </w:pPr>
      <w:r>
        <w:continuationSeparator/>
      </w:r>
    </w:p>
  </w:footnote>
  <w:footnote w:id="1">
    <w:p w:rsidR="00FA0D12" w:rsidRPr="00451DAA" w:rsidRDefault="00FA0D12">
      <w:pPr>
        <w:pStyle w:val="FootnoteText"/>
        <w:rPr>
          <w:rFonts w:ascii="Times New Roman" w:hAnsi="Times New Roman" w:cs="Times New Roman"/>
        </w:rPr>
      </w:pPr>
      <w:r w:rsidRPr="00451DAA">
        <w:rPr>
          <w:rStyle w:val="FootnoteReference"/>
          <w:rFonts w:ascii="Times New Roman" w:hAnsi="Times New Roman" w:cs="Times New Roman"/>
        </w:rPr>
        <w:footnoteRef/>
      </w:r>
      <w:r w:rsidRPr="00451DAA">
        <w:rPr>
          <w:rFonts w:ascii="Times New Roman" w:hAnsi="Times New Roman" w:cs="Times New Roman"/>
        </w:rPr>
        <w:t xml:space="preserve"> </w:t>
      </w:r>
      <w:r w:rsidRPr="00451DAA">
        <w:rPr>
          <w:rFonts w:ascii="Times New Roman" w:hAnsi="Times New Roman" w:cs="Times New Roman"/>
          <w:lang w:val="lt-LT"/>
        </w:rPr>
        <w:t xml:space="preserve">Lietuvos Respublikos Finansų įstaigų įstatymas // Valstybės žinios, </w:t>
      </w:r>
      <w:r w:rsidRPr="00451DAA">
        <w:rPr>
          <w:rFonts w:ascii="Times New Roman" w:hAnsi="Times New Roman" w:cs="Times New Roman"/>
        </w:rPr>
        <w:t>2002, Nr. 91-3891.</w:t>
      </w:r>
    </w:p>
  </w:footnote>
  <w:footnote w:id="2">
    <w:p w:rsidR="00FA0D12" w:rsidRPr="00AA6F3F" w:rsidRDefault="00FA0D12">
      <w:pPr>
        <w:pStyle w:val="FootnoteText"/>
        <w:rPr>
          <w:rFonts w:ascii="Times New Roman" w:hAnsi="Times New Roman" w:cs="Times New Roman"/>
        </w:rPr>
      </w:pPr>
      <w:r w:rsidRPr="00266693">
        <w:rPr>
          <w:rStyle w:val="FootnoteReference"/>
          <w:rFonts w:ascii="Times New Roman" w:hAnsi="Times New Roman" w:cs="Times New Roman"/>
          <w:lang w:val="lt-LT"/>
        </w:rPr>
        <w:footnoteRef/>
      </w:r>
      <w:r w:rsidRPr="00266693">
        <w:rPr>
          <w:rFonts w:ascii="Times New Roman" w:hAnsi="Times New Roman" w:cs="Times New Roman"/>
          <w:lang w:val="lt-LT"/>
        </w:rPr>
        <w:t xml:space="preserve"> Lietuvos Respublikos Kredito unijų įstatymas // Valstybės žinios, 2008, Nr. 76-3003</w:t>
      </w:r>
      <w:r w:rsidRPr="00AA6F3F">
        <w:rPr>
          <w:rFonts w:ascii="Times New Roman" w:hAnsi="Times New Roman" w:cs="Times New Roman"/>
        </w:rPr>
        <w:t>.</w:t>
      </w:r>
    </w:p>
  </w:footnote>
  <w:footnote w:id="3">
    <w:p w:rsidR="00FA0D12" w:rsidRPr="00F703E7" w:rsidRDefault="00FA0D12">
      <w:pPr>
        <w:pStyle w:val="FootnoteText"/>
        <w:rPr>
          <w:rFonts w:ascii="Times New Roman" w:hAnsi="Times New Roman" w:cs="Times New Roman"/>
        </w:rPr>
      </w:pPr>
      <w:r w:rsidRPr="00F703E7">
        <w:rPr>
          <w:rStyle w:val="FootnoteReference"/>
          <w:rFonts w:ascii="Times New Roman" w:hAnsi="Times New Roman" w:cs="Times New Roman"/>
        </w:rPr>
        <w:footnoteRef/>
      </w:r>
      <w:r w:rsidRPr="00185A64">
        <w:rPr>
          <w:rFonts w:ascii="Times New Roman" w:hAnsi="Times New Roman" w:cs="Times New Roman"/>
          <w:lang w:val="de-DE"/>
        </w:rPr>
        <w:t xml:space="preserve"> Lietuvos Bankas. Finans</w:t>
      </w:r>
      <w:r>
        <w:rPr>
          <w:rFonts w:ascii="Times New Roman" w:hAnsi="Times New Roman" w:cs="Times New Roman"/>
          <w:lang w:val="lt-LT"/>
        </w:rPr>
        <w:t xml:space="preserve">ų rinkos dalyvių veikla. </w:t>
      </w:r>
      <w:r w:rsidRPr="00185A64">
        <w:rPr>
          <w:rFonts w:ascii="Times New Roman" w:hAnsi="Times New Roman" w:cs="Times New Roman"/>
          <w:lang w:val="de-DE"/>
        </w:rPr>
        <w:t xml:space="preserve"> </w:t>
      </w:r>
      <w:proofErr w:type="spellStart"/>
      <w:r w:rsidRPr="00F703E7">
        <w:rPr>
          <w:rFonts w:ascii="Times New Roman" w:hAnsi="Times New Roman" w:cs="Times New Roman"/>
        </w:rPr>
        <w:t>Kredito</w:t>
      </w:r>
      <w:proofErr w:type="spellEnd"/>
      <w:r w:rsidRPr="00F703E7">
        <w:rPr>
          <w:rFonts w:ascii="Times New Roman" w:hAnsi="Times New Roman" w:cs="Times New Roman"/>
        </w:rPr>
        <w:t xml:space="preserve"> </w:t>
      </w:r>
      <w:r>
        <w:rPr>
          <w:rFonts w:ascii="Times New Roman" w:hAnsi="Times New Roman" w:cs="Times New Roman"/>
        </w:rPr>
        <w:t xml:space="preserve"> </w:t>
      </w:r>
      <w:proofErr w:type="spellStart"/>
      <w:r w:rsidRPr="00F703E7">
        <w:rPr>
          <w:rFonts w:ascii="Times New Roman" w:hAnsi="Times New Roman" w:cs="Times New Roman"/>
        </w:rPr>
        <w:t>unij</w:t>
      </w:r>
      <w:proofErr w:type="spellEnd"/>
      <w:r>
        <w:rPr>
          <w:rFonts w:ascii="Times New Roman" w:hAnsi="Times New Roman" w:cs="Times New Roman"/>
          <w:lang w:val="lt-LT"/>
        </w:rPr>
        <w:t>ų ir</w:t>
      </w:r>
      <w:r w:rsidRPr="00F703E7">
        <w:rPr>
          <w:rFonts w:ascii="Times New Roman" w:hAnsi="Times New Roman" w:cs="Times New Roman"/>
          <w:lang w:val="lt-LT"/>
        </w:rPr>
        <w:t xml:space="preserve"> Lietuvos centrinės kredito unijos veiklos apžvalga </w:t>
      </w:r>
      <w:r>
        <w:rPr>
          <w:rFonts w:ascii="Times New Roman" w:hAnsi="Times New Roman" w:cs="Times New Roman"/>
        </w:rPr>
        <w:t>2013 m. – 2014.</w:t>
      </w:r>
    </w:p>
  </w:footnote>
  <w:footnote w:id="4">
    <w:p w:rsidR="00FA0D12" w:rsidRPr="00ED22CC" w:rsidRDefault="00FA0D12">
      <w:pPr>
        <w:pStyle w:val="FootnoteText"/>
        <w:rPr>
          <w:rFonts w:ascii="Times New Roman" w:hAnsi="Times New Roman" w:cs="Times New Roman"/>
        </w:rPr>
      </w:pPr>
      <w:r w:rsidRPr="00ED22CC">
        <w:rPr>
          <w:rStyle w:val="FootnoteReference"/>
          <w:rFonts w:ascii="Times New Roman" w:hAnsi="Times New Roman" w:cs="Times New Roman"/>
        </w:rPr>
        <w:footnoteRef/>
      </w:r>
      <w:r w:rsidRPr="00ED22CC">
        <w:rPr>
          <w:rFonts w:ascii="Times New Roman" w:hAnsi="Times New Roman" w:cs="Times New Roman"/>
        </w:rPr>
        <w:t xml:space="preserve"> </w:t>
      </w:r>
      <w:proofErr w:type="spellStart"/>
      <w:r w:rsidRPr="00ED22CC">
        <w:rPr>
          <w:rFonts w:ascii="Times New Roman" w:hAnsi="Times New Roman" w:cs="Times New Roman"/>
        </w:rPr>
        <w:t>Dagilien</w:t>
      </w:r>
      <w:proofErr w:type="spellEnd"/>
      <w:r w:rsidRPr="00ED22CC">
        <w:rPr>
          <w:rFonts w:ascii="Times New Roman" w:hAnsi="Times New Roman" w:cs="Times New Roman"/>
          <w:lang w:val="lt-LT"/>
        </w:rPr>
        <w:t xml:space="preserve">ė L., </w:t>
      </w:r>
      <w:proofErr w:type="spellStart"/>
      <w:r w:rsidRPr="00ED22CC">
        <w:rPr>
          <w:rFonts w:ascii="Times New Roman" w:hAnsi="Times New Roman" w:cs="Times New Roman"/>
          <w:lang w:val="lt-LT"/>
        </w:rPr>
        <w:t>Menciūnienė</w:t>
      </w:r>
      <w:proofErr w:type="spellEnd"/>
      <w:r w:rsidRPr="00ED22CC">
        <w:rPr>
          <w:rFonts w:ascii="Times New Roman" w:hAnsi="Times New Roman" w:cs="Times New Roman"/>
          <w:lang w:val="lt-LT"/>
        </w:rPr>
        <w:t xml:space="preserve"> V., </w:t>
      </w:r>
      <w:proofErr w:type="spellStart"/>
      <w:r w:rsidRPr="00ED22CC">
        <w:rPr>
          <w:rFonts w:ascii="Times New Roman" w:hAnsi="Times New Roman" w:cs="Times New Roman"/>
          <w:lang w:val="lt-LT"/>
        </w:rPr>
        <w:t>Rugenytė</w:t>
      </w:r>
      <w:proofErr w:type="spellEnd"/>
      <w:r w:rsidRPr="00ED22CC">
        <w:rPr>
          <w:rFonts w:ascii="Times New Roman" w:hAnsi="Times New Roman" w:cs="Times New Roman"/>
          <w:lang w:val="lt-LT"/>
        </w:rPr>
        <w:t xml:space="preserve"> D. Bankroto prognozavimo svarba ir metodai. – Kaunas, </w:t>
      </w:r>
      <w:proofErr w:type="spellStart"/>
      <w:r w:rsidRPr="00ED22CC">
        <w:rPr>
          <w:rFonts w:ascii="Times New Roman" w:hAnsi="Times New Roman" w:cs="Times New Roman"/>
          <w:lang w:val="lt-LT"/>
        </w:rPr>
        <w:t>Verslas:Teorija</w:t>
      </w:r>
      <w:proofErr w:type="spellEnd"/>
      <w:r w:rsidRPr="00ED22CC">
        <w:rPr>
          <w:rFonts w:ascii="Times New Roman" w:hAnsi="Times New Roman" w:cs="Times New Roman"/>
          <w:lang w:val="lt-LT"/>
        </w:rPr>
        <w:t xml:space="preserve"> ir praktika, </w:t>
      </w:r>
      <w:r>
        <w:rPr>
          <w:rFonts w:ascii="Times New Roman" w:hAnsi="Times New Roman" w:cs="Times New Roman"/>
        </w:rPr>
        <w:t>2010. P.</w:t>
      </w:r>
      <w:r w:rsidRPr="00ED22CC">
        <w:rPr>
          <w:rFonts w:ascii="Times New Roman" w:hAnsi="Times New Roman" w:cs="Times New Roman"/>
        </w:rPr>
        <w:t>147.</w:t>
      </w:r>
    </w:p>
  </w:footnote>
  <w:footnote w:id="5">
    <w:p w:rsidR="00FA0D12" w:rsidRPr="00676AE9" w:rsidRDefault="00FA0D12">
      <w:pPr>
        <w:pStyle w:val="FootnoteText"/>
        <w:rPr>
          <w:rFonts w:ascii="Times New Roman" w:hAnsi="Times New Roman" w:cs="Times New Roman"/>
          <w:lang w:val="lt-LT"/>
        </w:rPr>
      </w:pPr>
      <w:r w:rsidRPr="00676AE9">
        <w:rPr>
          <w:rStyle w:val="FootnoteReference"/>
          <w:rFonts w:ascii="Times New Roman" w:hAnsi="Times New Roman" w:cs="Times New Roman"/>
          <w:lang w:val="lt-LT"/>
        </w:rPr>
        <w:footnoteRef/>
      </w:r>
      <w:r w:rsidRPr="00676AE9">
        <w:rPr>
          <w:rFonts w:ascii="Times New Roman" w:hAnsi="Times New Roman" w:cs="Times New Roman"/>
          <w:lang w:val="lt-LT"/>
        </w:rPr>
        <w:t xml:space="preserve"> Lietuvos bankas. Pagrindiniai kredito unijų sektoriaus veiklos rodikliai  (2013 </w:t>
      </w:r>
      <w:proofErr w:type="spellStart"/>
      <w:r w:rsidRPr="00676AE9">
        <w:rPr>
          <w:rFonts w:ascii="Times New Roman" w:hAnsi="Times New Roman" w:cs="Times New Roman"/>
          <w:lang w:val="lt-LT"/>
        </w:rPr>
        <w:t>m</w:t>
      </w:r>
      <w:proofErr w:type="spellEnd"/>
      <w:r w:rsidRPr="00676AE9">
        <w:rPr>
          <w:rFonts w:ascii="Times New Roman" w:hAnsi="Times New Roman" w:cs="Times New Roman"/>
          <w:lang w:val="lt-LT"/>
        </w:rPr>
        <w:t xml:space="preserve">. gruodžio 31 </w:t>
      </w:r>
      <w:proofErr w:type="spellStart"/>
      <w:r w:rsidRPr="00676AE9">
        <w:rPr>
          <w:rFonts w:ascii="Times New Roman" w:hAnsi="Times New Roman" w:cs="Times New Roman"/>
          <w:lang w:val="lt-LT"/>
        </w:rPr>
        <w:t>d</w:t>
      </w:r>
      <w:proofErr w:type="spellEnd"/>
      <w:r w:rsidRPr="00676AE9">
        <w:rPr>
          <w:rFonts w:ascii="Times New Roman" w:hAnsi="Times New Roman" w:cs="Times New Roman"/>
          <w:lang w:val="lt-LT"/>
        </w:rPr>
        <w:t xml:space="preserve">. </w:t>
      </w:r>
      <w:proofErr w:type="spellStart"/>
      <w:r w:rsidRPr="00676AE9">
        <w:rPr>
          <w:rFonts w:ascii="Times New Roman" w:hAnsi="Times New Roman" w:cs="Times New Roman"/>
          <w:lang w:val="lt-LT"/>
        </w:rPr>
        <w:t>tūkst</w:t>
      </w:r>
      <w:proofErr w:type="spellEnd"/>
      <w:r w:rsidRPr="00676AE9">
        <w:rPr>
          <w:rFonts w:ascii="Times New Roman" w:hAnsi="Times New Roman" w:cs="Times New Roman"/>
          <w:lang w:val="lt-LT"/>
        </w:rPr>
        <w:t>. Lt). –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DF9"/>
    <w:multiLevelType w:val="hybridMultilevel"/>
    <w:tmpl w:val="47E6A1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4486731"/>
    <w:multiLevelType w:val="hybridMultilevel"/>
    <w:tmpl w:val="3048A4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461389B"/>
    <w:multiLevelType w:val="hybridMultilevel"/>
    <w:tmpl w:val="C37879A0"/>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3">
    <w:nsid w:val="08625051"/>
    <w:multiLevelType w:val="hybridMultilevel"/>
    <w:tmpl w:val="CD26CF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0C721E17"/>
    <w:multiLevelType w:val="hybridMultilevel"/>
    <w:tmpl w:val="1FB6EFF6"/>
    <w:lvl w:ilvl="0" w:tplc="B4E2C8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84319"/>
    <w:multiLevelType w:val="hybridMultilevel"/>
    <w:tmpl w:val="D142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F80F61"/>
    <w:multiLevelType w:val="multilevel"/>
    <w:tmpl w:val="4894C63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0170CD"/>
    <w:multiLevelType w:val="hybridMultilevel"/>
    <w:tmpl w:val="0A76CB96"/>
    <w:lvl w:ilvl="0" w:tplc="11B24E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56EC5"/>
    <w:multiLevelType w:val="hybridMultilevel"/>
    <w:tmpl w:val="993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D7106"/>
    <w:multiLevelType w:val="multilevel"/>
    <w:tmpl w:val="30D60C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14606BF1"/>
    <w:multiLevelType w:val="hybridMultilevel"/>
    <w:tmpl w:val="5E707D68"/>
    <w:lvl w:ilvl="0" w:tplc="1C987ADA">
      <w:start w:val="10"/>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nsid w:val="1A7F32ED"/>
    <w:multiLevelType w:val="hybridMultilevel"/>
    <w:tmpl w:val="F8B83B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233E4947"/>
    <w:multiLevelType w:val="hybridMultilevel"/>
    <w:tmpl w:val="9B081B78"/>
    <w:lvl w:ilvl="0" w:tplc="C5E810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244B26"/>
    <w:multiLevelType w:val="multilevel"/>
    <w:tmpl w:val="30D60C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2B4B2134"/>
    <w:multiLevelType w:val="hybridMultilevel"/>
    <w:tmpl w:val="10AAA2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2D10731D"/>
    <w:multiLevelType w:val="multilevel"/>
    <w:tmpl w:val="F67A4E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nsid w:val="35B94458"/>
    <w:multiLevelType w:val="hybridMultilevel"/>
    <w:tmpl w:val="4DF0598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3BBC4B22"/>
    <w:multiLevelType w:val="hybridMultilevel"/>
    <w:tmpl w:val="E0965478"/>
    <w:lvl w:ilvl="0" w:tplc="8A681B84">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BD06D29"/>
    <w:multiLevelType w:val="hybridMultilevel"/>
    <w:tmpl w:val="A002F7FE"/>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9">
    <w:nsid w:val="3DEA7571"/>
    <w:multiLevelType w:val="hybridMultilevel"/>
    <w:tmpl w:val="82F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637AB9"/>
    <w:multiLevelType w:val="hybridMultilevel"/>
    <w:tmpl w:val="0FF8FA5E"/>
    <w:lvl w:ilvl="0" w:tplc="6DA820C2">
      <w:start w:val="2"/>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1">
    <w:nsid w:val="401D568C"/>
    <w:multiLevelType w:val="hybridMultilevel"/>
    <w:tmpl w:val="904E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07D3C"/>
    <w:multiLevelType w:val="hybridMultilevel"/>
    <w:tmpl w:val="9220609A"/>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3">
    <w:nsid w:val="45260155"/>
    <w:multiLevelType w:val="hybridMultilevel"/>
    <w:tmpl w:val="A87883B8"/>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4">
    <w:nsid w:val="470C646D"/>
    <w:multiLevelType w:val="hybridMultilevel"/>
    <w:tmpl w:val="47CCF3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nsid w:val="4A0C62DF"/>
    <w:multiLevelType w:val="multilevel"/>
    <w:tmpl w:val="A540354C"/>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6">
    <w:nsid w:val="4BDA409F"/>
    <w:multiLevelType w:val="multilevel"/>
    <w:tmpl w:val="4B742CB8"/>
    <w:lvl w:ilvl="0">
      <w:start w:val="1"/>
      <w:numFmt w:val="decimal"/>
      <w:lvlText w:val="%1."/>
      <w:lvlJc w:val="left"/>
      <w:pPr>
        <w:ind w:left="11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4EDB65BD"/>
    <w:multiLevelType w:val="hybridMultilevel"/>
    <w:tmpl w:val="8962D69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8">
    <w:nsid w:val="527E72F1"/>
    <w:multiLevelType w:val="hybridMultilevel"/>
    <w:tmpl w:val="C6B25798"/>
    <w:lvl w:ilvl="0" w:tplc="1C987ADA">
      <w:start w:val="12"/>
      <w:numFmt w:val="decimal"/>
      <w:lvlText w:val="%1"/>
      <w:lvlJc w:val="left"/>
      <w:pPr>
        <w:ind w:left="153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9">
    <w:nsid w:val="547D7E04"/>
    <w:multiLevelType w:val="hybridMultilevel"/>
    <w:tmpl w:val="B0CAA78E"/>
    <w:lvl w:ilvl="0" w:tplc="E26254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F13EB4"/>
    <w:multiLevelType w:val="multilevel"/>
    <w:tmpl w:val="64D265E0"/>
    <w:lvl w:ilvl="0">
      <w:start w:val="1"/>
      <w:numFmt w:val="decimal"/>
      <w:lvlText w:val="%1."/>
      <w:lvlJc w:val="left"/>
      <w:pPr>
        <w:ind w:left="360" w:hanging="360"/>
      </w:pPr>
      <w:rPr>
        <w:rFonts w:ascii="Times New Roman" w:eastAsiaTheme="minorHAnsi" w:hAnsi="Times New Roman" w:cs="Times New Roman" w:hint="default"/>
        <w:color w:val="0563C1" w:themeColor="hyperlink"/>
        <w:sz w:val="20"/>
        <w:u w:val="single"/>
      </w:rPr>
    </w:lvl>
    <w:lvl w:ilvl="1">
      <w:start w:val="1"/>
      <w:numFmt w:val="decimal"/>
      <w:lvlText w:val="%1.%2."/>
      <w:lvlJc w:val="left"/>
      <w:pPr>
        <w:ind w:left="580" w:hanging="360"/>
      </w:pPr>
      <w:rPr>
        <w:rFonts w:ascii="Times New Roman" w:eastAsiaTheme="minorHAnsi" w:hAnsi="Times New Roman" w:cs="Times New Roman" w:hint="default"/>
        <w:color w:val="auto"/>
        <w:sz w:val="20"/>
        <w:u w:val="none"/>
      </w:rPr>
    </w:lvl>
    <w:lvl w:ilvl="2">
      <w:start w:val="1"/>
      <w:numFmt w:val="decimal"/>
      <w:lvlText w:val="%1.%2.%3."/>
      <w:lvlJc w:val="left"/>
      <w:pPr>
        <w:ind w:left="1160" w:hanging="720"/>
      </w:pPr>
      <w:rPr>
        <w:rFonts w:ascii="Times New Roman" w:eastAsiaTheme="minorHAnsi" w:hAnsi="Times New Roman" w:cs="Times New Roman" w:hint="default"/>
        <w:color w:val="0563C1" w:themeColor="hyperlink"/>
        <w:sz w:val="20"/>
        <w:u w:val="single"/>
      </w:rPr>
    </w:lvl>
    <w:lvl w:ilvl="3">
      <w:start w:val="1"/>
      <w:numFmt w:val="decimal"/>
      <w:lvlText w:val="%1.%2.%3.%4."/>
      <w:lvlJc w:val="left"/>
      <w:pPr>
        <w:ind w:left="1380" w:hanging="720"/>
      </w:pPr>
      <w:rPr>
        <w:rFonts w:ascii="Times New Roman" w:eastAsiaTheme="minorHAnsi" w:hAnsi="Times New Roman" w:cs="Times New Roman" w:hint="default"/>
        <w:color w:val="0563C1" w:themeColor="hyperlink"/>
        <w:sz w:val="20"/>
        <w:u w:val="single"/>
      </w:rPr>
    </w:lvl>
    <w:lvl w:ilvl="4">
      <w:start w:val="1"/>
      <w:numFmt w:val="decimal"/>
      <w:lvlText w:val="%1.%2.%3.%4.%5."/>
      <w:lvlJc w:val="left"/>
      <w:pPr>
        <w:ind w:left="1960" w:hanging="1080"/>
      </w:pPr>
      <w:rPr>
        <w:rFonts w:ascii="Times New Roman" w:eastAsiaTheme="minorHAnsi" w:hAnsi="Times New Roman" w:cs="Times New Roman" w:hint="default"/>
        <w:color w:val="0563C1" w:themeColor="hyperlink"/>
        <w:sz w:val="20"/>
        <w:u w:val="single"/>
      </w:rPr>
    </w:lvl>
    <w:lvl w:ilvl="5">
      <w:start w:val="1"/>
      <w:numFmt w:val="decimal"/>
      <w:lvlText w:val="%1.%2.%3.%4.%5.%6."/>
      <w:lvlJc w:val="left"/>
      <w:pPr>
        <w:ind w:left="2180" w:hanging="1080"/>
      </w:pPr>
      <w:rPr>
        <w:rFonts w:ascii="Times New Roman" w:eastAsiaTheme="minorHAnsi" w:hAnsi="Times New Roman" w:cs="Times New Roman" w:hint="default"/>
        <w:color w:val="0563C1" w:themeColor="hyperlink"/>
        <w:sz w:val="20"/>
        <w:u w:val="single"/>
      </w:rPr>
    </w:lvl>
    <w:lvl w:ilvl="6">
      <w:start w:val="1"/>
      <w:numFmt w:val="decimal"/>
      <w:lvlText w:val="%1.%2.%3.%4.%5.%6.%7."/>
      <w:lvlJc w:val="left"/>
      <w:pPr>
        <w:ind w:left="2760" w:hanging="1440"/>
      </w:pPr>
      <w:rPr>
        <w:rFonts w:ascii="Times New Roman" w:eastAsiaTheme="minorHAnsi" w:hAnsi="Times New Roman" w:cs="Times New Roman" w:hint="default"/>
        <w:color w:val="0563C1" w:themeColor="hyperlink"/>
        <w:sz w:val="20"/>
        <w:u w:val="single"/>
      </w:rPr>
    </w:lvl>
    <w:lvl w:ilvl="7">
      <w:start w:val="1"/>
      <w:numFmt w:val="decimal"/>
      <w:lvlText w:val="%1.%2.%3.%4.%5.%6.%7.%8."/>
      <w:lvlJc w:val="left"/>
      <w:pPr>
        <w:ind w:left="2980" w:hanging="1440"/>
      </w:pPr>
      <w:rPr>
        <w:rFonts w:ascii="Times New Roman" w:eastAsiaTheme="minorHAnsi" w:hAnsi="Times New Roman" w:cs="Times New Roman" w:hint="default"/>
        <w:color w:val="0563C1" w:themeColor="hyperlink"/>
        <w:sz w:val="20"/>
        <w:u w:val="single"/>
      </w:rPr>
    </w:lvl>
    <w:lvl w:ilvl="8">
      <w:start w:val="1"/>
      <w:numFmt w:val="decimal"/>
      <w:lvlText w:val="%1.%2.%3.%4.%5.%6.%7.%8.%9."/>
      <w:lvlJc w:val="left"/>
      <w:pPr>
        <w:ind w:left="3560" w:hanging="1800"/>
      </w:pPr>
      <w:rPr>
        <w:rFonts w:ascii="Times New Roman" w:eastAsiaTheme="minorHAnsi" w:hAnsi="Times New Roman" w:cs="Times New Roman" w:hint="default"/>
        <w:color w:val="0563C1" w:themeColor="hyperlink"/>
        <w:sz w:val="20"/>
        <w:u w:val="single"/>
      </w:rPr>
    </w:lvl>
  </w:abstractNum>
  <w:abstractNum w:abstractNumId="31">
    <w:nsid w:val="64EF6383"/>
    <w:multiLevelType w:val="hybridMultilevel"/>
    <w:tmpl w:val="D12E7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C023D"/>
    <w:multiLevelType w:val="multilevel"/>
    <w:tmpl w:val="49E8C0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7AA344C"/>
    <w:multiLevelType w:val="hybridMultilevel"/>
    <w:tmpl w:val="9E42DD02"/>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4">
    <w:nsid w:val="68955716"/>
    <w:multiLevelType w:val="hybridMultilevel"/>
    <w:tmpl w:val="7C680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0B15AF"/>
    <w:multiLevelType w:val="hybridMultilevel"/>
    <w:tmpl w:val="9264ACD0"/>
    <w:lvl w:ilvl="0" w:tplc="23780DA4">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5C4648"/>
    <w:multiLevelType w:val="hybridMultilevel"/>
    <w:tmpl w:val="5E707D68"/>
    <w:lvl w:ilvl="0" w:tplc="1C987ADA">
      <w:start w:val="10"/>
      <w:numFmt w:val="decimal"/>
      <w:lvlText w:val="%1"/>
      <w:lvlJc w:val="left"/>
      <w:pPr>
        <w:ind w:left="153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7">
    <w:nsid w:val="7B3E5A2A"/>
    <w:multiLevelType w:val="hybridMultilevel"/>
    <w:tmpl w:val="859C3A4E"/>
    <w:lvl w:ilvl="0" w:tplc="198C7B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20334B"/>
    <w:multiLevelType w:val="hybridMultilevel"/>
    <w:tmpl w:val="E070DE12"/>
    <w:lvl w:ilvl="0" w:tplc="4262FB86">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9"/>
  </w:num>
  <w:num w:numId="2">
    <w:abstractNumId w:val="7"/>
  </w:num>
  <w:num w:numId="3">
    <w:abstractNumId w:val="0"/>
  </w:num>
  <w:num w:numId="4">
    <w:abstractNumId w:val="22"/>
  </w:num>
  <w:num w:numId="5">
    <w:abstractNumId w:val="32"/>
  </w:num>
  <w:num w:numId="6">
    <w:abstractNumId w:val="9"/>
  </w:num>
  <w:num w:numId="7">
    <w:abstractNumId w:val="19"/>
  </w:num>
  <w:num w:numId="8">
    <w:abstractNumId w:val="8"/>
  </w:num>
  <w:num w:numId="9">
    <w:abstractNumId w:val="1"/>
  </w:num>
  <w:num w:numId="10">
    <w:abstractNumId w:val="21"/>
  </w:num>
  <w:num w:numId="11">
    <w:abstractNumId w:val="17"/>
  </w:num>
  <w:num w:numId="12">
    <w:abstractNumId w:val="23"/>
  </w:num>
  <w:num w:numId="13">
    <w:abstractNumId w:val="31"/>
  </w:num>
  <w:num w:numId="14">
    <w:abstractNumId w:val="37"/>
  </w:num>
  <w:num w:numId="15">
    <w:abstractNumId w:val="26"/>
  </w:num>
  <w:num w:numId="16">
    <w:abstractNumId w:val="27"/>
  </w:num>
  <w:num w:numId="17">
    <w:abstractNumId w:val="2"/>
  </w:num>
  <w:num w:numId="18">
    <w:abstractNumId w:val="3"/>
  </w:num>
  <w:num w:numId="19">
    <w:abstractNumId w:val="18"/>
  </w:num>
  <w:num w:numId="20">
    <w:abstractNumId w:val="24"/>
  </w:num>
  <w:num w:numId="21">
    <w:abstractNumId w:val="33"/>
  </w:num>
  <w:num w:numId="22">
    <w:abstractNumId w:val="5"/>
  </w:num>
  <w:num w:numId="23">
    <w:abstractNumId w:val="12"/>
  </w:num>
  <w:num w:numId="24">
    <w:abstractNumId w:val="35"/>
  </w:num>
  <w:num w:numId="25">
    <w:abstractNumId w:val="34"/>
  </w:num>
  <w:num w:numId="26">
    <w:abstractNumId w:val="16"/>
  </w:num>
  <w:num w:numId="27">
    <w:abstractNumId w:val="14"/>
  </w:num>
  <w:num w:numId="28">
    <w:abstractNumId w:val="20"/>
  </w:num>
  <w:num w:numId="29">
    <w:abstractNumId w:val="10"/>
  </w:num>
  <w:num w:numId="30">
    <w:abstractNumId w:val="36"/>
  </w:num>
  <w:num w:numId="31">
    <w:abstractNumId w:val="28"/>
  </w:num>
  <w:num w:numId="32">
    <w:abstractNumId w:val="6"/>
  </w:num>
  <w:num w:numId="33">
    <w:abstractNumId w:val="11"/>
  </w:num>
  <w:num w:numId="34">
    <w:abstractNumId w:val="13"/>
  </w:num>
  <w:num w:numId="35">
    <w:abstractNumId w:val="15"/>
  </w:num>
  <w:num w:numId="36">
    <w:abstractNumId w:val="25"/>
  </w:num>
  <w:num w:numId="37">
    <w:abstractNumId w:val="30"/>
  </w:num>
  <w:num w:numId="38">
    <w:abstractNumId w:val="3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GrammaticalErrors/>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A9"/>
    <w:rsid w:val="00000788"/>
    <w:rsid w:val="00002EBE"/>
    <w:rsid w:val="000033BC"/>
    <w:rsid w:val="00004F51"/>
    <w:rsid w:val="00006485"/>
    <w:rsid w:val="00007B04"/>
    <w:rsid w:val="00007EBF"/>
    <w:rsid w:val="00011750"/>
    <w:rsid w:val="00013EB7"/>
    <w:rsid w:val="00016DE0"/>
    <w:rsid w:val="00017925"/>
    <w:rsid w:val="00021E6C"/>
    <w:rsid w:val="00023555"/>
    <w:rsid w:val="0002409C"/>
    <w:rsid w:val="000260B4"/>
    <w:rsid w:val="0003181C"/>
    <w:rsid w:val="00032C2B"/>
    <w:rsid w:val="00034742"/>
    <w:rsid w:val="00035BC6"/>
    <w:rsid w:val="00035E62"/>
    <w:rsid w:val="000369B7"/>
    <w:rsid w:val="00040A89"/>
    <w:rsid w:val="0004220C"/>
    <w:rsid w:val="00044193"/>
    <w:rsid w:val="0004747D"/>
    <w:rsid w:val="00054374"/>
    <w:rsid w:val="00055D9B"/>
    <w:rsid w:val="000563C1"/>
    <w:rsid w:val="000571A8"/>
    <w:rsid w:val="000615A2"/>
    <w:rsid w:val="000632E6"/>
    <w:rsid w:val="000660EA"/>
    <w:rsid w:val="00072DB6"/>
    <w:rsid w:val="00075EE0"/>
    <w:rsid w:val="00075F00"/>
    <w:rsid w:val="00076A63"/>
    <w:rsid w:val="00076C76"/>
    <w:rsid w:val="000855D6"/>
    <w:rsid w:val="000864D4"/>
    <w:rsid w:val="000941FE"/>
    <w:rsid w:val="000958B7"/>
    <w:rsid w:val="000A3813"/>
    <w:rsid w:val="000A3EAF"/>
    <w:rsid w:val="000A496B"/>
    <w:rsid w:val="000B11CC"/>
    <w:rsid w:val="000B137B"/>
    <w:rsid w:val="000B1861"/>
    <w:rsid w:val="000B1867"/>
    <w:rsid w:val="000B1C5D"/>
    <w:rsid w:val="000B3C0F"/>
    <w:rsid w:val="000B3C3F"/>
    <w:rsid w:val="000B5302"/>
    <w:rsid w:val="000B55B9"/>
    <w:rsid w:val="000C05D3"/>
    <w:rsid w:val="000C2EBD"/>
    <w:rsid w:val="000D176C"/>
    <w:rsid w:val="000D18B5"/>
    <w:rsid w:val="000D1BE0"/>
    <w:rsid w:val="000D1F16"/>
    <w:rsid w:val="000D37F1"/>
    <w:rsid w:val="000D503B"/>
    <w:rsid w:val="000E0318"/>
    <w:rsid w:val="000E1327"/>
    <w:rsid w:val="000E4110"/>
    <w:rsid w:val="000E6EBA"/>
    <w:rsid w:val="000E772A"/>
    <w:rsid w:val="000F03BC"/>
    <w:rsid w:val="000F0C84"/>
    <w:rsid w:val="000F0F3A"/>
    <w:rsid w:val="000F18BE"/>
    <w:rsid w:val="000F1AFE"/>
    <w:rsid w:val="000F1D59"/>
    <w:rsid w:val="000F3181"/>
    <w:rsid w:val="000F33A9"/>
    <w:rsid w:val="000F54A2"/>
    <w:rsid w:val="000F55AD"/>
    <w:rsid w:val="00101045"/>
    <w:rsid w:val="00103BC4"/>
    <w:rsid w:val="001050DD"/>
    <w:rsid w:val="001067EA"/>
    <w:rsid w:val="00106A0B"/>
    <w:rsid w:val="00106EAB"/>
    <w:rsid w:val="001111B8"/>
    <w:rsid w:val="0012086F"/>
    <w:rsid w:val="0012226F"/>
    <w:rsid w:val="0012481C"/>
    <w:rsid w:val="00130053"/>
    <w:rsid w:val="00135889"/>
    <w:rsid w:val="0013620C"/>
    <w:rsid w:val="00140887"/>
    <w:rsid w:val="00141F2D"/>
    <w:rsid w:val="00143232"/>
    <w:rsid w:val="0014469C"/>
    <w:rsid w:val="00145A9F"/>
    <w:rsid w:val="00145BB8"/>
    <w:rsid w:val="001460EB"/>
    <w:rsid w:val="00146E00"/>
    <w:rsid w:val="0014728F"/>
    <w:rsid w:val="00147CE8"/>
    <w:rsid w:val="00147D96"/>
    <w:rsid w:val="00150B9B"/>
    <w:rsid w:val="00153314"/>
    <w:rsid w:val="0015590E"/>
    <w:rsid w:val="001641F2"/>
    <w:rsid w:val="001704A9"/>
    <w:rsid w:val="001717AB"/>
    <w:rsid w:val="001719D3"/>
    <w:rsid w:val="00172AFA"/>
    <w:rsid w:val="00175522"/>
    <w:rsid w:val="00176CDF"/>
    <w:rsid w:val="00185A64"/>
    <w:rsid w:val="0019094E"/>
    <w:rsid w:val="00192756"/>
    <w:rsid w:val="00192BF4"/>
    <w:rsid w:val="0019452F"/>
    <w:rsid w:val="001A47D1"/>
    <w:rsid w:val="001B09BC"/>
    <w:rsid w:val="001B5155"/>
    <w:rsid w:val="001B670A"/>
    <w:rsid w:val="001B740C"/>
    <w:rsid w:val="001C0624"/>
    <w:rsid w:val="001C1C76"/>
    <w:rsid w:val="001C43F7"/>
    <w:rsid w:val="001C5C4C"/>
    <w:rsid w:val="001C608B"/>
    <w:rsid w:val="001D4037"/>
    <w:rsid w:val="001E3A0A"/>
    <w:rsid w:val="001E4CF7"/>
    <w:rsid w:val="001E58B0"/>
    <w:rsid w:val="001E71AB"/>
    <w:rsid w:val="0020030A"/>
    <w:rsid w:val="002040E0"/>
    <w:rsid w:val="00205A91"/>
    <w:rsid w:val="00205FF3"/>
    <w:rsid w:val="00211C44"/>
    <w:rsid w:val="0021225D"/>
    <w:rsid w:val="00212F0B"/>
    <w:rsid w:val="00213EFA"/>
    <w:rsid w:val="00214B6B"/>
    <w:rsid w:val="00215149"/>
    <w:rsid w:val="0021588B"/>
    <w:rsid w:val="00215B61"/>
    <w:rsid w:val="002228C8"/>
    <w:rsid w:val="002238AA"/>
    <w:rsid w:val="00234885"/>
    <w:rsid w:val="002352CD"/>
    <w:rsid w:val="002352FD"/>
    <w:rsid w:val="00235AE0"/>
    <w:rsid w:val="00240EF1"/>
    <w:rsid w:val="00241A85"/>
    <w:rsid w:val="002432FE"/>
    <w:rsid w:val="00245C02"/>
    <w:rsid w:val="00246F40"/>
    <w:rsid w:val="0025018A"/>
    <w:rsid w:val="00250D9B"/>
    <w:rsid w:val="00252EFF"/>
    <w:rsid w:val="00253071"/>
    <w:rsid w:val="002552E0"/>
    <w:rsid w:val="00255B61"/>
    <w:rsid w:val="002566F0"/>
    <w:rsid w:val="00256F94"/>
    <w:rsid w:val="00262873"/>
    <w:rsid w:val="00262C12"/>
    <w:rsid w:val="00265C1C"/>
    <w:rsid w:val="00266693"/>
    <w:rsid w:val="0027032D"/>
    <w:rsid w:val="00270826"/>
    <w:rsid w:val="00271608"/>
    <w:rsid w:val="00281AE0"/>
    <w:rsid w:val="00285003"/>
    <w:rsid w:val="0028640D"/>
    <w:rsid w:val="002864D1"/>
    <w:rsid w:val="0028787C"/>
    <w:rsid w:val="0029047C"/>
    <w:rsid w:val="002910B7"/>
    <w:rsid w:val="00291275"/>
    <w:rsid w:val="00291E45"/>
    <w:rsid w:val="00294357"/>
    <w:rsid w:val="002950EC"/>
    <w:rsid w:val="002A3579"/>
    <w:rsid w:val="002A5B69"/>
    <w:rsid w:val="002B0700"/>
    <w:rsid w:val="002B59D5"/>
    <w:rsid w:val="002C1084"/>
    <w:rsid w:val="002C2B0E"/>
    <w:rsid w:val="002C6972"/>
    <w:rsid w:val="002D0DC6"/>
    <w:rsid w:val="002D1602"/>
    <w:rsid w:val="002D31DE"/>
    <w:rsid w:val="002D43FB"/>
    <w:rsid w:val="002D45AC"/>
    <w:rsid w:val="002D799F"/>
    <w:rsid w:val="002E0F57"/>
    <w:rsid w:val="002E107B"/>
    <w:rsid w:val="002E216F"/>
    <w:rsid w:val="002E3BA6"/>
    <w:rsid w:val="002E5CC9"/>
    <w:rsid w:val="002F0A6B"/>
    <w:rsid w:val="002F188D"/>
    <w:rsid w:val="002F1D8A"/>
    <w:rsid w:val="002F401D"/>
    <w:rsid w:val="002F7FC6"/>
    <w:rsid w:val="003001A8"/>
    <w:rsid w:val="003018B9"/>
    <w:rsid w:val="00304442"/>
    <w:rsid w:val="00306FD3"/>
    <w:rsid w:val="00307E50"/>
    <w:rsid w:val="00312427"/>
    <w:rsid w:val="003146D7"/>
    <w:rsid w:val="0031622E"/>
    <w:rsid w:val="00317BFF"/>
    <w:rsid w:val="00320FCA"/>
    <w:rsid w:val="00321564"/>
    <w:rsid w:val="00321790"/>
    <w:rsid w:val="00322213"/>
    <w:rsid w:val="003250E2"/>
    <w:rsid w:val="00327CBD"/>
    <w:rsid w:val="0033257C"/>
    <w:rsid w:val="00332DB8"/>
    <w:rsid w:val="00333086"/>
    <w:rsid w:val="00336B64"/>
    <w:rsid w:val="0033731C"/>
    <w:rsid w:val="0033781F"/>
    <w:rsid w:val="00341EB9"/>
    <w:rsid w:val="00350F80"/>
    <w:rsid w:val="00354034"/>
    <w:rsid w:val="00354B3C"/>
    <w:rsid w:val="00362CB1"/>
    <w:rsid w:val="00365D1B"/>
    <w:rsid w:val="00367330"/>
    <w:rsid w:val="00367802"/>
    <w:rsid w:val="003701F0"/>
    <w:rsid w:val="0037020C"/>
    <w:rsid w:val="00373015"/>
    <w:rsid w:val="00377ACA"/>
    <w:rsid w:val="00377B04"/>
    <w:rsid w:val="003832D2"/>
    <w:rsid w:val="003840E6"/>
    <w:rsid w:val="003845A2"/>
    <w:rsid w:val="0039003E"/>
    <w:rsid w:val="003956FB"/>
    <w:rsid w:val="00396CAC"/>
    <w:rsid w:val="003A2A9A"/>
    <w:rsid w:val="003A2E65"/>
    <w:rsid w:val="003A3A04"/>
    <w:rsid w:val="003A47F2"/>
    <w:rsid w:val="003B01FB"/>
    <w:rsid w:val="003B0EA4"/>
    <w:rsid w:val="003B10C9"/>
    <w:rsid w:val="003B2347"/>
    <w:rsid w:val="003B3B56"/>
    <w:rsid w:val="003B3F20"/>
    <w:rsid w:val="003B4439"/>
    <w:rsid w:val="003B51C1"/>
    <w:rsid w:val="003C71AB"/>
    <w:rsid w:val="003C7E97"/>
    <w:rsid w:val="003D0D95"/>
    <w:rsid w:val="003D1931"/>
    <w:rsid w:val="003D334A"/>
    <w:rsid w:val="003D394A"/>
    <w:rsid w:val="003E02E3"/>
    <w:rsid w:val="003E1CDE"/>
    <w:rsid w:val="003E219F"/>
    <w:rsid w:val="003E2AA6"/>
    <w:rsid w:val="003E77E3"/>
    <w:rsid w:val="003E7BCF"/>
    <w:rsid w:val="003F07A6"/>
    <w:rsid w:val="003F0859"/>
    <w:rsid w:val="003F5252"/>
    <w:rsid w:val="003F65F2"/>
    <w:rsid w:val="003F660F"/>
    <w:rsid w:val="00400426"/>
    <w:rsid w:val="004021BB"/>
    <w:rsid w:val="00417E16"/>
    <w:rsid w:val="004205FB"/>
    <w:rsid w:val="0042409E"/>
    <w:rsid w:val="004244FD"/>
    <w:rsid w:val="0043311B"/>
    <w:rsid w:val="00434BC3"/>
    <w:rsid w:val="00436FB7"/>
    <w:rsid w:val="0044142E"/>
    <w:rsid w:val="00443305"/>
    <w:rsid w:val="004450CB"/>
    <w:rsid w:val="004462A5"/>
    <w:rsid w:val="00450C32"/>
    <w:rsid w:val="00451326"/>
    <w:rsid w:val="00451DAA"/>
    <w:rsid w:val="00452FCA"/>
    <w:rsid w:val="00462632"/>
    <w:rsid w:val="0046503F"/>
    <w:rsid w:val="00465377"/>
    <w:rsid w:val="00467480"/>
    <w:rsid w:val="00467CC9"/>
    <w:rsid w:val="0047019E"/>
    <w:rsid w:val="004714FF"/>
    <w:rsid w:val="004804FA"/>
    <w:rsid w:val="00491C7E"/>
    <w:rsid w:val="0049341C"/>
    <w:rsid w:val="00493B93"/>
    <w:rsid w:val="00493D55"/>
    <w:rsid w:val="004960D6"/>
    <w:rsid w:val="0049664E"/>
    <w:rsid w:val="004A1886"/>
    <w:rsid w:val="004A42F4"/>
    <w:rsid w:val="004A598D"/>
    <w:rsid w:val="004B2A7F"/>
    <w:rsid w:val="004B431D"/>
    <w:rsid w:val="004B4FBD"/>
    <w:rsid w:val="004B51DA"/>
    <w:rsid w:val="004B5C1A"/>
    <w:rsid w:val="004B6E45"/>
    <w:rsid w:val="004B718F"/>
    <w:rsid w:val="004C1B00"/>
    <w:rsid w:val="004C3339"/>
    <w:rsid w:val="004C37CF"/>
    <w:rsid w:val="004C38A3"/>
    <w:rsid w:val="004C5597"/>
    <w:rsid w:val="004C798C"/>
    <w:rsid w:val="004D0429"/>
    <w:rsid w:val="004D3509"/>
    <w:rsid w:val="004D43DA"/>
    <w:rsid w:val="004D57B6"/>
    <w:rsid w:val="004D6609"/>
    <w:rsid w:val="004D72CB"/>
    <w:rsid w:val="004E4D9D"/>
    <w:rsid w:val="004E6103"/>
    <w:rsid w:val="004F6353"/>
    <w:rsid w:val="004F7BDC"/>
    <w:rsid w:val="00501B2F"/>
    <w:rsid w:val="005024A1"/>
    <w:rsid w:val="00503405"/>
    <w:rsid w:val="00503842"/>
    <w:rsid w:val="00506681"/>
    <w:rsid w:val="00506F91"/>
    <w:rsid w:val="00507DAB"/>
    <w:rsid w:val="00512171"/>
    <w:rsid w:val="00513AFF"/>
    <w:rsid w:val="00515C1A"/>
    <w:rsid w:val="00520632"/>
    <w:rsid w:val="00522F55"/>
    <w:rsid w:val="00523881"/>
    <w:rsid w:val="00524082"/>
    <w:rsid w:val="00524234"/>
    <w:rsid w:val="0052427F"/>
    <w:rsid w:val="00524C49"/>
    <w:rsid w:val="0052531A"/>
    <w:rsid w:val="00526E3E"/>
    <w:rsid w:val="005302FA"/>
    <w:rsid w:val="00532F8D"/>
    <w:rsid w:val="00534DBF"/>
    <w:rsid w:val="0053682E"/>
    <w:rsid w:val="00541A36"/>
    <w:rsid w:val="005576FA"/>
    <w:rsid w:val="00561632"/>
    <w:rsid w:val="0057228A"/>
    <w:rsid w:val="00572AB5"/>
    <w:rsid w:val="00572C3B"/>
    <w:rsid w:val="005735AE"/>
    <w:rsid w:val="0057524C"/>
    <w:rsid w:val="00581E93"/>
    <w:rsid w:val="00584E76"/>
    <w:rsid w:val="00585224"/>
    <w:rsid w:val="005863CC"/>
    <w:rsid w:val="0059418D"/>
    <w:rsid w:val="00594B5B"/>
    <w:rsid w:val="00594FAC"/>
    <w:rsid w:val="00596FD1"/>
    <w:rsid w:val="005A03DC"/>
    <w:rsid w:val="005A0B80"/>
    <w:rsid w:val="005A4B79"/>
    <w:rsid w:val="005A5C73"/>
    <w:rsid w:val="005A7155"/>
    <w:rsid w:val="005A78BC"/>
    <w:rsid w:val="005B4A3C"/>
    <w:rsid w:val="005B5F25"/>
    <w:rsid w:val="005C03CE"/>
    <w:rsid w:val="005C27AA"/>
    <w:rsid w:val="005C46FD"/>
    <w:rsid w:val="005C6247"/>
    <w:rsid w:val="005C65FF"/>
    <w:rsid w:val="005D023A"/>
    <w:rsid w:val="005D05BD"/>
    <w:rsid w:val="005D0824"/>
    <w:rsid w:val="005D2C7E"/>
    <w:rsid w:val="005D41E3"/>
    <w:rsid w:val="005D4DD2"/>
    <w:rsid w:val="005E2F4E"/>
    <w:rsid w:val="005E36FE"/>
    <w:rsid w:val="005F0D51"/>
    <w:rsid w:val="005F11A3"/>
    <w:rsid w:val="005F70CA"/>
    <w:rsid w:val="00602470"/>
    <w:rsid w:val="00602ABC"/>
    <w:rsid w:val="00614420"/>
    <w:rsid w:val="006204BF"/>
    <w:rsid w:val="006222A1"/>
    <w:rsid w:val="006228F3"/>
    <w:rsid w:val="00623836"/>
    <w:rsid w:val="00624B06"/>
    <w:rsid w:val="006257D4"/>
    <w:rsid w:val="0062683B"/>
    <w:rsid w:val="00626FF9"/>
    <w:rsid w:val="00634D57"/>
    <w:rsid w:val="00635CE9"/>
    <w:rsid w:val="0063613D"/>
    <w:rsid w:val="00636B2C"/>
    <w:rsid w:val="0063757B"/>
    <w:rsid w:val="00640B45"/>
    <w:rsid w:val="0064495B"/>
    <w:rsid w:val="00646A14"/>
    <w:rsid w:val="006536BD"/>
    <w:rsid w:val="006543D9"/>
    <w:rsid w:val="00660C00"/>
    <w:rsid w:val="006619FE"/>
    <w:rsid w:val="00670690"/>
    <w:rsid w:val="006709F2"/>
    <w:rsid w:val="00674136"/>
    <w:rsid w:val="0067413C"/>
    <w:rsid w:val="0067592E"/>
    <w:rsid w:val="00675C48"/>
    <w:rsid w:val="00676AE9"/>
    <w:rsid w:val="00677046"/>
    <w:rsid w:val="0068264F"/>
    <w:rsid w:val="00684BA7"/>
    <w:rsid w:val="00685AA9"/>
    <w:rsid w:val="00691781"/>
    <w:rsid w:val="006925A6"/>
    <w:rsid w:val="006926AC"/>
    <w:rsid w:val="006959B7"/>
    <w:rsid w:val="00695BEE"/>
    <w:rsid w:val="00696E2C"/>
    <w:rsid w:val="00697C43"/>
    <w:rsid w:val="006A0209"/>
    <w:rsid w:val="006A3AFC"/>
    <w:rsid w:val="006A5D98"/>
    <w:rsid w:val="006A5EDA"/>
    <w:rsid w:val="006A6713"/>
    <w:rsid w:val="006B01F2"/>
    <w:rsid w:val="006B2555"/>
    <w:rsid w:val="006B7938"/>
    <w:rsid w:val="006D07EC"/>
    <w:rsid w:val="006D0877"/>
    <w:rsid w:val="006D1212"/>
    <w:rsid w:val="006D1BCF"/>
    <w:rsid w:val="006D1C05"/>
    <w:rsid w:val="006D2813"/>
    <w:rsid w:val="006D3F3D"/>
    <w:rsid w:val="006D5303"/>
    <w:rsid w:val="006D7496"/>
    <w:rsid w:val="006E1589"/>
    <w:rsid w:val="006E6A63"/>
    <w:rsid w:val="006E6BF7"/>
    <w:rsid w:val="006F03BD"/>
    <w:rsid w:val="006F0A1E"/>
    <w:rsid w:val="006F397C"/>
    <w:rsid w:val="006F3D25"/>
    <w:rsid w:val="006F49EC"/>
    <w:rsid w:val="006F7B32"/>
    <w:rsid w:val="00701703"/>
    <w:rsid w:val="007034CA"/>
    <w:rsid w:val="00705761"/>
    <w:rsid w:val="00705C8E"/>
    <w:rsid w:val="007101C7"/>
    <w:rsid w:val="007114F6"/>
    <w:rsid w:val="00715B8E"/>
    <w:rsid w:val="00722AE7"/>
    <w:rsid w:val="00722EFD"/>
    <w:rsid w:val="00726B27"/>
    <w:rsid w:val="0073189F"/>
    <w:rsid w:val="00731F10"/>
    <w:rsid w:val="00734657"/>
    <w:rsid w:val="0073685E"/>
    <w:rsid w:val="007377B7"/>
    <w:rsid w:val="00741150"/>
    <w:rsid w:val="00741727"/>
    <w:rsid w:val="00742F5B"/>
    <w:rsid w:val="007442A3"/>
    <w:rsid w:val="007450AF"/>
    <w:rsid w:val="00746509"/>
    <w:rsid w:val="00752806"/>
    <w:rsid w:val="00762463"/>
    <w:rsid w:val="0076668A"/>
    <w:rsid w:val="007670DB"/>
    <w:rsid w:val="00770655"/>
    <w:rsid w:val="00770F6B"/>
    <w:rsid w:val="00774916"/>
    <w:rsid w:val="00776A6B"/>
    <w:rsid w:val="007774F8"/>
    <w:rsid w:val="007802AA"/>
    <w:rsid w:val="007819F0"/>
    <w:rsid w:val="00782036"/>
    <w:rsid w:val="00783481"/>
    <w:rsid w:val="00783EAD"/>
    <w:rsid w:val="007906FF"/>
    <w:rsid w:val="00791B38"/>
    <w:rsid w:val="007A232D"/>
    <w:rsid w:val="007A3212"/>
    <w:rsid w:val="007A39F9"/>
    <w:rsid w:val="007A67C2"/>
    <w:rsid w:val="007B0965"/>
    <w:rsid w:val="007B692E"/>
    <w:rsid w:val="007B7E29"/>
    <w:rsid w:val="007C01EC"/>
    <w:rsid w:val="007C1CBF"/>
    <w:rsid w:val="007C4035"/>
    <w:rsid w:val="007C452E"/>
    <w:rsid w:val="007C4BB8"/>
    <w:rsid w:val="007C4BCF"/>
    <w:rsid w:val="007C4F6E"/>
    <w:rsid w:val="007C7E8C"/>
    <w:rsid w:val="007D1549"/>
    <w:rsid w:val="007D158A"/>
    <w:rsid w:val="007D4358"/>
    <w:rsid w:val="007D4548"/>
    <w:rsid w:val="007D741A"/>
    <w:rsid w:val="007E0C1E"/>
    <w:rsid w:val="007E0E8F"/>
    <w:rsid w:val="007E2C35"/>
    <w:rsid w:val="007E3599"/>
    <w:rsid w:val="007E756B"/>
    <w:rsid w:val="007F05FE"/>
    <w:rsid w:val="007F0E1F"/>
    <w:rsid w:val="007F3236"/>
    <w:rsid w:val="007F38F0"/>
    <w:rsid w:val="007F5403"/>
    <w:rsid w:val="007F580A"/>
    <w:rsid w:val="007F7205"/>
    <w:rsid w:val="007F7EB3"/>
    <w:rsid w:val="0080298C"/>
    <w:rsid w:val="00804783"/>
    <w:rsid w:val="0081033F"/>
    <w:rsid w:val="008106A4"/>
    <w:rsid w:val="00816DD1"/>
    <w:rsid w:val="008205F1"/>
    <w:rsid w:val="008211A9"/>
    <w:rsid w:val="00824213"/>
    <w:rsid w:val="00825B1D"/>
    <w:rsid w:val="008303BE"/>
    <w:rsid w:val="00833893"/>
    <w:rsid w:val="008341C4"/>
    <w:rsid w:val="00834239"/>
    <w:rsid w:val="00835412"/>
    <w:rsid w:val="00836A37"/>
    <w:rsid w:val="00836AD0"/>
    <w:rsid w:val="00837602"/>
    <w:rsid w:val="00840C46"/>
    <w:rsid w:val="008435F3"/>
    <w:rsid w:val="00844E40"/>
    <w:rsid w:val="0085075D"/>
    <w:rsid w:val="00854FCB"/>
    <w:rsid w:val="0085500F"/>
    <w:rsid w:val="00863F08"/>
    <w:rsid w:val="00864B50"/>
    <w:rsid w:val="00865359"/>
    <w:rsid w:val="0087081B"/>
    <w:rsid w:val="00871978"/>
    <w:rsid w:val="00875BB9"/>
    <w:rsid w:val="00880FEA"/>
    <w:rsid w:val="008823C3"/>
    <w:rsid w:val="00883789"/>
    <w:rsid w:val="00886F18"/>
    <w:rsid w:val="0089170C"/>
    <w:rsid w:val="00892B19"/>
    <w:rsid w:val="00893EA0"/>
    <w:rsid w:val="0089481B"/>
    <w:rsid w:val="00897248"/>
    <w:rsid w:val="00897652"/>
    <w:rsid w:val="00897B75"/>
    <w:rsid w:val="008A1680"/>
    <w:rsid w:val="008A16B7"/>
    <w:rsid w:val="008A1D24"/>
    <w:rsid w:val="008A25E8"/>
    <w:rsid w:val="008A3C29"/>
    <w:rsid w:val="008A3F9D"/>
    <w:rsid w:val="008A63EE"/>
    <w:rsid w:val="008B0F73"/>
    <w:rsid w:val="008B4881"/>
    <w:rsid w:val="008B54F5"/>
    <w:rsid w:val="008C1126"/>
    <w:rsid w:val="008C2D58"/>
    <w:rsid w:val="008D1FDA"/>
    <w:rsid w:val="008D2268"/>
    <w:rsid w:val="008D452F"/>
    <w:rsid w:val="008D6536"/>
    <w:rsid w:val="008E22E7"/>
    <w:rsid w:val="008E2A4A"/>
    <w:rsid w:val="008E38A9"/>
    <w:rsid w:val="008E3DFE"/>
    <w:rsid w:val="008F3594"/>
    <w:rsid w:val="008F5958"/>
    <w:rsid w:val="008F5DBF"/>
    <w:rsid w:val="008F6000"/>
    <w:rsid w:val="008F72B4"/>
    <w:rsid w:val="008F7C43"/>
    <w:rsid w:val="0090204D"/>
    <w:rsid w:val="00905516"/>
    <w:rsid w:val="00905D98"/>
    <w:rsid w:val="00906A56"/>
    <w:rsid w:val="00907438"/>
    <w:rsid w:val="0091149C"/>
    <w:rsid w:val="00913304"/>
    <w:rsid w:val="009202DA"/>
    <w:rsid w:val="009216F7"/>
    <w:rsid w:val="00924A5F"/>
    <w:rsid w:val="00926355"/>
    <w:rsid w:val="00930E3A"/>
    <w:rsid w:val="00931542"/>
    <w:rsid w:val="00932B3B"/>
    <w:rsid w:val="009334D2"/>
    <w:rsid w:val="00940FB8"/>
    <w:rsid w:val="00944E1B"/>
    <w:rsid w:val="009547B8"/>
    <w:rsid w:val="00955ACC"/>
    <w:rsid w:val="00955C7F"/>
    <w:rsid w:val="00956C0B"/>
    <w:rsid w:val="009570CA"/>
    <w:rsid w:val="009579D1"/>
    <w:rsid w:val="00957E47"/>
    <w:rsid w:val="009729E0"/>
    <w:rsid w:val="00975202"/>
    <w:rsid w:val="0097575D"/>
    <w:rsid w:val="00976B5E"/>
    <w:rsid w:val="009774B3"/>
    <w:rsid w:val="009778DF"/>
    <w:rsid w:val="00977BB4"/>
    <w:rsid w:val="00981B62"/>
    <w:rsid w:val="0098321C"/>
    <w:rsid w:val="009843DD"/>
    <w:rsid w:val="00984722"/>
    <w:rsid w:val="00985758"/>
    <w:rsid w:val="00990673"/>
    <w:rsid w:val="00990863"/>
    <w:rsid w:val="00991835"/>
    <w:rsid w:val="009922D4"/>
    <w:rsid w:val="00994277"/>
    <w:rsid w:val="00994ADD"/>
    <w:rsid w:val="00997C0B"/>
    <w:rsid w:val="009A1FCD"/>
    <w:rsid w:val="009A79A3"/>
    <w:rsid w:val="009C05B9"/>
    <w:rsid w:val="009C22ED"/>
    <w:rsid w:val="009C2D4D"/>
    <w:rsid w:val="009C40B0"/>
    <w:rsid w:val="009C4B86"/>
    <w:rsid w:val="009C579C"/>
    <w:rsid w:val="009C7A7A"/>
    <w:rsid w:val="009D0191"/>
    <w:rsid w:val="009D091C"/>
    <w:rsid w:val="009D311B"/>
    <w:rsid w:val="009D72B3"/>
    <w:rsid w:val="009D7999"/>
    <w:rsid w:val="009E0626"/>
    <w:rsid w:val="009E0C9F"/>
    <w:rsid w:val="009E74FB"/>
    <w:rsid w:val="009E7E20"/>
    <w:rsid w:val="009F0939"/>
    <w:rsid w:val="009F2614"/>
    <w:rsid w:val="009F6756"/>
    <w:rsid w:val="009F6A66"/>
    <w:rsid w:val="00A04EFB"/>
    <w:rsid w:val="00A11BF1"/>
    <w:rsid w:val="00A11EBB"/>
    <w:rsid w:val="00A11EBE"/>
    <w:rsid w:val="00A16DBB"/>
    <w:rsid w:val="00A21BC7"/>
    <w:rsid w:val="00A22DAB"/>
    <w:rsid w:val="00A23693"/>
    <w:rsid w:val="00A24C66"/>
    <w:rsid w:val="00A261CD"/>
    <w:rsid w:val="00A2704E"/>
    <w:rsid w:val="00A33808"/>
    <w:rsid w:val="00A33A8D"/>
    <w:rsid w:val="00A34D01"/>
    <w:rsid w:val="00A35AA7"/>
    <w:rsid w:val="00A35F7E"/>
    <w:rsid w:val="00A41F4D"/>
    <w:rsid w:val="00A4278E"/>
    <w:rsid w:val="00A52C5A"/>
    <w:rsid w:val="00A533BF"/>
    <w:rsid w:val="00A6030C"/>
    <w:rsid w:val="00A63C84"/>
    <w:rsid w:val="00A647E5"/>
    <w:rsid w:val="00A67DEA"/>
    <w:rsid w:val="00A72495"/>
    <w:rsid w:val="00A74B92"/>
    <w:rsid w:val="00A75160"/>
    <w:rsid w:val="00A766C7"/>
    <w:rsid w:val="00A77467"/>
    <w:rsid w:val="00A80C73"/>
    <w:rsid w:val="00A81346"/>
    <w:rsid w:val="00A82EDF"/>
    <w:rsid w:val="00A84794"/>
    <w:rsid w:val="00A8534A"/>
    <w:rsid w:val="00A867B0"/>
    <w:rsid w:val="00A86D3F"/>
    <w:rsid w:val="00A9202B"/>
    <w:rsid w:val="00A92509"/>
    <w:rsid w:val="00A974FB"/>
    <w:rsid w:val="00AA198D"/>
    <w:rsid w:val="00AA1E5C"/>
    <w:rsid w:val="00AA3942"/>
    <w:rsid w:val="00AA6B1A"/>
    <w:rsid w:val="00AA6F3F"/>
    <w:rsid w:val="00AB21F2"/>
    <w:rsid w:val="00AB75AD"/>
    <w:rsid w:val="00AB7A19"/>
    <w:rsid w:val="00AB7BBF"/>
    <w:rsid w:val="00AC14F1"/>
    <w:rsid w:val="00AC220F"/>
    <w:rsid w:val="00AC3AB4"/>
    <w:rsid w:val="00AC3C04"/>
    <w:rsid w:val="00AC6B57"/>
    <w:rsid w:val="00AD23DB"/>
    <w:rsid w:val="00AD40F6"/>
    <w:rsid w:val="00AD50D1"/>
    <w:rsid w:val="00AD5AAD"/>
    <w:rsid w:val="00AD7E7B"/>
    <w:rsid w:val="00AE5E3A"/>
    <w:rsid w:val="00AE7160"/>
    <w:rsid w:val="00AF0135"/>
    <w:rsid w:val="00AF4369"/>
    <w:rsid w:val="00AF494E"/>
    <w:rsid w:val="00AF5FEF"/>
    <w:rsid w:val="00B032AC"/>
    <w:rsid w:val="00B041FD"/>
    <w:rsid w:val="00B103EE"/>
    <w:rsid w:val="00B122DF"/>
    <w:rsid w:val="00B130BF"/>
    <w:rsid w:val="00B13D71"/>
    <w:rsid w:val="00B16945"/>
    <w:rsid w:val="00B17F67"/>
    <w:rsid w:val="00B2284F"/>
    <w:rsid w:val="00B234D3"/>
    <w:rsid w:val="00B3015A"/>
    <w:rsid w:val="00B30DB3"/>
    <w:rsid w:val="00B334A7"/>
    <w:rsid w:val="00B33AB1"/>
    <w:rsid w:val="00B349ED"/>
    <w:rsid w:val="00B35733"/>
    <w:rsid w:val="00B400B0"/>
    <w:rsid w:val="00B46885"/>
    <w:rsid w:val="00B474A6"/>
    <w:rsid w:val="00B47BD6"/>
    <w:rsid w:val="00B5042B"/>
    <w:rsid w:val="00B55AA7"/>
    <w:rsid w:val="00B60F17"/>
    <w:rsid w:val="00B60FD7"/>
    <w:rsid w:val="00B62C3A"/>
    <w:rsid w:val="00B705DD"/>
    <w:rsid w:val="00B759FB"/>
    <w:rsid w:val="00B83F6A"/>
    <w:rsid w:val="00B9045D"/>
    <w:rsid w:val="00B936EB"/>
    <w:rsid w:val="00BA23C0"/>
    <w:rsid w:val="00BA3765"/>
    <w:rsid w:val="00BA3859"/>
    <w:rsid w:val="00BA3A48"/>
    <w:rsid w:val="00BA553D"/>
    <w:rsid w:val="00BA5683"/>
    <w:rsid w:val="00BB2482"/>
    <w:rsid w:val="00BB2C30"/>
    <w:rsid w:val="00BB35A4"/>
    <w:rsid w:val="00BB3A97"/>
    <w:rsid w:val="00BB5BC3"/>
    <w:rsid w:val="00BB6E30"/>
    <w:rsid w:val="00BC0055"/>
    <w:rsid w:val="00BC2B38"/>
    <w:rsid w:val="00BC3304"/>
    <w:rsid w:val="00BC5B9F"/>
    <w:rsid w:val="00BC7E1A"/>
    <w:rsid w:val="00BD04D2"/>
    <w:rsid w:val="00BD7F00"/>
    <w:rsid w:val="00BD7FEC"/>
    <w:rsid w:val="00BE1222"/>
    <w:rsid w:val="00BE2DE4"/>
    <w:rsid w:val="00BF1693"/>
    <w:rsid w:val="00BF1696"/>
    <w:rsid w:val="00BF2950"/>
    <w:rsid w:val="00BF4A50"/>
    <w:rsid w:val="00BF5CE3"/>
    <w:rsid w:val="00BF7072"/>
    <w:rsid w:val="00BF7EF4"/>
    <w:rsid w:val="00C03306"/>
    <w:rsid w:val="00C10759"/>
    <w:rsid w:val="00C123FC"/>
    <w:rsid w:val="00C133BC"/>
    <w:rsid w:val="00C161A6"/>
    <w:rsid w:val="00C16E8A"/>
    <w:rsid w:val="00C227B5"/>
    <w:rsid w:val="00C229B0"/>
    <w:rsid w:val="00C23FDA"/>
    <w:rsid w:val="00C24BB3"/>
    <w:rsid w:val="00C265F5"/>
    <w:rsid w:val="00C2737F"/>
    <w:rsid w:val="00C33D73"/>
    <w:rsid w:val="00C34BCD"/>
    <w:rsid w:val="00C4214A"/>
    <w:rsid w:val="00C429F5"/>
    <w:rsid w:val="00C45092"/>
    <w:rsid w:val="00C5182F"/>
    <w:rsid w:val="00C519FA"/>
    <w:rsid w:val="00C52524"/>
    <w:rsid w:val="00C5447F"/>
    <w:rsid w:val="00C5542B"/>
    <w:rsid w:val="00C559E8"/>
    <w:rsid w:val="00C57AFF"/>
    <w:rsid w:val="00C616E9"/>
    <w:rsid w:val="00C62F9C"/>
    <w:rsid w:val="00C6664C"/>
    <w:rsid w:val="00C72189"/>
    <w:rsid w:val="00C74C32"/>
    <w:rsid w:val="00C74E1C"/>
    <w:rsid w:val="00C812B4"/>
    <w:rsid w:val="00C830BB"/>
    <w:rsid w:val="00C91071"/>
    <w:rsid w:val="00C921A6"/>
    <w:rsid w:val="00C93CD7"/>
    <w:rsid w:val="00C93CDA"/>
    <w:rsid w:val="00C948DF"/>
    <w:rsid w:val="00C95A87"/>
    <w:rsid w:val="00C95F4C"/>
    <w:rsid w:val="00C966F7"/>
    <w:rsid w:val="00CA2C49"/>
    <w:rsid w:val="00CA3F96"/>
    <w:rsid w:val="00CA41CF"/>
    <w:rsid w:val="00CB7554"/>
    <w:rsid w:val="00CB7E0F"/>
    <w:rsid w:val="00CC21C7"/>
    <w:rsid w:val="00CC4D05"/>
    <w:rsid w:val="00CC5F6A"/>
    <w:rsid w:val="00CC7456"/>
    <w:rsid w:val="00CD1FF2"/>
    <w:rsid w:val="00CD4FB2"/>
    <w:rsid w:val="00CD778B"/>
    <w:rsid w:val="00CE05EE"/>
    <w:rsid w:val="00CE0C32"/>
    <w:rsid w:val="00CE31E3"/>
    <w:rsid w:val="00CE5738"/>
    <w:rsid w:val="00CE7121"/>
    <w:rsid w:val="00CE7246"/>
    <w:rsid w:val="00CF18EB"/>
    <w:rsid w:val="00CF3899"/>
    <w:rsid w:val="00CF51C8"/>
    <w:rsid w:val="00CF59EE"/>
    <w:rsid w:val="00CF7494"/>
    <w:rsid w:val="00D008D9"/>
    <w:rsid w:val="00D00CAA"/>
    <w:rsid w:val="00D037F9"/>
    <w:rsid w:val="00D042D9"/>
    <w:rsid w:val="00D04905"/>
    <w:rsid w:val="00D11067"/>
    <w:rsid w:val="00D11D8F"/>
    <w:rsid w:val="00D1325C"/>
    <w:rsid w:val="00D150BA"/>
    <w:rsid w:val="00D1783E"/>
    <w:rsid w:val="00D21DCD"/>
    <w:rsid w:val="00D22163"/>
    <w:rsid w:val="00D2470A"/>
    <w:rsid w:val="00D31E02"/>
    <w:rsid w:val="00D329D1"/>
    <w:rsid w:val="00D33270"/>
    <w:rsid w:val="00D349BF"/>
    <w:rsid w:val="00D36052"/>
    <w:rsid w:val="00D3637D"/>
    <w:rsid w:val="00D43459"/>
    <w:rsid w:val="00D44544"/>
    <w:rsid w:val="00D549C3"/>
    <w:rsid w:val="00D60BEE"/>
    <w:rsid w:val="00D60D20"/>
    <w:rsid w:val="00D64234"/>
    <w:rsid w:val="00D65E54"/>
    <w:rsid w:val="00D719A2"/>
    <w:rsid w:val="00D74E04"/>
    <w:rsid w:val="00D750A2"/>
    <w:rsid w:val="00D76AC7"/>
    <w:rsid w:val="00D8016D"/>
    <w:rsid w:val="00D81EFC"/>
    <w:rsid w:val="00D835EC"/>
    <w:rsid w:val="00D83A64"/>
    <w:rsid w:val="00D8469C"/>
    <w:rsid w:val="00D84E41"/>
    <w:rsid w:val="00D90324"/>
    <w:rsid w:val="00D91D86"/>
    <w:rsid w:val="00D921E0"/>
    <w:rsid w:val="00DA03C6"/>
    <w:rsid w:val="00DA30E1"/>
    <w:rsid w:val="00DA6BAB"/>
    <w:rsid w:val="00DA7D88"/>
    <w:rsid w:val="00DB1B1A"/>
    <w:rsid w:val="00DB686B"/>
    <w:rsid w:val="00DB6C63"/>
    <w:rsid w:val="00DC1A90"/>
    <w:rsid w:val="00DC28D5"/>
    <w:rsid w:val="00DC3240"/>
    <w:rsid w:val="00DC7677"/>
    <w:rsid w:val="00DD2C95"/>
    <w:rsid w:val="00DD365E"/>
    <w:rsid w:val="00DD3D01"/>
    <w:rsid w:val="00DD5D41"/>
    <w:rsid w:val="00DE08C2"/>
    <w:rsid w:val="00DE103E"/>
    <w:rsid w:val="00DE2A58"/>
    <w:rsid w:val="00DE41C2"/>
    <w:rsid w:val="00DE50D0"/>
    <w:rsid w:val="00DE6A32"/>
    <w:rsid w:val="00DF0802"/>
    <w:rsid w:val="00DF656D"/>
    <w:rsid w:val="00E00FAA"/>
    <w:rsid w:val="00E04286"/>
    <w:rsid w:val="00E12285"/>
    <w:rsid w:val="00E20DB2"/>
    <w:rsid w:val="00E23620"/>
    <w:rsid w:val="00E2428D"/>
    <w:rsid w:val="00E25197"/>
    <w:rsid w:val="00E27912"/>
    <w:rsid w:val="00E300EC"/>
    <w:rsid w:val="00E32D1F"/>
    <w:rsid w:val="00E33D69"/>
    <w:rsid w:val="00E365C3"/>
    <w:rsid w:val="00E413EE"/>
    <w:rsid w:val="00E43230"/>
    <w:rsid w:val="00E433B8"/>
    <w:rsid w:val="00E51219"/>
    <w:rsid w:val="00E52B4E"/>
    <w:rsid w:val="00E54C9F"/>
    <w:rsid w:val="00E566DF"/>
    <w:rsid w:val="00E709B3"/>
    <w:rsid w:val="00E709CC"/>
    <w:rsid w:val="00E70F60"/>
    <w:rsid w:val="00E71E10"/>
    <w:rsid w:val="00E756EA"/>
    <w:rsid w:val="00E7604D"/>
    <w:rsid w:val="00E80A14"/>
    <w:rsid w:val="00E817F1"/>
    <w:rsid w:val="00E82775"/>
    <w:rsid w:val="00E8526F"/>
    <w:rsid w:val="00E86007"/>
    <w:rsid w:val="00E908EC"/>
    <w:rsid w:val="00E9104C"/>
    <w:rsid w:val="00E91118"/>
    <w:rsid w:val="00E91978"/>
    <w:rsid w:val="00E91DD6"/>
    <w:rsid w:val="00E93B17"/>
    <w:rsid w:val="00EA0531"/>
    <w:rsid w:val="00EA0571"/>
    <w:rsid w:val="00EA0BC9"/>
    <w:rsid w:val="00EA2598"/>
    <w:rsid w:val="00EA2D3F"/>
    <w:rsid w:val="00EA5E81"/>
    <w:rsid w:val="00EA6BB9"/>
    <w:rsid w:val="00EA7076"/>
    <w:rsid w:val="00EB04C3"/>
    <w:rsid w:val="00EB139F"/>
    <w:rsid w:val="00EB1526"/>
    <w:rsid w:val="00EB25E1"/>
    <w:rsid w:val="00EB313E"/>
    <w:rsid w:val="00EB44F7"/>
    <w:rsid w:val="00EB5CE3"/>
    <w:rsid w:val="00EB5D29"/>
    <w:rsid w:val="00EC2E4A"/>
    <w:rsid w:val="00EC3FA5"/>
    <w:rsid w:val="00ED07D5"/>
    <w:rsid w:val="00ED22CC"/>
    <w:rsid w:val="00ED2B45"/>
    <w:rsid w:val="00ED6E28"/>
    <w:rsid w:val="00EE1E9B"/>
    <w:rsid w:val="00EE33C8"/>
    <w:rsid w:val="00EE4FA4"/>
    <w:rsid w:val="00EE753B"/>
    <w:rsid w:val="00EE7D53"/>
    <w:rsid w:val="00EF79BB"/>
    <w:rsid w:val="00F00245"/>
    <w:rsid w:val="00F00EF3"/>
    <w:rsid w:val="00F01A75"/>
    <w:rsid w:val="00F03109"/>
    <w:rsid w:val="00F053D7"/>
    <w:rsid w:val="00F103E9"/>
    <w:rsid w:val="00F11B9F"/>
    <w:rsid w:val="00F12743"/>
    <w:rsid w:val="00F1330D"/>
    <w:rsid w:val="00F13434"/>
    <w:rsid w:val="00F20243"/>
    <w:rsid w:val="00F211AE"/>
    <w:rsid w:val="00F23DBB"/>
    <w:rsid w:val="00F240FE"/>
    <w:rsid w:val="00F2570D"/>
    <w:rsid w:val="00F2688E"/>
    <w:rsid w:val="00F2748A"/>
    <w:rsid w:val="00F31832"/>
    <w:rsid w:val="00F32B93"/>
    <w:rsid w:val="00F334B0"/>
    <w:rsid w:val="00F420F4"/>
    <w:rsid w:val="00F4794E"/>
    <w:rsid w:val="00F5210C"/>
    <w:rsid w:val="00F52C4A"/>
    <w:rsid w:val="00F53F86"/>
    <w:rsid w:val="00F542BA"/>
    <w:rsid w:val="00F558B5"/>
    <w:rsid w:val="00F63E9E"/>
    <w:rsid w:val="00F64356"/>
    <w:rsid w:val="00F64E0C"/>
    <w:rsid w:val="00F66F30"/>
    <w:rsid w:val="00F70241"/>
    <w:rsid w:val="00F70372"/>
    <w:rsid w:val="00F703E7"/>
    <w:rsid w:val="00F71A66"/>
    <w:rsid w:val="00F732A7"/>
    <w:rsid w:val="00F75558"/>
    <w:rsid w:val="00F75577"/>
    <w:rsid w:val="00F80CFE"/>
    <w:rsid w:val="00F85E07"/>
    <w:rsid w:val="00F87E59"/>
    <w:rsid w:val="00F90E74"/>
    <w:rsid w:val="00F90EB2"/>
    <w:rsid w:val="00F95152"/>
    <w:rsid w:val="00F96802"/>
    <w:rsid w:val="00F97D6C"/>
    <w:rsid w:val="00FA0D12"/>
    <w:rsid w:val="00FA0E5C"/>
    <w:rsid w:val="00FA1042"/>
    <w:rsid w:val="00FA12B1"/>
    <w:rsid w:val="00FA6932"/>
    <w:rsid w:val="00FA7662"/>
    <w:rsid w:val="00FB058C"/>
    <w:rsid w:val="00FB141F"/>
    <w:rsid w:val="00FB5BA6"/>
    <w:rsid w:val="00FB686B"/>
    <w:rsid w:val="00FC1614"/>
    <w:rsid w:val="00FC1B19"/>
    <w:rsid w:val="00FC4939"/>
    <w:rsid w:val="00FC6833"/>
    <w:rsid w:val="00FC6D78"/>
    <w:rsid w:val="00FD4832"/>
    <w:rsid w:val="00FD5555"/>
    <w:rsid w:val="00FD55AC"/>
    <w:rsid w:val="00FD5CE2"/>
    <w:rsid w:val="00FE0BBF"/>
    <w:rsid w:val="00FE1903"/>
    <w:rsid w:val="00FE6C20"/>
    <w:rsid w:val="00FE6CC1"/>
    <w:rsid w:val="00FF027E"/>
    <w:rsid w:val="00FF0C88"/>
    <w:rsid w:val="00FF14AB"/>
    <w:rsid w:val="00FF2632"/>
    <w:rsid w:val="00FF2CF9"/>
    <w:rsid w:val="00FF3787"/>
    <w:rsid w:val="00FF5081"/>
    <w:rsid w:val="00FF6AB7"/>
    <w:rsid w:val="00FF6AC2"/>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2B0E"/>
    <w:pPr>
      <w:keepNext/>
      <w:spacing w:before="240" w:after="60" w:line="240" w:lineRule="auto"/>
      <w:outlineLvl w:val="0"/>
    </w:pPr>
    <w:rPr>
      <w:rFonts w:ascii="Arial" w:eastAsia="SimSun" w:hAnsi="Arial" w:cs="Arial"/>
      <w:b/>
      <w:bCs/>
      <w:kern w:val="32"/>
      <w:sz w:val="32"/>
      <w:szCs w:val="32"/>
      <w:lang w:val="lt-LT" w:eastAsia="zh-CN"/>
      <w14:ligatures w14:val="none"/>
    </w:rPr>
  </w:style>
  <w:style w:type="paragraph" w:styleId="Heading2">
    <w:name w:val="heading 2"/>
    <w:basedOn w:val="Normal"/>
    <w:next w:val="Normal"/>
    <w:link w:val="Heading2Char"/>
    <w:uiPriority w:val="9"/>
    <w:unhideWhenUsed/>
    <w:qFormat/>
    <w:rsid w:val="00450C3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462A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0DD"/>
    <w:pPr>
      <w:ind w:left="720"/>
      <w:contextualSpacing/>
    </w:pPr>
  </w:style>
  <w:style w:type="character" w:customStyle="1" w:styleId="Heading1Char">
    <w:name w:val="Heading 1 Char"/>
    <w:basedOn w:val="DefaultParagraphFont"/>
    <w:link w:val="Heading1"/>
    <w:rsid w:val="002C2B0E"/>
    <w:rPr>
      <w:rFonts w:ascii="Arial" w:eastAsia="SimSun" w:hAnsi="Arial" w:cs="Arial"/>
      <w:b/>
      <w:bCs/>
      <w:kern w:val="32"/>
      <w:sz w:val="32"/>
      <w:szCs w:val="32"/>
      <w:lang w:val="lt-LT" w:eastAsia="zh-CN"/>
      <w14:ligatures w14:val="none"/>
    </w:rPr>
  </w:style>
  <w:style w:type="paragraph" w:styleId="NormalWeb">
    <w:name w:val="Normal (Web)"/>
    <w:basedOn w:val="Normal"/>
    <w:uiPriority w:val="99"/>
    <w:rsid w:val="002C2B0E"/>
    <w:pPr>
      <w:spacing w:before="100" w:beforeAutospacing="1" w:after="100" w:afterAutospacing="1" w:line="240" w:lineRule="auto"/>
    </w:pPr>
    <w:rPr>
      <w:rFonts w:ascii="Times New Roman" w:eastAsia="SimSun" w:hAnsi="Times New Roman" w:cs="Times New Roman"/>
      <w:kern w:val="0"/>
      <w:sz w:val="24"/>
      <w:szCs w:val="24"/>
      <w:lang w:val="lt-LT" w:eastAsia="zh-CN"/>
      <w14:ligatures w14:val="none"/>
    </w:rPr>
  </w:style>
  <w:style w:type="table" w:styleId="TableGrid">
    <w:name w:val="Table Grid"/>
    <w:basedOn w:val="TableNormal"/>
    <w:rsid w:val="002C2B0E"/>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0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EE"/>
    <w:rPr>
      <w:rFonts w:ascii="Tahoma" w:hAnsi="Tahoma" w:cs="Tahoma"/>
      <w:sz w:val="16"/>
      <w:szCs w:val="16"/>
    </w:rPr>
  </w:style>
  <w:style w:type="character" w:customStyle="1" w:styleId="apple-converted-space">
    <w:name w:val="apple-converted-space"/>
    <w:basedOn w:val="DefaultParagraphFont"/>
    <w:rsid w:val="00245C02"/>
  </w:style>
  <w:style w:type="character" w:styleId="PlaceholderText">
    <w:name w:val="Placeholder Text"/>
    <w:basedOn w:val="DefaultParagraphFont"/>
    <w:uiPriority w:val="99"/>
    <w:semiHidden/>
    <w:rsid w:val="00897652"/>
    <w:rPr>
      <w:color w:val="808080"/>
    </w:rPr>
  </w:style>
  <w:style w:type="paragraph" w:styleId="Header">
    <w:name w:val="header"/>
    <w:basedOn w:val="Normal"/>
    <w:link w:val="HeaderChar"/>
    <w:uiPriority w:val="99"/>
    <w:unhideWhenUsed/>
    <w:rsid w:val="00BE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E4"/>
  </w:style>
  <w:style w:type="paragraph" w:styleId="Footer">
    <w:name w:val="footer"/>
    <w:basedOn w:val="Normal"/>
    <w:link w:val="FooterChar"/>
    <w:uiPriority w:val="99"/>
    <w:unhideWhenUsed/>
    <w:rsid w:val="00BE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E4"/>
  </w:style>
  <w:style w:type="table" w:styleId="LightShading">
    <w:name w:val="Light Shading"/>
    <w:basedOn w:val="TableNormal"/>
    <w:uiPriority w:val="60"/>
    <w:rsid w:val="00C966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5075D"/>
    <w:rPr>
      <w:color w:val="0563C1" w:themeColor="hyperlink"/>
      <w:u w:val="single"/>
    </w:rPr>
  </w:style>
  <w:style w:type="character" w:styleId="Strong">
    <w:name w:val="Strong"/>
    <w:basedOn w:val="DefaultParagraphFont"/>
    <w:uiPriority w:val="22"/>
    <w:qFormat/>
    <w:rsid w:val="004B5C1A"/>
    <w:rPr>
      <w:b/>
      <w:bCs/>
    </w:rPr>
  </w:style>
  <w:style w:type="character" w:customStyle="1" w:styleId="Heading2Char">
    <w:name w:val="Heading 2 Char"/>
    <w:basedOn w:val="DefaultParagraphFont"/>
    <w:link w:val="Heading2"/>
    <w:uiPriority w:val="9"/>
    <w:rsid w:val="00450C32"/>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unhideWhenUsed/>
    <w:qFormat/>
    <w:rsid w:val="00A2704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1">
    <w:name w:val="toc 1"/>
    <w:basedOn w:val="Normal"/>
    <w:next w:val="Normal"/>
    <w:autoRedefine/>
    <w:uiPriority w:val="39"/>
    <w:unhideWhenUsed/>
    <w:rsid w:val="00A2704E"/>
    <w:pPr>
      <w:spacing w:before="120" w:after="120"/>
    </w:pPr>
    <w:rPr>
      <w:b/>
      <w:bCs/>
      <w:caps/>
      <w:sz w:val="20"/>
      <w:szCs w:val="20"/>
    </w:rPr>
  </w:style>
  <w:style w:type="paragraph" w:styleId="TOC2">
    <w:name w:val="toc 2"/>
    <w:basedOn w:val="Normal"/>
    <w:next w:val="Normal"/>
    <w:autoRedefine/>
    <w:uiPriority w:val="39"/>
    <w:unhideWhenUsed/>
    <w:rsid w:val="00A2704E"/>
    <w:pPr>
      <w:spacing w:after="0"/>
      <w:ind w:left="220"/>
    </w:pPr>
    <w:rPr>
      <w:smallCaps/>
      <w:sz w:val="20"/>
      <w:szCs w:val="20"/>
    </w:rPr>
  </w:style>
  <w:style w:type="character" w:customStyle="1" w:styleId="Heading3Char">
    <w:name w:val="Heading 3 Char"/>
    <w:basedOn w:val="DefaultParagraphFont"/>
    <w:link w:val="Heading3"/>
    <w:uiPriority w:val="9"/>
    <w:rsid w:val="004462A5"/>
    <w:rPr>
      <w:rFonts w:asciiTheme="majorHAnsi" w:eastAsiaTheme="majorEastAsia" w:hAnsiTheme="majorHAnsi" w:cstheme="majorBidi"/>
      <w:b/>
      <w:bCs/>
      <w:color w:val="5B9BD5" w:themeColor="accent1"/>
    </w:rPr>
  </w:style>
  <w:style w:type="paragraph" w:styleId="TOC3">
    <w:name w:val="toc 3"/>
    <w:basedOn w:val="Normal"/>
    <w:next w:val="Normal"/>
    <w:autoRedefine/>
    <w:uiPriority w:val="39"/>
    <w:unhideWhenUsed/>
    <w:rsid w:val="004462A5"/>
    <w:pPr>
      <w:spacing w:after="0"/>
      <w:ind w:left="440"/>
    </w:pPr>
    <w:rPr>
      <w:i/>
      <w:iCs/>
      <w:sz w:val="20"/>
      <w:szCs w:val="20"/>
    </w:rPr>
  </w:style>
  <w:style w:type="paragraph" w:styleId="TOC4">
    <w:name w:val="toc 4"/>
    <w:basedOn w:val="Normal"/>
    <w:next w:val="Normal"/>
    <w:autoRedefine/>
    <w:uiPriority w:val="39"/>
    <w:unhideWhenUsed/>
    <w:rsid w:val="004462A5"/>
    <w:pPr>
      <w:spacing w:after="0"/>
      <w:ind w:left="660"/>
    </w:pPr>
    <w:rPr>
      <w:sz w:val="18"/>
      <w:szCs w:val="18"/>
    </w:rPr>
  </w:style>
  <w:style w:type="paragraph" w:styleId="TOC5">
    <w:name w:val="toc 5"/>
    <w:basedOn w:val="Normal"/>
    <w:next w:val="Normal"/>
    <w:autoRedefine/>
    <w:uiPriority w:val="39"/>
    <w:unhideWhenUsed/>
    <w:rsid w:val="004462A5"/>
    <w:pPr>
      <w:spacing w:after="0"/>
      <w:ind w:left="880"/>
    </w:pPr>
    <w:rPr>
      <w:sz w:val="18"/>
      <w:szCs w:val="18"/>
    </w:rPr>
  </w:style>
  <w:style w:type="paragraph" w:styleId="TOC6">
    <w:name w:val="toc 6"/>
    <w:basedOn w:val="Normal"/>
    <w:next w:val="Normal"/>
    <w:autoRedefine/>
    <w:uiPriority w:val="39"/>
    <w:unhideWhenUsed/>
    <w:rsid w:val="004462A5"/>
    <w:pPr>
      <w:spacing w:after="0"/>
      <w:ind w:left="1100"/>
    </w:pPr>
    <w:rPr>
      <w:sz w:val="18"/>
      <w:szCs w:val="18"/>
    </w:rPr>
  </w:style>
  <w:style w:type="paragraph" w:styleId="TOC7">
    <w:name w:val="toc 7"/>
    <w:basedOn w:val="Normal"/>
    <w:next w:val="Normal"/>
    <w:autoRedefine/>
    <w:uiPriority w:val="39"/>
    <w:unhideWhenUsed/>
    <w:rsid w:val="004462A5"/>
    <w:pPr>
      <w:spacing w:after="0"/>
      <w:ind w:left="1320"/>
    </w:pPr>
    <w:rPr>
      <w:sz w:val="18"/>
      <w:szCs w:val="18"/>
    </w:rPr>
  </w:style>
  <w:style w:type="paragraph" w:styleId="TOC8">
    <w:name w:val="toc 8"/>
    <w:basedOn w:val="Normal"/>
    <w:next w:val="Normal"/>
    <w:autoRedefine/>
    <w:uiPriority w:val="39"/>
    <w:unhideWhenUsed/>
    <w:rsid w:val="004462A5"/>
    <w:pPr>
      <w:spacing w:after="0"/>
      <w:ind w:left="1540"/>
    </w:pPr>
    <w:rPr>
      <w:sz w:val="18"/>
      <w:szCs w:val="18"/>
    </w:rPr>
  </w:style>
  <w:style w:type="paragraph" w:styleId="TOC9">
    <w:name w:val="toc 9"/>
    <w:basedOn w:val="Normal"/>
    <w:next w:val="Normal"/>
    <w:autoRedefine/>
    <w:uiPriority w:val="39"/>
    <w:unhideWhenUsed/>
    <w:rsid w:val="004462A5"/>
    <w:pPr>
      <w:spacing w:after="0"/>
      <w:ind w:left="1760"/>
    </w:pPr>
    <w:rPr>
      <w:sz w:val="18"/>
      <w:szCs w:val="18"/>
    </w:rPr>
  </w:style>
  <w:style w:type="paragraph" w:styleId="FootnoteText">
    <w:name w:val="footnote text"/>
    <w:basedOn w:val="Normal"/>
    <w:link w:val="FootnoteTextChar"/>
    <w:uiPriority w:val="99"/>
    <w:semiHidden/>
    <w:unhideWhenUsed/>
    <w:rsid w:val="00AA6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F3F"/>
    <w:rPr>
      <w:sz w:val="20"/>
      <w:szCs w:val="20"/>
    </w:rPr>
  </w:style>
  <w:style w:type="character" w:styleId="FootnoteReference">
    <w:name w:val="footnote reference"/>
    <w:basedOn w:val="DefaultParagraphFont"/>
    <w:uiPriority w:val="99"/>
    <w:semiHidden/>
    <w:unhideWhenUsed/>
    <w:rsid w:val="00AA6F3F"/>
    <w:rPr>
      <w:vertAlign w:val="superscript"/>
    </w:rPr>
  </w:style>
  <w:style w:type="character" w:styleId="FollowedHyperlink">
    <w:name w:val="FollowedHyperlink"/>
    <w:basedOn w:val="DefaultParagraphFont"/>
    <w:uiPriority w:val="99"/>
    <w:semiHidden/>
    <w:unhideWhenUsed/>
    <w:rsid w:val="00E91DD6"/>
    <w:rPr>
      <w:color w:val="800080"/>
      <w:u w:val="single"/>
    </w:rPr>
  </w:style>
  <w:style w:type="paragraph" w:customStyle="1" w:styleId="xl106">
    <w:name w:val="xl106"/>
    <w:basedOn w:val="Normal"/>
    <w:rsid w:val="00E91DD6"/>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07">
    <w:name w:val="xl107"/>
    <w:basedOn w:val="Normal"/>
    <w:rsid w:val="00E91DD6"/>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08">
    <w:name w:val="xl108"/>
    <w:basedOn w:val="Normal"/>
    <w:rsid w:val="00E91DD6"/>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09">
    <w:name w:val="xl109"/>
    <w:basedOn w:val="Normal"/>
    <w:rsid w:val="00E91DD6"/>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0">
    <w:name w:val="xl110"/>
    <w:basedOn w:val="Normal"/>
    <w:rsid w:val="00E91DD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1">
    <w:name w:val="xl111"/>
    <w:basedOn w:val="Normal"/>
    <w:rsid w:val="00E91DD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2">
    <w:name w:val="xl112"/>
    <w:basedOn w:val="Normal"/>
    <w:rsid w:val="00E91DD6"/>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3">
    <w:name w:val="xl113"/>
    <w:basedOn w:val="Normal"/>
    <w:rsid w:val="00E91DD6"/>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4">
    <w:name w:val="xl114"/>
    <w:basedOn w:val="Normal"/>
    <w:rsid w:val="00E91DD6"/>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5">
    <w:name w:val="xl115"/>
    <w:basedOn w:val="Normal"/>
    <w:rsid w:val="00E91DD6"/>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16">
    <w:name w:val="xl116"/>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17">
    <w:name w:val="xl117"/>
    <w:basedOn w:val="Normal"/>
    <w:rsid w:val="00E91D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8">
    <w:name w:val="xl118"/>
    <w:basedOn w:val="Normal"/>
    <w:rsid w:val="00E91DD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9">
    <w:name w:val="xl119"/>
    <w:basedOn w:val="Normal"/>
    <w:rsid w:val="00E91DD6"/>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0">
    <w:name w:val="xl120"/>
    <w:basedOn w:val="Normal"/>
    <w:rsid w:val="00E91DD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1">
    <w:name w:val="xl121"/>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2">
    <w:name w:val="xl122"/>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3">
    <w:name w:val="xl123"/>
    <w:basedOn w:val="Normal"/>
    <w:rsid w:val="00E91DD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4">
    <w:name w:val="xl124"/>
    <w:basedOn w:val="Normal"/>
    <w:rsid w:val="00E91DD6"/>
    <w:pPr>
      <w:pBdr>
        <w:top w:val="single" w:sz="4" w:space="0" w:color="000000"/>
        <w:left w:val="single" w:sz="8" w:space="0" w:color="auto"/>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25">
    <w:name w:val="xl125"/>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6">
    <w:name w:val="xl126"/>
    <w:basedOn w:val="Normal"/>
    <w:rsid w:val="00E91D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7">
    <w:name w:val="xl127"/>
    <w:basedOn w:val="Normal"/>
    <w:rsid w:val="00E91DD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8">
    <w:name w:val="xl128"/>
    <w:basedOn w:val="Normal"/>
    <w:rsid w:val="00E91DD6"/>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9">
    <w:name w:val="xl129"/>
    <w:basedOn w:val="Normal"/>
    <w:rsid w:val="00E91DD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0">
    <w:name w:val="xl130"/>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1">
    <w:name w:val="xl131"/>
    <w:basedOn w:val="Normal"/>
    <w:rsid w:val="00E91DD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2">
    <w:name w:val="xl132"/>
    <w:basedOn w:val="Normal"/>
    <w:rsid w:val="00E91DD6"/>
    <w:pPr>
      <w:pBdr>
        <w:top w:val="single" w:sz="4" w:space="0" w:color="000000"/>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33">
    <w:name w:val="xl133"/>
    <w:basedOn w:val="Normal"/>
    <w:rsid w:val="00E91DD6"/>
    <w:pPr>
      <w:pBdr>
        <w:top w:val="single" w:sz="4" w:space="0" w:color="auto"/>
        <w:left w:val="single" w:sz="8"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4">
    <w:name w:val="xl134"/>
    <w:basedOn w:val="Normal"/>
    <w:rsid w:val="00E91D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5">
    <w:name w:val="xl135"/>
    <w:basedOn w:val="Normal"/>
    <w:rsid w:val="00E91DD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6">
    <w:name w:val="xl136"/>
    <w:basedOn w:val="Normal"/>
    <w:rsid w:val="00E91DD6"/>
    <w:pPr>
      <w:pBdr>
        <w:top w:val="single" w:sz="4"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7">
    <w:name w:val="xl137"/>
    <w:basedOn w:val="Normal"/>
    <w:rsid w:val="00E91DD6"/>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8">
    <w:name w:val="xl138"/>
    <w:basedOn w:val="Normal"/>
    <w:rsid w:val="00E91DD6"/>
    <w:pPr>
      <w:pBdr>
        <w:top w:val="single" w:sz="4" w:space="0" w:color="auto"/>
        <w:left w:val="single" w:sz="8"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9">
    <w:name w:val="xl139"/>
    <w:basedOn w:val="Normal"/>
    <w:rsid w:val="00E91DD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default">
    <w:name w:val="default"/>
    <w:basedOn w:val="Normal"/>
    <w:rsid w:val="00185A64"/>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Emphasis">
    <w:name w:val="Emphasis"/>
    <w:basedOn w:val="DefaultParagraphFont"/>
    <w:uiPriority w:val="20"/>
    <w:qFormat/>
    <w:rsid w:val="00C812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2B0E"/>
    <w:pPr>
      <w:keepNext/>
      <w:spacing w:before="240" w:after="60" w:line="240" w:lineRule="auto"/>
      <w:outlineLvl w:val="0"/>
    </w:pPr>
    <w:rPr>
      <w:rFonts w:ascii="Arial" w:eastAsia="SimSun" w:hAnsi="Arial" w:cs="Arial"/>
      <w:b/>
      <w:bCs/>
      <w:kern w:val="32"/>
      <w:sz w:val="32"/>
      <w:szCs w:val="32"/>
      <w:lang w:val="lt-LT" w:eastAsia="zh-CN"/>
      <w14:ligatures w14:val="none"/>
    </w:rPr>
  </w:style>
  <w:style w:type="paragraph" w:styleId="Heading2">
    <w:name w:val="heading 2"/>
    <w:basedOn w:val="Normal"/>
    <w:next w:val="Normal"/>
    <w:link w:val="Heading2Char"/>
    <w:uiPriority w:val="9"/>
    <w:unhideWhenUsed/>
    <w:qFormat/>
    <w:rsid w:val="00450C3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462A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0DD"/>
    <w:pPr>
      <w:ind w:left="720"/>
      <w:contextualSpacing/>
    </w:pPr>
  </w:style>
  <w:style w:type="character" w:customStyle="1" w:styleId="Heading1Char">
    <w:name w:val="Heading 1 Char"/>
    <w:basedOn w:val="DefaultParagraphFont"/>
    <w:link w:val="Heading1"/>
    <w:rsid w:val="002C2B0E"/>
    <w:rPr>
      <w:rFonts w:ascii="Arial" w:eastAsia="SimSun" w:hAnsi="Arial" w:cs="Arial"/>
      <w:b/>
      <w:bCs/>
      <w:kern w:val="32"/>
      <w:sz w:val="32"/>
      <w:szCs w:val="32"/>
      <w:lang w:val="lt-LT" w:eastAsia="zh-CN"/>
      <w14:ligatures w14:val="none"/>
    </w:rPr>
  </w:style>
  <w:style w:type="paragraph" w:styleId="NormalWeb">
    <w:name w:val="Normal (Web)"/>
    <w:basedOn w:val="Normal"/>
    <w:uiPriority w:val="99"/>
    <w:rsid w:val="002C2B0E"/>
    <w:pPr>
      <w:spacing w:before="100" w:beforeAutospacing="1" w:after="100" w:afterAutospacing="1" w:line="240" w:lineRule="auto"/>
    </w:pPr>
    <w:rPr>
      <w:rFonts w:ascii="Times New Roman" w:eastAsia="SimSun" w:hAnsi="Times New Roman" w:cs="Times New Roman"/>
      <w:kern w:val="0"/>
      <w:sz w:val="24"/>
      <w:szCs w:val="24"/>
      <w:lang w:val="lt-LT" w:eastAsia="zh-CN"/>
      <w14:ligatures w14:val="none"/>
    </w:rPr>
  </w:style>
  <w:style w:type="table" w:styleId="TableGrid">
    <w:name w:val="Table Grid"/>
    <w:basedOn w:val="TableNormal"/>
    <w:rsid w:val="002C2B0E"/>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0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EE"/>
    <w:rPr>
      <w:rFonts w:ascii="Tahoma" w:hAnsi="Tahoma" w:cs="Tahoma"/>
      <w:sz w:val="16"/>
      <w:szCs w:val="16"/>
    </w:rPr>
  </w:style>
  <w:style w:type="character" w:customStyle="1" w:styleId="apple-converted-space">
    <w:name w:val="apple-converted-space"/>
    <w:basedOn w:val="DefaultParagraphFont"/>
    <w:rsid w:val="00245C02"/>
  </w:style>
  <w:style w:type="character" w:styleId="PlaceholderText">
    <w:name w:val="Placeholder Text"/>
    <w:basedOn w:val="DefaultParagraphFont"/>
    <w:uiPriority w:val="99"/>
    <w:semiHidden/>
    <w:rsid w:val="00897652"/>
    <w:rPr>
      <w:color w:val="808080"/>
    </w:rPr>
  </w:style>
  <w:style w:type="paragraph" w:styleId="Header">
    <w:name w:val="header"/>
    <w:basedOn w:val="Normal"/>
    <w:link w:val="HeaderChar"/>
    <w:uiPriority w:val="99"/>
    <w:unhideWhenUsed/>
    <w:rsid w:val="00BE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E4"/>
  </w:style>
  <w:style w:type="paragraph" w:styleId="Footer">
    <w:name w:val="footer"/>
    <w:basedOn w:val="Normal"/>
    <w:link w:val="FooterChar"/>
    <w:uiPriority w:val="99"/>
    <w:unhideWhenUsed/>
    <w:rsid w:val="00BE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E4"/>
  </w:style>
  <w:style w:type="table" w:styleId="LightShading">
    <w:name w:val="Light Shading"/>
    <w:basedOn w:val="TableNormal"/>
    <w:uiPriority w:val="60"/>
    <w:rsid w:val="00C966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5075D"/>
    <w:rPr>
      <w:color w:val="0563C1" w:themeColor="hyperlink"/>
      <w:u w:val="single"/>
    </w:rPr>
  </w:style>
  <w:style w:type="character" w:styleId="Strong">
    <w:name w:val="Strong"/>
    <w:basedOn w:val="DefaultParagraphFont"/>
    <w:uiPriority w:val="22"/>
    <w:qFormat/>
    <w:rsid w:val="004B5C1A"/>
    <w:rPr>
      <w:b/>
      <w:bCs/>
    </w:rPr>
  </w:style>
  <w:style w:type="character" w:customStyle="1" w:styleId="Heading2Char">
    <w:name w:val="Heading 2 Char"/>
    <w:basedOn w:val="DefaultParagraphFont"/>
    <w:link w:val="Heading2"/>
    <w:uiPriority w:val="9"/>
    <w:rsid w:val="00450C32"/>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unhideWhenUsed/>
    <w:qFormat/>
    <w:rsid w:val="00A2704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1">
    <w:name w:val="toc 1"/>
    <w:basedOn w:val="Normal"/>
    <w:next w:val="Normal"/>
    <w:autoRedefine/>
    <w:uiPriority w:val="39"/>
    <w:unhideWhenUsed/>
    <w:rsid w:val="00A2704E"/>
    <w:pPr>
      <w:spacing w:before="120" w:after="120"/>
    </w:pPr>
    <w:rPr>
      <w:b/>
      <w:bCs/>
      <w:caps/>
      <w:sz w:val="20"/>
      <w:szCs w:val="20"/>
    </w:rPr>
  </w:style>
  <w:style w:type="paragraph" w:styleId="TOC2">
    <w:name w:val="toc 2"/>
    <w:basedOn w:val="Normal"/>
    <w:next w:val="Normal"/>
    <w:autoRedefine/>
    <w:uiPriority w:val="39"/>
    <w:unhideWhenUsed/>
    <w:rsid w:val="00A2704E"/>
    <w:pPr>
      <w:spacing w:after="0"/>
      <w:ind w:left="220"/>
    </w:pPr>
    <w:rPr>
      <w:smallCaps/>
      <w:sz w:val="20"/>
      <w:szCs w:val="20"/>
    </w:rPr>
  </w:style>
  <w:style w:type="character" w:customStyle="1" w:styleId="Heading3Char">
    <w:name w:val="Heading 3 Char"/>
    <w:basedOn w:val="DefaultParagraphFont"/>
    <w:link w:val="Heading3"/>
    <w:uiPriority w:val="9"/>
    <w:rsid w:val="004462A5"/>
    <w:rPr>
      <w:rFonts w:asciiTheme="majorHAnsi" w:eastAsiaTheme="majorEastAsia" w:hAnsiTheme="majorHAnsi" w:cstheme="majorBidi"/>
      <w:b/>
      <w:bCs/>
      <w:color w:val="5B9BD5" w:themeColor="accent1"/>
    </w:rPr>
  </w:style>
  <w:style w:type="paragraph" w:styleId="TOC3">
    <w:name w:val="toc 3"/>
    <w:basedOn w:val="Normal"/>
    <w:next w:val="Normal"/>
    <w:autoRedefine/>
    <w:uiPriority w:val="39"/>
    <w:unhideWhenUsed/>
    <w:rsid w:val="004462A5"/>
    <w:pPr>
      <w:spacing w:after="0"/>
      <w:ind w:left="440"/>
    </w:pPr>
    <w:rPr>
      <w:i/>
      <w:iCs/>
      <w:sz w:val="20"/>
      <w:szCs w:val="20"/>
    </w:rPr>
  </w:style>
  <w:style w:type="paragraph" w:styleId="TOC4">
    <w:name w:val="toc 4"/>
    <w:basedOn w:val="Normal"/>
    <w:next w:val="Normal"/>
    <w:autoRedefine/>
    <w:uiPriority w:val="39"/>
    <w:unhideWhenUsed/>
    <w:rsid w:val="004462A5"/>
    <w:pPr>
      <w:spacing w:after="0"/>
      <w:ind w:left="660"/>
    </w:pPr>
    <w:rPr>
      <w:sz w:val="18"/>
      <w:szCs w:val="18"/>
    </w:rPr>
  </w:style>
  <w:style w:type="paragraph" w:styleId="TOC5">
    <w:name w:val="toc 5"/>
    <w:basedOn w:val="Normal"/>
    <w:next w:val="Normal"/>
    <w:autoRedefine/>
    <w:uiPriority w:val="39"/>
    <w:unhideWhenUsed/>
    <w:rsid w:val="004462A5"/>
    <w:pPr>
      <w:spacing w:after="0"/>
      <w:ind w:left="880"/>
    </w:pPr>
    <w:rPr>
      <w:sz w:val="18"/>
      <w:szCs w:val="18"/>
    </w:rPr>
  </w:style>
  <w:style w:type="paragraph" w:styleId="TOC6">
    <w:name w:val="toc 6"/>
    <w:basedOn w:val="Normal"/>
    <w:next w:val="Normal"/>
    <w:autoRedefine/>
    <w:uiPriority w:val="39"/>
    <w:unhideWhenUsed/>
    <w:rsid w:val="004462A5"/>
    <w:pPr>
      <w:spacing w:after="0"/>
      <w:ind w:left="1100"/>
    </w:pPr>
    <w:rPr>
      <w:sz w:val="18"/>
      <w:szCs w:val="18"/>
    </w:rPr>
  </w:style>
  <w:style w:type="paragraph" w:styleId="TOC7">
    <w:name w:val="toc 7"/>
    <w:basedOn w:val="Normal"/>
    <w:next w:val="Normal"/>
    <w:autoRedefine/>
    <w:uiPriority w:val="39"/>
    <w:unhideWhenUsed/>
    <w:rsid w:val="004462A5"/>
    <w:pPr>
      <w:spacing w:after="0"/>
      <w:ind w:left="1320"/>
    </w:pPr>
    <w:rPr>
      <w:sz w:val="18"/>
      <w:szCs w:val="18"/>
    </w:rPr>
  </w:style>
  <w:style w:type="paragraph" w:styleId="TOC8">
    <w:name w:val="toc 8"/>
    <w:basedOn w:val="Normal"/>
    <w:next w:val="Normal"/>
    <w:autoRedefine/>
    <w:uiPriority w:val="39"/>
    <w:unhideWhenUsed/>
    <w:rsid w:val="004462A5"/>
    <w:pPr>
      <w:spacing w:after="0"/>
      <w:ind w:left="1540"/>
    </w:pPr>
    <w:rPr>
      <w:sz w:val="18"/>
      <w:szCs w:val="18"/>
    </w:rPr>
  </w:style>
  <w:style w:type="paragraph" w:styleId="TOC9">
    <w:name w:val="toc 9"/>
    <w:basedOn w:val="Normal"/>
    <w:next w:val="Normal"/>
    <w:autoRedefine/>
    <w:uiPriority w:val="39"/>
    <w:unhideWhenUsed/>
    <w:rsid w:val="004462A5"/>
    <w:pPr>
      <w:spacing w:after="0"/>
      <w:ind w:left="1760"/>
    </w:pPr>
    <w:rPr>
      <w:sz w:val="18"/>
      <w:szCs w:val="18"/>
    </w:rPr>
  </w:style>
  <w:style w:type="paragraph" w:styleId="FootnoteText">
    <w:name w:val="footnote text"/>
    <w:basedOn w:val="Normal"/>
    <w:link w:val="FootnoteTextChar"/>
    <w:uiPriority w:val="99"/>
    <w:semiHidden/>
    <w:unhideWhenUsed/>
    <w:rsid w:val="00AA6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F3F"/>
    <w:rPr>
      <w:sz w:val="20"/>
      <w:szCs w:val="20"/>
    </w:rPr>
  </w:style>
  <w:style w:type="character" w:styleId="FootnoteReference">
    <w:name w:val="footnote reference"/>
    <w:basedOn w:val="DefaultParagraphFont"/>
    <w:uiPriority w:val="99"/>
    <w:semiHidden/>
    <w:unhideWhenUsed/>
    <w:rsid w:val="00AA6F3F"/>
    <w:rPr>
      <w:vertAlign w:val="superscript"/>
    </w:rPr>
  </w:style>
  <w:style w:type="character" w:styleId="FollowedHyperlink">
    <w:name w:val="FollowedHyperlink"/>
    <w:basedOn w:val="DefaultParagraphFont"/>
    <w:uiPriority w:val="99"/>
    <w:semiHidden/>
    <w:unhideWhenUsed/>
    <w:rsid w:val="00E91DD6"/>
    <w:rPr>
      <w:color w:val="800080"/>
      <w:u w:val="single"/>
    </w:rPr>
  </w:style>
  <w:style w:type="paragraph" w:customStyle="1" w:styleId="xl106">
    <w:name w:val="xl106"/>
    <w:basedOn w:val="Normal"/>
    <w:rsid w:val="00E91DD6"/>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07">
    <w:name w:val="xl107"/>
    <w:basedOn w:val="Normal"/>
    <w:rsid w:val="00E91DD6"/>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08">
    <w:name w:val="xl108"/>
    <w:basedOn w:val="Normal"/>
    <w:rsid w:val="00E91DD6"/>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09">
    <w:name w:val="xl109"/>
    <w:basedOn w:val="Normal"/>
    <w:rsid w:val="00E91DD6"/>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0">
    <w:name w:val="xl110"/>
    <w:basedOn w:val="Normal"/>
    <w:rsid w:val="00E91DD6"/>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1">
    <w:name w:val="xl111"/>
    <w:basedOn w:val="Normal"/>
    <w:rsid w:val="00E91DD6"/>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2">
    <w:name w:val="xl112"/>
    <w:basedOn w:val="Normal"/>
    <w:rsid w:val="00E91DD6"/>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3">
    <w:name w:val="xl113"/>
    <w:basedOn w:val="Normal"/>
    <w:rsid w:val="00E91DD6"/>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4">
    <w:name w:val="xl114"/>
    <w:basedOn w:val="Normal"/>
    <w:rsid w:val="00E91DD6"/>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5">
    <w:name w:val="xl115"/>
    <w:basedOn w:val="Normal"/>
    <w:rsid w:val="00E91DD6"/>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16">
    <w:name w:val="xl116"/>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xl117">
    <w:name w:val="xl117"/>
    <w:basedOn w:val="Normal"/>
    <w:rsid w:val="00E91D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8">
    <w:name w:val="xl118"/>
    <w:basedOn w:val="Normal"/>
    <w:rsid w:val="00E91DD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19">
    <w:name w:val="xl119"/>
    <w:basedOn w:val="Normal"/>
    <w:rsid w:val="00E91DD6"/>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0">
    <w:name w:val="xl120"/>
    <w:basedOn w:val="Normal"/>
    <w:rsid w:val="00E91DD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1">
    <w:name w:val="xl121"/>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2">
    <w:name w:val="xl122"/>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3">
    <w:name w:val="xl123"/>
    <w:basedOn w:val="Normal"/>
    <w:rsid w:val="00E91DD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4">
    <w:name w:val="xl124"/>
    <w:basedOn w:val="Normal"/>
    <w:rsid w:val="00E91DD6"/>
    <w:pPr>
      <w:pBdr>
        <w:top w:val="single" w:sz="4" w:space="0" w:color="000000"/>
        <w:left w:val="single" w:sz="8" w:space="0" w:color="auto"/>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25">
    <w:name w:val="xl125"/>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6">
    <w:name w:val="xl126"/>
    <w:basedOn w:val="Normal"/>
    <w:rsid w:val="00E91D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7">
    <w:name w:val="xl127"/>
    <w:basedOn w:val="Normal"/>
    <w:rsid w:val="00E91DD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8">
    <w:name w:val="xl128"/>
    <w:basedOn w:val="Normal"/>
    <w:rsid w:val="00E91DD6"/>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29">
    <w:name w:val="xl129"/>
    <w:basedOn w:val="Normal"/>
    <w:rsid w:val="00E91DD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0">
    <w:name w:val="xl130"/>
    <w:basedOn w:val="Normal"/>
    <w:rsid w:val="00E91DD6"/>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1">
    <w:name w:val="xl131"/>
    <w:basedOn w:val="Normal"/>
    <w:rsid w:val="00E91DD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2">
    <w:name w:val="xl132"/>
    <w:basedOn w:val="Normal"/>
    <w:rsid w:val="00E91DD6"/>
    <w:pPr>
      <w:pBdr>
        <w:top w:val="single" w:sz="4" w:space="0" w:color="000000"/>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4"/>
      <w:szCs w:val="24"/>
      <w14:ligatures w14:val="none"/>
    </w:rPr>
  </w:style>
  <w:style w:type="paragraph" w:customStyle="1" w:styleId="xl133">
    <w:name w:val="xl133"/>
    <w:basedOn w:val="Normal"/>
    <w:rsid w:val="00E91DD6"/>
    <w:pPr>
      <w:pBdr>
        <w:top w:val="single" w:sz="4" w:space="0" w:color="auto"/>
        <w:left w:val="single" w:sz="8"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4">
    <w:name w:val="xl134"/>
    <w:basedOn w:val="Normal"/>
    <w:rsid w:val="00E91D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5">
    <w:name w:val="xl135"/>
    <w:basedOn w:val="Normal"/>
    <w:rsid w:val="00E91DD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6">
    <w:name w:val="xl136"/>
    <w:basedOn w:val="Normal"/>
    <w:rsid w:val="00E91DD6"/>
    <w:pPr>
      <w:pBdr>
        <w:top w:val="single" w:sz="4"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7">
    <w:name w:val="xl137"/>
    <w:basedOn w:val="Normal"/>
    <w:rsid w:val="00E91DD6"/>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8">
    <w:name w:val="xl138"/>
    <w:basedOn w:val="Normal"/>
    <w:rsid w:val="00E91DD6"/>
    <w:pPr>
      <w:pBdr>
        <w:top w:val="single" w:sz="4" w:space="0" w:color="auto"/>
        <w:left w:val="single" w:sz="8"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139">
    <w:name w:val="xl139"/>
    <w:basedOn w:val="Normal"/>
    <w:rsid w:val="00E91DD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default">
    <w:name w:val="default"/>
    <w:basedOn w:val="Normal"/>
    <w:rsid w:val="00185A64"/>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Emphasis">
    <w:name w:val="Emphasis"/>
    <w:basedOn w:val="DefaultParagraphFont"/>
    <w:uiPriority w:val="20"/>
    <w:qFormat/>
    <w:rsid w:val="00C81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5830">
      <w:bodyDiv w:val="1"/>
      <w:marLeft w:val="0"/>
      <w:marRight w:val="0"/>
      <w:marTop w:val="0"/>
      <w:marBottom w:val="0"/>
      <w:divBdr>
        <w:top w:val="none" w:sz="0" w:space="0" w:color="auto"/>
        <w:left w:val="none" w:sz="0" w:space="0" w:color="auto"/>
        <w:bottom w:val="none" w:sz="0" w:space="0" w:color="auto"/>
        <w:right w:val="none" w:sz="0" w:space="0" w:color="auto"/>
      </w:divBdr>
    </w:div>
    <w:div w:id="73361431">
      <w:bodyDiv w:val="1"/>
      <w:marLeft w:val="0"/>
      <w:marRight w:val="0"/>
      <w:marTop w:val="0"/>
      <w:marBottom w:val="0"/>
      <w:divBdr>
        <w:top w:val="none" w:sz="0" w:space="0" w:color="auto"/>
        <w:left w:val="none" w:sz="0" w:space="0" w:color="auto"/>
        <w:bottom w:val="none" w:sz="0" w:space="0" w:color="auto"/>
        <w:right w:val="none" w:sz="0" w:space="0" w:color="auto"/>
      </w:divBdr>
    </w:div>
    <w:div w:id="161361679">
      <w:bodyDiv w:val="1"/>
      <w:marLeft w:val="0"/>
      <w:marRight w:val="0"/>
      <w:marTop w:val="0"/>
      <w:marBottom w:val="0"/>
      <w:divBdr>
        <w:top w:val="none" w:sz="0" w:space="0" w:color="auto"/>
        <w:left w:val="none" w:sz="0" w:space="0" w:color="auto"/>
        <w:bottom w:val="none" w:sz="0" w:space="0" w:color="auto"/>
        <w:right w:val="none" w:sz="0" w:space="0" w:color="auto"/>
      </w:divBdr>
    </w:div>
    <w:div w:id="229729451">
      <w:bodyDiv w:val="1"/>
      <w:marLeft w:val="0"/>
      <w:marRight w:val="0"/>
      <w:marTop w:val="0"/>
      <w:marBottom w:val="0"/>
      <w:divBdr>
        <w:top w:val="none" w:sz="0" w:space="0" w:color="auto"/>
        <w:left w:val="none" w:sz="0" w:space="0" w:color="auto"/>
        <w:bottom w:val="none" w:sz="0" w:space="0" w:color="auto"/>
        <w:right w:val="none" w:sz="0" w:space="0" w:color="auto"/>
      </w:divBdr>
    </w:div>
    <w:div w:id="269551810">
      <w:bodyDiv w:val="1"/>
      <w:marLeft w:val="0"/>
      <w:marRight w:val="0"/>
      <w:marTop w:val="0"/>
      <w:marBottom w:val="0"/>
      <w:divBdr>
        <w:top w:val="none" w:sz="0" w:space="0" w:color="auto"/>
        <w:left w:val="none" w:sz="0" w:space="0" w:color="auto"/>
        <w:bottom w:val="none" w:sz="0" w:space="0" w:color="auto"/>
        <w:right w:val="none" w:sz="0" w:space="0" w:color="auto"/>
      </w:divBdr>
    </w:div>
    <w:div w:id="304552442">
      <w:bodyDiv w:val="1"/>
      <w:marLeft w:val="0"/>
      <w:marRight w:val="0"/>
      <w:marTop w:val="0"/>
      <w:marBottom w:val="0"/>
      <w:divBdr>
        <w:top w:val="none" w:sz="0" w:space="0" w:color="auto"/>
        <w:left w:val="none" w:sz="0" w:space="0" w:color="auto"/>
        <w:bottom w:val="none" w:sz="0" w:space="0" w:color="auto"/>
        <w:right w:val="none" w:sz="0" w:space="0" w:color="auto"/>
      </w:divBdr>
    </w:div>
    <w:div w:id="389888518">
      <w:bodyDiv w:val="1"/>
      <w:marLeft w:val="0"/>
      <w:marRight w:val="0"/>
      <w:marTop w:val="0"/>
      <w:marBottom w:val="0"/>
      <w:divBdr>
        <w:top w:val="none" w:sz="0" w:space="0" w:color="auto"/>
        <w:left w:val="none" w:sz="0" w:space="0" w:color="auto"/>
        <w:bottom w:val="none" w:sz="0" w:space="0" w:color="auto"/>
        <w:right w:val="none" w:sz="0" w:space="0" w:color="auto"/>
      </w:divBdr>
    </w:div>
    <w:div w:id="390428232">
      <w:bodyDiv w:val="1"/>
      <w:marLeft w:val="0"/>
      <w:marRight w:val="0"/>
      <w:marTop w:val="0"/>
      <w:marBottom w:val="0"/>
      <w:divBdr>
        <w:top w:val="none" w:sz="0" w:space="0" w:color="auto"/>
        <w:left w:val="none" w:sz="0" w:space="0" w:color="auto"/>
        <w:bottom w:val="none" w:sz="0" w:space="0" w:color="auto"/>
        <w:right w:val="none" w:sz="0" w:space="0" w:color="auto"/>
      </w:divBdr>
    </w:div>
    <w:div w:id="414784733">
      <w:bodyDiv w:val="1"/>
      <w:marLeft w:val="0"/>
      <w:marRight w:val="0"/>
      <w:marTop w:val="0"/>
      <w:marBottom w:val="0"/>
      <w:divBdr>
        <w:top w:val="none" w:sz="0" w:space="0" w:color="auto"/>
        <w:left w:val="none" w:sz="0" w:space="0" w:color="auto"/>
        <w:bottom w:val="none" w:sz="0" w:space="0" w:color="auto"/>
        <w:right w:val="none" w:sz="0" w:space="0" w:color="auto"/>
      </w:divBdr>
    </w:div>
    <w:div w:id="458305615">
      <w:bodyDiv w:val="1"/>
      <w:marLeft w:val="0"/>
      <w:marRight w:val="0"/>
      <w:marTop w:val="0"/>
      <w:marBottom w:val="0"/>
      <w:divBdr>
        <w:top w:val="none" w:sz="0" w:space="0" w:color="auto"/>
        <w:left w:val="none" w:sz="0" w:space="0" w:color="auto"/>
        <w:bottom w:val="none" w:sz="0" w:space="0" w:color="auto"/>
        <w:right w:val="none" w:sz="0" w:space="0" w:color="auto"/>
      </w:divBdr>
    </w:div>
    <w:div w:id="478813679">
      <w:bodyDiv w:val="1"/>
      <w:marLeft w:val="0"/>
      <w:marRight w:val="0"/>
      <w:marTop w:val="0"/>
      <w:marBottom w:val="0"/>
      <w:divBdr>
        <w:top w:val="none" w:sz="0" w:space="0" w:color="auto"/>
        <w:left w:val="none" w:sz="0" w:space="0" w:color="auto"/>
        <w:bottom w:val="none" w:sz="0" w:space="0" w:color="auto"/>
        <w:right w:val="none" w:sz="0" w:space="0" w:color="auto"/>
      </w:divBdr>
    </w:div>
    <w:div w:id="508133060">
      <w:bodyDiv w:val="1"/>
      <w:marLeft w:val="0"/>
      <w:marRight w:val="0"/>
      <w:marTop w:val="0"/>
      <w:marBottom w:val="0"/>
      <w:divBdr>
        <w:top w:val="none" w:sz="0" w:space="0" w:color="auto"/>
        <w:left w:val="none" w:sz="0" w:space="0" w:color="auto"/>
        <w:bottom w:val="none" w:sz="0" w:space="0" w:color="auto"/>
        <w:right w:val="none" w:sz="0" w:space="0" w:color="auto"/>
      </w:divBdr>
    </w:div>
    <w:div w:id="599607668">
      <w:bodyDiv w:val="1"/>
      <w:marLeft w:val="0"/>
      <w:marRight w:val="0"/>
      <w:marTop w:val="0"/>
      <w:marBottom w:val="0"/>
      <w:divBdr>
        <w:top w:val="none" w:sz="0" w:space="0" w:color="auto"/>
        <w:left w:val="none" w:sz="0" w:space="0" w:color="auto"/>
        <w:bottom w:val="none" w:sz="0" w:space="0" w:color="auto"/>
        <w:right w:val="none" w:sz="0" w:space="0" w:color="auto"/>
      </w:divBdr>
    </w:div>
    <w:div w:id="699209066">
      <w:bodyDiv w:val="1"/>
      <w:marLeft w:val="0"/>
      <w:marRight w:val="0"/>
      <w:marTop w:val="0"/>
      <w:marBottom w:val="0"/>
      <w:divBdr>
        <w:top w:val="none" w:sz="0" w:space="0" w:color="auto"/>
        <w:left w:val="none" w:sz="0" w:space="0" w:color="auto"/>
        <w:bottom w:val="none" w:sz="0" w:space="0" w:color="auto"/>
        <w:right w:val="none" w:sz="0" w:space="0" w:color="auto"/>
      </w:divBdr>
    </w:div>
    <w:div w:id="781415496">
      <w:bodyDiv w:val="1"/>
      <w:marLeft w:val="0"/>
      <w:marRight w:val="0"/>
      <w:marTop w:val="0"/>
      <w:marBottom w:val="0"/>
      <w:divBdr>
        <w:top w:val="none" w:sz="0" w:space="0" w:color="auto"/>
        <w:left w:val="none" w:sz="0" w:space="0" w:color="auto"/>
        <w:bottom w:val="none" w:sz="0" w:space="0" w:color="auto"/>
        <w:right w:val="none" w:sz="0" w:space="0" w:color="auto"/>
      </w:divBdr>
    </w:div>
    <w:div w:id="904678756">
      <w:bodyDiv w:val="1"/>
      <w:marLeft w:val="0"/>
      <w:marRight w:val="0"/>
      <w:marTop w:val="0"/>
      <w:marBottom w:val="0"/>
      <w:divBdr>
        <w:top w:val="none" w:sz="0" w:space="0" w:color="auto"/>
        <w:left w:val="none" w:sz="0" w:space="0" w:color="auto"/>
        <w:bottom w:val="none" w:sz="0" w:space="0" w:color="auto"/>
        <w:right w:val="none" w:sz="0" w:space="0" w:color="auto"/>
      </w:divBdr>
    </w:div>
    <w:div w:id="924459644">
      <w:bodyDiv w:val="1"/>
      <w:marLeft w:val="0"/>
      <w:marRight w:val="0"/>
      <w:marTop w:val="0"/>
      <w:marBottom w:val="0"/>
      <w:divBdr>
        <w:top w:val="none" w:sz="0" w:space="0" w:color="auto"/>
        <w:left w:val="none" w:sz="0" w:space="0" w:color="auto"/>
        <w:bottom w:val="none" w:sz="0" w:space="0" w:color="auto"/>
        <w:right w:val="none" w:sz="0" w:space="0" w:color="auto"/>
      </w:divBdr>
    </w:div>
    <w:div w:id="931359407">
      <w:bodyDiv w:val="1"/>
      <w:marLeft w:val="0"/>
      <w:marRight w:val="0"/>
      <w:marTop w:val="0"/>
      <w:marBottom w:val="0"/>
      <w:divBdr>
        <w:top w:val="none" w:sz="0" w:space="0" w:color="auto"/>
        <w:left w:val="none" w:sz="0" w:space="0" w:color="auto"/>
        <w:bottom w:val="none" w:sz="0" w:space="0" w:color="auto"/>
        <w:right w:val="none" w:sz="0" w:space="0" w:color="auto"/>
      </w:divBdr>
    </w:div>
    <w:div w:id="959142045">
      <w:bodyDiv w:val="1"/>
      <w:marLeft w:val="0"/>
      <w:marRight w:val="0"/>
      <w:marTop w:val="0"/>
      <w:marBottom w:val="0"/>
      <w:divBdr>
        <w:top w:val="none" w:sz="0" w:space="0" w:color="auto"/>
        <w:left w:val="none" w:sz="0" w:space="0" w:color="auto"/>
        <w:bottom w:val="none" w:sz="0" w:space="0" w:color="auto"/>
        <w:right w:val="none" w:sz="0" w:space="0" w:color="auto"/>
      </w:divBdr>
    </w:div>
    <w:div w:id="1003164155">
      <w:bodyDiv w:val="1"/>
      <w:marLeft w:val="0"/>
      <w:marRight w:val="0"/>
      <w:marTop w:val="0"/>
      <w:marBottom w:val="0"/>
      <w:divBdr>
        <w:top w:val="none" w:sz="0" w:space="0" w:color="auto"/>
        <w:left w:val="none" w:sz="0" w:space="0" w:color="auto"/>
        <w:bottom w:val="none" w:sz="0" w:space="0" w:color="auto"/>
        <w:right w:val="none" w:sz="0" w:space="0" w:color="auto"/>
      </w:divBdr>
    </w:div>
    <w:div w:id="1201434292">
      <w:bodyDiv w:val="1"/>
      <w:marLeft w:val="0"/>
      <w:marRight w:val="0"/>
      <w:marTop w:val="0"/>
      <w:marBottom w:val="0"/>
      <w:divBdr>
        <w:top w:val="none" w:sz="0" w:space="0" w:color="auto"/>
        <w:left w:val="none" w:sz="0" w:space="0" w:color="auto"/>
        <w:bottom w:val="none" w:sz="0" w:space="0" w:color="auto"/>
        <w:right w:val="none" w:sz="0" w:space="0" w:color="auto"/>
      </w:divBdr>
    </w:div>
    <w:div w:id="1285423672">
      <w:bodyDiv w:val="1"/>
      <w:marLeft w:val="0"/>
      <w:marRight w:val="0"/>
      <w:marTop w:val="0"/>
      <w:marBottom w:val="0"/>
      <w:divBdr>
        <w:top w:val="none" w:sz="0" w:space="0" w:color="auto"/>
        <w:left w:val="none" w:sz="0" w:space="0" w:color="auto"/>
        <w:bottom w:val="none" w:sz="0" w:space="0" w:color="auto"/>
        <w:right w:val="none" w:sz="0" w:space="0" w:color="auto"/>
      </w:divBdr>
    </w:div>
    <w:div w:id="1296789604">
      <w:bodyDiv w:val="1"/>
      <w:marLeft w:val="0"/>
      <w:marRight w:val="0"/>
      <w:marTop w:val="0"/>
      <w:marBottom w:val="0"/>
      <w:divBdr>
        <w:top w:val="none" w:sz="0" w:space="0" w:color="auto"/>
        <w:left w:val="none" w:sz="0" w:space="0" w:color="auto"/>
        <w:bottom w:val="none" w:sz="0" w:space="0" w:color="auto"/>
        <w:right w:val="none" w:sz="0" w:space="0" w:color="auto"/>
      </w:divBdr>
    </w:div>
    <w:div w:id="1379235133">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28428914">
      <w:bodyDiv w:val="1"/>
      <w:marLeft w:val="0"/>
      <w:marRight w:val="0"/>
      <w:marTop w:val="0"/>
      <w:marBottom w:val="0"/>
      <w:divBdr>
        <w:top w:val="none" w:sz="0" w:space="0" w:color="auto"/>
        <w:left w:val="none" w:sz="0" w:space="0" w:color="auto"/>
        <w:bottom w:val="none" w:sz="0" w:space="0" w:color="auto"/>
        <w:right w:val="none" w:sz="0" w:space="0" w:color="auto"/>
      </w:divBdr>
    </w:div>
    <w:div w:id="1447500709">
      <w:bodyDiv w:val="1"/>
      <w:marLeft w:val="0"/>
      <w:marRight w:val="0"/>
      <w:marTop w:val="0"/>
      <w:marBottom w:val="0"/>
      <w:divBdr>
        <w:top w:val="none" w:sz="0" w:space="0" w:color="auto"/>
        <w:left w:val="none" w:sz="0" w:space="0" w:color="auto"/>
        <w:bottom w:val="none" w:sz="0" w:space="0" w:color="auto"/>
        <w:right w:val="none" w:sz="0" w:space="0" w:color="auto"/>
      </w:divBdr>
    </w:div>
    <w:div w:id="1577976754">
      <w:bodyDiv w:val="1"/>
      <w:marLeft w:val="0"/>
      <w:marRight w:val="0"/>
      <w:marTop w:val="0"/>
      <w:marBottom w:val="0"/>
      <w:divBdr>
        <w:top w:val="none" w:sz="0" w:space="0" w:color="auto"/>
        <w:left w:val="none" w:sz="0" w:space="0" w:color="auto"/>
        <w:bottom w:val="none" w:sz="0" w:space="0" w:color="auto"/>
        <w:right w:val="none" w:sz="0" w:space="0" w:color="auto"/>
      </w:divBdr>
    </w:div>
    <w:div w:id="1676373789">
      <w:bodyDiv w:val="1"/>
      <w:marLeft w:val="0"/>
      <w:marRight w:val="0"/>
      <w:marTop w:val="0"/>
      <w:marBottom w:val="0"/>
      <w:divBdr>
        <w:top w:val="none" w:sz="0" w:space="0" w:color="auto"/>
        <w:left w:val="none" w:sz="0" w:space="0" w:color="auto"/>
        <w:bottom w:val="none" w:sz="0" w:space="0" w:color="auto"/>
        <w:right w:val="none" w:sz="0" w:space="0" w:color="auto"/>
      </w:divBdr>
    </w:div>
    <w:div w:id="1715081874">
      <w:bodyDiv w:val="1"/>
      <w:marLeft w:val="0"/>
      <w:marRight w:val="0"/>
      <w:marTop w:val="0"/>
      <w:marBottom w:val="0"/>
      <w:divBdr>
        <w:top w:val="none" w:sz="0" w:space="0" w:color="auto"/>
        <w:left w:val="none" w:sz="0" w:space="0" w:color="auto"/>
        <w:bottom w:val="none" w:sz="0" w:space="0" w:color="auto"/>
        <w:right w:val="none" w:sz="0" w:space="0" w:color="auto"/>
      </w:divBdr>
    </w:div>
    <w:div w:id="1721395377">
      <w:bodyDiv w:val="1"/>
      <w:marLeft w:val="0"/>
      <w:marRight w:val="0"/>
      <w:marTop w:val="0"/>
      <w:marBottom w:val="0"/>
      <w:divBdr>
        <w:top w:val="none" w:sz="0" w:space="0" w:color="auto"/>
        <w:left w:val="none" w:sz="0" w:space="0" w:color="auto"/>
        <w:bottom w:val="none" w:sz="0" w:space="0" w:color="auto"/>
        <w:right w:val="none" w:sz="0" w:space="0" w:color="auto"/>
      </w:divBdr>
    </w:div>
    <w:div w:id="2023631387">
      <w:bodyDiv w:val="1"/>
      <w:marLeft w:val="0"/>
      <w:marRight w:val="0"/>
      <w:marTop w:val="0"/>
      <w:marBottom w:val="0"/>
      <w:divBdr>
        <w:top w:val="none" w:sz="0" w:space="0" w:color="auto"/>
        <w:left w:val="none" w:sz="0" w:space="0" w:color="auto"/>
        <w:bottom w:val="none" w:sz="0" w:space="0" w:color="auto"/>
        <w:right w:val="none" w:sz="0" w:space="0" w:color="auto"/>
      </w:divBdr>
    </w:div>
    <w:div w:id="2046632252">
      <w:bodyDiv w:val="1"/>
      <w:marLeft w:val="0"/>
      <w:marRight w:val="0"/>
      <w:marTop w:val="0"/>
      <w:marBottom w:val="0"/>
      <w:divBdr>
        <w:top w:val="none" w:sz="0" w:space="0" w:color="auto"/>
        <w:left w:val="none" w:sz="0" w:space="0" w:color="auto"/>
        <w:bottom w:val="none" w:sz="0" w:space="0" w:color="auto"/>
        <w:right w:val="none" w:sz="0" w:space="0" w:color="auto"/>
      </w:divBdr>
    </w:div>
    <w:div w:id="2065443185">
      <w:bodyDiv w:val="1"/>
      <w:marLeft w:val="0"/>
      <w:marRight w:val="0"/>
      <w:marTop w:val="0"/>
      <w:marBottom w:val="0"/>
      <w:divBdr>
        <w:top w:val="none" w:sz="0" w:space="0" w:color="auto"/>
        <w:left w:val="none" w:sz="0" w:space="0" w:color="auto"/>
        <w:bottom w:val="none" w:sz="0" w:space="0" w:color="auto"/>
        <w:right w:val="none" w:sz="0" w:space="0" w:color="auto"/>
      </w:divBdr>
    </w:div>
    <w:div w:id="2114085430">
      <w:bodyDiv w:val="1"/>
      <w:marLeft w:val="0"/>
      <w:marRight w:val="0"/>
      <w:marTop w:val="0"/>
      <w:marBottom w:val="0"/>
      <w:divBdr>
        <w:top w:val="none" w:sz="0" w:space="0" w:color="auto"/>
        <w:left w:val="none" w:sz="0" w:space="0" w:color="auto"/>
        <w:bottom w:val="none" w:sz="0" w:space="0" w:color="auto"/>
        <w:right w:val="none" w:sz="0" w:space="0" w:color="auto"/>
      </w:divBdr>
      <w:divsChild>
        <w:div w:id="622158064">
          <w:marLeft w:val="0"/>
          <w:marRight w:val="0"/>
          <w:marTop w:val="0"/>
          <w:marBottom w:val="0"/>
          <w:divBdr>
            <w:top w:val="none" w:sz="0" w:space="0" w:color="auto"/>
            <w:left w:val="none" w:sz="0" w:space="0" w:color="auto"/>
            <w:bottom w:val="none" w:sz="0" w:space="0" w:color="auto"/>
            <w:right w:val="none" w:sz="0" w:space="0" w:color="auto"/>
          </w:divBdr>
          <w:divsChild>
            <w:div w:id="1906644174">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1.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www.woccu.org/about/intlcusystem" TargetMode="External"/><Relationship Id="rId28" Type="http://schemas.openxmlformats.org/officeDocument/2006/relationships/image" Target="media/image8.png"/><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New%20folder\Vikos\stud_medziaga\8%20semestras\bakalauriniam\grafikai.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as\Magistras\kreditounijos\statpub_8020_l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esktopas\Magistras\kreditounijos\finansiniai%20duomenys\Fin_ataskaitos_bendros_kor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44995555213076"/>
          <c:y val="0.1080218857512267"/>
          <c:w val="0.6466074211887447"/>
          <c:h val="0.80399576918556825"/>
        </c:manualLayout>
      </c:layout>
      <c:barChart>
        <c:barDir val="col"/>
        <c:grouping val="clustered"/>
        <c:varyColors val="0"/>
        <c:ser>
          <c:idx val="0"/>
          <c:order val="0"/>
          <c:tx>
            <c:strRef>
              <c:f>Sheet1!$F$6</c:f>
              <c:strCache>
                <c:ptCount val="1"/>
                <c:pt idx="0">
                  <c:v>Kredito unijų skaičiaus pokytis, %</c:v>
                </c:pt>
              </c:strCache>
            </c:strRef>
          </c:tx>
          <c:invertIfNegative val="0"/>
          <c:cat>
            <c:numRef>
              <c:f>Sheet1!$H$4:$T$4</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Sheet1!$H$6:$T$6</c:f>
              <c:numCache>
                <c:formatCode>0</c:formatCode>
                <c:ptCount val="13"/>
                <c:pt idx="0">
                  <c:v>7.8947368421052593</c:v>
                </c:pt>
                <c:pt idx="1">
                  <c:v>26.829268292682933</c:v>
                </c:pt>
                <c:pt idx="2">
                  <c:v>9.6153846153846221</c:v>
                </c:pt>
                <c:pt idx="3">
                  <c:v>7.0175438596491215</c:v>
                </c:pt>
                <c:pt idx="4">
                  <c:v>6.557377049180328</c:v>
                </c:pt>
                <c:pt idx="5">
                  <c:v>1.5384615384615385</c:v>
                </c:pt>
                <c:pt idx="6">
                  <c:v>1.5151515151515151</c:v>
                </c:pt>
                <c:pt idx="7">
                  <c:v>0</c:v>
                </c:pt>
                <c:pt idx="8">
                  <c:v>0</c:v>
                </c:pt>
                <c:pt idx="9">
                  <c:v>1.4925373134328357</c:v>
                </c:pt>
                <c:pt idx="10">
                  <c:v>8.8235294117647065</c:v>
                </c:pt>
                <c:pt idx="11">
                  <c:v>4.0540540540540526</c:v>
                </c:pt>
                <c:pt idx="12">
                  <c:v>-2.5974025974025983</c:v>
                </c:pt>
              </c:numCache>
            </c:numRef>
          </c:val>
        </c:ser>
        <c:ser>
          <c:idx val="1"/>
          <c:order val="1"/>
          <c:tx>
            <c:strRef>
              <c:f>Sheet1!$F$8</c:f>
              <c:strCache>
                <c:ptCount val="1"/>
                <c:pt idx="0">
                  <c:v>Narių skaičiaus pokytis, %</c:v>
                </c:pt>
              </c:strCache>
            </c:strRef>
          </c:tx>
          <c:invertIfNegative val="0"/>
          <c:cat>
            <c:numRef>
              <c:f>Sheet1!$H$4:$T$4</c:f>
              <c:numCache>
                <c:formatCode>General</c:formatCode>
                <c:ptCount val="13"/>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numCache>
            </c:numRef>
          </c:cat>
          <c:val>
            <c:numRef>
              <c:f>Sheet1!$H$8:$T$8</c:f>
              <c:numCache>
                <c:formatCode>0</c:formatCode>
                <c:ptCount val="13"/>
                <c:pt idx="0">
                  <c:v>83.333333333333314</c:v>
                </c:pt>
                <c:pt idx="1">
                  <c:v>90.909090909090907</c:v>
                </c:pt>
                <c:pt idx="2">
                  <c:v>52.380952380952387</c:v>
                </c:pt>
                <c:pt idx="3">
                  <c:v>40.625000000000014</c:v>
                </c:pt>
                <c:pt idx="4">
                  <c:v>26.666666666666668</c:v>
                </c:pt>
                <c:pt idx="5">
                  <c:v>22.807017543859647</c:v>
                </c:pt>
                <c:pt idx="6">
                  <c:v>18.571428571428573</c:v>
                </c:pt>
                <c:pt idx="7">
                  <c:v>15.662650602409647</c:v>
                </c:pt>
                <c:pt idx="8">
                  <c:v>7.2916666666666687</c:v>
                </c:pt>
                <c:pt idx="9">
                  <c:v>10.679611650485436</c:v>
                </c:pt>
                <c:pt idx="10">
                  <c:v>12.631578947368418</c:v>
                </c:pt>
                <c:pt idx="11">
                  <c:v>13.707165109034262</c:v>
                </c:pt>
                <c:pt idx="12">
                  <c:v>1.1643835616438367</c:v>
                </c:pt>
              </c:numCache>
            </c:numRef>
          </c:val>
        </c:ser>
        <c:dLbls>
          <c:showLegendKey val="0"/>
          <c:showVal val="0"/>
          <c:showCatName val="0"/>
          <c:showSerName val="0"/>
          <c:showPercent val="0"/>
          <c:showBubbleSize val="0"/>
        </c:dLbls>
        <c:gapWidth val="150"/>
        <c:axId val="62288256"/>
        <c:axId val="62291328"/>
      </c:barChart>
      <c:catAx>
        <c:axId val="62288256"/>
        <c:scaling>
          <c:orientation val="minMax"/>
        </c:scaling>
        <c:delete val="0"/>
        <c:axPos val="b"/>
        <c:numFmt formatCode="General" sourceLinked="1"/>
        <c:majorTickMark val="out"/>
        <c:minorTickMark val="none"/>
        <c:tickLblPos val="nextTo"/>
        <c:crossAx val="62291328"/>
        <c:crosses val="autoZero"/>
        <c:auto val="1"/>
        <c:lblAlgn val="ctr"/>
        <c:lblOffset val="100"/>
        <c:tickLblSkip val="2"/>
        <c:tickMarkSkip val="1"/>
        <c:noMultiLvlLbl val="0"/>
      </c:catAx>
      <c:valAx>
        <c:axId val="62291328"/>
        <c:scaling>
          <c:orientation val="minMax"/>
        </c:scaling>
        <c:delete val="0"/>
        <c:axPos val="l"/>
        <c:majorGridlines/>
        <c:numFmt formatCode="0" sourceLinked="1"/>
        <c:majorTickMark val="out"/>
        <c:minorTickMark val="none"/>
        <c:tickLblPos val="nextTo"/>
        <c:crossAx val="62288256"/>
        <c:crosses val="autoZero"/>
        <c:crossBetween val="between"/>
      </c:valAx>
    </c:plotArea>
    <c:legend>
      <c:legendPos val="r"/>
      <c:layout>
        <c:manualLayout>
          <c:xMode val="edge"/>
          <c:yMode val="edge"/>
          <c:x val="0.77695371091546084"/>
          <c:y val="0.36034339457567816"/>
          <c:w val="0.2090651636039379"/>
          <c:h val="0.4598687664041996"/>
        </c:manualLayout>
      </c:layout>
      <c:overlay val="0"/>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Sheet1!$H$179</c:f>
              <c:strCache>
                <c:ptCount val="1"/>
                <c:pt idx="0">
                  <c:v>Kredito unijų sk.</c:v>
                </c:pt>
              </c:strCache>
            </c:strRef>
          </c:tx>
          <c:spPr>
            <a:ln>
              <a:noFill/>
            </a:ln>
          </c:spPr>
          <c:dLbls>
            <c:showLegendKey val="0"/>
            <c:showVal val="1"/>
            <c:showCatName val="0"/>
            <c:showSerName val="0"/>
            <c:showPercent val="0"/>
            <c:showBubbleSize val="0"/>
            <c:showLeaderLines val="1"/>
          </c:dLbls>
          <c:cat>
            <c:strRef>
              <c:f>Sheet1!$G$174:$G$175</c:f>
              <c:strCache>
                <c:ptCount val="2"/>
                <c:pt idx="0">
                  <c:v>Apribota </c:v>
                </c:pt>
                <c:pt idx="1">
                  <c:v>Neribota</c:v>
                </c:pt>
              </c:strCache>
            </c:strRef>
          </c:cat>
          <c:val>
            <c:numRef>
              <c:f>Sheet1!$H$174:$H$175</c:f>
              <c:numCache>
                <c:formatCode>0%</c:formatCode>
                <c:ptCount val="2"/>
                <c:pt idx="0">
                  <c:v>0.23</c:v>
                </c:pt>
                <c:pt idx="1">
                  <c:v>0.77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0"/>
      <c:perspective val="0"/>
    </c:view3D>
    <c:floor>
      <c:thickness val="0"/>
    </c:floor>
    <c:sideWall>
      <c:thickness val="0"/>
    </c:sideWall>
    <c:backWall>
      <c:thickness val="0"/>
    </c:backWall>
    <c:plotArea>
      <c:layout/>
      <c:area3DChart>
        <c:grouping val="stacked"/>
        <c:varyColors val="0"/>
        <c:ser>
          <c:idx val="0"/>
          <c:order val="0"/>
          <c:tx>
            <c:strRef>
              <c:f>Sheet1!$A$122</c:f>
              <c:strCache>
                <c:ptCount val="1"/>
                <c:pt idx="0">
                  <c:v>Apskrities centras</c:v>
                </c:pt>
              </c:strCache>
            </c:strRef>
          </c:tx>
          <c:val>
            <c:numRef>
              <c:f>Sheet1!$A$123:$A$192</c:f>
              <c:numCache>
                <c:formatCode>General</c:formatCode>
                <c:ptCount val="70"/>
                <c:pt idx="0">
                  <c:v>0</c:v>
                </c:pt>
                <c:pt idx="1">
                  <c:v>1</c:v>
                </c:pt>
                <c:pt idx="2">
                  <c:v>0</c:v>
                </c:pt>
                <c:pt idx="3">
                  <c:v>1</c:v>
                </c:pt>
                <c:pt idx="4">
                  <c:v>0</c:v>
                </c:pt>
                <c:pt idx="5">
                  <c:v>1</c:v>
                </c:pt>
                <c:pt idx="6">
                  <c:v>0</c:v>
                </c:pt>
                <c:pt idx="7">
                  <c:v>0</c:v>
                </c:pt>
                <c:pt idx="8">
                  <c:v>0</c:v>
                </c:pt>
                <c:pt idx="9">
                  <c:v>0</c:v>
                </c:pt>
                <c:pt idx="10">
                  <c:v>0</c:v>
                </c:pt>
                <c:pt idx="11">
                  <c:v>0</c:v>
                </c:pt>
                <c:pt idx="12">
                  <c:v>0</c:v>
                </c:pt>
                <c:pt idx="13">
                  <c:v>1</c:v>
                </c:pt>
                <c:pt idx="14">
                  <c:v>1</c:v>
                </c:pt>
                <c:pt idx="15">
                  <c:v>0</c:v>
                </c:pt>
                <c:pt idx="16">
                  <c:v>0</c:v>
                </c:pt>
                <c:pt idx="17">
                  <c:v>0</c:v>
                </c:pt>
                <c:pt idx="18">
                  <c:v>0</c:v>
                </c:pt>
                <c:pt idx="19">
                  <c:v>0</c:v>
                </c:pt>
                <c:pt idx="20">
                  <c:v>1</c:v>
                </c:pt>
                <c:pt idx="21">
                  <c:v>0</c:v>
                </c:pt>
                <c:pt idx="22">
                  <c:v>0</c:v>
                </c:pt>
                <c:pt idx="23">
                  <c:v>0</c:v>
                </c:pt>
                <c:pt idx="24">
                  <c:v>0</c:v>
                </c:pt>
                <c:pt idx="25">
                  <c:v>0</c:v>
                </c:pt>
                <c:pt idx="26">
                  <c:v>0</c:v>
                </c:pt>
                <c:pt idx="27">
                  <c:v>1</c:v>
                </c:pt>
                <c:pt idx="28">
                  <c:v>0</c:v>
                </c:pt>
                <c:pt idx="29">
                  <c:v>0</c:v>
                </c:pt>
                <c:pt idx="30">
                  <c:v>0</c:v>
                </c:pt>
                <c:pt idx="31">
                  <c:v>0</c:v>
                </c:pt>
                <c:pt idx="32">
                  <c:v>0</c:v>
                </c:pt>
                <c:pt idx="33">
                  <c:v>1</c:v>
                </c:pt>
                <c:pt idx="34">
                  <c:v>1</c:v>
                </c:pt>
                <c:pt idx="35">
                  <c:v>0</c:v>
                </c:pt>
                <c:pt idx="36">
                  <c:v>0</c:v>
                </c:pt>
                <c:pt idx="37">
                  <c:v>0</c:v>
                </c:pt>
                <c:pt idx="38">
                  <c:v>1</c:v>
                </c:pt>
                <c:pt idx="39">
                  <c:v>0</c:v>
                </c:pt>
                <c:pt idx="40">
                  <c:v>0</c:v>
                </c:pt>
                <c:pt idx="41">
                  <c:v>0</c:v>
                </c:pt>
                <c:pt idx="42">
                  <c:v>1</c:v>
                </c:pt>
                <c:pt idx="43">
                  <c:v>0</c:v>
                </c:pt>
                <c:pt idx="44">
                  <c:v>0</c:v>
                </c:pt>
                <c:pt idx="45">
                  <c:v>1</c:v>
                </c:pt>
                <c:pt idx="46">
                  <c:v>0</c:v>
                </c:pt>
                <c:pt idx="47">
                  <c:v>1</c:v>
                </c:pt>
                <c:pt idx="48">
                  <c:v>0</c:v>
                </c:pt>
                <c:pt idx="49">
                  <c:v>0</c:v>
                </c:pt>
                <c:pt idx="50">
                  <c:v>0</c:v>
                </c:pt>
                <c:pt idx="51">
                  <c:v>0</c:v>
                </c:pt>
                <c:pt idx="52">
                  <c:v>1</c:v>
                </c:pt>
                <c:pt idx="53">
                  <c:v>0</c:v>
                </c:pt>
                <c:pt idx="54">
                  <c:v>0</c:v>
                </c:pt>
                <c:pt idx="55">
                  <c:v>1</c:v>
                </c:pt>
                <c:pt idx="56">
                  <c:v>0</c:v>
                </c:pt>
                <c:pt idx="57">
                  <c:v>1</c:v>
                </c:pt>
                <c:pt idx="58">
                  <c:v>0</c:v>
                </c:pt>
                <c:pt idx="59">
                  <c:v>0</c:v>
                </c:pt>
                <c:pt idx="60">
                  <c:v>1</c:v>
                </c:pt>
                <c:pt idx="61">
                  <c:v>1</c:v>
                </c:pt>
                <c:pt idx="62">
                  <c:v>1</c:v>
                </c:pt>
                <c:pt idx="63">
                  <c:v>1</c:v>
                </c:pt>
                <c:pt idx="64">
                  <c:v>1</c:v>
                </c:pt>
                <c:pt idx="65">
                  <c:v>1</c:v>
                </c:pt>
                <c:pt idx="66">
                  <c:v>1</c:v>
                </c:pt>
                <c:pt idx="67">
                  <c:v>1</c:v>
                </c:pt>
                <c:pt idx="68">
                  <c:v>1</c:v>
                </c:pt>
                <c:pt idx="69">
                  <c:v>1</c:v>
                </c:pt>
              </c:numCache>
            </c:numRef>
          </c:val>
        </c:ser>
        <c:ser>
          <c:idx val="1"/>
          <c:order val="1"/>
          <c:tx>
            <c:strRef>
              <c:f>Sheet1!$B$122</c:f>
              <c:strCache>
                <c:ptCount val="1"/>
                <c:pt idx="0">
                  <c:v>Poveikio priemonės</c:v>
                </c:pt>
              </c:strCache>
            </c:strRef>
          </c:tx>
          <c:spPr>
            <a:ln w="25400">
              <a:noFill/>
            </a:ln>
          </c:spPr>
          <c:val>
            <c:numRef>
              <c:f>Sheet1!$B$123:$B$192</c:f>
              <c:numCache>
                <c:formatCode>General</c:formatCode>
                <c:ptCount val="7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numCache>
            </c:numRef>
          </c:val>
        </c:ser>
        <c:ser>
          <c:idx val="2"/>
          <c:order val="2"/>
          <c:tx>
            <c:strRef>
              <c:f>Sheet1!$C$122</c:f>
              <c:strCache>
                <c:ptCount val="1"/>
                <c:pt idx="0">
                  <c:v>Nepriklauso CKU</c:v>
                </c:pt>
              </c:strCache>
            </c:strRef>
          </c:tx>
          <c:spPr>
            <a:ln w="25400">
              <a:noFill/>
            </a:ln>
          </c:spPr>
          <c:val>
            <c:numRef>
              <c:f>Sheet1!$C$123:$C$192</c:f>
              <c:numCache>
                <c:formatCode>General</c:formatCode>
                <c:ptCount val="7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1</c:v>
                </c:pt>
                <c:pt idx="46">
                  <c:v>0</c:v>
                </c:pt>
                <c:pt idx="47">
                  <c:v>0</c:v>
                </c:pt>
                <c:pt idx="48">
                  <c:v>0</c:v>
                </c:pt>
                <c:pt idx="49">
                  <c:v>0</c:v>
                </c:pt>
                <c:pt idx="50">
                  <c:v>0</c:v>
                </c:pt>
                <c:pt idx="51">
                  <c:v>0</c:v>
                </c:pt>
                <c:pt idx="52">
                  <c:v>0</c:v>
                </c:pt>
                <c:pt idx="53">
                  <c:v>1</c:v>
                </c:pt>
                <c:pt idx="54">
                  <c:v>0</c:v>
                </c:pt>
                <c:pt idx="55">
                  <c:v>0</c:v>
                </c:pt>
                <c:pt idx="56">
                  <c:v>0</c:v>
                </c:pt>
                <c:pt idx="57">
                  <c:v>0</c:v>
                </c:pt>
                <c:pt idx="58">
                  <c:v>0</c:v>
                </c:pt>
                <c:pt idx="59">
                  <c:v>0</c:v>
                </c:pt>
                <c:pt idx="60">
                  <c:v>1</c:v>
                </c:pt>
                <c:pt idx="61">
                  <c:v>0</c:v>
                </c:pt>
                <c:pt idx="62">
                  <c:v>1</c:v>
                </c:pt>
                <c:pt idx="63">
                  <c:v>0</c:v>
                </c:pt>
                <c:pt idx="64">
                  <c:v>0</c:v>
                </c:pt>
                <c:pt idx="65">
                  <c:v>1</c:v>
                </c:pt>
                <c:pt idx="66">
                  <c:v>1</c:v>
                </c:pt>
                <c:pt idx="67">
                  <c:v>1</c:v>
                </c:pt>
                <c:pt idx="68">
                  <c:v>0</c:v>
                </c:pt>
                <c:pt idx="69">
                  <c:v>0</c:v>
                </c:pt>
              </c:numCache>
            </c:numRef>
          </c:val>
        </c:ser>
        <c:dLbls>
          <c:showLegendKey val="0"/>
          <c:showVal val="0"/>
          <c:showCatName val="0"/>
          <c:showSerName val="0"/>
          <c:showPercent val="0"/>
          <c:showBubbleSize val="0"/>
        </c:dLbls>
        <c:axId val="115593600"/>
        <c:axId val="115595136"/>
        <c:axId val="0"/>
      </c:area3DChart>
      <c:catAx>
        <c:axId val="115593600"/>
        <c:scaling>
          <c:orientation val="minMax"/>
        </c:scaling>
        <c:delete val="0"/>
        <c:axPos val="b"/>
        <c:majorTickMark val="out"/>
        <c:minorTickMark val="none"/>
        <c:tickLblPos val="nextTo"/>
        <c:crossAx val="115595136"/>
        <c:crosses val="autoZero"/>
        <c:auto val="1"/>
        <c:lblAlgn val="ctr"/>
        <c:lblOffset val="100"/>
        <c:noMultiLvlLbl val="0"/>
      </c:catAx>
      <c:valAx>
        <c:axId val="115595136"/>
        <c:scaling>
          <c:orientation val="minMax"/>
        </c:scaling>
        <c:delete val="0"/>
        <c:axPos val="l"/>
        <c:majorGridlines/>
        <c:numFmt formatCode="General" sourceLinked="1"/>
        <c:majorTickMark val="out"/>
        <c:minorTickMark val="none"/>
        <c:tickLblPos val="nextTo"/>
        <c:crossAx val="115593600"/>
        <c:crosses val="autoZero"/>
        <c:crossBetween val="midCat"/>
      </c:valAx>
    </c:plotArea>
    <c:legend>
      <c:legendPos val="r"/>
      <c:layout>
        <c:manualLayout>
          <c:xMode val="edge"/>
          <c:yMode val="edge"/>
          <c:x val="0.71388867016622926"/>
          <c:y val="0.37442403032954213"/>
          <c:w val="0.21111132983377079"/>
          <c:h val="0.40392935258092738"/>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53122635447984"/>
          <c:y val="5.7407030429365923E-2"/>
          <c:w val="0.6165398515038325"/>
          <c:h val="0.8130601177438137"/>
        </c:manualLayout>
      </c:layout>
      <c:barChart>
        <c:barDir val="col"/>
        <c:grouping val="clustered"/>
        <c:varyColors val="0"/>
        <c:ser>
          <c:idx val="1"/>
          <c:order val="0"/>
          <c:tx>
            <c:strRef>
              <c:f>A13_BKU.SUMA!$A$80</c:f>
              <c:strCache>
                <c:ptCount val="1"/>
                <c:pt idx="0">
                  <c:v>INDĖLIAI</c:v>
                </c:pt>
              </c:strCache>
            </c:strRef>
          </c:tx>
          <c:invertIfNegative val="0"/>
          <c:cat>
            <c:strRef>
              <c:f>A13_BKU.SUMA!$B$4:$F$4</c:f>
              <c:strCache>
                <c:ptCount val="5"/>
                <c:pt idx="0">
                  <c:v>2009 m.</c:v>
                </c:pt>
                <c:pt idx="1">
                  <c:v>2010 m.</c:v>
                </c:pt>
                <c:pt idx="2">
                  <c:v>2011 m.</c:v>
                </c:pt>
                <c:pt idx="3">
                  <c:v>2012 m.</c:v>
                </c:pt>
                <c:pt idx="4">
                  <c:v>2013 m.</c:v>
                </c:pt>
              </c:strCache>
            </c:strRef>
          </c:cat>
          <c:val>
            <c:numRef>
              <c:f>A13_BKU.SUMA!$B$80:$F$80</c:f>
              <c:numCache>
                <c:formatCode>0.00</c:formatCode>
                <c:ptCount val="5"/>
                <c:pt idx="0">
                  <c:v>773798</c:v>
                </c:pt>
                <c:pt idx="1">
                  <c:v>1083498</c:v>
                </c:pt>
                <c:pt idx="2">
                  <c:v>1405800</c:v>
                </c:pt>
                <c:pt idx="3">
                  <c:v>1822022</c:v>
                </c:pt>
                <c:pt idx="4">
                  <c:v>1868138</c:v>
                </c:pt>
              </c:numCache>
            </c:numRef>
          </c:val>
        </c:ser>
        <c:ser>
          <c:idx val="0"/>
          <c:order val="1"/>
          <c:tx>
            <c:strRef>
              <c:f>A13_BKU.SUMA!$A$29</c:f>
              <c:strCache>
                <c:ptCount val="1"/>
                <c:pt idx="0">
                  <c:v>SUTEIKTOS PASKOLOS</c:v>
                </c:pt>
              </c:strCache>
            </c:strRef>
          </c:tx>
          <c:invertIfNegative val="0"/>
          <c:cat>
            <c:strRef>
              <c:f>A13_BKU.SUMA!$B$4:$F$4</c:f>
              <c:strCache>
                <c:ptCount val="5"/>
                <c:pt idx="0">
                  <c:v>2009 m.</c:v>
                </c:pt>
                <c:pt idx="1">
                  <c:v>2010 m.</c:v>
                </c:pt>
                <c:pt idx="2">
                  <c:v>2011 m.</c:v>
                </c:pt>
                <c:pt idx="3">
                  <c:v>2012 m.</c:v>
                </c:pt>
                <c:pt idx="4">
                  <c:v>2013 m.</c:v>
                </c:pt>
              </c:strCache>
            </c:strRef>
          </c:cat>
          <c:val>
            <c:numRef>
              <c:f>A13_BKU.SUMA!$B$29:$F$29</c:f>
              <c:numCache>
                <c:formatCode>0.00</c:formatCode>
                <c:ptCount val="5"/>
                <c:pt idx="0">
                  <c:v>599549</c:v>
                </c:pt>
                <c:pt idx="1">
                  <c:v>752098</c:v>
                </c:pt>
                <c:pt idx="2">
                  <c:v>933499</c:v>
                </c:pt>
                <c:pt idx="3">
                  <c:v>1122905</c:v>
                </c:pt>
                <c:pt idx="4">
                  <c:v>1027959</c:v>
                </c:pt>
              </c:numCache>
            </c:numRef>
          </c:val>
        </c:ser>
        <c:ser>
          <c:idx val="2"/>
          <c:order val="2"/>
          <c:tx>
            <c:strRef>
              <c:f>A13_BKU.SUMA!$A$47</c:f>
              <c:strCache>
                <c:ptCount val="1"/>
                <c:pt idx="0">
                  <c:v>INVESTICIJOS Į  VERTYBINIUS POPIERIUS</c:v>
                </c:pt>
              </c:strCache>
            </c:strRef>
          </c:tx>
          <c:invertIfNegative val="0"/>
          <c:cat>
            <c:strRef>
              <c:f>A13_BKU.SUMA!$B$4:$F$4</c:f>
              <c:strCache>
                <c:ptCount val="5"/>
                <c:pt idx="0">
                  <c:v>2009 m.</c:v>
                </c:pt>
                <c:pt idx="1">
                  <c:v>2010 m.</c:v>
                </c:pt>
                <c:pt idx="2">
                  <c:v>2011 m.</c:v>
                </c:pt>
                <c:pt idx="3">
                  <c:v>2012 m.</c:v>
                </c:pt>
                <c:pt idx="4">
                  <c:v>2013 m.</c:v>
                </c:pt>
              </c:strCache>
            </c:strRef>
          </c:cat>
          <c:val>
            <c:numRef>
              <c:f>A13_BKU.SUMA!$B$47:$F$47</c:f>
              <c:numCache>
                <c:formatCode>0.00</c:formatCode>
                <c:ptCount val="5"/>
                <c:pt idx="0">
                  <c:v>73172</c:v>
                </c:pt>
                <c:pt idx="1">
                  <c:v>133096</c:v>
                </c:pt>
                <c:pt idx="2">
                  <c:v>237261</c:v>
                </c:pt>
                <c:pt idx="3">
                  <c:v>412442</c:v>
                </c:pt>
                <c:pt idx="4">
                  <c:v>645722</c:v>
                </c:pt>
              </c:numCache>
            </c:numRef>
          </c:val>
        </c:ser>
        <c:dLbls>
          <c:showLegendKey val="0"/>
          <c:showVal val="0"/>
          <c:showCatName val="0"/>
          <c:showSerName val="0"/>
          <c:showPercent val="0"/>
          <c:showBubbleSize val="0"/>
        </c:dLbls>
        <c:gapWidth val="150"/>
        <c:axId val="65829504"/>
        <c:axId val="132106496"/>
      </c:barChart>
      <c:catAx>
        <c:axId val="65829504"/>
        <c:scaling>
          <c:orientation val="minMax"/>
        </c:scaling>
        <c:delete val="0"/>
        <c:axPos val="b"/>
        <c:majorTickMark val="out"/>
        <c:minorTickMark val="none"/>
        <c:tickLblPos val="nextTo"/>
        <c:crossAx val="132106496"/>
        <c:crosses val="autoZero"/>
        <c:auto val="1"/>
        <c:lblAlgn val="ctr"/>
        <c:lblOffset val="100"/>
        <c:noMultiLvlLbl val="0"/>
      </c:catAx>
      <c:valAx>
        <c:axId val="132106496"/>
        <c:scaling>
          <c:orientation val="minMax"/>
        </c:scaling>
        <c:delete val="0"/>
        <c:axPos val="l"/>
        <c:majorGridlines/>
        <c:numFmt formatCode="#,##0" sourceLinked="0"/>
        <c:majorTickMark val="out"/>
        <c:minorTickMark val="none"/>
        <c:tickLblPos val="nextTo"/>
        <c:crossAx val="65829504"/>
        <c:crosses val="autoZero"/>
        <c:crossBetween val="between"/>
        <c:majorUnit val="200000"/>
      </c:valAx>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plotArea>
    <c:legend>
      <c:legendPos val="r"/>
      <c:layout>
        <c:manualLayout>
          <c:xMode val="edge"/>
          <c:yMode val="edge"/>
          <c:x val="0.77039972773812693"/>
          <c:y val="0.2505728870780215"/>
          <c:w val="0.22739726027397261"/>
          <c:h val="0.52008978273603668"/>
        </c:manualLayout>
      </c:layout>
      <c:overlay val="0"/>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c:f>
              <c:strCache>
                <c:ptCount val="1"/>
                <c:pt idx="0">
                  <c:v>Neribota</c:v>
                </c:pt>
              </c:strCache>
            </c:strRef>
          </c:tx>
          <c:invertIfNegative val="0"/>
          <c:cat>
            <c:numRef>
              <c:f>Sheet1!$C$3:$C$5</c:f>
              <c:numCache>
                <c:formatCode>General</c:formatCode>
                <c:ptCount val="3"/>
                <c:pt idx="0">
                  <c:v>2011</c:v>
                </c:pt>
                <c:pt idx="1">
                  <c:v>2012</c:v>
                </c:pt>
                <c:pt idx="2">
                  <c:v>2013</c:v>
                </c:pt>
              </c:numCache>
            </c:numRef>
          </c:cat>
          <c:val>
            <c:numRef>
              <c:f>Sheet1!$H$3:$H$5</c:f>
              <c:numCache>
                <c:formatCode>0.0000</c:formatCode>
                <c:ptCount val="3"/>
                <c:pt idx="0">
                  <c:v>-3.1997075466702027E-4</c:v>
                </c:pt>
                <c:pt idx="1">
                  <c:v>-1.3968028647728661E-2</c:v>
                </c:pt>
                <c:pt idx="2">
                  <c:v>1.2658572895666207E-3</c:v>
                </c:pt>
              </c:numCache>
            </c:numRef>
          </c:val>
        </c:ser>
        <c:ser>
          <c:idx val="1"/>
          <c:order val="1"/>
          <c:tx>
            <c:strRef>
              <c:f>Sheet1!$I$2</c:f>
              <c:strCache>
                <c:ptCount val="1"/>
                <c:pt idx="0">
                  <c:v>Apribota</c:v>
                </c:pt>
              </c:strCache>
            </c:strRef>
          </c:tx>
          <c:invertIfNegative val="0"/>
          <c:cat>
            <c:numRef>
              <c:f>Sheet1!$C$3:$C$5</c:f>
              <c:numCache>
                <c:formatCode>General</c:formatCode>
                <c:ptCount val="3"/>
                <c:pt idx="0">
                  <c:v>2011</c:v>
                </c:pt>
                <c:pt idx="1">
                  <c:v>2012</c:v>
                </c:pt>
                <c:pt idx="2">
                  <c:v>2013</c:v>
                </c:pt>
              </c:numCache>
            </c:numRef>
          </c:cat>
          <c:val>
            <c:numRef>
              <c:f>Sheet1!$I$3:$I$5</c:f>
              <c:numCache>
                <c:formatCode>0.0000</c:formatCode>
                <c:ptCount val="3"/>
                <c:pt idx="0">
                  <c:v>-6.3860171184272037E-3</c:v>
                </c:pt>
                <c:pt idx="1">
                  <c:v>-0.10532179814516909</c:v>
                </c:pt>
                <c:pt idx="2">
                  <c:v>-2.2837383135316209E-2</c:v>
                </c:pt>
              </c:numCache>
            </c:numRef>
          </c:val>
        </c:ser>
        <c:dLbls>
          <c:showLegendKey val="0"/>
          <c:showVal val="0"/>
          <c:showCatName val="0"/>
          <c:showSerName val="0"/>
          <c:showPercent val="0"/>
          <c:showBubbleSize val="0"/>
        </c:dLbls>
        <c:gapWidth val="150"/>
        <c:axId val="187771136"/>
        <c:axId val="187798272"/>
      </c:barChart>
      <c:catAx>
        <c:axId val="187771136"/>
        <c:scaling>
          <c:orientation val="minMax"/>
        </c:scaling>
        <c:delete val="0"/>
        <c:axPos val="b"/>
        <c:numFmt formatCode="General" sourceLinked="1"/>
        <c:majorTickMark val="out"/>
        <c:minorTickMark val="none"/>
        <c:tickLblPos val="nextTo"/>
        <c:crossAx val="187798272"/>
        <c:crosses val="autoZero"/>
        <c:auto val="1"/>
        <c:lblAlgn val="ctr"/>
        <c:lblOffset val="100"/>
        <c:noMultiLvlLbl val="0"/>
      </c:catAx>
      <c:valAx>
        <c:axId val="187798272"/>
        <c:scaling>
          <c:orientation val="minMax"/>
        </c:scaling>
        <c:delete val="0"/>
        <c:axPos val="l"/>
        <c:majorGridlines/>
        <c:numFmt formatCode="0.00" sourceLinked="0"/>
        <c:majorTickMark val="out"/>
        <c:minorTickMark val="none"/>
        <c:tickLblPos val="nextTo"/>
        <c:crossAx val="18777113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c:f>
              <c:strCache>
                <c:ptCount val="1"/>
                <c:pt idx="0">
                  <c:v>Neribota</c:v>
                </c:pt>
              </c:strCache>
            </c:strRef>
          </c:tx>
          <c:invertIfNegative val="0"/>
          <c:cat>
            <c:numRef>
              <c:f>Sheet1!$C$6:$C$8</c:f>
              <c:numCache>
                <c:formatCode>General</c:formatCode>
                <c:ptCount val="3"/>
                <c:pt idx="0">
                  <c:v>2011</c:v>
                </c:pt>
                <c:pt idx="1">
                  <c:v>2012</c:v>
                </c:pt>
                <c:pt idx="2">
                  <c:v>2013</c:v>
                </c:pt>
              </c:numCache>
            </c:numRef>
          </c:cat>
          <c:val>
            <c:numRef>
              <c:f>Sheet1!$H$6:$H$8</c:f>
              <c:numCache>
                <c:formatCode>0.0000</c:formatCode>
                <c:ptCount val="3"/>
                <c:pt idx="0">
                  <c:v>-3.7545788609560206E-3</c:v>
                </c:pt>
                <c:pt idx="1">
                  <c:v>-1.6847883912416414E-2</c:v>
                </c:pt>
                <c:pt idx="2">
                  <c:v>2.9355469466375485E-2</c:v>
                </c:pt>
              </c:numCache>
            </c:numRef>
          </c:val>
        </c:ser>
        <c:ser>
          <c:idx val="1"/>
          <c:order val="1"/>
          <c:tx>
            <c:strRef>
              <c:f>Sheet1!$I$2</c:f>
              <c:strCache>
                <c:ptCount val="1"/>
                <c:pt idx="0">
                  <c:v>Apribota</c:v>
                </c:pt>
              </c:strCache>
            </c:strRef>
          </c:tx>
          <c:invertIfNegative val="0"/>
          <c:cat>
            <c:numRef>
              <c:f>Sheet1!$C$6:$C$8</c:f>
              <c:numCache>
                <c:formatCode>General</c:formatCode>
                <c:ptCount val="3"/>
                <c:pt idx="0">
                  <c:v>2011</c:v>
                </c:pt>
                <c:pt idx="1">
                  <c:v>2012</c:v>
                </c:pt>
                <c:pt idx="2">
                  <c:v>2013</c:v>
                </c:pt>
              </c:numCache>
            </c:numRef>
          </c:cat>
          <c:val>
            <c:numRef>
              <c:f>Sheet1!$I$6:$I$8</c:f>
              <c:numCache>
                <c:formatCode>0.0000</c:formatCode>
                <c:ptCount val="3"/>
                <c:pt idx="0">
                  <c:v>-3.8185148256364231E-2</c:v>
                </c:pt>
                <c:pt idx="1">
                  <c:v>-0.3159581153734955</c:v>
                </c:pt>
                <c:pt idx="2">
                  <c:v>-0.11731712989205109</c:v>
                </c:pt>
              </c:numCache>
            </c:numRef>
          </c:val>
        </c:ser>
        <c:dLbls>
          <c:showLegendKey val="0"/>
          <c:showVal val="0"/>
          <c:showCatName val="0"/>
          <c:showSerName val="0"/>
          <c:showPercent val="0"/>
          <c:showBubbleSize val="0"/>
        </c:dLbls>
        <c:gapWidth val="150"/>
        <c:axId val="87945600"/>
        <c:axId val="87947136"/>
      </c:barChart>
      <c:catAx>
        <c:axId val="87945600"/>
        <c:scaling>
          <c:orientation val="minMax"/>
        </c:scaling>
        <c:delete val="0"/>
        <c:axPos val="b"/>
        <c:numFmt formatCode="General" sourceLinked="1"/>
        <c:majorTickMark val="out"/>
        <c:minorTickMark val="none"/>
        <c:tickLblPos val="nextTo"/>
        <c:crossAx val="87947136"/>
        <c:crosses val="autoZero"/>
        <c:auto val="1"/>
        <c:lblAlgn val="ctr"/>
        <c:lblOffset val="100"/>
        <c:noMultiLvlLbl val="0"/>
      </c:catAx>
      <c:valAx>
        <c:axId val="87947136"/>
        <c:scaling>
          <c:orientation val="minMax"/>
        </c:scaling>
        <c:delete val="0"/>
        <c:axPos val="l"/>
        <c:majorGridlines/>
        <c:numFmt formatCode="0.00" sourceLinked="0"/>
        <c:majorTickMark val="out"/>
        <c:minorTickMark val="none"/>
        <c:tickLblPos val="nextTo"/>
        <c:crossAx val="87945600"/>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89970906593902"/>
          <c:y val="8.9274656867276425E-2"/>
          <c:w val="0.52455583286195262"/>
          <c:h val="0.72452562758316219"/>
        </c:manualLayout>
      </c:layout>
      <c:barChart>
        <c:barDir val="col"/>
        <c:grouping val="clustered"/>
        <c:varyColors val="0"/>
        <c:ser>
          <c:idx val="0"/>
          <c:order val="0"/>
          <c:tx>
            <c:strRef>
              <c:f>Sheet1!$H$2</c:f>
              <c:strCache>
                <c:ptCount val="1"/>
                <c:pt idx="0">
                  <c:v>Neribota</c:v>
                </c:pt>
              </c:strCache>
            </c:strRef>
          </c:tx>
          <c:invertIfNegative val="0"/>
          <c:cat>
            <c:numRef>
              <c:f>Sheet1!$C$17:$C$19</c:f>
              <c:numCache>
                <c:formatCode>General</c:formatCode>
                <c:ptCount val="3"/>
                <c:pt idx="0">
                  <c:v>2011</c:v>
                </c:pt>
                <c:pt idx="1">
                  <c:v>2012</c:v>
                </c:pt>
                <c:pt idx="2">
                  <c:v>2013</c:v>
                </c:pt>
              </c:numCache>
            </c:numRef>
          </c:cat>
          <c:val>
            <c:numRef>
              <c:f>Sheet1!$H$17:$H$19</c:f>
              <c:numCache>
                <c:formatCode>0.0000</c:formatCode>
                <c:ptCount val="3"/>
                <c:pt idx="0">
                  <c:v>0.20471851851851899</c:v>
                </c:pt>
                <c:pt idx="1">
                  <c:v>0.218661111111111</c:v>
                </c:pt>
                <c:pt idx="2">
                  <c:v>0.21561851851851799</c:v>
                </c:pt>
              </c:numCache>
            </c:numRef>
          </c:val>
        </c:ser>
        <c:ser>
          <c:idx val="1"/>
          <c:order val="1"/>
          <c:tx>
            <c:strRef>
              <c:f>Sheet1!$I$2</c:f>
              <c:strCache>
                <c:ptCount val="1"/>
                <c:pt idx="0">
                  <c:v>Apribota</c:v>
                </c:pt>
              </c:strCache>
            </c:strRef>
          </c:tx>
          <c:invertIfNegative val="0"/>
          <c:cat>
            <c:numRef>
              <c:f>Sheet1!$C$17:$C$19</c:f>
              <c:numCache>
                <c:formatCode>General</c:formatCode>
                <c:ptCount val="3"/>
                <c:pt idx="0">
                  <c:v>2011</c:v>
                </c:pt>
                <c:pt idx="1">
                  <c:v>2012</c:v>
                </c:pt>
                <c:pt idx="2">
                  <c:v>2013</c:v>
                </c:pt>
              </c:numCache>
            </c:numRef>
          </c:cat>
          <c:val>
            <c:numRef>
              <c:f>Sheet1!$I$17:$I$19</c:f>
              <c:numCache>
                <c:formatCode>0.0000</c:formatCode>
                <c:ptCount val="3"/>
                <c:pt idx="0">
                  <c:v>0.17660624999999999</c:v>
                </c:pt>
                <c:pt idx="1">
                  <c:v>0.173425</c:v>
                </c:pt>
                <c:pt idx="2">
                  <c:v>0.15779375000000001</c:v>
                </c:pt>
              </c:numCache>
            </c:numRef>
          </c:val>
        </c:ser>
        <c:dLbls>
          <c:showLegendKey val="0"/>
          <c:showVal val="0"/>
          <c:showCatName val="0"/>
          <c:showSerName val="0"/>
          <c:showPercent val="0"/>
          <c:showBubbleSize val="0"/>
        </c:dLbls>
        <c:gapWidth val="150"/>
        <c:axId val="109975808"/>
        <c:axId val="109977600"/>
      </c:barChart>
      <c:catAx>
        <c:axId val="109975808"/>
        <c:scaling>
          <c:orientation val="minMax"/>
        </c:scaling>
        <c:delete val="0"/>
        <c:axPos val="b"/>
        <c:numFmt formatCode="General" sourceLinked="1"/>
        <c:majorTickMark val="out"/>
        <c:minorTickMark val="none"/>
        <c:tickLblPos val="nextTo"/>
        <c:crossAx val="109977600"/>
        <c:crosses val="autoZero"/>
        <c:auto val="1"/>
        <c:lblAlgn val="ctr"/>
        <c:lblOffset val="100"/>
        <c:noMultiLvlLbl val="0"/>
      </c:catAx>
      <c:valAx>
        <c:axId val="109977600"/>
        <c:scaling>
          <c:orientation val="minMax"/>
        </c:scaling>
        <c:delete val="0"/>
        <c:axPos val="l"/>
        <c:majorGridlines/>
        <c:numFmt formatCode="0.00%" sourceLinked="0"/>
        <c:majorTickMark val="out"/>
        <c:minorTickMark val="none"/>
        <c:tickLblPos val="nextTo"/>
        <c:crossAx val="1099758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134978771409625"/>
          <c:y val="8.7975591799044142E-2"/>
          <c:w val="0.52759914755375137"/>
          <c:h val="0.71371401474974105"/>
        </c:manualLayout>
      </c:layout>
      <c:barChart>
        <c:barDir val="col"/>
        <c:grouping val="clustered"/>
        <c:varyColors val="0"/>
        <c:ser>
          <c:idx val="0"/>
          <c:order val="0"/>
          <c:tx>
            <c:strRef>
              <c:f>Sheet1!$H$2</c:f>
              <c:strCache>
                <c:ptCount val="1"/>
                <c:pt idx="0">
                  <c:v>Neribota</c:v>
                </c:pt>
              </c:strCache>
            </c:strRef>
          </c:tx>
          <c:invertIfNegative val="0"/>
          <c:cat>
            <c:numRef>
              <c:f>Sheet1!$C$9:$C$11</c:f>
              <c:numCache>
                <c:formatCode>General</c:formatCode>
                <c:ptCount val="3"/>
                <c:pt idx="0">
                  <c:v>2011</c:v>
                </c:pt>
                <c:pt idx="1">
                  <c:v>2012</c:v>
                </c:pt>
                <c:pt idx="2">
                  <c:v>2013</c:v>
                </c:pt>
              </c:numCache>
            </c:numRef>
          </c:cat>
          <c:val>
            <c:numRef>
              <c:f>Sheet1!$H$9:$H$11</c:f>
              <c:numCache>
                <c:formatCode>0.0000</c:formatCode>
                <c:ptCount val="3"/>
                <c:pt idx="0">
                  <c:v>8.7997363896104588E-2</c:v>
                </c:pt>
                <c:pt idx="1">
                  <c:v>9.7341745642595706E-2</c:v>
                </c:pt>
                <c:pt idx="2">
                  <c:v>0.15571171602842726</c:v>
                </c:pt>
              </c:numCache>
            </c:numRef>
          </c:val>
        </c:ser>
        <c:ser>
          <c:idx val="1"/>
          <c:order val="1"/>
          <c:tx>
            <c:strRef>
              <c:f>Sheet1!$I$2</c:f>
              <c:strCache>
                <c:ptCount val="1"/>
                <c:pt idx="0">
                  <c:v>Apribota</c:v>
                </c:pt>
              </c:strCache>
            </c:strRef>
          </c:tx>
          <c:invertIfNegative val="0"/>
          <c:cat>
            <c:numRef>
              <c:f>Sheet1!$C$9:$C$11</c:f>
              <c:numCache>
                <c:formatCode>General</c:formatCode>
                <c:ptCount val="3"/>
                <c:pt idx="0">
                  <c:v>2011</c:v>
                </c:pt>
                <c:pt idx="1">
                  <c:v>2012</c:v>
                </c:pt>
                <c:pt idx="2">
                  <c:v>2013</c:v>
                </c:pt>
              </c:numCache>
            </c:numRef>
          </c:cat>
          <c:val>
            <c:numRef>
              <c:f>Sheet1!$I$9:$I$11</c:f>
              <c:numCache>
                <c:formatCode>0.0000</c:formatCode>
                <c:ptCount val="3"/>
                <c:pt idx="0">
                  <c:v>8.1778908358736108E-2</c:v>
                </c:pt>
                <c:pt idx="1">
                  <c:v>4.4057602946062042E-2</c:v>
                </c:pt>
                <c:pt idx="2">
                  <c:v>0.10467424171814857</c:v>
                </c:pt>
              </c:numCache>
            </c:numRef>
          </c:val>
        </c:ser>
        <c:dLbls>
          <c:showLegendKey val="0"/>
          <c:showVal val="0"/>
          <c:showCatName val="0"/>
          <c:showSerName val="0"/>
          <c:showPercent val="0"/>
          <c:showBubbleSize val="0"/>
        </c:dLbls>
        <c:gapWidth val="150"/>
        <c:axId val="109986176"/>
        <c:axId val="109987712"/>
      </c:barChart>
      <c:catAx>
        <c:axId val="109986176"/>
        <c:scaling>
          <c:orientation val="minMax"/>
        </c:scaling>
        <c:delete val="0"/>
        <c:axPos val="b"/>
        <c:numFmt formatCode="General" sourceLinked="1"/>
        <c:majorTickMark val="out"/>
        <c:minorTickMark val="none"/>
        <c:tickLblPos val="nextTo"/>
        <c:crossAx val="109987712"/>
        <c:crosses val="autoZero"/>
        <c:auto val="1"/>
        <c:lblAlgn val="ctr"/>
        <c:lblOffset val="100"/>
        <c:noMultiLvlLbl val="0"/>
      </c:catAx>
      <c:valAx>
        <c:axId val="109987712"/>
        <c:scaling>
          <c:orientation val="minMax"/>
        </c:scaling>
        <c:delete val="0"/>
        <c:axPos val="l"/>
        <c:majorGridlines/>
        <c:numFmt formatCode="0.00%" sourceLinked="0"/>
        <c:majorTickMark val="out"/>
        <c:minorTickMark val="none"/>
        <c:tickLblPos val="nextTo"/>
        <c:crossAx val="109986176"/>
        <c:crosses val="autoZero"/>
        <c:crossBetween val="between"/>
      </c:valAx>
    </c:plotArea>
    <c:legend>
      <c:legendPos val="r"/>
      <c:layout>
        <c:manualLayout>
          <c:xMode val="edge"/>
          <c:yMode val="edge"/>
          <c:x val="0.7296678125786068"/>
          <c:y val="0.35675028646387247"/>
          <c:w val="0.24130111981686048"/>
          <c:h val="0.28649880330769867"/>
        </c:manualLayout>
      </c:layout>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c:f>
              <c:strCache>
                <c:ptCount val="1"/>
                <c:pt idx="0">
                  <c:v>Neribota</c:v>
                </c:pt>
              </c:strCache>
            </c:strRef>
          </c:tx>
          <c:invertIfNegative val="0"/>
          <c:cat>
            <c:numRef>
              <c:f>Sheet1!$C$34:$C$36</c:f>
              <c:numCache>
                <c:formatCode>General</c:formatCode>
                <c:ptCount val="3"/>
                <c:pt idx="0">
                  <c:v>2011</c:v>
                </c:pt>
                <c:pt idx="1">
                  <c:v>2012</c:v>
                </c:pt>
                <c:pt idx="2">
                  <c:v>2013</c:v>
                </c:pt>
              </c:numCache>
            </c:numRef>
          </c:cat>
          <c:val>
            <c:numRef>
              <c:f>Sheet1!$H$34:$H$36</c:f>
              <c:numCache>
                <c:formatCode>0.0000</c:formatCode>
                <c:ptCount val="3"/>
                <c:pt idx="0">
                  <c:v>0.10941438158525942</c:v>
                </c:pt>
                <c:pt idx="1">
                  <c:v>8.8754365089603715E-2</c:v>
                </c:pt>
                <c:pt idx="2">
                  <c:v>0.12338498292813423</c:v>
                </c:pt>
              </c:numCache>
            </c:numRef>
          </c:val>
        </c:ser>
        <c:ser>
          <c:idx val="1"/>
          <c:order val="1"/>
          <c:tx>
            <c:strRef>
              <c:f>Sheet1!$I$2</c:f>
              <c:strCache>
                <c:ptCount val="1"/>
                <c:pt idx="0">
                  <c:v>Apribota</c:v>
                </c:pt>
              </c:strCache>
            </c:strRef>
          </c:tx>
          <c:invertIfNegative val="0"/>
          <c:cat>
            <c:numRef>
              <c:f>Sheet1!$C$34:$C$36</c:f>
              <c:numCache>
                <c:formatCode>General</c:formatCode>
                <c:ptCount val="3"/>
                <c:pt idx="0">
                  <c:v>2011</c:v>
                </c:pt>
                <c:pt idx="1">
                  <c:v>2012</c:v>
                </c:pt>
                <c:pt idx="2">
                  <c:v>2013</c:v>
                </c:pt>
              </c:numCache>
            </c:numRef>
          </c:cat>
          <c:val>
            <c:numRef>
              <c:f>Sheet1!$I$34:$I$36</c:f>
              <c:numCache>
                <c:formatCode>0.0000</c:formatCode>
                <c:ptCount val="3"/>
                <c:pt idx="0">
                  <c:v>0.10897923858466747</c:v>
                </c:pt>
                <c:pt idx="1">
                  <c:v>0.13439679817931383</c:v>
                </c:pt>
                <c:pt idx="2">
                  <c:v>0.1926669219291528</c:v>
                </c:pt>
              </c:numCache>
            </c:numRef>
          </c:val>
        </c:ser>
        <c:dLbls>
          <c:showLegendKey val="0"/>
          <c:showVal val="0"/>
          <c:showCatName val="0"/>
          <c:showSerName val="0"/>
          <c:showPercent val="0"/>
          <c:showBubbleSize val="0"/>
        </c:dLbls>
        <c:gapWidth val="150"/>
        <c:axId val="109996288"/>
        <c:axId val="110018560"/>
      </c:barChart>
      <c:catAx>
        <c:axId val="109996288"/>
        <c:scaling>
          <c:orientation val="minMax"/>
        </c:scaling>
        <c:delete val="0"/>
        <c:axPos val="b"/>
        <c:numFmt formatCode="General" sourceLinked="1"/>
        <c:majorTickMark val="out"/>
        <c:minorTickMark val="none"/>
        <c:tickLblPos val="nextTo"/>
        <c:crossAx val="110018560"/>
        <c:crosses val="autoZero"/>
        <c:auto val="1"/>
        <c:lblAlgn val="ctr"/>
        <c:lblOffset val="100"/>
        <c:noMultiLvlLbl val="0"/>
      </c:catAx>
      <c:valAx>
        <c:axId val="110018560"/>
        <c:scaling>
          <c:orientation val="minMax"/>
        </c:scaling>
        <c:delete val="0"/>
        <c:axPos val="l"/>
        <c:majorGridlines/>
        <c:numFmt formatCode="0.00%" sourceLinked="0"/>
        <c:majorTickMark val="out"/>
        <c:minorTickMark val="none"/>
        <c:tickLblPos val="nextTo"/>
        <c:crossAx val="10999628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c:f>
              <c:strCache>
                <c:ptCount val="1"/>
                <c:pt idx="0">
                  <c:v>Neribota</c:v>
                </c:pt>
              </c:strCache>
            </c:strRef>
          </c:tx>
          <c:invertIfNegative val="0"/>
          <c:cat>
            <c:numRef>
              <c:f>Sheet1!$C$37:$C$38</c:f>
              <c:numCache>
                <c:formatCode>General</c:formatCode>
                <c:ptCount val="2"/>
                <c:pt idx="0">
                  <c:v>2011</c:v>
                </c:pt>
                <c:pt idx="1">
                  <c:v>2012</c:v>
                </c:pt>
              </c:numCache>
            </c:numRef>
          </c:cat>
          <c:val>
            <c:numRef>
              <c:f>Sheet1!$H$37:$I$37</c:f>
              <c:numCache>
                <c:formatCode>0.0000</c:formatCode>
                <c:ptCount val="2"/>
                <c:pt idx="0">
                  <c:v>0.51532385206421549</c:v>
                </c:pt>
                <c:pt idx="1">
                  <c:v>0.40782012919202987</c:v>
                </c:pt>
              </c:numCache>
            </c:numRef>
          </c:val>
        </c:ser>
        <c:ser>
          <c:idx val="1"/>
          <c:order val="1"/>
          <c:tx>
            <c:strRef>
              <c:f>Sheet1!$I$2</c:f>
              <c:strCache>
                <c:ptCount val="1"/>
                <c:pt idx="0">
                  <c:v>Apribota</c:v>
                </c:pt>
              </c:strCache>
            </c:strRef>
          </c:tx>
          <c:invertIfNegative val="0"/>
          <c:cat>
            <c:numRef>
              <c:f>Sheet1!$C$37:$C$38</c:f>
              <c:numCache>
                <c:formatCode>General</c:formatCode>
                <c:ptCount val="2"/>
                <c:pt idx="0">
                  <c:v>2011</c:v>
                </c:pt>
                <c:pt idx="1">
                  <c:v>2012</c:v>
                </c:pt>
              </c:numCache>
            </c:numRef>
          </c:cat>
          <c:val>
            <c:numRef>
              <c:f>Sheet1!$H$38:$I$38</c:f>
              <c:numCache>
                <c:formatCode>0.0000</c:formatCode>
                <c:ptCount val="2"/>
                <c:pt idx="0">
                  <c:v>0.482430636889499</c:v>
                </c:pt>
                <c:pt idx="1">
                  <c:v>0.36282888009857511</c:v>
                </c:pt>
              </c:numCache>
            </c:numRef>
          </c:val>
        </c:ser>
        <c:dLbls>
          <c:showLegendKey val="0"/>
          <c:showVal val="0"/>
          <c:showCatName val="0"/>
          <c:showSerName val="0"/>
          <c:showPercent val="0"/>
          <c:showBubbleSize val="0"/>
        </c:dLbls>
        <c:gapWidth val="150"/>
        <c:axId val="110031232"/>
        <c:axId val="110032768"/>
      </c:barChart>
      <c:catAx>
        <c:axId val="110031232"/>
        <c:scaling>
          <c:orientation val="minMax"/>
        </c:scaling>
        <c:delete val="0"/>
        <c:axPos val="b"/>
        <c:numFmt formatCode="General" sourceLinked="1"/>
        <c:majorTickMark val="out"/>
        <c:minorTickMark val="none"/>
        <c:tickLblPos val="nextTo"/>
        <c:crossAx val="110032768"/>
        <c:crosses val="autoZero"/>
        <c:auto val="1"/>
        <c:lblAlgn val="ctr"/>
        <c:lblOffset val="100"/>
        <c:noMultiLvlLbl val="0"/>
      </c:catAx>
      <c:valAx>
        <c:axId val="110032768"/>
        <c:scaling>
          <c:orientation val="minMax"/>
        </c:scaling>
        <c:delete val="0"/>
        <c:axPos val="l"/>
        <c:majorGridlines/>
        <c:numFmt formatCode="0.00%" sourceLinked="0"/>
        <c:majorTickMark val="out"/>
        <c:minorTickMark val="none"/>
        <c:tickLblPos val="nextTo"/>
        <c:crossAx val="11003123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c:f>
              <c:strCache>
                <c:ptCount val="1"/>
                <c:pt idx="0">
                  <c:v>Neribota</c:v>
                </c:pt>
              </c:strCache>
            </c:strRef>
          </c:tx>
          <c:invertIfNegative val="0"/>
          <c:cat>
            <c:numRef>
              <c:f>Sheet1!$C$41:$C$43</c:f>
              <c:numCache>
                <c:formatCode>General</c:formatCode>
                <c:ptCount val="3"/>
                <c:pt idx="0">
                  <c:v>2011</c:v>
                </c:pt>
                <c:pt idx="1">
                  <c:v>2012</c:v>
                </c:pt>
                <c:pt idx="2">
                  <c:v>2013</c:v>
                </c:pt>
              </c:numCache>
            </c:numRef>
          </c:cat>
          <c:val>
            <c:numRef>
              <c:f>Sheet1!$H$41:$H$43</c:f>
              <c:numCache>
                <c:formatCode>General</c:formatCode>
                <c:ptCount val="3"/>
                <c:pt idx="0">
                  <c:v>23097.83</c:v>
                </c:pt>
                <c:pt idx="1">
                  <c:v>21012</c:v>
                </c:pt>
                <c:pt idx="2">
                  <c:v>25962.799999999999</c:v>
                </c:pt>
              </c:numCache>
            </c:numRef>
          </c:val>
        </c:ser>
        <c:ser>
          <c:idx val="1"/>
          <c:order val="1"/>
          <c:tx>
            <c:strRef>
              <c:f>Sheet1!$I$2</c:f>
              <c:strCache>
                <c:ptCount val="1"/>
                <c:pt idx="0">
                  <c:v>Apribota</c:v>
                </c:pt>
              </c:strCache>
            </c:strRef>
          </c:tx>
          <c:invertIfNegative val="0"/>
          <c:cat>
            <c:numRef>
              <c:f>Sheet1!$C$41:$C$43</c:f>
              <c:numCache>
                <c:formatCode>General</c:formatCode>
                <c:ptCount val="3"/>
                <c:pt idx="0">
                  <c:v>2011</c:v>
                </c:pt>
                <c:pt idx="1">
                  <c:v>2012</c:v>
                </c:pt>
                <c:pt idx="2">
                  <c:v>2013</c:v>
                </c:pt>
              </c:numCache>
            </c:numRef>
          </c:cat>
          <c:val>
            <c:numRef>
              <c:f>Sheet1!$I$41:$I$43</c:f>
              <c:numCache>
                <c:formatCode>General</c:formatCode>
                <c:ptCount val="3"/>
                <c:pt idx="0">
                  <c:v>37364.400000000001</c:v>
                </c:pt>
                <c:pt idx="1">
                  <c:v>30447.88</c:v>
                </c:pt>
                <c:pt idx="2">
                  <c:v>41673.22</c:v>
                </c:pt>
              </c:numCache>
            </c:numRef>
          </c:val>
        </c:ser>
        <c:dLbls>
          <c:showLegendKey val="0"/>
          <c:showVal val="0"/>
          <c:showCatName val="0"/>
          <c:showSerName val="0"/>
          <c:showPercent val="0"/>
          <c:showBubbleSize val="0"/>
        </c:dLbls>
        <c:gapWidth val="150"/>
        <c:axId val="115550464"/>
        <c:axId val="115556352"/>
      </c:barChart>
      <c:catAx>
        <c:axId val="115550464"/>
        <c:scaling>
          <c:orientation val="minMax"/>
        </c:scaling>
        <c:delete val="0"/>
        <c:axPos val="b"/>
        <c:numFmt formatCode="General" sourceLinked="1"/>
        <c:majorTickMark val="out"/>
        <c:minorTickMark val="none"/>
        <c:tickLblPos val="nextTo"/>
        <c:crossAx val="115556352"/>
        <c:crosses val="autoZero"/>
        <c:auto val="1"/>
        <c:lblAlgn val="ctr"/>
        <c:lblOffset val="100"/>
        <c:noMultiLvlLbl val="0"/>
      </c:catAx>
      <c:valAx>
        <c:axId val="115556352"/>
        <c:scaling>
          <c:orientation val="minMax"/>
        </c:scaling>
        <c:delete val="0"/>
        <c:axPos val="l"/>
        <c:majorGridlines/>
        <c:numFmt formatCode="General" sourceLinked="1"/>
        <c:majorTickMark val="out"/>
        <c:minorTickMark val="none"/>
        <c:tickLblPos val="nextTo"/>
        <c:crossAx val="1155504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13B0-0AE8-4548-AF69-CCD74FF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81</Pages>
  <Words>22364</Words>
  <Characters>127476</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AHK-BALT</Company>
  <LinksUpToDate>false</LinksUpToDate>
  <CharactersWithSpaces>149541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Siskutis</dc:creator>
  <cp:lastModifiedBy>Siskutis</cp:lastModifiedBy>
  <cp:revision>60</cp:revision>
  <cp:lastPrinted>2014-04-08T12:35:00Z</cp:lastPrinted>
  <dcterms:created xsi:type="dcterms:W3CDTF">2014-04-04T06:15:00Z</dcterms:created>
  <dcterms:modified xsi:type="dcterms:W3CDTF">2014-04-08T12:36:00Z</dcterms:modified>
</cp:coreProperties>
</file>