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theme/themeOverride5.xml" ContentType="application/vnd.openxmlformats-officedocument.themeOverride+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theme/themeOverride3.xml" ContentType="application/vnd.openxmlformats-officedocument.themeOverride+xml"/>
  <Override PartName="/word/diagrams/colors1.xml" ContentType="application/vnd.openxmlformats-officedocument.drawingml.diagramColors+xml"/>
  <Override PartName="/word/diagrams/drawing6.xml" ContentType="application/vnd.ms-office.drawingml.diagramDrawing+xml"/>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4.xml" ContentType="application/vnd.ms-office.drawingml.diagramDrawing+xml"/>
  <Override PartName="/word/charts/chart9.xml" ContentType="application/vnd.openxmlformats-officedocument.drawingml.chart+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diagrams/layout7.xml" ContentType="application/vnd.openxmlformats-officedocument.drawingml.diagramLayout+xml"/>
  <Override PartName="/word/diagrams/layout5.xml" ContentType="application/vnd.openxmlformats-officedocument.drawingml.diagramLayout+xml"/>
  <Override PartName="/word/diagrams/layout6.xml" ContentType="application/vnd.openxmlformats-officedocument.drawingml.diagramLayout+xml"/>
  <Override PartName="/word/charts/chart4.xml" ContentType="application/vnd.openxmlformats-officedocument.drawingml.chart+xml"/>
  <Override PartName="/word/charts/chart5.xml" ContentType="application/vnd.openxmlformats-officedocument.drawingml.chart+xml"/>
  <Override PartName="/word/diagrams/quickStyle7.xml" ContentType="application/vnd.openxmlformats-officedocument.drawingml.diagramStyle+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diagrams/data7.xml" ContentType="application/vnd.openxmlformats-officedocument.drawingml.diagramData+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diagrams/colors7.xml" ContentType="application/vnd.openxmlformats-officedocument.drawingml.diagramColors+xml"/>
  <Override PartName="/word/header1.xml" ContentType="application/vnd.openxmlformats-officedocument.wordprocessingml.header+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Default Extension="png" ContentType="image/png"/>
  <Override PartName="/word/theme/themeOverride4.xml" ContentType="application/vnd.openxmlformats-officedocument.themeOverride+xml"/>
  <Override PartName="/word/diagrams/data2.xml" ContentType="application/vnd.openxmlformats-officedocument.drawingml.diagramData+xml"/>
  <Override PartName="/word/diagrams/colors2.xml" ContentType="application/vnd.openxmlformats-officedocument.drawingml.diagramColors+xml"/>
  <Override PartName="/word/theme/themeOverride2.xml" ContentType="application/vnd.openxmlformats-officedocument.themeOverride+xml"/>
  <Override PartName="/word/diagrams/drawing7.xml" ContentType="application/vnd.ms-office.drawingml.diagramDrawing+xml"/>
  <Override PartName="/word/diagrams/drawing5.xml" ContentType="application/vnd.ms-office.drawingml.diagramDrawing+xml"/>
  <Override PartName="/word/numbering.xml" ContentType="application/vnd.openxmlformats-officedocument.wordprocessingml.numbering+xml"/>
  <Override PartName="/word/endnotes.xml" ContentType="application/vnd.openxmlformats-officedocument.wordprocessingml.endnotes+xml"/>
  <Override PartName="/word/diagrams/drawing3.xml" ContentType="application/vnd.ms-office.drawingml.diagramDrawing+xml"/>
  <Override PartName="/word/charts/chart8.xml" ContentType="application/vnd.openxmlformats-officedocument.drawingml.chart+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C0B" w:rsidRPr="00DD7E0E" w:rsidRDefault="00511C0B" w:rsidP="00511C0B">
      <w:pPr>
        <w:jc w:val="center"/>
        <w:rPr>
          <w:b/>
          <w:sz w:val="32"/>
          <w:szCs w:val="32"/>
        </w:rPr>
      </w:pPr>
      <w:r w:rsidRPr="00DD7E0E">
        <w:rPr>
          <w:b/>
          <w:sz w:val="32"/>
          <w:szCs w:val="32"/>
        </w:rPr>
        <w:t>MYKOLO ROMERIO UNIVERSITETAS</w:t>
      </w:r>
    </w:p>
    <w:p w:rsidR="00511C0B" w:rsidRPr="00DD7E0E" w:rsidRDefault="00511C0B" w:rsidP="00511C0B">
      <w:pPr>
        <w:jc w:val="center"/>
        <w:rPr>
          <w:b/>
          <w:sz w:val="28"/>
          <w:szCs w:val="28"/>
        </w:rPr>
      </w:pPr>
      <w:r w:rsidRPr="00DD7E0E">
        <w:rPr>
          <w:b/>
          <w:sz w:val="28"/>
          <w:szCs w:val="28"/>
        </w:rPr>
        <w:t>EKONOMIKOS IR FINANSŲ VALDYMO FAKULTETAS</w:t>
      </w:r>
    </w:p>
    <w:p w:rsidR="00511C0B" w:rsidRPr="00DD7E0E" w:rsidRDefault="00511C0B" w:rsidP="00511C0B">
      <w:pPr>
        <w:jc w:val="center"/>
        <w:rPr>
          <w:b/>
        </w:rPr>
      </w:pPr>
      <w:r w:rsidRPr="00DD7E0E">
        <w:rPr>
          <w:b/>
        </w:rPr>
        <w:t>BANKININKYSTĖS IR INVESTICIJŲ KATEDRA</w:t>
      </w:r>
    </w:p>
    <w:p w:rsidR="00511C0B" w:rsidRPr="00DD7E0E" w:rsidRDefault="00511C0B" w:rsidP="00511C0B">
      <w:pPr>
        <w:spacing w:line="360" w:lineRule="auto"/>
        <w:jc w:val="center"/>
      </w:pPr>
    </w:p>
    <w:p w:rsidR="00511C0B" w:rsidRPr="00DD7E0E" w:rsidRDefault="00511C0B" w:rsidP="00511C0B">
      <w:pPr>
        <w:spacing w:line="360" w:lineRule="auto"/>
        <w:jc w:val="center"/>
      </w:pPr>
    </w:p>
    <w:p w:rsidR="00511C0B" w:rsidRPr="00DD7E0E" w:rsidRDefault="00511C0B" w:rsidP="00511C0B">
      <w:pPr>
        <w:spacing w:line="360" w:lineRule="auto"/>
        <w:jc w:val="center"/>
      </w:pPr>
    </w:p>
    <w:p w:rsidR="00511C0B" w:rsidRPr="00DD7E0E" w:rsidRDefault="00511C0B" w:rsidP="00511C0B">
      <w:pPr>
        <w:spacing w:line="360" w:lineRule="auto"/>
        <w:jc w:val="center"/>
      </w:pPr>
    </w:p>
    <w:p w:rsidR="00511C0B" w:rsidRPr="00DD7E0E" w:rsidRDefault="00511C0B" w:rsidP="00511C0B">
      <w:pPr>
        <w:spacing w:line="360" w:lineRule="auto"/>
        <w:jc w:val="center"/>
      </w:pPr>
    </w:p>
    <w:p w:rsidR="00511C0B" w:rsidRPr="00DD7E0E" w:rsidRDefault="00511C0B" w:rsidP="00511C0B">
      <w:pPr>
        <w:spacing w:line="360" w:lineRule="auto"/>
        <w:jc w:val="center"/>
        <w:rPr>
          <w:b/>
          <w:sz w:val="32"/>
          <w:szCs w:val="32"/>
        </w:rPr>
      </w:pPr>
      <w:r w:rsidRPr="00DD7E0E">
        <w:rPr>
          <w:b/>
          <w:sz w:val="32"/>
          <w:szCs w:val="32"/>
        </w:rPr>
        <w:t>SIGITA GIRŽADIENĖ</w:t>
      </w:r>
    </w:p>
    <w:p w:rsidR="00511C0B" w:rsidRPr="00DD7E0E" w:rsidRDefault="00511C0B" w:rsidP="00511C0B">
      <w:pPr>
        <w:spacing w:line="360" w:lineRule="auto"/>
        <w:jc w:val="center"/>
      </w:pPr>
    </w:p>
    <w:p w:rsidR="00511C0B" w:rsidRPr="00DD7E0E" w:rsidRDefault="00511C0B" w:rsidP="00511C0B">
      <w:pPr>
        <w:spacing w:line="360" w:lineRule="auto"/>
        <w:jc w:val="center"/>
      </w:pPr>
    </w:p>
    <w:p w:rsidR="00511C0B" w:rsidRPr="00DD7E0E" w:rsidRDefault="00511C0B" w:rsidP="00511C0B">
      <w:pPr>
        <w:spacing w:line="360" w:lineRule="auto"/>
        <w:jc w:val="center"/>
      </w:pPr>
    </w:p>
    <w:p w:rsidR="00511C0B" w:rsidRPr="00DD7E0E" w:rsidRDefault="00511C0B" w:rsidP="00511C0B">
      <w:pPr>
        <w:spacing w:line="360" w:lineRule="auto"/>
        <w:jc w:val="center"/>
      </w:pPr>
    </w:p>
    <w:p w:rsidR="000F2019" w:rsidRPr="00404F9F" w:rsidRDefault="000F2019" w:rsidP="000F2019">
      <w:pPr>
        <w:jc w:val="center"/>
        <w:rPr>
          <w:b/>
          <w:sz w:val="40"/>
          <w:szCs w:val="40"/>
        </w:rPr>
      </w:pPr>
      <w:r w:rsidRPr="00D657FA">
        <w:rPr>
          <w:b/>
          <w:sz w:val="40"/>
          <w:szCs w:val="40"/>
        </w:rPr>
        <w:t>VERTYBINIŲ POPIERIŲ BIRŽOJE</w:t>
      </w:r>
      <w:r w:rsidR="00AD7C8C" w:rsidRPr="00AD7C8C">
        <w:rPr>
          <w:b/>
          <w:color w:val="FF0000"/>
          <w:sz w:val="40"/>
          <w:szCs w:val="40"/>
        </w:rPr>
        <w:t xml:space="preserve"> </w:t>
      </w:r>
      <w:r>
        <w:rPr>
          <w:b/>
          <w:sz w:val="40"/>
          <w:szCs w:val="40"/>
        </w:rPr>
        <w:t xml:space="preserve">LISTINGUOJAMŲ ĮMONIŲ INTELEKTINIO KAPITALO VERTINIMAS </w:t>
      </w:r>
    </w:p>
    <w:p w:rsidR="00511C0B" w:rsidRPr="00DD7E0E" w:rsidRDefault="00511C0B" w:rsidP="00511C0B">
      <w:pPr>
        <w:spacing w:line="360" w:lineRule="auto"/>
        <w:jc w:val="center"/>
        <w:rPr>
          <w:b/>
          <w:sz w:val="28"/>
          <w:szCs w:val="28"/>
        </w:rPr>
      </w:pPr>
      <w:r w:rsidRPr="00DD7E0E">
        <w:rPr>
          <w:b/>
          <w:sz w:val="28"/>
          <w:szCs w:val="28"/>
        </w:rPr>
        <w:t>Magistro baigiamasis darbas</w:t>
      </w:r>
    </w:p>
    <w:p w:rsidR="00511C0B" w:rsidRPr="00DD7E0E" w:rsidRDefault="00511C0B" w:rsidP="00511C0B">
      <w:pPr>
        <w:spacing w:line="360" w:lineRule="auto"/>
        <w:rPr>
          <w:sz w:val="28"/>
          <w:szCs w:val="28"/>
        </w:rPr>
      </w:pPr>
    </w:p>
    <w:p w:rsidR="00511C0B" w:rsidRPr="00DD7E0E" w:rsidRDefault="00511C0B" w:rsidP="00511C0B">
      <w:pPr>
        <w:spacing w:line="360" w:lineRule="auto"/>
        <w:rPr>
          <w:sz w:val="28"/>
          <w:szCs w:val="28"/>
        </w:rPr>
      </w:pPr>
    </w:p>
    <w:p w:rsidR="00511C0B" w:rsidRPr="00DD7E0E" w:rsidRDefault="00511C0B" w:rsidP="00511C0B">
      <w:pPr>
        <w:spacing w:line="360" w:lineRule="auto"/>
        <w:rPr>
          <w:sz w:val="28"/>
          <w:szCs w:val="28"/>
        </w:rPr>
      </w:pPr>
    </w:p>
    <w:p w:rsidR="00511C0B" w:rsidRPr="00DD7E0E" w:rsidRDefault="00511C0B" w:rsidP="00511C0B">
      <w:pPr>
        <w:spacing w:line="360" w:lineRule="auto"/>
        <w:rPr>
          <w:sz w:val="28"/>
          <w:szCs w:val="28"/>
        </w:rPr>
      </w:pPr>
    </w:p>
    <w:p w:rsidR="00511C0B" w:rsidRPr="00DD7E0E" w:rsidRDefault="00511C0B" w:rsidP="00511C0B">
      <w:pPr>
        <w:spacing w:line="360" w:lineRule="auto"/>
      </w:pPr>
    </w:p>
    <w:p w:rsidR="00511C0B" w:rsidRPr="00DD7E0E" w:rsidRDefault="00452578" w:rsidP="00D10C17">
      <w:pPr>
        <w:tabs>
          <w:tab w:val="left" w:pos="0"/>
          <w:tab w:val="left" w:pos="6663"/>
        </w:tabs>
        <w:ind w:firstLine="6379"/>
        <w:rPr>
          <w:b/>
          <w:sz w:val="28"/>
        </w:rPr>
      </w:pPr>
      <w:r>
        <w:rPr>
          <w:b/>
          <w:sz w:val="28"/>
        </w:rPr>
        <w:t>Vadovas</w:t>
      </w:r>
    </w:p>
    <w:p w:rsidR="00511C0B" w:rsidRPr="00DD7E0E" w:rsidRDefault="00D10C17" w:rsidP="00D10C17">
      <w:pPr>
        <w:tabs>
          <w:tab w:val="left" w:pos="0"/>
        </w:tabs>
        <w:ind w:right="1132"/>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doc. dr. A. Linartas</w:t>
      </w:r>
    </w:p>
    <w:p w:rsidR="00511C0B" w:rsidRPr="00DD7E0E" w:rsidRDefault="00511C0B" w:rsidP="00511C0B">
      <w:pPr>
        <w:spacing w:line="360" w:lineRule="auto"/>
        <w:jc w:val="right"/>
      </w:pPr>
    </w:p>
    <w:p w:rsidR="00511C0B" w:rsidRDefault="00511C0B" w:rsidP="00511C0B">
      <w:pPr>
        <w:spacing w:line="360" w:lineRule="auto"/>
      </w:pPr>
    </w:p>
    <w:p w:rsidR="000F2019" w:rsidRPr="00DD7E0E" w:rsidRDefault="000F2019" w:rsidP="00511C0B">
      <w:pPr>
        <w:spacing w:line="360" w:lineRule="auto"/>
      </w:pPr>
    </w:p>
    <w:p w:rsidR="00511C0B" w:rsidRPr="00DD7E0E" w:rsidRDefault="00511C0B" w:rsidP="00511C0B">
      <w:pPr>
        <w:spacing w:line="360" w:lineRule="auto"/>
      </w:pPr>
    </w:p>
    <w:p w:rsidR="00511C0B" w:rsidRPr="00DD7E0E" w:rsidRDefault="00511C0B" w:rsidP="00511C0B">
      <w:pPr>
        <w:spacing w:line="360" w:lineRule="auto"/>
      </w:pPr>
    </w:p>
    <w:p w:rsidR="00511C0B" w:rsidRPr="00DD7E0E" w:rsidRDefault="00511C0B" w:rsidP="00511C0B">
      <w:pPr>
        <w:spacing w:line="360" w:lineRule="auto"/>
      </w:pPr>
    </w:p>
    <w:p w:rsidR="00511C0B" w:rsidRDefault="00511C0B" w:rsidP="00511C0B">
      <w:pPr>
        <w:spacing w:line="360" w:lineRule="auto"/>
      </w:pPr>
    </w:p>
    <w:p w:rsidR="00D10C17" w:rsidRPr="00DD7E0E" w:rsidRDefault="00D10C17" w:rsidP="00511C0B">
      <w:pPr>
        <w:spacing w:line="360" w:lineRule="auto"/>
      </w:pPr>
    </w:p>
    <w:p w:rsidR="00511C0B" w:rsidRPr="00DD7E0E" w:rsidRDefault="00511C0B" w:rsidP="00511C0B">
      <w:pPr>
        <w:spacing w:line="360" w:lineRule="auto"/>
      </w:pPr>
    </w:p>
    <w:p w:rsidR="00511C0B" w:rsidRPr="000F2019" w:rsidRDefault="00511C0B" w:rsidP="00511C0B">
      <w:pPr>
        <w:jc w:val="center"/>
        <w:rPr>
          <w:b/>
          <w:sz w:val="28"/>
          <w:szCs w:val="28"/>
        </w:rPr>
      </w:pPr>
      <w:r w:rsidRPr="00DD7E0E">
        <w:rPr>
          <w:b/>
          <w:sz w:val="28"/>
          <w:szCs w:val="28"/>
        </w:rPr>
        <w:t>VILNIUS, 201</w:t>
      </w:r>
      <w:r w:rsidR="000F2019">
        <w:rPr>
          <w:b/>
          <w:sz w:val="28"/>
          <w:szCs w:val="28"/>
          <w:lang w:val="nb-NO"/>
        </w:rPr>
        <w:t>4</w:t>
      </w:r>
    </w:p>
    <w:p w:rsidR="00511C0B" w:rsidRPr="00DD7E0E" w:rsidRDefault="006B7464" w:rsidP="00511C0B">
      <w:pPr>
        <w:jc w:val="center"/>
        <w:rPr>
          <w:b/>
          <w:sz w:val="32"/>
          <w:szCs w:val="32"/>
        </w:rPr>
      </w:pPr>
      <w:r>
        <w:rPr>
          <w:b/>
          <w:sz w:val="28"/>
          <w:szCs w:val="28"/>
          <w:lang w:val="nb-NO"/>
        </w:rPr>
        <w:br w:type="column"/>
      </w:r>
      <w:r w:rsidR="00511C0B" w:rsidRPr="00DD7E0E">
        <w:rPr>
          <w:b/>
          <w:sz w:val="32"/>
          <w:szCs w:val="32"/>
        </w:rPr>
        <w:lastRenderedPageBreak/>
        <w:t>MYKOLO ROMERIO UNIVERSITETAS</w:t>
      </w:r>
    </w:p>
    <w:p w:rsidR="00511C0B" w:rsidRPr="00DD7E0E" w:rsidRDefault="00511C0B" w:rsidP="00511C0B">
      <w:pPr>
        <w:jc w:val="center"/>
        <w:rPr>
          <w:b/>
          <w:sz w:val="28"/>
          <w:szCs w:val="28"/>
        </w:rPr>
      </w:pPr>
      <w:r w:rsidRPr="00DD7E0E">
        <w:rPr>
          <w:b/>
          <w:sz w:val="28"/>
          <w:szCs w:val="28"/>
        </w:rPr>
        <w:t>EKONOMIKOS IR FINANSŲ VALDYMO FAKULTETAS</w:t>
      </w:r>
    </w:p>
    <w:p w:rsidR="00511C0B" w:rsidRPr="00DD7E0E" w:rsidRDefault="00511C0B" w:rsidP="00511C0B">
      <w:pPr>
        <w:jc w:val="center"/>
        <w:rPr>
          <w:b/>
        </w:rPr>
      </w:pPr>
      <w:r w:rsidRPr="00DD7E0E">
        <w:rPr>
          <w:b/>
        </w:rPr>
        <w:t>BANKININKYSTĖS IR INVESTICIJŲ KATEDRA</w:t>
      </w:r>
    </w:p>
    <w:p w:rsidR="00511C0B" w:rsidRPr="00DD7E0E" w:rsidRDefault="00511C0B" w:rsidP="00511C0B">
      <w:pPr>
        <w:spacing w:line="360" w:lineRule="auto"/>
        <w:jc w:val="center"/>
      </w:pPr>
    </w:p>
    <w:p w:rsidR="00511C0B" w:rsidRPr="00DD7E0E" w:rsidRDefault="00511C0B" w:rsidP="00511C0B">
      <w:pPr>
        <w:spacing w:line="360" w:lineRule="auto"/>
        <w:jc w:val="center"/>
      </w:pPr>
    </w:p>
    <w:p w:rsidR="00511C0B" w:rsidRPr="00DD7E0E" w:rsidRDefault="00511C0B" w:rsidP="00511C0B">
      <w:pPr>
        <w:spacing w:line="360" w:lineRule="auto"/>
        <w:jc w:val="center"/>
      </w:pPr>
    </w:p>
    <w:p w:rsidR="00511C0B" w:rsidRPr="00DD7E0E" w:rsidRDefault="00511C0B" w:rsidP="00511C0B">
      <w:pPr>
        <w:spacing w:line="360" w:lineRule="auto"/>
        <w:jc w:val="center"/>
      </w:pPr>
    </w:p>
    <w:p w:rsidR="00511C0B" w:rsidRPr="00DD7E0E" w:rsidRDefault="00511C0B" w:rsidP="00511C0B">
      <w:pPr>
        <w:spacing w:line="360" w:lineRule="auto"/>
        <w:jc w:val="center"/>
      </w:pPr>
    </w:p>
    <w:p w:rsidR="00511C0B" w:rsidRPr="00DD7E0E" w:rsidRDefault="00511C0B" w:rsidP="00511C0B">
      <w:pPr>
        <w:spacing w:line="360" w:lineRule="auto"/>
        <w:jc w:val="center"/>
      </w:pPr>
    </w:p>
    <w:p w:rsidR="00511C0B" w:rsidRPr="00DD7E0E" w:rsidRDefault="00511C0B" w:rsidP="00511C0B">
      <w:pPr>
        <w:spacing w:line="360" w:lineRule="auto"/>
        <w:jc w:val="center"/>
      </w:pPr>
    </w:p>
    <w:p w:rsidR="00511C0B" w:rsidRPr="00DD7E0E" w:rsidRDefault="00511C0B" w:rsidP="00511C0B">
      <w:pPr>
        <w:spacing w:line="360" w:lineRule="auto"/>
        <w:jc w:val="center"/>
      </w:pPr>
    </w:p>
    <w:p w:rsidR="00AD5B57" w:rsidRPr="00404F9F" w:rsidRDefault="00AD5B57" w:rsidP="00AD5B57">
      <w:pPr>
        <w:jc w:val="center"/>
        <w:rPr>
          <w:b/>
          <w:sz w:val="40"/>
          <w:szCs w:val="40"/>
        </w:rPr>
      </w:pPr>
      <w:r>
        <w:rPr>
          <w:b/>
          <w:sz w:val="40"/>
          <w:szCs w:val="40"/>
        </w:rPr>
        <w:t>VERTYBINIŲ POPIERIŲ BIRŽOJE LISTINGUOJAMŲ ĮMONIŲ INTELEKTINIO KAPITALO VERTINIMA</w:t>
      </w:r>
      <w:bookmarkStart w:id="0" w:name="_GoBack"/>
      <w:bookmarkEnd w:id="0"/>
      <w:r>
        <w:rPr>
          <w:b/>
          <w:sz w:val="40"/>
          <w:szCs w:val="40"/>
        </w:rPr>
        <w:t xml:space="preserve">S </w:t>
      </w:r>
    </w:p>
    <w:p w:rsidR="00511C0B" w:rsidRPr="00DD7E0E" w:rsidRDefault="00511C0B" w:rsidP="00511C0B">
      <w:pPr>
        <w:jc w:val="center"/>
        <w:rPr>
          <w:b/>
          <w:sz w:val="28"/>
          <w:szCs w:val="28"/>
        </w:rPr>
      </w:pPr>
      <w:r w:rsidRPr="00DD7E0E">
        <w:rPr>
          <w:b/>
          <w:sz w:val="28"/>
          <w:szCs w:val="28"/>
        </w:rPr>
        <w:t>Magistro baigiamasis darbas</w:t>
      </w:r>
    </w:p>
    <w:p w:rsidR="00511C0B" w:rsidRPr="00DD7E0E" w:rsidRDefault="00511C0B" w:rsidP="00511C0B">
      <w:pPr>
        <w:jc w:val="center"/>
        <w:rPr>
          <w:b/>
          <w:sz w:val="28"/>
          <w:szCs w:val="28"/>
        </w:rPr>
      </w:pPr>
      <w:r w:rsidRPr="00DD7E0E">
        <w:rPr>
          <w:b/>
          <w:sz w:val="28"/>
          <w:szCs w:val="28"/>
        </w:rPr>
        <w:t xml:space="preserve">Studijų programa </w:t>
      </w:r>
      <w:r w:rsidR="00C37FBC" w:rsidRPr="00C37FBC">
        <w:rPr>
          <w:rFonts w:eastAsia="SimSun"/>
          <w:b/>
          <w:bCs/>
          <w:color w:val="1A1A1A"/>
          <w:sz w:val="28"/>
          <w:szCs w:val="28"/>
          <w:lang w:val="en-US" w:eastAsia="en-US"/>
        </w:rPr>
        <w:t>621L10009</w:t>
      </w:r>
    </w:p>
    <w:p w:rsidR="00511C0B" w:rsidRPr="00DD7E0E" w:rsidRDefault="00511C0B" w:rsidP="00511C0B">
      <w:pPr>
        <w:spacing w:line="360" w:lineRule="auto"/>
        <w:rPr>
          <w:sz w:val="28"/>
          <w:szCs w:val="28"/>
        </w:rPr>
      </w:pPr>
    </w:p>
    <w:p w:rsidR="00511C0B" w:rsidRPr="00DD7E0E" w:rsidRDefault="00511C0B" w:rsidP="00511C0B">
      <w:pPr>
        <w:spacing w:line="360" w:lineRule="auto"/>
        <w:rPr>
          <w:sz w:val="28"/>
          <w:szCs w:val="28"/>
        </w:rPr>
      </w:pPr>
    </w:p>
    <w:p w:rsidR="00511C0B" w:rsidRDefault="00511C0B" w:rsidP="00511C0B">
      <w:pPr>
        <w:spacing w:line="360" w:lineRule="auto"/>
        <w:rPr>
          <w:sz w:val="28"/>
          <w:szCs w:val="28"/>
        </w:rPr>
      </w:pPr>
    </w:p>
    <w:p w:rsidR="006B7464" w:rsidRPr="00DD7E0E" w:rsidRDefault="006B7464" w:rsidP="00511C0B">
      <w:pPr>
        <w:spacing w:line="360" w:lineRule="auto"/>
        <w:rPr>
          <w:sz w:val="28"/>
          <w:szCs w:val="28"/>
        </w:rPr>
      </w:pPr>
    </w:p>
    <w:p w:rsidR="00511C0B" w:rsidRPr="00DD7E0E" w:rsidRDefault="006B7464" w:rsidP="006B7464">
      <w:pPr>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00452578">
        <w:rPr>
          <w:b/>
          <w:sz w:val="28"/>
        </w:rPr>
        <w:t>Vadovas</w:t>
      </w:r>
    </w:p>
    <w:p w:rsidR="00511C0B" w:rsidRPr="006B7464" w:rsidRDefault="006B7464" w:rsidP="00511C0B">
      <w:pPr>
        <w:tabs>
          <w:tab w:val="left" w:pos="0"/>
        </w:tabs>
        <w:ind w:right="28"/>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Pr="006B7464">
        <w:rPr>
          <w:b/>
          <w:sz w:val="28"/>
        </w:rPr>
        <w:tab/>
      </w:r>
      <w:r w:rsidR="00511C0B" w:rsidRPr="006B7464">
        <w:rPr>
          <w:b/>
          <w:sz w:val="28"/>
        </w:rPr>
        <w:t xml:space="preserve">doc. dr. </w:t>
      </w:r>
      <w:r w:rsidR="00D10C17" w:rsidRPr="006B7464">
        <w:rPr>
          <w:b/>
          <w:sz w:val="28"/>
        </w:rPr>
        <w:t>A. Linartas</w:t>
      </w:r>
    </w:p>
    <w:p w:rsidR="00511C0B" w:rsidRPr="006B7464" w:rsidRDefault="006B7464" w:rsidP="00511C0B">
      <w:pPr>
        <w:tabs>
          <w:tab w:val="left" w:pos="0"/>
        </w:tabs>
        <w:ind w:right="28"/>
        <w:rPr>
          <w:b/>
          <w:sz w:val="28"/>
          <w:lang w:val="nb-NO"/>
        </w:rPr>
      </w:pPr>
      <w:r w:rsidRPr="006B7464">
        <w:rPr>
          <w:b/>
          <w:sz w:val="28"/>
        </w:rPr>
        <w:tab/>
      </w:r>
      <w:r w:rsidRPr="006B7464">
        <w:rPr>
          <w:b/>
          <w:sz w:val="28"/>
        </w:rPr>
        <w:tab/>
      </w:r>
      <w:r w:rsidRPr="006B7464">
        <w:rPr>
          <w:b/>
          <w:sz w:val="28"/>
        </w:rPr>
        <w:tab/>
      </w:r>
      <w:r w:rsidRPr="006B7464">
        <w:rPr>
          <w:b/>
          <w:sz w:val="28"/>
        </w:rPr>
        <w:tab/>
      </w:r>
      <w:r w:rsidRPr="006B7464">
        <w:rPr>
          <w:b/>
          <w:sz w:val="28"/>
        </w:rPr>
        <w:tab/>
      </w:r>
      <w:r w:rsidRPr="006B7464">
        <w:rPr>
          <w:b/>
          <w:sz w:val="28"/>
        </w:rPr>
        <w:tab/>
      </w:r>
      <w:r w:rsidRPr="006B7464">
        <w:rPr>
          <w:b/>
          <w:sz w:val="28"/>
        </w:rPr>
        <w:tab/>
      </w:r>
      <w:r w:rsidRPr="006B7464">
        <w:rPr>
          <w:b/>
          <w:sz w:val="28"/>
        </w:rPr>
        <w:tab/>
      </w:r>
      <w:r w:rsidRPr="006B7464">
        <w:rPr>
          <w:b/>
          <w:sz w:val="28"/>
        </w:rPr>
        <w:tab/>
      </w:r>
      <w:r w:rsidRPr="006B7464">
        <w:rPr>
          <w:b/>
          <w:sz w:val="28"/>
        </w:rPr>
        <w:tab/>
      </w:r>
      <w:r w:rsidRPr="006B7464">
        <w:rPr>
          <w:b/>
          <w:sz w:val="28"/>
        </w:rPr>
        <w:tab/>
      </w:r>
    </w:p>
    <w:p w:rsidR="006B7464" w:rsidRDefault="006B7464" w:rsidP="00511C0B">
      <w:pPr>
        <w:spacing w:line="360" w:lineRule="auto"/>
        <w:rPr>
          <w:b/>
          <w:sz w:val="28"/>
        </w:rPr>
      </w:pPr>
    </w:p>
    <w:p w:rsidR="006B7464" w:rsidRPr="00DD7E0E" w:rsidRDefault="006B7464" w:rsidP="00511C0B">
      <w:pPr>
        <w:spacing w:line="360" w:lineRule="auto"/>
        <w:rPr>
          <w:b/>
          <w:sz w:val="28"/>
          <w:lang w:val="nb-NO"/>
        </w:rPr>
      </w:pPr>
    </w:p>
    <w:p w:rsidR="00511C0B" w:rsidRPr="00DD7E0E" w:rsidRDefault="00511C0B" w:rsidP="00511C0B">
      <w:pPr>
        <w:rPr>
          <w:b/>
          <w:sz w:val="28"/>
          <w:lang w:val="nb-NO"/>
        </w:rPr>
      </w:pPr>
      <w:r w:rsidRPr="00DD7E0E">
        <w:rPr>
          <w:b/>
          <w:sz w:val="28"/>
          <w:lang w:val="nb-NO"/>
        </w:rPr>
        <w:t>Recenzentas                                                                     Atliko</w:t>
      </w:r>
    </w:p>
    <w:p w:rsidR="00511C0B" w:rsidRPr="00DD7E0E" w:rsidRDefault="00511C0B" w:rsidP="00511C0B">
      <w:pPr>
        <w:rPr>
          <w:b/>
          <w:sz w:val="28"/>
        </w:rPr>
      </w:pPr>
      <w:r w:rsidRPr="002279EF">
        <w:rPr>
          <w:b/>
          <w:color w:val="FF0000"/>
          <w:sz w:val="28"/>
        </w:rPr>
        <w:t xml:space="preserve">                                             </w:t>
      </w:r>
      <w:r w:rsidR="005F0C1E">
        <w:rPr>
          <w:b/>
          <w:color w:val="FF0000"/>
          <w:sz w:val="28"/>
        </w:rPr>
        <w:tab/>
      </w:r>
      <w:r w:rsidR="005F0C1E">
        <w:rPr>
          <w:b/>
          <w:color w:val="FF0000"/>
          <w:sz w:val="28"/>
        </w:rPr>
        <w:tab/>
      </w:r>
      <w:r w:rsidR="005F0C1E">
        <w:rPr>
          <w:b/>
          <w:color w:val="FF0000"/>
          <w:sz w:val="28"/>
        </w:rPr>
        <w:tab/>
      </w:r>
      <w:r w:rsidR="005F0C1E">
        <w:rPr>
          <w:b/>
          <w:color w:val="FF0000"/>
          <w:sz w:val="28"/>
        </w:rPr>
        <w:tab/>
      </w:r>
      <w:r w:rsidR="005F0C1E">
        <w:rPr>
          <w:b/>
          <w:color w:val="FF0000"/>
          <w:sz w:val="28"/>
        </w:rPr>
        <w:tab/>
      </w:r>
      <w:r w:rsidR="005F0C1E">
        <w:rPr>
          <w:b/>
          <w:color w:val="FF0000"/>
          <w:sz w:val="28"/>
        </w:rPr>
        <w:tab/>
      </w:r>
      <w:r w:rsidRPr="002279EF">
        <w:rPr>
          <w:b/>
          <w:color w:val="FF0000"/>
          <w:sz w:val="28"/>
        </w:rPr>
        <w:t xml:space="preserve"> </w:t>
      </w:r>
      <w:r w:rsidRPr="00DD7E0E">
        <w:rPr>
          <w:b/>
          <w:sz w:val="28"/>
        </w:rPr>
        <w:t>F</w:t>
      </w:r>
      <w:r w:rsidR="001A3182">
        <w:rPr>
          <w:b/>
          <w:sz w:val="28"/>
        </w:rPr>
        <w:t>R</w:t>
      </w:r>
      <w:r w:rsidRPr="00DD7E0E">
        <w:rPr>
          <w:b/>
          <w:sz w:val="28"/>
        </w:rPr>
        <w:t>mis</w:t>
      </w:r>
      <w:r w:rsidR="00AD5B57">
        <w:rPr>
          <w:b/>
          <w:sz w:val="28"/>
        </w:rPr>
        <w:t>2-01</w:t>
      </w:r>
      <w:r w:rsidRPr="00DD7E0E">
        <w:rPr>
          <w:b/>
          <w:sz w:val="28"/>
        </w:rPr>
        <w:t xml:space="preserve"> gr. stud.</w:t>
      </w:r>
    </w:p>
    <w:p w:rsidR="00511C0B" w:rsidRPr="00DD7E0E" w:rsidRDefault="005F0C1E" w:rsidP="005F0C1E">
      <w:pPr>
        <w:ind w:left="5670" w:firstLine="567"/>
        <w:rPr>
          <w:b/>
          <w:sz w:val="28"/>
          <w:lang w:val="nb-NO"/>
        </w:rPr>
      </w:pPr>
      <w:r>
        <w:rPr>
          <w:b/>
          <w:sz w:val="28"/>
          <w:lang w:val="nb-NO"/>
        </w:rPr>
        <w:t xml:space="preserve"> </w:t>
      </w:r>
      <w:r w:rsidR="00511C0B" w:rsidRPr="00DD7E0E">
        <w:rPr>
          <w:b/>
          <w:sz w:val="28"/>
          <w:lang w:val="nb-NO"/>
        </w:rPr>
        <w:t xml:space="preserve">Sigita Giržadienė </w:t>
      </w:r>
    </w:p>
    <w:p w:rsidR="00511C0B" w:rsidRDefault="00511C0B" w:rsidP="00511C0B">
      <w:pPr>
        <w:rPr>
          <w:b/>
          <w:sz w:val="28"/>
          <w:lang w:val="nb-NO"/>
        </w:rPr>
      </w:pPr>
      <w:r w:rsidRPr="00DD7E0E">
        <w:rPr>
          <w:b/>
          <w:sz w:val="28"/>
          <w:lang w:val="nb-NO"/>
        </w:rPr>
        <w:t xml:space="preserve">                                                           </w:t>
      </w:r>
      <w:r w:rsidR="005F0C1E">
        <w:rPr>
          <w:b/>
          <w:sz w:val="28"/>
          <w:lang w:val="nb-NO"/>
        </w:rPr>
        <w:t xml:space="preserve">                               </w:t>
      </w:r>
      <w:r w:rsidR="00452B27">
        <w:rPr>
          <w:b/>
          <w:sz w:val="28"/>
          <w:lang w:val="nb-NO"/>
        </w:rPr>
        <w:t>2014 03 31</w:t>
      </w:r>
    </w:p>
    <w:p w:rsidR="005F0C1E" w:rsidRPr="005F0C1E" w:rsidRDefault="005F0C1E" w:rsidP="00511C0B"/>
    <w:p w:rsidR="00511C0B" w:rsidRPr="00DD7E0E" w:rsidRDefault="00511C0B" w:rsidP="00511C0B">
      <w:pPr>
        <w:spacing w:line="360" w:lineRule="auto"/>
      </w:pPr>
    </w:p>
    <w:p w:rsidR="00511C0B" w:rsidRPr="00DD7E0E" w:rsidRDefault="00511C0B" w:rsidP="00511C0B">
      <w:pPr>
        <w:spacing w:line="360" w:lineRule="auto"/>
      </w:pPr>
    </w:p>
    <w:p w:rsidR="00511C0B" w:rsidRPr="00DD7E0E" w:rsidRDefault="00511C0B" w:rsidP="00511C0B">
      <w:pPr>
        <w:spacing w:line="360" w:lineRule="auto"/>
      </w:pPr>
    </w:p>
    <w:p w:rsidR="00511C0B" w:rsidRPr="00DD7E0E" w:rsidRDefault="00511C0B" w:rsidP="00511C0B">
      <w:pPr>
        <w:spacing w:line="360" w:lineRule="auto"/>
      </w:pPr>
    </w:p>
    <w:p w:rsidR="00511C0B" w:rsidRPr="00DD7E0E" w:rsidRDefault="00511C0B" w:rsidP="00511C0B">
      <w:pPr>
        <w:spacing w:line="360" w:lineRule="auto"/>
      </w:pPr>
    </w:p>
    <w:p w:rsidR="00511C0B" w:rsidRPr="00DD7E0E" w:rsidRDefault="00511C0B" w:rsidP="00511C0B">
      <w:pPr>
        <w:spacing w:line="360" w:lineRule="auto"/>
      </w:pPr>
    </w:p>
    <w:p w:rsidR="00511C0B" w:rsidRPr="00DD7E0E" w:rsidRDefault="00511C0B" w:rsidP="00511C0B">
      <w:pPr>
        <w:jc w:val="center"/>
        <w:rPr>
          <w:b/>
          <w:sz w:val="28"/>
          <w:szCs w:val="28"/>
          <w:lang w:val="nb-NO"/>
        </w:rPr>
      </w:pPr>
      <w:r w:rsidRPr="00DD7E0E">
        <w:rPr>
          <w:b/>
          <w:sz w:val="28"/>
          <w:szCs w:val="28"/>
        </w:rPr>
        <w:t>VILNIUS, 201</w:t>
      </w:r>
      <w:r w:rsidR="00AD5B57">
        <w:rPr>
          <w:b/>
          <w:sz w:val="28"/>
          <w:szCs w:val="28"/>
          <w:lang w:val="nb-NO"/>
        </w:rPr>
        <w:t>4</w:t>
      </w:r>
    </w:p>
    <w:p w:rsidR="0043190A" w:rsidRPr="00DD7E0E" w:rsidRDefault="00511C0B" w:rsidP="00F955C7">
      <w:pPr>
        <w:tabs>
          <w:tab w:val="left" w:pos="10205"/>
        </w:tabs>
        <w:spacing w:line="360" w:lineRule="auto"/>
        <w:jc w:val="center"/>
        <w:rPr>
          <w:b/>
          <w:sz w:val="32"/>
          <w:szCs w:val="32"/>
        </w:rPr>
      </w:pPr>
      <w:r w:rsidRPr="00DD7E0E">
        <w:rPr>
          <w:b/>
          <w:sz w:val="32"/>
          <w:szCs w:val="32"/>
        </w:rPr>
        <w:br w:type="column"/>
      </w:r>
      <w:r w:rsidR="00375D77" w:rsidRPr="00DD7E0E">
        <w:rPr>
          <w:b/>
          <w:sz w:val="32"/>
          <w:szCs w:val="32"/>
        </w:rPr>
        <w:t>TURINYS</w:t>
      </w:r>
    </w:p>
    <w:p w:rsidR="0043190A" w:rsidRPr="004F4092" w:rsidRDefault="00E263D0" w:rsidP="00000C2F">
      <w:pPr>
        <w:pStyle w:val="TOC1"/>
        <w:rPr>
          <w:rStyle w:val="Hyperlink"/>
          <w:color w:val="auto"/>
          <w:u w:val="none"/>
        </w:rPr>
      </w:pPr>
      <w:r w:rsidRPr="00E263D0">
        <w:fldChar w:fldCharType="begin"/>
      </w:r>
      <w:r w:rsidR="00375D77" w:rsidRPr="00DD7E0E">
        <w:instrText xml:space="preserve"> TOC \o "1-3" \h \z \u </w:instrText>
      </w:r>
      <w:r w:rsidRPr="00E263D0">
        <w:fldChar w:fldCharType="separate"/>
      </w:r>
    </w:p>
    <w:p w:rsidR="00375D77" w:rsidRPr="004F4092" w:rsidRDefault="0043190A" w:rsidP="00000C2F">
      <w:pPr>
        <w:pStyle w:val="TOC1"/>
      </w:pPr>
      <w:r w:rsidRPr="004F4092">
        <w:rPr>
          <w:rStyle w:val="Hyperlink"/>
          <w:color w:val="auto"/>
          <w:u w:val="none"/>
        </w:rPr>
        <w:t>ĮVADAS</w:t>
      </w:r>
      <w:r w:rsidR="00375D77" w:rsidRPr="004F4092">
        <w:rPr>
          <w:rStyle w:val="Hyperlink"/>
          <w:color w:val="auto"/>
          <w:u w:val="none"/>
        </w:rPr>
        <w:t>………………………………………………………………..</w:t>
      </w:r>
      <w:r w:rsidR="00511C0B" w:rsidRPr="004F4092">
        <w:rPr>
          <w:rStyle w:val="Hyperlink"/>
          <w:color w:val="auto"/>
          <w:u w:val="none"/>
        </w:rPr>
        <w:t>………………………………</w:t>
      </w:r>
      <w:r w:rsidR="00126F4B">
        <w:rPr>
          <w:rStyle w:val="Hyperlink"/>
          <w:color w:val="auto"/>
          <w:u w:val="none"/>
        </w:rPr>
        <w:t>8</w:t>
      </w:r>
      <w:r w:rsidR="00126F4B">
        <w:rPr>
          <w:rStyle w:val="Hyperlink"/>
          <w:color w:val="auto"/>
          <w:u w:val="none"/>
        </w:rPr>
        <w:tab/>
      </w:r>
    </w:p>
    <w:p w:rsidR="00375D77" w:rsidRPr="004F4092" w:rsidRDefault="00E263D0" w:rsidP="00000C2F">
      <w:pPr>
        <w:pStyle w:val="TOC1"/>
      </w:pPr>
      <w:hyperlink w:anchor="_Toc292870183" w:history="1">
        <w:r w:rsidR="00375D77" w:rsidRPr="004F4092">
          <w:rPr>
            <w:rStyle w:val="Hyperlink"/>
            <w:color w:val="auto"/>
          </w:rPr>
          <w:t xml:space="preserve">1. </w:t>
        </w:r>
        <w:r w:rsidR="00FC4D2F" w:rsidRPr="004F4092">
          <w:rPr>
            <w:rStyle w:val="Hyperlink"/>
            <w:color w:val="auto"/>
          </w:rPr>
          <w:t>Intelektinio kapitalo</w:t>
        </w:r>
        <w:r w:rsidR="00375D77" w:rsidRPr="004F4092">
          <w:rPr>
            <w:rStyle w:val="Hyperlink"/>
            <w:color w:val="auto"/>
          </w:rPr>
          <w:t xml:space="preserve"> SUBJEKTO TEORIJA</w:t>
        </w:r>
      </w:hyperlink>
      <w:r w:rsidR="00511C0B" w:rsidRPr="004F4092">
        <w:rPr>
          <w:rStyle w:val="Hyperlink"/>
          <w:color w:val="auto"/>
          <w:u w:val="none"/>
        </w:rPr>
        <w:t>......………………………………</w:t>
      </w:r>
      <w:r w:rsidR="00126F4B">
        <w:rPr>
          <w:rStyle w:val="Hyperlink"/>
          <w:color w:val="auto"/>
          <w:u w:val="none"/>
        </w:rPr>
        <w:t>……11</w:t>
      </w:r>
      <w:r w:rsidR="00126F4B">
        <w:rPr>
          <w:rStyle w:val="Hyperlink"/>
          <w:color w:val="auto"/>
          <w:u w:val="none"/>
        </w:rPr>
        <w:tab/>
      </w:r>
    </w:p>
    <w:p w:rsidR="00375D77" w:rsidRPr="004F4092" w:rsidRDefault="00E263D0" w:rsidP="003413E9">
      <w:pPr>
        <w:pStyle w:val="TOC2"/>
        <w:rPr>
          <w:rStyle w:val="Hyperlink"/>
          <w:color w:val="auto"/>
        </w:rPr>
      </w:pPr>
      <w:hyperlink w:anchor="_Toc292870184" w:history="1">
        <w:r w:rsidR="00375D77" w:rsidRPr="004F4092">
          <w:rPr>
            <w:rStyle w:val="Hyperlink"/>
            <w:color w:val="auto"/>
          </w:rPr>
          <w:t>1.1. In</w:t>
        </w:r>
        <w:r w:rsidR="00FC4D2F" w:rsidRPr="004F4092">
          <w:rPr>
            <w:rStyle w:val="Hyperlink"/>
            <w:color w:val="auto"/>
          </w:rPr>
          <w:t>telektinio kapitalo subjekto koncepcija</w:t>
        </w:r>
        <w:r w:rsidR="00511C0B" w:rsidRPr="004F4092">
          <w:rPr>
            <w:rStyle w:val="Hyperlink"/>
            <w:color w:val="auto"/>
          </w:rPr>
          <w:t>………………………………………………</w:t>
        </w:r>
        <w:r w:rsidR="00126F4B">
          <w:rPr>
            <w:rStyle w:val="Hyperlink"/>
            <w:color w:val="auto"/>
          </w:rPr>
          <w:t>..11</w:t>
        </w:r>
        <w:r w:rsidR="00375D77" w:rsidRPr="004F4092">
          <w:rPr>
            <w:webHidden/>
          </w:rPr>
          <w:tab/>
        </w:r>
      </w:hyperlink>
    </w:p>
    <w:p w:rsidR="00375D77" w:rsidRPr="004F4092" w:rsidRDefault="00E263D0" w:rsidP="003413E9">
      <w:pPr>
        <w:pStyle w:val="TOC2"/>
      </w:pPr>
      <w:hyperlink w:anchor="_Toc292870184" w:history="1">
        <w:r w:rsidR="009C65C2" w:rsidRPr="004F4092">
          <w:rPr>
            <w:rStyle w:val="Hyperlink"/>
            <w:i/>
            <w:smallCaps w:val="0"/>
            <w:color w:val="auto"/>
          </w:rPr>
          <w:t>1.1.1. Intelektinio kapitalo</w:t>
        </w:r>
        <w:r w:rsidR="00204979" w:rsidRPr="004F4092">
          <w:rPr>
            <w:rStyle w:val="Hyperlink"/>
            <w:i/>
            <w:smallCaps w:val="0"/>
            <w:color w:val="auto"/>
          </w:rPr>
          <w:t xml:space="preserve"> samprata</w:t>
        </w:r>
        <w:r w:rsidR="009C65C2" w:rsidRPr="004F4092">
          <w:rPr>
            <w:rStyle w:val="Hyperlink"/>
            <w:smallCaps w:val="0"/>
            <w:color w:val="auto"/>
          </w:rPr>
          <w:t>…</w:t>
        </w:r>
        <w:r w:rsidR="00204979" w:rsidRPr="004F4092">
          <w:rPr>
            <w:rStyle w:val="Hyperlink"/>
            <w:smallCaps w:val="0"/>
            <w:color w:val="auto"/>
          </w:rPr>
          <w:t>………………………………………</w:t>
        </w:r>
        <w:r w:rsidR="009C65C2" w:rsidRPr="004F4092">
          <w:rPr>
            <w:rStyle w:val="Hyperlink"/>
            <w:smallCaps w:val="0"/>
            <w:color w:val="auto"/>
          </w:rPr>
          <w:t>……………</w:t>
        </w:r>
        <w:r w:rsidR="00511C0B" w:rsidRPr="004F4092">
          <w:rPr>
            <w:rStyle w:val="Hyperlink"/>
            <w:smallCaps w:val="0"/>
            <w:color w:val="auto"/>
          </w:rPr>
          <w:t>……</w:t>
        </w:r>
        <w:r w:rsidR="00126F4B">
          <w:rPr>
            <w:rStyle w:val="Hyperlink"/>
            <w:smallCaps w:val="0"/>
            <w:color w:val="auto"/>
          </w:rPr>
          <w:t>…..11</w:t>
        </w:r>
        <w:r w:rsidR="00375D77" w:rsidRPr="004F4092">
          <w:rPr>
            <w:webHidden/>
          </w:rPr>
          <w:tab/>
        </w:r>
      </w:hyperlink>
    </w:p>
    <w:p w:rsidR="00375D77" w:rsidRPr="004F4092" w:rsidRDefault="00E263D0" w:rsidP="003413E9">
      <w:pPr>
        <w:pStyle w:val="TOC2"/>
      </w:pPr>
      <w:hyperlink w:anchor="_Toc292870184" w:history="1">
        <w:r w:rsidR="00375D77" w:rsidRPr="004F4092">
          <w:rPr>
            <w:rStyle w:val="Hyperlink"/>
            <w:i/>
            <w:smallCaps w:val="0"/>
            <w:color w:val="auto"/>
          </w:rPr>
          <w:t>1.1.2. In</w:t>
        </w:r>
        <w:r w:rsidR="00204979" w:rsidRPr="004F4092">
          <w:rPr>
            <w:rStyle w:val="Hyperlink"/>
            <w:i/>
            <w:smallCaps w:val="0"/>
            <w:color w:val="auto"/>
          </w:rPr>
          <w:t>telektinio kapitalo struktūra</w:t>
        </w:r>
        <w:r w:rsidR="00375D77" w:rsidRPr="004F4092">
          <w:rPr>
            <w:rStyle w:val="Hyperlink"/>
            <w:smallCaps w:val="0"/>
            <w:color w:val="auto"/>
          </w:rPr>
          <w:t>……………………………………………………………...</w:t>
        </w:r>
        <w:r w:rsidR="00126F4B">
          <w:rPr>
            <w:rStyle w:val="Hyperlink"/>
            <w:smallCaps w:val="0"/>
            <w:color w:val="auto"/>
          </w:rPr>
          <w:t>....13</w:t>
        </w:r>
        <w:r w:rsidR="00375D77" w:rsidRPr="004F4092">
          <w:rPr>
            <w:webHidden/>
          </w:rPr>
          <w:tab/>
        </w:r>
      </w:hyperlink>
    </w:p>
    <w:p w:rsidR="00375D77" w:rsidRPr="004F4092" w:rsidRDefault="00E263D0" w:rsidP="003413E9">
      <w:pPr>
        <w:pStyle w:val="TOC2"/>
      </w:pPr>
      <w:hyperlink w:anchor="_Toc292870184" w:history="1">
        <w:r w:rsidR="00204979" w:rsidRPr="004F4092">
          <w:rPr>
            <w:rStyle w:val="Hyperlink"/>
            <w:i/>
            <w:smallCaps w:val="0"/>
            <w:color w:val="auto"/>
          </w:rPr>
          <w:t xml:space="preserve">1.1.3. Inelektinio kapitalo </w:t>
        </w:r>
        <w:r w:rsidR="00AA4D1D" w:rsidRPr="004F4092">
          <w:rPr>
            <w:rStyle w:val="Hyperlink"/>
            <w:i/>
            <w:smallCaps w:val="0"/>
            <w:color w:val="auto"/>
          </w:rPr>
          <w:t>matavimo rodikliai ir vertinimo</w:t>
        </w:r>
        <w:r w:rsidR="00204979" w:rsidRPr="004F4092">
          <w:rPr>
            <w:rStyle w:val="Hyperlink"/>
            <w:i/>
            <w:smallCaps w:val="0"/>
            <w:color w:val="auto"/>
          </w:rPr>
          <w:t xml:space="preserve"> metodai</w:t>
        </w:r>
        <w:r w:rsidR="00511C0B" w:rsidRPr="004F4092">
          <w:rPr>
            <w:rStyle w:val="Hyperlink"/>
            <w:smallCaps w:val="0"/>
            <w:color w:val="auto"/>
          </w:rPr>
          <w:t>………………</w:t>
        </w:r>
        <w:r w:rsidR="00AA4D1D" w:rsidRPr="004F4092">
          <w:rPr>
            <w:rStyle w:val="Hyperlink"/>
            <w:smallCaps w:val="0"/>
            <w:color w:val="auto"/>
          </w:rPr>
          <w:t>……………</w:t>
        </w:r>
        <w:r w:rsidR="00126F4B">
          <w:rPr>
            <w:rStyle w:val="Hyperlink"/>
            <w:smallCaps w:val="0"/>
            <w:color w:val="auto"/>
          </w:rPr>
          <w:t>…..18</w:t>
        </w:r>
        <w:r w:rsidR="00375D77" w:rsidRPr="004F4092">
          <w:rPr>
            <w:webHidden/>
          </w:rPr>
          <w:tab/>
        </w:r>
      </w:hyperlink>
    </w:p>
    <w:p w:rsidR="00375D77" w:rsidRPr="004F4092" w:rsidRDefault="00E263D0" w:rsidP="003413E9">
      <w:pPr>
        <w:pStyle w:val="TOC2"/>
        <w:rPr>
          <w:rStyle w:val="Hyperlink"/>
          <w:color w:val="auto"/>
        </w:rPr>
      </w:pPr>
      <w:hyperlink w:anchor="_Toc292870185" w:history="1">
        <w:r w:rsidR="00204979" w:rsidRPr="004F4092">
          <w:rPr>
            <w:rStyle w:val="Hyperlink"/>
            <w:color w:val="auto"/>
          </w:rPr>
          <w:t>1.2. Intelektinio kapitalo valdymo ypatumai</w:t>
        </w:r>
        <w:r w:rsidR="002279EF" w:rsidRPr="004F4092">
          <w:rPr>
            <w:rStyle w:val="Hyperlink"/>
            <w:color w:val="auto"/>
          </w:rPr>
          <w:t xml:space="preserve"> bei svarba šiuolaikinėje organizacijoje</w:t>
        </w:r>
        <w:r w:rsidR="00126F4B">
          <w:rPr>
            <w:rStyle w:val="Hyperlink"/>
            <w:color w:val="auto"/>
          </w:rPr>
          <w:t>…..25</w:t>
        </w:r>
        <w:r w:rsidR="00375D77" w:rsidRPr="004F4092">
          <w:rPr>
            <w:webHidden/>
          </w:rPr>
          <w:tab/>
        </w:r>
      </w:hyperlink>
    </w:p>
    <w:p w:rsidR="00375D77" w:rsidRPr="004F4092" w:rsidRDefault="00E263D0" w:rsidP="00000C2F">
      <w:pPr>
        <w:pStyle w:val="TOC1"/>
      </w:pPr>
      <w:hyperlink w:anchor="_Toc292870186" w:history="1">
        <w:r w:rsidR="00375D77" w:rsidRPr="004F4092">
          <w:rPr>
            <w:rStyle w:val="Hyperlink"/>
            <w:color w:val="auto"/>
          </w:rPr>
          <w:t xml:space="preserve">2. </w:t>
        </w:r>
        <w:r w:rsidR="0043190A" w:rsidRPr="004F4092">
          <w:rPr>
            <w:rStyle w:val="Hyperlink"/>
            <w:color w:val="auto"/>
            <w:lang w:val="lt-LT"/>
          </w:rPr>
          <w:t>intelektinio kapitalo</w:t>
        </w:r>
        <w:r w:rsidR="00D970E4" w:rsidRPr="004F4092">
          <w:rPr>
            <w:rStyle w:val="Hyperlink"/>
            <w:color w:val="auto"/>
          </w:rPr>
          <w:t xml:space="preserve"> vertinimo </w:t>
        </w:r>
        <w:r w:rsidR="00375D77" w:rsidRPr="004F4092">
          <w:rPr>
            <w:rStyle w:val="Hyperlink"/>
            <w:color w:val="auto"/>
          </w:rPr>
          <w:t>metodologija</w:t>
        </w:r>
      </w:hyperlink>
      <w:r w:rsidR="00C92F21" w:rsidRPr="004F4092">
        <w:rPr>
          <w:rStyle w:val="Hyperlink"/>
          <w:color w:val="auto"/>
          <w:u w:val="none"/>
        </w:rPr>
        <w:t>……</w:t>
      </w:r>
      <w:r w:rsidR="00F955C7" w:rsidRPr="004F4092">
        <w:rPr>
          <w:rStyle w:val="Hyperlink"/>
          <w:color w:val="auto"/>
          <w:u w:val="none"/>
        </w:rPr>
        <w:t>…………………</w:t>
      </w:r>
      <w:r w:rsidR="00126F4B">
        <w:rPr>
          <w:rStyle w:val="Hyperlink"/>
          <w:color w:val="auto"/>
          <w:u w:val="none"/>
        </w:rPr>
        <w:t>…….29</w:t>
      </w:r>
      <w:r w:rsidR="00126F4B">
        <w:rPr>
          <w:rStyle w:val="Hyperlink"/>
          <w:color w:val="auto"/>
          <w:u w:val="none"/>
        </w:rPr>
        <w:tab/>
      </w:r>
    </w:p>
    <w:p w:rsidR="00375D77" w:rsidRPr="004F4092" w:rsidRDefault="00E263D0" w:rsidP="003413E9">
      <w:pPr>
        <w:pStyle w:val="TOC2"/>
        <w:rPr>
          <w:rStyle w:val="Hyperlink"/>
          <w:color w:val="auto"/>
        </w:rPr>
      </w:pPr>
      <w:hyperlink w:anchor="_Toc292870187" w:history="1">
        <w:r w:rsidR="00375D77" w:rsidRPr="004F4092">
          <w:rPr>
            <w:rStyle w:val="Hyperlink"/>
            <w:color w:val="auto"/>
          </w:rPr>
          <w:t xml:space="preserve">2.1. </w:t>
        </w:r>
        <w:r w:rsidR="002279EF" w:rsidRPr="004F4092">
          <w:rPr>
            <w:rStyle w:val="Hyperlink"/>
            <w:color w:val="auto"/>
          </w:rPr>
          <w:t xml:space="preserve">Inelektinio kapitalo </w:t>
        </w:r>
        <w:r w:rsidR="00C92F21" w:rsidRPr="004F4092">
          <w:rPr>
            <w:rStyle w:val="Hyperlink"/>
            <w:color w:val="auto"/>
          </w:rPr>
          <w:t>v</w:t>
        </w:r>
        <w:r w:rsidR="00375D77" w:rsidRPr="004F4092">
          <w:rPr>
            <w:rStyle w:val="Hyperlink"/>
            <w:color w:val="auto"/>
          </w:rPr>
          <w:t>e</w:t>
        </w:r>
        <w:r w:rsidR="002279EF" w:rsidRPr="004F4092">
          <w:rPr>
            <w:rStyle w:val="Hyperlink"/>
            <w:color w:val="auto"/>
          </w:rPr>
          <w:t>rtinimo</w:t>
        </w:r>
        <w:r w:rsidR="00C92F21" w:rsidRPr="004F4092">
          <w:rPr>
            <w:rStyle w:val="Hyperlink"/>
            <w:color w:val="auto"/>
          </w:rPr>
          <w:t xml:space="preserve"> būtinumas</w:t>
        </w:r>
        <w:r w:rsidR="002279EF" w:rsidRPr="004F4092">
          <w:rPr>
            <w:rStyle w:val="Hyperlink"/>
            <w:color w:val="auto"/>
          </w:rPr>
          <w:t xml:space="preserve"> ir procesas….</w:t>
        </w:r>
        <w:r w:rsidR="00C92F21" w:rsidRPr="004F4092">
          <w:rPr>
            <w:rStyle w:val="Hyperlink"/>
            <w:color w:val="auto"/>
          </w:rPr>
          <w:t>........</w:t>
        </w:r>
        <w:r w:rsidR="00375D77" w:rsidRPr="004F4092">
          <w:rPr>
            <w:rStyle w:val="Hyperlink"/>
            <w:color w:val="auto"/>
          </w:rPr>
          <w:t>.............</w:t>
        </w:r>
        <w:r w:rsidR="00C92F21" w:rsidRPr="004F4092">
          <w:rPr>
            <w:rStyle w:val="Hyperlink"/>
            <w:color w:val="auto"/>
          </w:rPr>
          <w:t>................</w:t>
        </w:r>
        <w:r w:rsidR="00126F4B">
          <w:rPr>
            <w:rStyle w:val="Hyperlink"/>
            <w:color w:val="auto"/>
          </w:rPr>
          <w:t>............29</w:t>
        </w:r>
        <w:r w:rsidR="00375D77" w:rsidRPr="004F4092">
          <w:rPr>
            <w:webHidden/>
          </w:rPr>
          <w:tab/>
        </w:r>
      </w:hyperlink>
    </w:p>
    <w:p w:rsidR="00C92F21" w:rsidRPr="004F4092" w:rsidRDefault="00E263D0" w:rsidP="003413E9">
      <w:pPr>
        <w:pStyle w:val="TOC2"/>
      </w:pPr>
      <w:hyperlink w:anchor="_Toc292870187" w:history="1">
        <w:r w:rsidR="003413E9" w:rsidRPr="004F4092">
          <w:rPr>
            <w:rStyle w:val="Hyperlink"/>
            <w:color w:val="auto"/>
          </w:rPr>
          <w:t>2.2. Įmonių i</w:t>
        </w:r>
        <w:r w:rsidR="00C92F21" w:rsidRPr="004F4092">
          <w:rPr>
            <w:rStyle w:val="Hyperlink"/>
            <w:color w:val="auto"/>
          </w:rPr>
          <w:t>nelektinio k</w:t>
        </w:r>
        <w:r w:rsidR="002279EF" w:rsidRPr="004F4092">
          <w:rPr>
            <w:rStyle w:val="Hyperlink"/>
            <w:color w:val="auto"/>
          </w:rPr>
          <w:t>apitalo vertinimo metodika ir j</w:t>
        </w:r>
        <w:r w:rsidR="003413E9" w:rsidRPr="004F4092">
          <w:rPr>
            <w:rStyle w:val="Hyperlink"/>
            <w:color w:val="auto"/>
          </w:rPr>
          <w:t>os pagrįstumas..</w:t>
        </w:r>
        <w:r w:rsidR="00C92F21" w:rsidRPr="004F4092">
          <w:rPr>
            <w:rStyle w:val="Hyperlink"/>
            <w:color w:val="auto"/>
          </w:rPr>
          <w:t>....</w:t>
        </w:r>
        <w:r w:rsidR="00126F4B">
          <w:rPr>
            <w:rStyle w:val="Hyperlink"/>
            <w:color w:val="auto"/>
          </w:rPr>
          <w:t>.........................32</w:t>
        </w:r>
        <w:r w:rsidR="00C92F21" w:rsidRPr="004F4092">
          <w:rPr>
            <w:webHidden/>
          </w:rPr>
          <w:tab/>
        </w:r>
      </w:hyperlink>
    </w:p>
    <w:p w:rsidR="00375D77" w:rsidRPr="004F4092" w:rsidRDefault="00E263D0" w:rsidP="003413E9">
      <w:pPr>
        <w:pStyle w:val="TOC2"/>
      </w:pPr>
      <w:hyperlink w:anchor="_Toc292870188" w:history="1">
        <w:r w:rsidR="00C92F21" w:rsidRPr="004F4092">
          <w:rPr>
            <w:rStyle w:val="Hyperlink"/>
            <w:color w:val="auto"/>
          </w:rPr>
          <w:t>2.3</w:t>
        </w:r>
        <w:r w:rsidR="00375D77" w:rsidRPr="004F4092">
          <w:rPr>
            <w:rStyle w:val="Hyperlink"/>
            <w:color w:val="auto"/>
          </w:rPr>
          <w:t>. V</w:t>
        </w:r>
        <w:r w:rsidR="003D225B">
          <w:rPr>
            <w:rStyle w:val="Hyperlink"/>
            <w:color w:val="auto"/>
          </w:rPr>
          <w:t>ertinamų</w:t>
        </w:r>
        <w:r w:rsidR="002279EF" w:rsidRPr="004F4092">
          <w:rPr>
            <w:rStyle w:val="Hyperlink"/>
            <w:color w:val="auto"/>
          </w:rPr>
          <w:t xml:space="preserve"> įmonių atranka ir charakteristikos</w:t>
        </w:r>
        <w:r w:rsidR="003D225B">
          <w:rPr>
            <w:rStyle w:val="Hyperlink"/>
            <w:color w:val="auto"/>
          </w:rPr>
          <w:t>…..</w:t>
        </w:r>
        <w:r w:rsidR="003413E9" w:rsidRPr="004F4092">
          <w:rPr>
            <w:rStyle w:val="Hyperlink"/>
            <w:color w:val="auto"/>
          </w:rPr>
          <w:t>……………………………….</w:t>
        </w:r>
        <w:r w:rsidR="002279EF" w:rsidRPr="004F4092">
          <w:rPr>
            <w:rStyle w:val="Hyperlink"/>
            <w:color w:val="auto"/>
          </w:rPr>
          <w:t>......</w:t>
        </w:r>
        <w:r w:rsidR="00126F4B">
          <w:rPr>
            <w:rStyle w:val="Hyperlink"/>
            <w:color w:val="auto"/>
          </w:rPr>
          <w:t>...</w:t>
        </w:r>
        <w:r w:rsidR="00375D77" w:rsidRPr="004F4092">
          <w:rPr>
            <w:rStyle w:val="Hyperlink"/>
            <w:color w:val="auto"/>
          </w:rPr>
          <w:t>.</w:t>
        </w:r>
        <w:r w:rsidR="00126F4B">
          <w:rPr>
            <w:rStyle w:val="Hyperlink"/>
            <w:color w:val="auto"/>
          </w:rPr>
          <w:t>40</w:t>
        </w:r>
        <w:r w:rsidR="00375D77" w:rsidRPr="004F4092">
          <w:rPr>
            <w:webHidden/>
          </w:rPr>
          <w:tab/>
        </w:r>
      </w:hyperlink>
    </w:p>
    <w:p w:rsidR="00375D77" w:rsidRPr="004F4092" w:rsidRDefault="00E263D0" w:rsidP="00000C2F">
      <w:pPr>
        <w:pStyle w:val="TOC1"/>
      </w:pPr>
      <w:hyperlink w:anchor="_Toc292870189" w:history="1">
        <w:r w:rsidR="00000C2F" w:rsidRPr="004F4092">
          <w:rPr>
            <w:rStyle w:val="Hyperlink"/>
            <w:color w:val="auto"/>
          </w:rPr>
          <w:t>3. BIRŽOJE LISTINGUOJAMŲ ĮMONIŲ</w:t>
        </w:r>
        <w:r w:rsidR="00F955C7" w:rsidRPr="004F4092">
          <w:rPr>
            <w:rStyle w:val="Hyperlink"/>
            <w:color w:val="auto"/>
          </w:rPr>
          <w:t xml:space="preserve"> INTELEKTINIO KAPITALO</w:t>
        </w:r>
        <w:r w:rsidR="004F4092">
          <w:rPr>
            <w:rStyle w:val="Hyperlink"/>
            <w:color w:val="auto"/>
          </w:rPr>
          <w:t xml:space="preserve"> VERTINIMo tyrimas………………………………………………………………………………………..</w:t>
        </w:r>
        <w:r w:rsidR="00126F4B">
          <w:rPr>
            <w:rStyle w:val="Hyperlink"/>
            <w:color w:val="auto"/>
          </w:rPr>
          <w:t>…</w:t>
        </w:r>
        <w:r w:rsidR="00375D77" w:rsidRPr="004F4092">
          <w:rPr>
            <w:webHidden/>
          </w:rPr>
          <w:t>…</w:t>
        </w:r>
      </w:hyperlink>
      <w:r w:rsidR="00126F4B">
        <w:t>45</w:t>
      </w:r>
      <w:r w:rsidR="00126F4B">
        <w:tab/>
      </w:r>
    </w:p>
    <w:p w:rsidR="00000C2F" w:rsidRPr="004F4092" w:rsidRDefault="00E263D0" w:rsidP="003413E9">
      <w:pPr>
        <w:pStyle w:val="TOC2"/>
      </w:pPr>
      <w:hyperlink w:anchor="_Toc292870190" w:history="1">
        <w:r w:rsidR="00000C2F" w:rsidRPr="004F4092">
          <w:rPr>
            <w:rStyle w:val="Hyperlink"/>
            <w:color w:val="auto"/>
          </w:rPr>
          <w:t>3.1. Listinguojamų įmonių intelektinio kap</w:t>
        </w:r>
        <w:r w:rsidR="00D448CB" w:rsidRPr="004F4092">
          <w:rPr>
            <w:rStyle w:val="Hyperlink"/>
            <w:color w:val="auto"/>
          </w:rPr>
          <w:t>italo</w:t>
        </w:r>
        <w:r w:rsidR="00000C2F" w:rsidRPr="004F4092">
          <w:rPr>
            <w:rStyle w:val="Hyperlink"/>
            <w:color w:val="auto"/>
          </w:rPr>
          <w:t xml:space="preserve"> lygis </w:t>
        </w:r>
        <w:r w:rsidR="00D448CB" w:rsidRPr="004F4092">
          <w:rPr>
            <w:rStyle w:val="Hyperlink"/>
            <w:color w:val="auto"/>
          </w:rPr>
          <w:t>2009 - 2012</w:t>
        </w:r>
        <w:r w:rsidR="00000C2F" w:rsidRPr="004F4092">
          <w:rPr>
            <w:rStyle w:val="Hyperlink"/>
            <w:color w:val="auto"/>
          </w:rPr>
          <w:t xml:space="preserve"> metais</w:t>
        </w:r>
        <w:r w:rsidR="00126F4B">
          <w:rPr>
            <w:rStyle w:val="Hyperlink"/>
            <w:color w:val="auto"/>
          </w:rPr>
          <w:t>…………………</w:t>
        </w:r>
        <w:r w:rsidR="004F4092">
          <w:rPr>
            <w:rStyle w:val="Hyperlink"/>
            <w:color w:val="auto"/>
          </w:rPr>
          <w:t>.</w:t>
        </w:r>
        <w:r w:rsidR="00126F4B">
          <w:rPr>
            <w:rStyle w:val="Hyperlink"/>
            <w:color w:val="auto"/>
          </w:rPr>
          <w:t>.45</w:t>
        </w:r>
        <w:r w:rsidR="00000C2F" w:rsidRPr="004F4092">
          <w:rPr>
            <w:webHidden/>
          </w:rPr>
          <w:tab/>
        </w:r>
      </w:hyperlink>
    </w:p>
    <w:p w:rsidR="00000C2F" w:rsidRPr="004F4092" w:rsidRDefault="00E263D0" w:rsidP="003413E9">
      <w:pPr>
        <w:pStyle w:val="TOC2"/>
      </w:pPr>
      <w:hyperlink w:anchor="_Toc292870191" w:history="1">
        <w:r w:rsidR="00000C2F" w:rsidRPr="004F4092">
          <w:rPr>
            <w:rStyle w:val="Hyperlink"/>
            <w:color w:val="auto"/>
          </w:rPr>
          <w:t xml:space="preserve">3.2. Įmonių intelektinio kapitalo </w:t>
        </w:r>
        <w:r w:rsidR="00B71046" w:rsidRPr="004F4092">
          <w:rPr>
            <w:rStyle w:val="Hyperlink"/>
            <w:color w:val="auto"/>
          </w:rPr>
          <w:t>lygio</w:t>
        </w:r>
        <w:r w:rsidR="00697F4F" w:rsidRPr="004F4092">
          <w:rPr>
            <w:rStyle w:val="Hyperlink"/>
            <w:color w:val="auto"/>
          </w:rPr>
          <w:t xml:space="preserve"> ir finansinių rodiklių ryšio analizė…</w:t>
        </w:r>
        <w:r w:rsidR="00126F4B">
          <w:rPr>
            <w:rStyle w:val="Hyperlink"/>
            <w:color w:val="auto"/>
          </w:rPr>
          <w:t>…………</w:t>
        </w:r>
        <w:r w:rsidR="00D448CB" w:rsidRPr="004F4092">
          <w:rPr>
            <w:rStyle w:val="Hyperlink"/>
            <w:color w:val="auto"/>
          </w:rPr>
          <w:t>…</w:t>
        </w:r>
        <w:r w:rsidR="00126F4B">
          <w:rPr>
            <w:rStyle w:val="Hyperlink"/>
            <w:color w:val="auto"/>
          </w:rPr>
          <w:t>52</w:t>
        </w:r>
        <w:r w:rsidR="00000C2F" w:rsidRPr="004F4092">
          <w:rPr>
            <w:webHidden/>
          </w:rPr>
          <w:tab/>
        </w:r>
      </w:hyperlink>
    </w:p>
    <w:p w:rsidR="00126F4B" w:rsidRDefault="00E263D0" w:rsidP="00126F4B">
      <w:pPr>
        <w:tabs>
          <w:tab w:val="left" w:pos="9639"/>
        </w:tabs>
        <w:spacing w:line="360" w:lineRule="auto"/>
        <w:ind w:firstLine="238"/>
      </w:pPr>
      <w:hyperlink w:anchor="_Toc292870192" w:history="1">
        <w:r w:rsidR="00000C2F" w:rsidRPr="004F4092">
          <w:rPr>
            <w:rStyle w:val="Hyperlink"/>
            <w:color w:val="auto"/>
          </w:rPr>
          <w:t>3.3</w:t>
        </w:r>
        <w:r w:rsidR="00D448CB" w:rsidRPr="004F4092">
          <w:rPr>
            <w:rStyle w:val="Hyperlink"/>
            <w:color w:val="auto"/>
          </w:rPr>
          <w:t>.</w:t>
        </w:r>
        <w:r w:rsidR="00697F4F" w:rsidRPr="004F4092">
          <w:rPr>
            <w:rStyle w:val="Hyperlink"/>
            <w:color w:val="auto"/>
          </w:rPr>
          <w:t xml:space="preserve"> </w:t>
        </w:r>
        <w:r w:rsidR="00795C6A">
          <w:rPr>
            <w:rStyle w:val="Hyperlink"/>
            <w:color w:val="auto"/>
          </w:rPr>
          <w:t>I</w:t>
        </w:r>
        <w:r w:rsidR="00CD22ED">
          <w:rPr>
            <w:rStyle w:val="Hyperlink"/>
            <w:color w:val="auto"/>
            <w:sz w:val="20"/>
          </w:rPr>
          <w:t>NTELEKTINIO KAPI</w:t>
        </w:r>
        <w:r w:rsidR="00795C6A" w:rsidRPr="00795C6A">
          <w:rPr>
            <w:rStyle w:val="Hyperlink"/>
            <w:color w:val="auto"/>
            <w:sz w:val="20"/>
          </w:rPr>
          <w:t xml:space="preserve">TALO ĮVERTINIMO PALYGINIMAS TARP </w:t>
        </w:r>
        <w:r w:rsidR="00795C6A" w:rsidRPr="00795C6A">
          <w:rPr>
            <w:rStyle w:val="Hyperlink"/>
            <w:color w:val="auto"/>
          </w:rPr>
          <w:t>OMX</w:t>
        </w:r>
        <w:r w:rsidR="00795C6A" w:rsidRPr="00795C6A">
          <w:rPr>
            <w:rStyle w:val="Hyperlink"/>
            <w:color w:val="auto"/>
            <w:sz w:val="20"/>
          </w:rPr>
          <w:t xml:space="preserve"> VILNIUS IR </w:t>
        </w:r>
        <w:r w:rsidR="00795C6A" w:rsidRPr="00795C6A">
          <w:rPr>
            <w:rStyle w:val="Hyperlink"/>
            <w:color w:val="auto"/>
          </w:rPr>
          <w:t>OMX</w:t>
        </w:r>
        <w:r w:rsidR="00795C6A" w:rsidRPr="00795C6A">
          <w:rPr>
            <w:rStyle w:val="Hyperlink"/>
            <w:color w:val="auto"/>
            <w:sz w:val="20"/>
          </w:rPr>
          <w:t xml:space="preserve"> TALINAS ĮMONIŲ</w:t>
        </w:r>
        <w:r w:rsidR="00126F4B">
          <w:rPr>
            <w:rStyle w:val="Hyperlink"/>
            <w:color w:val="auto"/>
          </w:rPr>
          <w:t>..</w:t>
        </w:r>
      </w:hyperlink>
      <w:r w:rsidR="00126F4B" w:rsidRPr="00126F4B">
        <w:rPr>
          <w:b/>
        </w:rPr>
        <w:t xml:space="preserve"> </w:t>
      </w:r>
      <w:r w:rsidR="00126F4B" w:rsidRPr="00126F4B">
        <w:t>....................................</w:t>
      </w:r>
      <w:r w:rsidR="00126F4B">
        <w:t>........................................................................</w:t>
      </w:r>
      <w:r w:rsidR="00126F4B" w:rsidRPr="00126F4B">
        <w:t>.....................................</w:t>
      </w:r>
      <w:r w:rsidR="00126F4B">
        <w:t>55</w:t>
      </w:r>
    </w:p>
    <w:p w:rsidR="00126F4B" w:rsidRPr="00126F4B" w:rsidRDefault="00E263D0" w:rsidP="00375D77">
      <w:pPr>
        <w:tabs>
          <w:tab w:val="left" w:pos="10205"/>
        </w:tabs>
        <w:spacing w:line="360" w:lineRule="auto"/>
        <w:rPr>
          <w:b/>
        </w:rPr>
      </w:pPr>
      <w:r w:rsidRPr="00DD7E0E">
        <w:fldChar w:fldCharType="end"/>
      </w:r>
      <w:r w:rsidR="00126F4B">
        <w:rPr>
          <w:b/>
        </w:rPr>
        <w:t>IŠVADOS IR SIŪLYMAI....................................................................................................................59</w:t>
      </w:r>
      <w:r w:rsidR="00126F4B">
        <w:rPr>
          <w:b/>
        </w:rPr>
        <w:tab/>
      </w:r>
    </w:p>
    <w:p w:rsidR="00126F4B" w:rsidRPr="00126F4B" w:rsidRDefault="00126F4B" w:rsidP="00375D77">
      <w:pPr>
        <w:tabs>
          <w:tab w:val="left" w:pos="10205"/>
        </w:tabs>
        <w:spacing w:line="360" w:lineRule="auto"/>
        <w:rPr>
          <w:b/>
        </w:rPr>
      </w:pPr>
      <w:r>
        <w:rPr>
          <w:b/>
        </w:rPr>
        <w:t>LITERATŪRA......................................................................................................................................61</w:t>
      </w:r>
      <w:r>
        <w:rPr>
          <w:b/>
        </w:rPr>
        <w:tab/>
      </w:r>
    </w:p>
    <w:p w:rsidR="00375D77" w:rsidRPr="00DD7E0E" w:rsidRDefault="00375D77" w:rsidP="00375D77">
      <w:pPr>
        <w:tabs>
          <w:tab w:val="left" w:pos="10205"/>
        </w:tabs>
        <w:spacing w:line="360" w:lineRule="auto"/>
        <w:rPr>
          <w:b/>
        </w:rPr>
      </w:pPr>
      <w:r w:rsidRPr="00DD7E0E">
        <w:rPr>
          <w:b/>
        </w:rPr>
        <w:t>ANOTACIJA LIETUVIŲ IR ANGLŲ KALBOMIS ...............................................</w:t>
      </w:r>
      <w:r w:rsidR="001B0F87">
        <w:rPr>
          <w:b/>
        </w:rPr>
        <w:t>........................6</w:t>
      </w:r>
      <w:r w:rsidR="005B4055">
        <w:rPr>
          <w:b/>
          <w:lang w:val="en-US"/>
        </w:rPr>
        <w:t>8</w:t>
      </w:r>
      <w:r w:rsidR="00126F4B">
        <w:rPr>
          <w:b/>
        </w:rPr>
        <w:tab/>
      </w:r>
    </w:p>
    <w:p w:rsidR="00375D77" w:rsidRPr="00DD7E0E" w:rsidRDefault="00375D77" w:rsidP="00375D77">
      <w:pPr>
        <w:tabs>
          <w:tab w:val="left" w:pos="10205"/>
        </w:tabs>
        <w:spacing w:line="360" w:lineRule="auto"/>
        <w:rPr>
          <w:b/>
        </w:rPr>
      </w:pPr>
      <w:r w:rsidRPr="00DD7E0E">
        <w:rPr>
          <w:b/>
        </w:rPr>
        <w:t>SANTRAUKA LIETUVIŲ KALBA.........................................................................................</w:t>
      </w:r>
      <w:r w:rsidR="00126F4B">
        <w:rPr>
          <w:b/>
        </w:rPr>
        <w:t>...........</w:t>
      </w:r>
      <w:r w:rsidR="005B4055">
        <w:rPr>
          <w:b/>
        </w:rPr>
        <w:t>70</w:t>
      </w:r>
      <w:r w:rsidR="00126F4B">
        <w:rPr>
          <w:b/>
        </w:rPr>
        <w:tab/>
      </w:r>
    </w:p>
    <w:p w:rsidR="00375D77" w:rsidRPr="00DD7E0E" w:rsidRDefault="00375D77" w:rsidP="00375D77">
      <w:pPr>
        <w:tabs>
          <w:tab w:val="left" w:pos="10205"/>
        </w:tabs>
        <w:spacing w:line="360" w:lineRule="auto"/>
        <w:rPr>
          <w:b/>
        </w:rPr>
      </w:pPr>
      <w:r w:rsidRPr="00DD7E0E">
        <w:rPr>
          <w:b/>
        </w:rPr>
        <w:t>SANTRAUKA ANGLŲ KALBA ...............................................................................</w:t>
      </w:r>
      <w:r w:rsidR="005B4055">
        <w:rPr>
          <w:b/>
        </w:rPr>
        <w:t>.........................72</w:t>
      </w:r>
      <w:r w:rsidR="00126F4B">
        <w:rPr>
          <w:b/>
        </w:rPr>
        <w:tab/>
      </w:r>
    </w:p>
    <w:p w:rsidR="00375D77" w:rsidRPr="00DD7E0E" w:rsidRDefault="00375D77" w:rsidP="00375D77">
      <w:pPr>
        <w:tabs>
          <w:tab w:val="left" w:pos="10205"/>
        </w:tabs>
        <w:spacing w:line="360" w:lineRule="auto"/>
        <w:rPr>
          <w:b/>
        </w:rPr>
      </w:pPr>
      <w:r w:rsidRPr="00DD7E0E">
        <w:rPr>
          <w:b/>
        </w:rPr>
        <w:t>PRIEDAI ......................................................................................................................</w:t>
      </w:r>
      <w:r w:rsidR="005B4055">
        <w:rPr>
          <w:b/>
        </w:rPr>
        <w:t>.........................74</w:t>
      </w:r>
      <w:r w:rsidR="00126F4B">
        <w:rPr>
          <w:b/>
        </w:rPr>
        <w:tab/>
      </w:r>
    </w:p>
    <w:p w:rsidR="0071286C" w:rsidRPr="006931AC" w:rsidRDefault="00511C0B" w:rsidP="0071286C">
      <w:pPr>
        <w:jc w:val="center"/>
        <w:rPr>
          <w:b/>
          <w:sz w:val="32"/>
          <w:szCs w:val="32"/>
        </w:rPr>
      </w:pPr>
      <w:r w:rsidRPr="00DD7E0E">
        <w:rPr>
          <w:b/>
        </w:rPr>
        <w:br w:type="column"/>
      </w:r>
      <w:r w:rsidR="0071286C" w:rsidRPr="006931AC">
        <w:rPr>
          <w:b/>
          <w:sz w:val="32"/>
          <w:szCs w:val="32"/>
        </w:rPr>
        <w:t>LENTELĖS</w:t>
      </w:r>
    </w:p>
    <w:p w:rsidR="00380473" w:rsidRDefault="00380473" w:rsidP="00380473">
      <w:pPr>
        <w:spacing w:before="120" w:after="120" w:line="360" w:lineRule="auto"/>
        <w:jc w:val="center"/>
        <w:rPr>
          <w:b/>
        </w:rPr>
      </w:pPr>
    </w:p>
    <w:p w:rsidR="0071286C" w:rsidRPr="008F7127" w:rsidRDefault="0071286C" w:rsidP="0046755C">
      <w:pPr>
        <w:spacing w:line="360" w:lineRule="auto"/>
        <w:jc w:val="both"/>
        <w:rPr>
          <w:lang w:val="en-US"/>
        </w:rPr>
      </w:pPr>
      <w:r>
        <w:t>1 lentelė. Intelektinio kapitalo vertinimo metodų klasifikavimas..........................</w:t>
      </w:r>
      <w:r w:rsidR="008F7127">
        <w:t>................................</w:t>
      </w:r>
      <w:r w:rsidR="008F7127">
        <w:tab/>
      </w:r>
      <w:r w:rsidR="008F7127">
        <w:rPr>
          <w:lang w:val="en-US"/>
        </w:rPr>
        <w:t>20</w:t>
      </w:r>
    </w:p>
    <w:p w:rsidR="0071286C" w:rsidRDefault="0071286C" w:rsidP="0046755C">
      <w:pPr>
        <w:spacing w:line="360" w:lineRule="auto"/>
        <w:jc w:val="both"/>
      </w:pPr>
      <w:r>
        <w:t>2 lentelė.</w:t>
      </w:r>
      <w:r w:rsidR="0046755C">
        <w:t xml:space="preserve"> Intelektinio kapitalo matavimo metodai finansiniu ir nefinan</w:t>
      </w:r>
      <w:r w:rsidR="008F7127">
        <w:t>siniu vertinimo pagrindu........</w:t>
      </w:r>
      <w:r w:rsidR="008F7127">
        <w:tab/>
        <w:t>23</w:t>
      </w:r>
    </w:p>
    <w:p w:rsidR="0071286C" w:rsidRDefault="0071286C" w:rsidP="0046755C">
      <w:pPr>
        <w:spacing w:line="360" w:lineRule="auto"/>
        <w:jc w:val="both"/>
      </w:pPr>
      <w:r>
        <w:t>3 lentelė.</w:t>
      </w:r>
      <w:r w:rsidR="0046755C">
        <w:t xml:space="preserve"> Intelektinio kapitalo vertinimo proceso etapai.......................................</w:t>
      </w:r>
      <w:r w:rsidR="008F7127">
        <w:t>................................</w:t>
      </w:r>
      <w:r w:rsidR="008F7127">
        <w:tab/>
        <w:t>30</w:t>
      </w:r>
    </w:p>
    <w:p w:rsidR="0071286C" w:rsidRDefault="0071286C" w:rsidP="0046755C">
      <w:pPr>
        <w:spacing w:line="360" w:lineRule="auto"/>
        <w:jc w:val="both"/>
      </w:pPr>
      <w:r>
        <w:t>4 lentelė.</w:t>
      </w:r>
      <w:r w:rsidR="0046755C">
        <w:t xml:space="preserve"> Atrinktų įmonių listinguojamų </w:t>
      </w:r>
      <w:r w:rsidR="004B0FE0">
        <w:t xml:space="preserve">OMX </w:t>
      </w:r>
      <w:r w:rsidR="0046755C">
        <w:t>Vilnius vertybinių popierių biržoje aprašymas</w:t>
      </w:r>
      <w:r w:rsidR="00380473">
        <w:t>........</w:t>
      </w:r>
      <w:r w:rsidR="008F7127">
        <w:t>..</w:t>
      </w:r>
      <w:r w:rsidR="00380473">
        <w:t>.</w:t>
      </w:r>
      <w:r w:rsidR="008F7127">
        <w:tab/>
        <w:t>41</w:t>
      </w:r>
    </w:p>
    <w:p w:rsidR="004B0FE0" w:rsidRDefault="004B0FE0" w:rsidP="008F7127">
      <w:pPr>
        <w:spacing w:line="360" w:lineRule="auto"/>
      </w:pPr>
      <w:r>
        <w:t>5 lentelė. Atrinktų</w:t>
      </w:r>
      <w:r w:rsidR="00AD7C8C">
        <w:t xml:space="preserve"> įmonių listinguojamų OMX Talinas</w:t>
      </w:r>
      <w:r>
        <w:t xml:space="preserve"> verty</w:t>
      </w:r>
      <w:r w:rsidR="008F7127">
        <w:t>binių popierių biržoje aprašymas...........</w:t>
      </w:r>
      <w:r w:rsidR="008F7127">
        <w:tab/>
        <w:t>43</w:t>
      </w:r>
    </w:p>
    <w:p w:rsidR="0071286C" w:rsidRDefault="00380473" w:rsidP="0046755C">
      <w:pPr>
        <w:spacing w:line="360" w:lineRule="auto"/>
      </w:pPr>
      <w:r>
        <w:t>6</w:t>
      </w:r>
      <w:r w:rsidR="0071286C">
        <w:t xml:space="preserve"> lentelė.</w:t>
      </w:r>
      <w:r w:rsidR="0046755C">
        <w:t xml:space="preserve"> Finansinių ir nefinansinių vidutinių rodiklių koreliacija 2009-2012 met</w:t>
      </w:r>
      <w:r w:rsidR="008F7127">
        <w:t>ais...........................</w:t>
      </w:r>
      <w:r w:rsidR="008F7127">
        <w:tab/>
        <w:t>53</w:t>
      </w:r>
    </w:p>
    <w:p w:rsidR="0071286C" w:rsidRDefault="00380473" w:rsidP="008F7127">
      <w:pPr>
        <w:spacing w:line="360" w:lineRule="auto"/>
      </w:pPr>
      <w:r>
        <w:t>7</w:t>
      </w:r>
      <w:r w:rsidR="0071286C">
        <w:t xml:space="preserve"> lentelė.</w:t>
      </w:r>
      <w:r w:rsidR="0046755C">
        <w:t xml:space="preserve"> Nefinansinių vidutinių rodiklių VACA, VAHU, STVA ir VAIC</w:t>
      </w:r>
      <w:r w:rsidR="0037105B">
        <w:t>™</w:t>
      </w:r>
      <w:r w:rsidR="0046755C">
        <w:t xml:space="preserve"> koreliacija 2009-2012 metais</w:t>
      </w:r>
      <w:r w:rsidR="008F7127">
        <w:t>.............................................................................................................................................</w:t>
      </w:r>
      <w:r w:rsidR="008F7127">
        <w:tab/>
        <w:t>54</w:t>
      </w:r>
    </w:p>
    <w:p w:rsidR="0071286C" w:rsidRPr="008F7127" w:rsidRDefault="00380473" w:rsidP="008F7127">
      <w:pPr>
        <w:widowControl w:val="0"/>
        <w:autoSpaceDE w:val="0"/>
        <w:autoSpaceDN w:val="0"/>
        <w:adjustRightInd w:val="0"/>
        <w:spacing w:line="360" w:lineRule="auto"/>
        <w:rPr>
          <w:lang w:val="en-US"/>
        </w:rPr>
      </w:pPr>
      <w:r>
        <w:t xml:space="preserve">8 lentelė. </w:t>
      </w:r>
      <w:r w:rsidR="00BC25E6" w:rsidRPr="00BC25E6">
        <w:rPr>
          <w:lang w:val="en-US"/>
        </w:rPr>
        <w:t>Finansinių ir nefinansinių vidutinių OMX Talinas įmonių rodiklių ryšių koreliacija 2009-2012 metais</w:t>
      </w:r>
      <w:r w:rsidR="008F7127">
        <w:t>............................................................................................................................................</w:t>
      </w:r>
      <w:r w:rsidR="008F7127">
        <w:tab/>
      </w:r>
      <w:r w:rsidR="008F7127">
        <w:rPr>
          <w:lang w:val="en-US"/>
        </w:rPr>
        <w:t>56</w:t>
      </w:r>
    </w:p>
    <w:p w:rsidR="0071286C" w:rsidRPr="00BC25E6" w:rsidRDefault="0071286C" w:rsidP="0046755C">
      <w:pPr>
        <w:jc w:val="center"/>
        <w:rPr>
          <w:b/>
          <w:sz w:val="32"/>
          <w:szCs w:val="32"/>
        </w:rPr>
      </w:pPr>
      <w:r>
        <w:rPr>
          <w:b/>
          <w:color w:val="000090"/>
        </w:rPr>
        <w:br w:type="column"/>
      </w:r>
      <w:r w:rsidRPr="00BC25E6">
        <w:rPr>
          <w:b/>
          <w:sz w:val="32"/>
          <w:szCs w:val="32"/>
        </w:rPr>
        <w:t>PAVEIKSLAI</w:t>
      </w:r>
    </w:p>
    <w:p w:rsidR="0071286C" w:rsidRPr="00BC25E6" w:rsidRDefault="0071286C" w:rsidP="00BD55E7">
      <w:pPr>
        <w:spacing w:before="120" w:after="120" w:line="360" w:lineRule="auto"/>
        <w:jc w:val="center"/>
        <w:rPr>
          <w:b/>
        </w:rPr>
      </w:pPr>
    </w:p>
    <w:p w:rsidR="0071286C" w:rsidRPr="00BC25E6" w:rsidRDefault="0071286C" w:rsidP="008F7127">
      <w:pPr>
        <w:pStyle w:val="TOC1"/>
        <w:tabs>
          <w:tab w:val="clear" w:pos="10205"/>
        </w:tabs>
        <w:spacing w:before="0" w:after="0" w:line="360" w:lineRule="auto"/>
        <w:rPr>
          <w:b w:val="0"/>
        </w:rPr>
      </w:pPr>
      <w:r w:rsidRPr="00BC25E6">
        <w:rPr>
          <w:b w:val="0"/>
          <w:caps w:val="0"/>
        </w:rPr>
        <w:t>1 paveikslas. Intelektinio kapitalo konceptualizavimas</w:t>
      </w:r>
      <w:r w:rsidR="008F7127">
        <w:rPr>
          <w:b w:val="0"/>
          <w:caps w:val="0"/>
        </w:rPr>
        <w:t>……………………………………….............</w:t>
      </w:r>
      <w:r w:rsidR="008F7127">
        <w:rPr>
          <w:b w:val="0"/>
          <w:caps w:val="0"/>
        </w:rPr>
        <w:tab/>
      </w:r>
      <w:r w:rsidR="008F7127">
        <w:rPr>
          <w:b w:val="0"/>
        </w:rPr>
        <w:t>14</w:t>
      </w:r>
    </w:p>
    <w:p w:rsidR="0071286C" w:rsidRPr="00BC25E6" w:rsidRDefault="0071286C" w:rsidP="008F7127">
      <w:pPr>
        <w:pStyle w:val="TOC1"/>
        <w:tabs>
          <w:tab w:val="clear" w:pos="10205"/>
        </w:tabs>
        <w:spacing w:before="0" w:after="0" w:line="360" w:lineRule="auto"/>
        <w:rPr>
          <w:b w:val="0"/>
        </w:rPr>
      </w:pPr>
      <w:r w:rsidRPr="00BC25E6">
        <w:rPr>
          <w:b w:val="0"/>
          <w:caps w:val="0"/>
        </w:rPr>
        <w:t>2 paveikslas. Intelektinio kapitalo įtaka įmonės vertės kūrimui</w:t>
      </w:r>
      <w:r w:rsidR="00046A11">
        <w:rPr>
          <w:b w:val="0"/>
          <w:caps w:val="0"/>
        </w:rPr>
        <w:t>……………………………………</w:t>
      </w:r>
      <w:r w:rsidR="008F7127">
        <w:rPr>
          <w:b w:val="0"/>
          <w:caps w:val="0"/>
        </w:rPr>
        <w:t>…</w:t>
      </w:r>
      <w:r w:rsidRPr="00BC25E6">
        <w:rPr>
          <w:b w:val="0"/>
        </w:rPr>
        <w:tab/>
      </w:r>
      <w:r w:rsidR="008F7127">
        <w:rPr>
          <w:b w:val="0"/>
        </w:rPr>
        <w:t>26</w:t>
      </w:r>
    </w:p>
    <w:p w:rsidR="0071286C" w:rsidRPr="00BC25E6" w:rsidRDefault="0071286C" w:rsidP="008F7127">
      <w:pPr>
        <w:pStyle w:val="TOC1"/>
        <w:tabs>
          <w:tab w:val="clear" w:pos="10205"/>
        </w:tabs>
        <w:spacing w:before="0" w:after="0" w:line="360" w:lineRule="auto"/>
        <w:rPr>
          <w:b w:val="0"/>
          <w:sz w:val="22"/>
          <w:szCs w:val="22"/>
          <w:lang w:eastAsia="lt-LT"/>
        </w:rPr>
      </w:pPr>
      <w:r w:rsidRPr="00BC25E6">
        <w:rPr>
          <w:b w:val="0"/>
          <w:caps w:val="0"/>
        </w:rPr>
        <w:t>3 paveikslas. Intelektinio kapitalo dalyvavimas organizacijoje</w:t>
      </w:r>
      <w:r w:rsidR="00046A11">
        <w:rPr>
          <w:b w:val="0"/>
          <w:caps w:val="0"/>
        </w:rPr>
        <w:t>……………………………………</w:t>
      </w:r>
      <w:r w:rsidR="008F7127">
        <w:rPr>
          <w:b w:val="0"/>
          <w:caps w:val="0"/>
        </w:rPr>
        <w:t>….</w:t>
      </w:r>
      <w:r w:rsidRPr="00BC25E6">
        <w:rPr>
          <w:b w:val="0"/>
        </w:rPr>
        <w:tab/>
      </w:r>
      <w:r w:rsidR="008F7127">
        <w:rPr>
          <w:b w:val="0"/>
        </w:rPr>
        <w:t>29</w:t>
      </w:r>
    </w:p>
    <w:p w:rsidR="0071286C" w:rsidRPr="00BC25E6" w:rsidRDefault="0071286C" w:rsidP="008F7127">
      <w:pPr>
        <w:spacing w:line="360" w:lineRule="auto"/>
        <w:rPr>
          <w:lang w:val="en-US"/>
        </w:rPr>
      </w:pPr>
      <w:r w:rsidRPr="00BC25E6">
        <w:rPr>
          <w:noProof/>
          <w:lang w:eastAsia="ja-JP"/>
        </w:rPr>
        <w:t xml:space="preserve">4 paveikslas. </w:t>
      </w:r>
      <w:r w:rsidRPr="00BC25E6">
        <w:rPr>
          <w:lang w:val="en-US"/>
        </w:rPr>
        <w:t>Intelektinio kapitalo procesas</w:t>
      </w:r>
      <w:r w:rsidR="008F7127">
        <w:t>……………………………………………………….…..30</w:t>
      </w:r>
    </w:p>
    <w:p w:rsidR="0071286C" w:rsidRPr="00BC25E6" w:rsidRDefault="0071286C" w:rsidP="008F7127">
      <w:pPr>
        <w:pStyle w:val="TOC1"/>
        <w:tabs>
          <w:tab w:val="clear" w:pos="10205"/>
        </w:tabs>
        <w:spacing w:before="0" w:after="0" w:line="360" w:lineRule="auto"/>
        <w:rPr>
          <w:b w:val="0"/>
          <w:sz w:val="22"/>
          <w:szCs w:val="22"/>
          <w:lang w:eastAsia="lt-LT"/>
        </w:rPr>
      </w:pPr>
      <w:r w:rsidRPr="00BC25E6">
        <w:rPr>
          <w:b w:val="0"/>
          <w:caps w:val="0"/>
        </w:rPr>
        <w:t>5 pa</w:t>
      </w:r>
      <w:r w:rsidR="003358D1">
        <w:rPr>
          <w:b w:val="0"/>
          <w:caps w:val="0"/>
        </w:rPr>
        <w:t xml:space="preserve">veikslas. Intelektinio kapitalo </w:t>
      </w:r>
      <w:r w:rsidRPr="00BC25E6">
        <w:rPr>
          <w:b w:val="0"/>
          <w:caps w:val="0"/>
        </w:rPr>
        <w:t>vertinimo modelis</w:t>
      </w:r>
      <w:r w:rsidR="003358D1">
        <w:rPr>
          <w:b w:val="0"/>
          <w:caps w:val="0"/>
        </w:rPr>
        <w:t>……………………………………………</w:t>
      </w:r>
      <w:r w:rsidR="008F7127">
        <w:rPr>
          <w:b w:val="0"/>
          <w:caps w:val="0"/>
        </w:rPr>
        <w:t>…..</w:t>
      </w:r>
      <w:r w:rsidRPr="00BC25E6">
        <w:rPr>
          <w:b w:val="0"/>
        </w:rPr>
        <w:tab/>
      </w:r>
      <w:r w:rsidR="008F7127">
        <w:rPr>
          <w:b w:val="0"/>
        </w:rPr>
        <w:t>31</w:t>
      </w:r>
    </w:p>
    <w:p w:rsidR="0071286C" w:rsidRPr="00BC25E6" w:rsidRDefault="0071286C" w:rsidP="008F7127">
      <w:pPr>
        <w:pStyle w:val="TOC1"/>
        <w:tabs>
          <w:tab w:val="clear" w:pos="10205"/>
        </w:tabs>
        <w:spacing w:before="0" w:after="0" w:line="360" w:lineRule="auto"/>
        <w:rPr>
          <w:b w:val="0"/>
          <w:sz w:val="22"/>
          <w:szCs w:val="22"/>
          <w:lang w:eastAsia="lt-LT"/>
        </w:rPr>
      </w:pPr>
      <w:r w:rsidRPr="00BC25E6">
        <w:rPr>
          <w:b w:val="0"/>
          <w:caps w:val="0"/>
        </w:rPr>
        <w:t>6 paveikslas. Intelektinio kapitalo ir įmonės patrauklumo investuotojams ryšio koncepcija</w:t>
      </w:r>
      <w:r w:rsidR="00046A11">
        <w:rPr>
          <w:b w:val="0"/>
          <w:caps w:val="0"/>
        </w:rPr>
        <w:t>………</w:t>
      </w:r>
      <w:r w:rsidR="008F7127">
        <w:rPr>
          <w:b w:val="0"/>
          <w:caps w:val="0"/>
        </w:rPr>
        <w:t>…</w:t>
      </w:r>
      <w:r w:rsidRPr="00BC25E6">
        <w:rPr>
          <w:b w:val="0"/>
        </w:rPr>
        <w:tab/>
      </w:r>
      <w:r w:rsidR="008F7127">
        <w:rPr>
          <w:b w:val="0"/>
        </w:rPr>
        <w:t>33</w:t>
      </w:r>
    </w:p>
    <w:p w:rsidR="0071286C" w:rsidRPr="00BC25E6" w:rsidRDefault="0071286C" w:rsidP="008F7127">
      <w:pPr>
        <w:pStyle w:val="TOC1"/>
        <w:tabs>
          <w:tab w:val="clear" w:pos="10205"/>
        </w:tabs>
        <w:spacing w:before="0" w:after="0" w:line="360" w:lineRule="auto"/>
        <w:rPr>
          <w:b w:val="0"/>
          <w:sz w:val="22"/>
          <w:szCs w:val="22"/>
          <w:lang w:eastAsia="lt-LT"/>
        </w:rPr>
      </w:pPr>
      <w:r w:rsidRPr="00BC25E6">
        <w:rPr>
          <w:b w:val="0"/>
          <w:caps w:val="0"/>
        </w:rPr>
        <w:t xml:space="preserve">7 paveikslas. </w:t>
      </w:r>
      <w:r w:rsidR="00046A11" w:rsidRPr="00046A11">
        <w:rPr>
          <w:b w:val="0"/>
          <w:caps w:val="0"/>
        </w:rPr>
        <w:t xml:space="preserve">Finansinių ir nefinansinių rodiklių ryšio koncepcijos </w:t>
      </w:r>
      <w:r w:rsidR="00046A11" w:rsidRPr="00046A11">
        <w:rPr>
          <w:b w:val="0"/>
        </w:rPr>
        <w:t>(</w:t>
      </w:r>
      <w:r w:rsidR="00046A11" w:rsidRPr="00046A11">
        <w:rPr>
          <w:b w:val="0"/>
          <w:caps w:val="0"/>
        </w:rPr>
        <w:t>hipotezės</w:t>
      </w:r>
      <w:r w:rsidR="00046A11" w:rsidRPr="00046A11">
        <w:rPr>
          <w:b w:val="0"/>
        </w:rPr>
        <w:t>)</w:t>
      </w:r>
      <w:r w:rsidR="00046A11">
        <w:rPr>
          <w:b w:val="0"/>
        </w:rPr>
        <w:t>…………………</w:t>
      </w:r>
      <w:r w:rsidR="008F7127">
        <w:rPr>
          <w:b w:val="0"/>
        </w:rPr>
        <w:t>…..</w:t>
      </w:r>
      <w:r w:rsidRPr="00BC25E6">
        <w:rPr>
          <w:b w:val="0"/>
        </w:rPr>
        <w:tab/>
      </w:r>
      <w:r w:rsidR="008F7127">
        <w:rPr>
          <w:b w:val="0"/>
        </w:rPr>
        <w:t>34</w:t>
      </w:r>
    </w:p>
    <w:p w:rsidR="0071286C" w:rsidRPr="00BC25E6" w:rsidRDefault="0071286C" w:rsidP="008F7127">
      <w:pPr>
        <w:pStyle w:val="TOC1"/>
        <w:tabs>
          <w:tab w:val="clear" w:pos="10205"/>
        </w:tabs>
        <w:spacing w:before="0" w:after="0" w:line="360" w:lineRule="auto"/>
        <w:rPr>
          <w:b w:val="0"/>
          <w:sz w:val="22"/>
          <w:szCs w:val="22"/>
          <w:lang w:eastAsia="lt-LT"/>
        </w:rPr>
      </w:pPr>
      <w:r w:rsidRPr="00BC25E6">
        <w:rPr>
          <w:b w:val="0"/>
          <w:caps w:val="0"/>
        </w:rPr>
        <w:t xml:space="preserve">8 paveikslas. Samdomojo kapitalo efektyvumo koeficiento lygis 2009-2012 metais </w:t>
      </w:r>
      <w:r w:rsidR="00046A11">
        <w:rPr>
          <w:b w:val="0"/>
          <w:caps w:val="0"/>
        </w:rPr>
        <w:t>………………..</w:t>
      </w:r>
      <w:r w:rsidRPr="00BC25E6">
        <w:rPr>
          <w:b w:val="0"/>
        </w:rPr>
        <w:tab/>
      </w:r>
      <w:r w:rsidR="008F7127">
        <w:rPr>
          <w:b w:val="0"/>
        </w:rPr>
        <w:t>46</w:t>
      </w:r>
    </w:p>
    <w:p w:rsidR="0071286C" w:rsidRPr="00BC25E6" w:rsidRDefault="0071286C" w:rsidP="008F7127">
      <w:pPr>
        <w:pStyle w:val="TOC1"/>
        <w:tabs>
          <w:tab w:val="clear" w:pos="10205"/>
        </w:tabs>
        <w:spacing w:before="0" w:after="0" w:line="360" w:lineRule="auto"/>
        <w:rPr>
          <w:b w:val="0"/>
          <w:sz w:val="22"/>
          <w:szCs w:val="22"/>
          <w:lang w:eastAsia="lt-LT"/>
        </w:rPr>
      </w:pPr>
      <w:r w:rsidRPr="00BC25E6">
        <w:rPr>
          <w:b w:val="0"/>
          <w:caps w:val="0"/>
        </w:rPr>
        <w:t>9 paveikslas. Žmogiškojo kapitalo efektyvumo koeficiento lygis 2009-2012 metais</w:t>
      </w:r>
      <w:r w:rsidR="00046A11">
        <w:rPr>
          <w:b w:val="0"/>
          <w:caps w:val="0"/>
        </w:rPr>
        <w:t>………………</w:t>
      </w:r>
      <w:r w:rsidR="008F7127">
        <w:rPr>
          <w:b w:val="0"/>
          <w:caps w:val="0"/>
        </w:rPr>
        <w:t>..</w:t>
      </w:r>
      <w:r w:rsidRPr="00BC25E6">
        <w:rPr>
          <w:b w:val="0"/>
        </w:rPr>
        <w:tab/>
      </w:r>
      <w:r w:rsidR="008F7127">
        <w:rPr>
          <w:b w:val="0"/>
        </w:rPr>
        <w:t>47</w:t>
      </w:r>
    </w:p>
    <w:p w:rsidR="0071286C" w:rsidRPr="00BC25E6" w:rsidRDefault="0071286C" w:rsidP="008F7127">
      <w:pPr>
        <w:pStyle w:val="TOC1"/>
        <w:tabs>
          <w:tab w:val="clear" w:pos="10205"/>
        </w:tabs>
        <w:spacing w:before="0" w:after="0" w:line="360" w:lineRule="auto"/>
        <w:rPr>
          <w:b w:val="0"/>
          <w:sz w:val="22"/>
          <w:szCs w:val="22"/>
          <w:lang w:eastAsia="lt-LT"/>
        </w:rPr>
      </w:pPr>
      <w:r w:rsidRPr="00BC25E6">
        <w:rPr>
          <w:b w:val="0"/>
          <w:caps w:val="0"/>
        </w:rPr>
        <w:t>10 paveikslas. Struktūrinio kapitalo efektyvumo koeficiento lygis 2009-2012 metais</w:t>
      </w:r>
      <w:r w:rsidR="00046A11">
        <w:rPr>
          <w:b w:val="0"/>
          <w:caps w:val="0"/>
        </w:rPr>
        <w:t>………………</w:t>
      </w:r>
      <w:r w:rsidRPr="00BC25E6">
        <w:rPr>
          <w:b w:val="0"/>
        </w:rPr>
        <w:tab/>
      </w:r>
      <w:r w:rsidR="008F7127">
        <w:rPr>
          <w:b w:val="0"/>
        </w:rPr>
        <w:t>48</w:t>
      </w:r>
    </w:p>
    <w:p w:rsidR="0071286C" w:rsidRPr="00BC25E6" w:rsidRDefault="00BD55E7" w:rsidP="008F7127">
      <w:pPr>
        <w:pStyle w:val="TOC1"/>
        <w:tabs>
          <w:tab w:val="clear" w:pos="10205"/>
        </w:tabs>
        <w:spacing w:before="0" w:after="0" w:line="360" w:lineRule="auto"/>
        <w:rPr>
          <w:b w:val="0"/>
          <w:sz w:val="22"/>
          <w:szCs w:val="22"/>
          <w:lang w:eastAsia="lt-LT"/>
        </w:rPr>
      </w:pPr>
      <w:r w:rsidRPr="00BC25E6">
        <w:rPr>
          <w:b w:val="0"/>
          <w:caps w:val="0"/>
        </w:rPr>
        <w:t>11 paveikslas. VAIC</w:t>
      </w:r>
      <w:r w:rsidR="0037105B" w:rsidRPr="00BC25E6">
        <w:rPr>
          <w:b w:val="0"/>
          <w:caps w:val="0"/>
        </w:rPr>
        <w:t>™</w:t>
      </w:r>
      <w:r w:rsidR="0071286C" w:rsidRPr="00BC25E6">
        <w:rPr>
          <w:b w:val="0"/>
          <w:caps w:val="0"/>
        </w:rPr>
        <w:t xml:space="preserve"> koeficiento lygis 2009-2012 metais</w:t>
      </w:r>
      <w:r w:rsidR="00046A11">
        <w:rPr>
          <w:b w:val="0"/>
          <w:caps w:val="0"/>
        </w:rPr>
        <w:t>………………………………………</w:t>
      </w:r>
      <w:r w:rsidR="008F7127">
        <w:rPr>
          <w:b w:val="0"/>
          <w:caps w:val="0"/>
        </w:rPr>
        <w:t>…</w:t>
      </w:r>
      <w:r w:rsidR="0071286C" w:rsidRPr="00BC25E6">
        <w:rPr>
          <w:b w:val="0"/>
        </w:rPr>
        <w:tab/>
      </w:r>
      <w:r w:rsidR="008F7127">
        <w:rPr>
          <w:b w:val="0"/>
        </w:rPr>
        <w:t>49</w:t>
      </w:r>
    </w:p>
    <w:p w:rsidR="0071286C" w:rsidRPr="00BC25E6" w:rsidRDefault="00BD55E7" w:rsidP="008F7127">
      <w:pPr>
        <w:pStyle w:val="TOC1"/>
        <w:tabs>
          <w:tab w:val="clear" w:pos="10205"/>
        </w:tabs>
        <w:spacing w:before="0" w:after="0" w:line="360" w:lineRule="auto"/>
        <w:rPr>
          <w:b w:val="0"/>
        </w:rPr>
      </w:pPr>
      <w:r w:rsidRPr="00BC25E6">
        <w:rPr>
          <w:b w:val="0"/>
          <w:caps w:val="0"/>
        </w:rPr>
        <w:t>12 paveikslas. VAIC</w:t>
      </w:r>
      <w:r w:rsidR="0037105B" w:rsidRPr="00BC25E6">
        <w:rPr>
          <w:b w:val="0"/>
          <w:caps w:val="0"/>
        </w:rPr>
        <w:t>™</w:t>
      </w:r>
      <w:r w:rsidR="0071286C" w:rsidRPr="00BC25E6">
        <w:rPr>
          <w:b w:val="0"/>
          <w:caps w:val="0"/>
        </w:rPr>
        <w:t xml:space="preserve"> koeficiento vidutinis lygis 2009-2012 metais</w:t>
      </w:r>
      <w:r w:rsidR="00046A11">
        <w:rPr>
          <w:b w:val="0"/>
          <w:caps w:val="0"/>
        </w:rPr>
        <w:t>……………………………</w:t>
      </w:r>
      <w:r w:rsidR="008F7127">
        <w:rPr>
          <w:b w:val="0"/>
          <w:caps w:val="0"/>
        </w:rPr>
        <w:t>….</w:t>
      </w:r>
      <w:r w:rsidR="0071286C" w:rsidRPr="00BC25E6">
        <w:rPr>
          <w:b w:val="0"/>
        </w:rPr>
        <w:tab/>
      </w:r>
      <w:r w:rsidR="008F7127">
        <w:rPr>
          <w:b w:val="0"/>
        </w:rPr>
        <w:t>49</w:t>
      </w:r>
    </w:p>
    <w:p w:rsidR="0071286C" w:rsidRPr="00BC25E6" w:rsidRDefault="00BD55E7" w:rsidP="008F7127">
      <w:pPr>
        <w:pStyle w:val="TOC1"/>
        <w:tabs>
          <w:tab w:val="clear" w:pos="10205"/>
        </w:tabs>
        <w:spacing w:before="0" w:after="0" w:line="360" w:lineRule="auto"/>
        <w:rPr>
          <w:b w:val="0"/>
          <w:sz w:val="22"/>
          <w:szCs w:val="22"/>
          <w:lang w:eastAsia="lt-LT"/>
        </w:rPr>
      </w:pPr>
      <w:r w:rsidRPr="00BC25E6">
        <w:rPr>
          <w:b w:val="0"/>
          <w:caps w:val="0"/>
        </w:rPr>
        <w:t>13 paveikslas. ICE</w:t>
      </w:r>
      <w:r w:rsidR="0071286C" w:rsidRPr="00BC25E6">
        <w:rPr>
          <w:b w:val="0"/>
          <w:caps w:val="0"/>
        </w:rPr>
        <w:t xml:space="preserve"> intelektinio kapitalo efektyvumo lygis 2009-2012 metais</w:t>
      </w:r>
      <w:r w:rsidR="00046A11">
        <w:rPr>
          <w:b w:val="0"/>
          <w:caps w:val="0"/>
        </w:rPr>
        <w:t>……………………….</w:t>
      </w:r>
      <w:r w:rsidR="0071286C" w:rsidRPr="00BC25E6">
        <w:rPr>
          <w:b w:val="0"/>
          <w:caps w:val="0"/>
        </w:rPr>
        <w:tab/>
      </w:r>
      <w:r w:rsidR="008F7127">
        <w:rPr>
          <w:b w:val="0"/>
          <w:caps w:val="0"/>
        </w:rPr>
        <w:t>50</w:t>
      </w:r>
    </w:p>
    <w:p w:rsidR="0071286C" w:rsidRPr="00BC25E6" w:rsidRDefault="00BD55E7" w:rsidP="008F7127">
      <w:pPr>
        <w:pStyle w:val="TOC1"/>
        <w:tabs>
          <w:tab w:val="clear" w:pos="10205"/>
        </w:tabs>
        <w:spacing w:before="0" w:after="0" w:line="360" w:lineRule="auto"/>
        <w:rPr>
          <w:b w:val="0"/>
          <w:sz w:val="22"/>
          <w:szCs w:val="22"/>
          <w:lang w:eastAsia="lt-LT"/>
        </w:rPr>
      </w:pPr>
      <w:r w:rsidRPr="00BC25E6">
        <w:rPr>
          <w:b w:val="0"/>
          <w:caps w:val="0"/>
        </w:rPr>
        <w:t>14 paveikslas. CIV</w:t>
      </w:r>
      <w:r w:rsidR="0071286C" w:rsidRPr="00BC25E6">
        <w:rPr>
          <w:b w:val="0"/>
          <w:caps w:val="0"/>
        </w:rPr>
        <w:t xml:space="preserve"> lygis 2009-2011 metais</w:t>
      </w:r>
      <w:r w:rsidR="00046A11">
        <w:rPr>
          <w:b w:val="0"/>
          <w:caps w:val="0"/>
        </w:rPr>
        <w:t>………………………………………………………….</w:t>
      </w:r>
      <w:r w:rsidR="0071286C" w:rsidRPr="00BC25E6">
        <w:rPr>
          <w:b w:val="0"/>
          <w:caps w:val="0"/>
        </w:rPr>
        <w:tab/>
      </w:r>
      <w:r w:rsidR="008F7127">
        <w:rPr>
          <w:b w:val="0"/>
          <w:caps w:val="0"/>
        </w:rPr>
        <w:t>51</w:t>
      </w:r>
    </w:p>
    <w:p w:rsidR="0071286C" w:rsidRPr="00BC25E6" w:rsidRDefault="0071286C" w:rsidP="008F7127">
      <w:pPr>
        <w:pStyle w:val="TOC1"/>
        <w:tabs>
          <w:tab w:val="clear" w:pos="10205"/>
        </w:tabs>
        <w:spacing w:before="0" w:after="0" w:line="360" w:lineRule="auto"/>
        <w:rPr>
          <w:b w:val="0"/>
          <w:sz w:val="22"/>
          <w:szCs w:val="22"/>
          <w:lang w:eastAsia="lt-LT"/>
        </w:rPr>
      </w:pPr>
      <w:r w:rsidRPr="00BC25E6">
        <w:rPr>
          <w:b w:val="0"/>
          <w:caps w:val="0"/>
        </w:rPr>
        <w:t>15 paveikslas. Įmonių turto ir nuosavo kapitalo grąžos rodiklių dinamika 2009-2012 metais, proc</w:t>
      </w:r>
      <w:r w:rsidR="008F7127">
        <w:rPr>
          <w:b w:val="0"/>
          <w:caps w:val="0"/>
        </w:rPr>
        <w:t>...</w:t>
      </w:r>
      <w:r w:rsidR="008F7127">
        <w:rPr>
          <w:b w:val="0"/>
          <w:caps w:val="0"/>
        </w:rPr>
        <w:tab/>
        <w:t>52</w:t>
      </w:r>
    </w:p>
    <w:p w:rsidR="0071286C" w:rsidRPr="008F7127" w:rsidRDefault="00BC25E6" w:rsidP="008F7127">
      <w:pPr>
        <w:pStyle w:val="ListParagraph"/>
        <w:spacing w:line="360" w:lineRule="auto"/>
        <w:ind w:left="0"/>
        <w:jc w:val="both"/>
        <w:rPr>
          <w:rFonts w:ascii="Times New Roman" w:hAnsi="Times New Roman"/>
          <w:lang w:val="lt-LT" w:eastAsia="ja-JP"/>
        </w:rPr>
      </w:pPr>
      <w:r w:rsidRPr="00BC25E6">
        <w:rPr>
          <w:rFonts w:ascii="Times New Roman" w:hAnsi="Times New Roman"/>
        </w:rPr>
        <w:t xml:space="preserve">16 paveikslas. </w:t>
      </w:r>
      <w:r>
        <w:rPr>
          <w:rFonts w:ascii="Times New Roman" w:hAnsi="Times New Roman"/>
          <w:lang w:eastAsia="ja-JP"/>
        </w:rPr>
        <w:t>Vidutinio VAIC</w:t>
      </w:r>
      <w:r w:rsidRPr="00BC25E6">
        <w:rPr>
          <w:rFonts w:ascii="Times New Roman" w:hAnsi="Times New Roman"/>
          <w:lang w:eastAsia="ja-JP"/>
        </w:rPr>
        <w:t>™</w:t>
      </w:r>
      <w:r>
        <w:rPr>
          <w:rFonts w:ascii="Times New Roman" w:hAnsi="Times New Roman"/>
          <w:lang w:eastAsia="ja-JP"/>
        </w:rPr>
        <w:t xml:space="preserve"> rodiklio palyginimas tarp Lietuvos ir E</w:t>
      </w:r>
      <w:r w:rsidRPr="00BC25E6">
        <w:rPr>
          <w:rFonts w:ascii="Times New Roman" w:hAnsi="Times New Roman"/>
          <w:lang w:eastAsia="ja-JP"/>
        </w:rPr>
        <w:t xml:space="preserve">stijos </w:t>
      </w:r>
      <w:r w:rsidRPr="00BC25E6">
        <w:rPr>
          <w:rFonts w:ascii="Times New Roman" w:hAnsi="Times New Roman"/>
          <w:lang w:val="lt-LT" w:eastAsia="ja-JP"/>
        </w:rPr>
        <w:t>įmonių</w:t>
      </w:r>
      <w:r w:rsidR="00046A11">
        <w:rPr>
          <w:rFonts w:ascii="Times New Roman" w:hAnsi="Times New Roman"/>
          <w:lang w:val="lt-LT" w:eastAsia="ja-JP"/>
        </w:rPr>
        <w:t>.............</w:t>
      </w:r>
      <w:r w:rsidR="008F7127">
        <w:rPr>
          <w:rFonts w:ascii="Times New Roman" w:hAnsi="Times New Roman"/>
          <w:lang w:val="lt-LT" w:eastAsia="ja-JP"/>
        </w:rPr>
        <w:tab/>
        <w:t>.......</w:t>
      </w:r>
      <w:r w:rsidR="008F7127">
        <w:rPr>
          <w:rFonts w:ascii="Times New Roman" w:hAnsi="Times New Roman"/>
          <w:lang w:val="lt-LT" w:eastAsia="ja-JP"/>
        </w:rPr>
        <w:tab/>
        <w:t>56</w:t>
      </w:r>
    </w:p>
    <w:p w:rsidR="003C5F3E" w:rsidRPr="00BC25E6" w:rsidRDefault="0071286C" w:rsidP="003C5F3E">
      <w:pPr>
        <w:jc w:val="center"/>
        <w:rPr>
          <w:b/>
          <w:sz w:val="32"/>
          <w:szCs w:val="32"/>
        </w:rPr>
      </w:pPr>
      <w:r w:rsidRPr="00BC25E6">
        <w:br w:type="column"/>
      </w:r>
      <w:r w:rsidR="003C5F3E" w:rsidRPr="00BC25E6">
        <w:rPr>
          <w:b/>
          <w:sz w:val="32"/>
          <w:szCs w:val="32"/>
        </w:rPr>
        <w:t>PRIEDAI</w:t>
      </w:r>
    </w:p>
    <w:p w:rsidR="003C5F3E" w:rsidRPr="00BC25E6" w:rsidRDefault="003C5F3E" w:rsidP="00B822A6">
      <w:pPr>
        <w:spacing w:line="360" w:lineRule="auto"/>
        <w:jc w:val="center"/>
        <w:rPr>
          <w:b/>
        </w:rPr>
      </w:pPr>
    </w:p>
    <w:p w:rsidR="00F2256B" w:rsidRPr="00BC25E6" w:rsidRDefault="00F2256B" w:rsidP="00F2256B">
      <w:pPr>
        <w:pStyle w:val="TOC1"/>
        <w:spacing w:before="0" w:after="0" w:line="360" w:lineRule="auto"/>
        <w:rPr>
          <w:b w:val="0"/>
        </w:rPr>
      </w:pPr>
      <w:r w:rsidRPr="00BC25E6">
        <w:rPr>
          <w:b w:val="0"/>
          <w:caps w:val="0"/>
        </w:rPr>
        <w:t>1 priedas.</w:t>
      </w:r>
      <w:r w:rsidR="004613F1">
        <w:rPr>
          <w:b w:val="0"/>
          <w:caps w:val="0"/>
        </w:rPr>
        <w:t xml:space="preserve"> </w:t>
      </w:r>
      <w:r w:rsidR="00B822A6">
        <w:rPr>
          <w:b w:val="0"/>
          <w:caps w:val="0"/>
        </w:rPr>
        <w:t xml:space="preserve"> </w:t>
      </w:r>
      <w:r w:rsidR="004613F1" w:rsidRPr="000C2FE6">
        <w:rPr>
          <w:b w:val="0"/>
          <w:bCs w:val="0"/>
          <w:caps w:val="0"/>
        </w:rPr>
        <w:t>Intelektinio kapitalo sąvoka pagal skirtingus autorius</w:t>
      </w:r>
    </w:p>
    <w:p w:rsidR="00F2256B" w:rsidRPr="004613F1" w:rsidRDefault="00F2256B" w:rsidP="00B822A6">
      <w:pPr>
        <w:tabs>
          <w:tab w:val="left" w:pos="1134"/>
        </w:tabs>
        <w:spacing w:line="360" w:lineRule="auto"/>
        <w:ind w:left="993" w:hanging="993"/>
        <w:rPr>
          <w:b/>
          <w:lang w:val="en-US"/>
        </w:rPr>
      </w:pPr>
      <w:r w:rsidRPr="00BC25E6">
        <w:t xml:space="preserve">2 priedas. </w:t>
      </w:r>
      <w:r w:rsidR="00B822A6">
        <w:t xml:space="preserve"> </w:t>
      </w:r>
      <w:r w:rsidR="004613F1" w:rsidRPr="004613F1">
        <w:rPr>
          <w:lang w:val="en-US"/>
        </w:rPr>
        <w:t>L. Edvinsson ir M. Malone atvaizduotas intelektinis ka</w:t>
      </w:r>
      <w:r w:rsidR="00B822A6">
        <w:rPr>
          <w:lang w:val="en-US"/>
        </w:rPr>
        <w:t xml:space="preserve">pitalas organizacijoje. Skandia </w:t>
      </w:r>
      <w:r w:rsidR="004613F1" w:rsidRPr="004613F1">
        <w:rPr>
          <w:lang w:val="en-US"/>
        </w:rPr>
        <w:t>modelis</w:t>
      </w:r>
    </w:p>
    <w:p w:rsidR="00F2256B" w:rsidRPr="00BC25E6" w:rsidRDefault="00F2256B" w:rsidP="00F2256B">
      <w:pPr>
        <w:pStyle w:val="TOC1"/>
        <w:spacing w:before="0" w:after="0" w:line="360" w:lineRule="auto"/>
        <w:rPr>
          <w:b w:val="0"/>
          <w:caps w:val="0"/>
        </w:rPr>
      </w:pPr>
      <w:r w:rsidRPr="00BC25E6">
        <w:rPr>
          <w:b w:val="0"/>
          <w:caps w:val="0"/>
        </w:rPr>
        <w:t>3 priedas.</w:t>
      </w:r>
      <w:r w:rsidR="008028FB">
        <w:rPr>
          <w:b w:val="0"/>
          <w:caps w:val="0"/>
        </w:rPr>
        <w:t xml:space="preserve"> Intelektinio kapitalo klasifikavimas</w:t>
      </w:r>
    </w:p>
    <w:p w:rsidR="00F2256B" w:rsidRPr="00BC25E6" w:rsidRDefault="00F2256B" w:rsidP="00F2256B">
      <w:pPr>
        <w:pStyle w:val="TOC1"/>
        <w:spacing w:before="0" w:after="0" w:line="360" w:lineRule="auto"/>
        <w:rPr>
          <w:b w:val="0"/>
          <w:caps w:val="0"/>
        </w:rPr>
      </w:pPr>
      <w:r w:rsidRPr="00BC25E6">
        <w:rPr>
          <w:b w:val="0"/>
          <w:caps w:val="0"/>
        </w:rPr>
        <w:t>4 priedas.</w:t>
      </w:r>
      <w:r w:rsidR="008028FB">
        <w:rPr>
          <w:b w:val="0"/>
          <w:caps w:val="0"/>
        </w:rPr>
        <w:t xml:space="preserve"> Intelektinio kapitalo matavimo modeliai ir jų turinys</w:t>
      </w:r>
    </w:p>
    <w:p w:rsidR="00F2256B" w:rsidRPr="004355D6" w:rsidRDefault="00F2256B" w:rsidP="004355D6">
      <w:pPr>
        <w:spacing w:line="360" w:lineRule="auto"/>
      </w:pPr>
      <w:r w:rsidRPr="004355D6">
        <w:t>5 priedas.</w:t>
      </w:r>
      <w:r w:rsidR="008028FB" w:rsidRPr="004355D6">
        <w:rPr>
          <w:caps/>
        </w:rPr>
        <w:t xml:space="preserve"> </w:t>
      </w:r>
      <w:r w:rsidR="004355D6" w:rsidRPr="004355D6">
        <w:rPr>
          <w:lang w:val="en-US"/>
        </w:rPr>
        <w:t>Pirsono koreliacijos koeficient</w:t>
      </w:r>
      <w:r w:rsidR="004355D6" w:rsidRPr="004355D6">
        <w:t>o stiprumo skalė</w:t>
      </w:r>
    </w:p>
    <w:p w:rsidR="00F2256B" w:rsidRDefault="00F2256B" w:rsidP="008028FB">
      <w:pPr>
        <w:pStyle w:val="TOC1"/>
        <w:spacing w:before="0" w:after="0" w:line="360" w:lineRule="auto"/>
        <w:rPr>
          <w:b w:val="0"/>
          <w:caps w:val="0"/>
        </w:rPr>
      </w:pPr>
      <w:r w:rsidRPr="00BC25E6">
        <w:rPr>
          <w:b w:val="0"/>
          <w:caps w:val="0"/>
        </w:rPr>
        <w:t>6 priedas.</w:t>
      </w:r>
      <w:r w:rsidR="008028FB">
        <w:rPr>
          <w:b w:val="0"/>
          <w:caps w:val="0"/>
        </w:rPr>
        <w:t xml:space="preserve"> 1 lentelė. Vertinamų įmonių intelektinio kapitalo lygio skaičiavimas 2009-2012 metais</w:t>
      </w:r>
    </w:p>
    <w:p w:rsidR="008028FB" w:rsidRPr="008028FB" w:rsidRDefault="008028FB" w:rsidP="00B822A6">
      <w:pPr>
        <w:spacing w:line="360" w:lineRule="auto"/>
        <w:ind w:left="1985" w:hanging="992"/>
      </w:pPr>
      <w:r w:rsidRPr="008028FB">
        <w:t>2 lentelė. OMX Talinas vertinamų įmonių intelektinio k</w:t>
      </w:r>
      <w:r>
        <w:t>apitalo lygio skaičiavimas 2009-</w:t>
      </w:r>
      <w:r w:rsidRPr="008028FB">
        <w:t>2012 metais</w:t>
      </w:r>
    </w:p>
    <w:p w:rsidR="008028FB" w:rsidRDefault="00F2256B" w:rsidP="008028FB">
      <w:pPr>
        <w:pStyle w:val="TOC1"/>
        <w:spacing w:before="0" w:after="0" w:line="360" w:lineRule="auto"/>
        <w:rPr>
          <w:b w:val="0"/>
          <w:caps w:val="0"/>
        </w:rPr>
      </w:pPr>
      <w:r w:rsidRPr="00BC25E6">
        <w:rPr>
          <w:b w:val="0"/>
          <w:caps w:val="0"/>
        </w:rPr>
        <w:t>7 priedas.</w:t>
      </w:r>
      <w:r w:rsidR="008028FB" w:rsidRPr="008028FB">
        <w:rPr>
          <w:b w:val="0"/>
          <w:caps w:val="0"/>
        </w:rPr>
        <w:t xml:space="preserve"> </w:t>
      </w:r>
      <w:r w:rsidR="008028FB">
        <w:rPr>
          <w:b w:val="0"/>
          <w:caps w:val="0"/>
        </w:rPr>
        <w:t>1 lentelė. Įmonių nefinansinių rodiklių koreliacija 2009-2012 metais</w:t>
      </w:r>
    </w:p>
    <w:p w:rsidR="00F2256B" w:rsidRDefault="008028FB" w:rsidP="008028FB">
      <w:pPr>
        <w:pStyle w:val="TOC1"/>
        <w:spacing w:before="0" w:after="0" w:line="360" w:lineRule="auto"/>
        <w:rPr>
          <w:b w:val="0"/>
          <w:caps w:val="0"/>
        </w:rPr>
      </w:pPr>
      <w:r w:rsidRPr="008028FB">
        <w:rPr>
          <w:b w:val="0"/>
        </w:rPr>
        <w:t xml:space="preserve">                2</w:t>
      </w:r>
      <w:r w:rsidRPr="008028FB">
        <w:rPr>
          <w:b w:val="0"/>
          <w:caps w:val="0"/>
        </w:rPr>
        <w:t xml:space="preserve"> lentelė. </w:t>
      </w:r>
      <w:r>
        <w:rPr>
          <w:b w:val="0"/>
          <w:caps w:val="0"/>
        </w:rPr>
        <w:t>Įmonių finansinių ir nefinansinių rodiklių koreliacija 2009-2012 metais</w:t>
      </w:r>
    </w:p>
    <w:p w:rsidR="008028FB" w:rsidRPr="008028FB" w:rsidRDefault="008028FB" w:rsidP="00B822A6">
      <w:pPr>
        <w:tabs>
          <w:tab w:val="left" w:pos="317"/>
        </w:tabs>
        <w:spacing w:line="360" w:lineRule="auto"/>
        <w:ind w:left="1985" w:hanging="992"/>
      </w:pPr>
      <w:r>
        <w:t>3</w:t>
      </w:r>
      <w:r w:rsidRPr="008028FB">
        <w:t xml:space="preserve"> lentelė</w:t>
      </w:r>
      <w:r>
        <w:t>. 6 atrinktų Lietuvos įmonių vidutinių rodiklių ryšių koreliacija palyginimui su Estijos įmonėmis</w:t>
      </w:r>
    </w:p>
    <w:p w:rsidR="0071286C" w:rsidRPr="00BC25E6" w:rsidRDefault="003C5F3E" w:rsidP="0071286C">
      <w:pPr>
        <w:jc w:val="center"/>
        <w:rPr>
          <w:b/>
          <w:sz w:val="32"/>
          <w:szCs w:val="32"/>
        </w:rPr>
      </w:pPr>
      <w:r w:rsidRPr="00BC25E6">
        <w:rPr>
          <w:b/>
        </w:rPr>
        <w:br w:type="column"/>
      </w:r>
      <w:r w:rsidR="0071286C" w:rsidRPr="00BC25E6">
        <w:rPr>
          <w:b/>
          <w:sz w:val="32"/>
          <w:szCs w:val="32"/>
        </w:rPr>
        <w:t>SANTRUMPOS</w:t>
      </w:r>
    </w:p>
    <w:p w:rsidR="0071286C" w:rsidRPr="00BC25E6" w:rsidRDefault="0071286C" w:rsidP="0071286C"/>
    <w:p w:rsidR="0071286C" w:rsidRPr="00BC25E6" w:rsidRDefault="0071286C" w:rsidP="0071286C">
      <w:pPr>
        <w:rPr>
          <w:i/>
        </w:rPr>
      </w:pPr>
    </w:p>
    <w:p w:rsidR="0071286C" w:rsidRPr="00AD7C8C" w:rsidRDefault="0071286C" w:rsidP="00046A11">
      <w:pPr>
        <w:spacing w:line="480" w:lineRule="auto"/>
      </w:pPr>
      <w:r w:rsidRPr="00BC25E6">
        <w:rPr>
          <w:i/>
        </w:rPr>
        <w:t>VAIC</w:t>
      </w:r>
      <w:r w:rsidR="0037105B" w:rsidRPr="00BC25E6">
        <w:rPr>
          <w:i/>
        </w:rPr>
        <w:t>™</w:t>
      </w:r>
      <w:r w:rsidR="00AD7C8C">
        <w:rPr>
          <w:i/>
        </w:rPr>
        <w:t xml:space="preserve"> </w:t>
      </w:r>
      <w:r w:rsidR="00726A80">
        <w:rPr>
          <w:lang w:val="en-US"/>
        </w:rPr>
        <w:t xml:space="preserve"> </w:t>
      </w:r>
      <w:r w:rsidR="00726A80" w:rsidRPr="008D7AEA">
        <w:rPr>
          <w:lang w:val="en-US"/>
        </w:rPr>
        <w:t>–</w:t>
      </w:r>
      <w:r w:rsidR="00AD7C8C">
        <w:t xml:space="preserve"> </w:t>
      </w:r>
      <w:r w:rsidR="00D318AB">
        <w:t>Pridėtinės vertės intelektualusis koeficinetas (</w:t>
      </w:r>
      <w:r w:rsidR="00D318AB">
        <w:rPr>
          <w:i/>
        </w:rPr>
        <w:t xml:space="preserve">angl. </w:t>
      </w:r>
      <w:r w:rsidR="00D318AB">
        <w:t xml:space="preserve"> Value Added Intelektual Coeficient)</w:t>
      </w:r>
    </w:p>
    <w:p w:rsidR="0071286C" w:rsidRPr="00C746A6" w:rsidRDefault="0071286C" w:rsidP="00046A11">
      <w:pPr>
        <w:spacing w:line="480" w:lineRule="auto"/>
        <w:jc w:val="both"/>
        <w:rPr>
          <w:lang w:val="en-US"/>
        </w:rPr>
      </w:pPr>
      <w:r w:rsidRPr="00C746A6">
        <w:rPr>
          <w:i/>
        </w:rPr>
        <w:t>ICE</w:t>
      </w:r>
      <w:r w:rsidR="00C746A6">
        <w:t xml:space="preserve"> </w:t>
      </w:r>
      <w:r w:rsidR="00726A80" w:rsidRPr="008D7AEA">
        <w:rPr>
          <w:lang w:val="en-US"/>
        </w:rPr>
        <w:t>–</w:t>
      </w:r>
      <w:r w:rsidR="00C746A6">
        <w:t xml:space="preserve"> </w:t>
      </w:r>
      <w:r w:rsidR="00C746A6" w:rsidRPr="00C746A6">
        <w:rPr>
          <w:lang w:val="en-US"/>
        </w:rPr>
        <w:t>Intelektinio kapitalo efektyvumo koeficientas (angl. Intellectual Capital Efficiency )</w:t>
      </w:r>
    </w:p>
    <w:p w:rsidR="0071286C" w:rsidRPr="00BC25E6" w:rsidRDefault="0071286C" w:rsidP="00046A11">
      <w:pPr>
        <w:spacing w:line="480" w:lineRule="auto"/>
        <w:rPr>
          <w:i/>
        </w:rPr>
      </w:pPr>
      <w:r w:rsidRPr="00BC25E6">
        <w:rPr>
          <w:i/>
        </w:rPr>
        <w:t>CIV</w:t>
      </w:r>
      <w:r w:rsidR="00726A80">
        <w:t xml:space="preserve"> </w:t>
      </w:r>
      <w:r w:rsidR="00726A80" w:rsidRPr="008D7AEA">
        <w:rPr>
          <w:lang w:val="en-US"/>
        </w:rPr>
        <w:t>–</w:t>
      </w:r>
      <w:r w:rsidR="00C746A6">
        <w:t xml:space="preserve"> </w:t>
      </w:r>
      <w:r w:rsidR="00C746A6" w:rsidRPr="00F638B9">
        <w:t>apskaičiuojamoji nematerialioji vertė (</w:t>
      </w:r>
      <w:r w:rsidR="00C746A6" w:rsidRPr="00F638B9">
        <w:rPr>
          <w:i/>
        </w:rPr>
        <w:t>angl.</w:t>
      </w:r>
      <w:r w:rsidR="00C746A6" w:rsidRPr="00F638B9">
        <w:t xml:space="preserve"> Calculated Intangible Value)</w:t>
      </w:r>
    </w:p>
    <w:p w:rsidR="0071286C" w:rsidRPr="00C746A6" w:rsidRDefault="0071286C" w:rsidP="00046A11">
      <w:pPr>
        <w:spacing w:line="480" w:lineRule="auto"/>
        <w:jc w:val="both"/>
      </w:pPr>
      <w:r w:rsidRPr="00BC25E6">
        <w:rPr>
          <w:i/>
        </w:rPr>
        <w:t>VACA</w:t>
      </w:r>
      <w:r w:rsidR="00C746A6">
        <w:t xml:space="preserve"> </w:t>
      </w:r>
      <w:r w:rsidR="00726A80" w:rsidRPr="008D7AEA">
        <w:rPr>
          <w:lang w:val="en-US"/>
        </w:rPr>
        <w:t>–</w:t>
      </w:r>
      <w:r w:rsidR="00C746A6">
        <w:t xml:space="preserve"> </w:t>
      </w:r>
      <w:r w:rsidR="00C746A6" w:rsidRPr="003E7CAC">
        <w:t>samdomojo k</w:t>
      </w:r>
      <w:r w:rsidR="00C746A6">
        <w:t>apitalo efektyvumo koeficientas</w:t>
      </w:r>
      <w:r w:rsidR="008F7127">
        <w:t xml:space="preserve"> </w:t>
      </w:r>
    </w:p>
    <w:p w:rsidR="0071286C" w:rsidRPr="00C746A6" w:rsidRDefault="0071286C" w:rsidP="00046A11">
      <w:pPr>
        <w:spacing w:line="480" w:lineRule="auto"/>
        <w:jc w:val="both"/>
      </w:pPr>
      <w:r w:rsidRPr="00BC25E6">
        <w:rPr>
          <w:i/>
        </w:rPr>
        <w:t>VAHU</w:t>
      </w:r>
      <w:r w:rsidR="00C746A6">
        <w:t xml:space="preserve"> </w:t>
      </w:r>
      <w:r w:rsidR="00726A80" w:rsidRPr="008D7AEA">
        <w:rPr>
          <w:lang w:val="en-US"/>
        </w:rPr>
        <w:t>–</w:t>
      </w:r>
      <w:r w:rsidR="00C746A6">
        <w:t xml:space="preserve"> </w:t>
      </w:r>
      <w:r w:rsidR="00C746A6" w:rsidRPr="003E7CAC">
        <w:t>žmogiškojo k</w:t>
      </w:r>
      <w:r w:rsidR="00C746A6">
        <w:t>apitalo efektyvumo koeficientas</w:t>
      </w:r>
    </w:p>
    <w:p w:rsidR="0071286C" w:rsidRPr="00C746A6" w:rsidRDefault="0071286C" w:rsidP="00046A11">
      <w:pPr>
        <w:spacing w:line="480" w:lineRule="auto"/>
        <w:jc w:val="both"/>
      </w:pPr>
      <w:r w:rsidRPr="00BC25E6">
        <w:rPr>
          <w:i/>
        </w:rPr>
        <w:t>STVA</w:t>
      </w:r>
      <w:r w:rsidR="00C746A6">
        <w:t xml:space="preserve"> </w:t>
      </w:r>
      <w:r w:rsidR="00726A80" w:rsidRPr="008D7AEA">
        <w:rPr>
          <w:lang w:val="en-US"/>
        </w:rPr>
        <w:t>–</w:t>
      </w:r>
      <w:r w:rsidR="00726A80">
        <w:rPr>
          <w:lang w:val="en-US"/>
        </w:rPr>
        <w:t xml:space="preserve"> </w:t>
      </w:r>
      <w:r w:rsidR="00C746A6" w:rsidRPr="003E7CAC">
        <w:t>struktūrinio k</w:t>
      </w:r>
      <w:r w:rsidR="00C746A6">
        <w:t>apitalo efektyvumo koeficientas</w:t>
      </w:r>
    </w:p>
    <w:p w:rsidR="0071286C" w:rsidRPr="00C746A6" w:rsidRDefault="0071286C" w:rsidP="00046A11">
      <w:pPr>
        <w:spacing w:line="480" w:lineRule="auto"/>
      </w:pPr>
      <w:r w:rsidRPr="00BC25E6">
        <w:rPr>
          <w:i/>
        </w:rPr>
        <w:t>VA</w:t>
      </w:r>
      <w:r w:rsidR="00C746A6">
        <w:t xml:space="preserve"> </w:t>
      </w:r>
      <w:r w:rsidR="00726A80" w:rsidRPr="008D7AEA">
        <w:rPr>
          <w:lang w:val="en-US"/>
        </w:rPr>
        <w:t>–</w:t>
      </w:r>
      <w:r w:rsidR="00C746A6">
        <w:t xml:space="preserve"> įmonės pridėtinė vertė</w:t>
      </w:r>
    </w:p>
    <w:p w:rsidR="0071286C" w:rsidRDefault="0071286C" w:rsidP="00046A11">
      <w:pPr>
        <w:spacing w:line="480" w:lineRule="auto"/>
      </w:pPr>
      <w:r w:rsidRPr="00BC25E6">
        <w:rPr>
          <w:i/>
        </w:rPr>
        <w:t>HC</w:t>
      </w:r>
      <w:r w:rsidR="00C746A6">
        <w:t xml:space="preserve"> </w:t>
      </w:r>
      <w:r w:rsidR="00726A80" w:rsidRPr="008D7AEA">
        <w:rPr>
          <w:lang w:val="en-US"/>
        </w:rPr>
        <w:t>–</w:t>
      </w:r>
      <w:r w:rsidR="00C746A6">
        <w:t xml:space="preserve"> </w:t>
      </w:r>
      <w:r w:rsidR="00C746A6" w:rsidRPr="003E7CAC">
        <w:t>visas darb</w:t>
      </w:r>
      <w:r w:rsidR="00C746A6">
        <w:t>o užmokestis ir atlyginimai</w:t>
      </w:r>
    </w:p>
    <w:p w:rsidR="00C746A6" w:rsidRPr="003E7CAC" w:rsidRDefault="00C746A6" w:rsidP="00046A11">
      <w:pPr>
        <w:spacing w:line="480" w:lineRule="auto"/>
        <w:jc w:val="both"/>
      </w:pPr>
      <w:r w:rsidRPr="00C746A6">
        <w:rPr>
          <w:i/>
        </w:rPr>
        <w:t>CA</w:t>
      </w:r>
      <w:r>
        <w:t xml:space="preserve"> </w:t>
      </w:r>
      <w:r w:rsidR="00726A80" w:rsidRPr="008D7AEA">
        <w:rPr>
          <w:lang w:val="en-US"/>
        </w:rPr>
        <w:t>–</w:t>
      </w:r>
      <w:r w:rsidRPr="003E7CAC">
        <w:t xml:space="preserve"> Samdomas kapitalas (fizinis ir finansinis turtas)</w:t>
      </w:r>
    </w:p>
    <w:p w:rsidR="00C746A6" w:rsidRPr="00C746A6" w:rsidRDefault="00C746A6" w:rsidP="00046A11">
      <w:pPr>
        <w:spacing w:line="480" w:lineRule="auto"/>
      </w:pPr>
      <w:r w:rsidRPr="00C746A6">
        <w:rPr>
          <w:i/>
        </w:rPr>
        <w:t xml:space="preserve">ST </w:t>
      </w:r>
      <w:r w:rsidR="00726A80" w:rsidRPr="008D7AEA">
        <w:rPr>
          <w:lang w:val="en-US"/>
        </w:rPr>
        <w:t>–</w:t>
      </w:r>
      <w:r w:rsidRPr="003E7CAC">
        <w:t xml:space="preserve"> struktūrinis kapitalas, </w:t>
      </w:r>
    </w:p>
    <w:p w:rsidR="0037105B" w:rsidRPr="00AD7C8C" w:rsidRDefault="0037105B" w:rsidP="00046A11">
      <w:pPr>
        <w:spacing w:line="480" w:lineRule="auto"/>
      </w:pPr>
      <w:r w:rsidRPr="00BC25E6">
        <w:rPr>
          <w:i/>
        </w:rPr>
        <w:t>OMX Vilnius</w:t>
      </w:r>
      <w:r w:rsidR="00AD7C8C">
        <w:rPr>
          <w:i/>
        </w:rPr>
        <w:t xml:space="preserve"> – </w:t>
      </w:r>
      <w:r w:rsidR="00AD7C8C" w:rsidRPr="00AD7C8C">
        <w:t xml:space="preserve">Vertybinių popierių birža NASDAQ OMX Vilnius </w:t>
      </w:r>
    </w:p>
    <w:p w:rsidR="00AD7C8C" w:rsidRDefault="0037105B" w:rsidP="00046A11">
      <w:pPr>
        <w:spacing w:line="480" w:lineRule="auto"/>
      </w:pPr>
      <w:r w:rsidRPr="00BC25E6">
        <w:rPr>
          <w:i/>
        </w:rPr>
        <w:t>OMX Talinas</w:t>
      </w:r>
      <w:r w:rsidR="00AD7C8C">
        <w:t xml:space="preserve"> </w:t>
      </w:r>
      <w:r w:rsidR="00726A80" w:rsidRPr="008D7AEA">
        <w:rPr>
          <w:lang w:val="en-US"/>
        </w:rPr>
        <w:t>–</w:t>
      </w:r>
      <w:r w:rsidR="00726A80">
        <w:rPr>
          <w:lang w:val="en-US"/>
        </w:rPr>
        <w:t xml:space="preserve"> </w:t>
      </w:r>
      <w:r w:rsidR="00AD7C8C" w:rsidRPr="00AD7C8C">
        <w:t xml:space="preserve">Vertybinių popierių birža NASDAQ </w:t>
      </w:r>
      <w:r w:rsidR="00AD7C8C">
        <w:t>OMX Talinas</w:t>
      </w:r>
      <w:r w:rsidR="00AD7C8C" w:rsidRPr="00AD7C8C">
        <w:t xml:space="preserve"> </w:t>
      </w:r>
    </w:p>
    <w:p w:rsidR="003B07DC" w:rsidRPr="008D7AEA" w:rsidRDefault="0071286C" w:rsidP="008F7127">
      <w:pPr>
        <w:tabs>
          <w:tab w:val="left" w:pos="10205"/>
        </w:tabs>
        <w:spacing w:line="360" w:lineRule="auto"/>
        <w:jc w:val="center"/>
        <w:rPr>
          <w:b/>
          <w:sz w:val="32"/>
          <w:szCs w:val="32"/>
        </w:rPr>
      </w:pPr>
      <w:r w:rsidRPr="00BC25E6">
        <w:rPr>
          <w:b/>
        </w:rPr>
        <w:br w:type="column"/>
      </w:r>
      <w:r w:rsidR="003B07DC" w:rsidRPr="008D7AEA">
        <w:rPr>
          <w:b/>
          <w:sz w:val="32"/>
          <w:szCs w:val="32"/>
        </w:rPr>
        <w:t>ĮVADAS</w:t>
      </w:r>
    </w:p>
    <w:p w:rsidR="003B07DC" w:rsidRPr="008D7AEA" w:rsidRDefault="003B07DC" w:rsidP="008F7127">
      <w:pPr>
        <w:tabs>
          <w:tab w:val="left" w:pos="10205"/>
        </w:tabs>
        <w:spacing w:line="360" w:lineRule="auto"/>
        <w:jc w:val="center"/>
        <w:rPr>
          <w:b/>
          <w:sz w:val="32"/>
          <w:szCs w:val="32"/>
        </w:rPr>
      </w:pPr>
    </w:p>
    <w:p w:rsidR="003B07DC" w:rsidRPr="008D7AEA" w:rsidRDefault="003B07DC" w:rsidP="003B07DC">
      <w:pPr>
        <w:spacing w:line="360" w:lineRule="auto"/>
        <w:ind w:firstLine="567"/>
        <w:jc w:val="both"/>
        <w:rPr>
          <w:b/>
          <w:bCs/>
        </w:rPr>
      </w:pPr>
      <w:r w:rsidRPr="008D7AEA">
        <w:rPr>
          <w:b/>
          <w:bCs/>
        </w:rPr>
        <w:t xml:space="preserve">Tyrimo aktualumas ir naujumas. </w:t>
      </w:r>
      <w:r w:rsidRPr="008D7AEA">
        <w:rPr>
          <w:lang w:val="en-US"/>
        </w:rPr>
        <w:t>Šiuolaikinėje beisikeičiančioje ekonominėje erdvėje</w:t>
      </w:r>
      <w:r w:rsidRPr="008D7AEA">
        <w:rPr>
          <w:bCs/>
        </w:rPr>
        <w:t xml:space="preserve"> viskas keičiasi labai sparčiai, todėl organizacijoms sunku išlaikyti konkurencinį pranašumą ir sukurti kuo daugiau pridėtinės vertės. Įmonės, kurios orientuotos ne tik į materialųjį turtą, bet ir nematerialųjį turtą turi daugiau galimybių būti sėkmingos. Informacijos ir žinių augimą lėmė padidėjęs susidomėjimas intelekt</w:t>
      </w:r>
      <w:r w:rsidR="00985610">
        <w:rPr>
          <w:bCs/>
        </w:rPr>
        <w:t>iniu kapitalu. Nors daugelį metų</w:t>
      </w:r>
      <w:r w:rsidRPr="008D7AEA">
        <w:rPr>
          <w:bCs/>
        </w:rPr>
        <w:t>, tai reiškė tiesiog prekės ženklą, tačiau šiuolaikinėje organizacijoje intelektinis kapitalas yra suprantamas plačiau, kaip taikomųjų žinių, darbuotojų kompetencijos, patirties, naudojamų informacinių sistemų, klientų, profesinių įgūdžių, kurie grindžiami teisingu valdymo keliu: organizacijai didinant konkurencingumą, kuriant pridė</w:t>
      </w:r>
      <w:r w:rsidR="00985610">
        <w:rPr>
          <w:bCs/>
        </w:rPr>
        <w:t>tinę vertę, organizacijos plėtrą</w:t>
      </w:r>
      <w:r w:rsidRPr="008D7AEA">
        <w:rPr>
          <w:bCs/>
        </w:rPr>
        <w:t>.</w:t>
      </w:r>
      <w:r w:rsidR="00985610">
        <w:rPr>
          <w:lang w:val="en-US"/>
        </w:rPr>
        <w:t xml:space="preserve"> Tačiau dauguma į</w:t>
      </w:r>
      <w:r w:rsidRPr="008D7AEA">
        <w:rPr>
          <w:lang w:val="en-US"/>
        </w:rPr>
        <w:t>monių vis dar nepripažįsta intelektinio kapitalo svarbos arba nesugeba jo panau</w:t>
      </w:r>
      <w:r w:rsidR="00452578">
        <w:rPr>
          <w:lang w:val="en-US"/>
        </w:rPr>
        <w:t>doti savo kasdieninėje veikloje</w:t>
      </w:r>
      <w:r w:rsidRPr="008D7AEA">
        <w:rPr>
          <w:lang w:val="en-US"/>
        </w:rPr>
        <w:t>.</w:t>
      </w:r>
    </w:p>
    <w:p w:rsidR="003B07DC" w:rsidRPr="008D7AEA" w:rsidRDefault="003B07DC" w:rsidP="003B07DC">
      <w:pPr>
        <w:spacing w:line="360" w:lineRule="auto"/>
        <w:ind w:firstLine="567"/>
        <w:jc w:val="both"/>
        <w:rPr>
          <w:lang w:val="en-US"/>
        </w:rPr>
      </w:pPr>
      <w:r w:rsidRPr="008D7AEA">
        <w:rPr>
          <w:lang w:val="en-US"/>
        </w:rPr>
        <w:t>Tačiau iškyla problemų, nes intelektinio kapitalo vertinimo bei jo įtakos organizacijų veiklos efektyvumui klausimas vis dar išlieka  n</w:t>
      </w:r>
      <w:r w:rsidRPr="008D7AEA">
        <w:t xml:space="preserve">eaiškus </w:t>
      </w:r>
      <w:r w:rsidRPr="008D7AEA">
        <w:rPr>
          <w:lang w:val="en-US"/>
        </w:rPr>
        <w:t>ne tik šalies viduje, bet ir užsienyje. Intelektiniu kapitalu užsienio mokslininkai susidomėjo XX amžiaus aštuntajame dešimtmetyje, ir tai tapo jų tyrimų objektais, tačiau šios sąvokos nėra galutinai ištirtos ir vis atrandama naujų tezių bei raiškos formų. Be to, organizacijose intelektinis kapitalas vis dar teorinio lygio, todėl ši tema svarbi praktiniu požiūriu.</w:t>
      </w:r>
    </w:p>
    <w:p w:rsidR="003B07DC" w:rsidRPr="008D7AEA" w:rsidRDefault="003B07DC" w:rsidP="003B07DC">
      <w:pPr>
        <w:spacing w:line="360" w:lineRule="auto"/>
        <w:ind w:firstLine="567"/>
        <w:jc w:val="both"/>
        <w:rPr>
          <w:lang w:val="en-US"/>
        </w:rPr>
      </w:pPr>
      <w:r w:rsidRPr="008D7AEA">
        <w:rPr>
          <w:lang w:val="en-US"/>
        </w:rPr>
        <w:t xml:space="preserve"> </w:t>
      </w:r>
      <w:r w:rsidRPr="008D7AEA">
        <w:rPr>
          <w:bCs/>
        </w:rPr>
        <w:t xml:space="preserve">Svarbus aspektas yra tai, jog intelektinis kapitalas turi išskirtinį bruožą veikti, kaip strategiškai svarbaus vertės kūrimo veiksnys. Jo potencialas kurti vertę, išsiskiria, kaip strategiškai svarbaus naujų verslo sąlygų, kaip žinių, naujovių, tinklų, nematerialusis turtas, iš kitų objektų. </w:t>
      </w:r>
      <w:r w:rsidRPr="008D7AEA">
        <w:rPr>
          <w:lang w:val="en-US"/>
        </w:rPr>
        <w:t xml:space="preserve">Ir tai tampa pagrindiniu konkurencingumo </w:t>
      </w:r>
      <w:r w:rsidRPr="00452578">
        <w:rPr>
          <w:lang w:val="en-US"/>
        </w:rPr>
        <w:t xml:space="preserve">veiksniu. </w:t>
      </w:r>
      <w:r w:rsidRPr="00452578">
        <w:rPr>
          <w:bCs/>
        </w:rPr>
        <w:t>Be to, taip</w:t>
      </w:r>
      <w:r w:rsidRPr="008D7AEA">
        <w:rPr>
          <w:bCs/>
        </w:rPr>
        <w:t xml:space="preserve"> organizacija gali gebėti išlikti rinkos lydere ilgalaikėje perspektyvoje. Intelektinis kapitalas yra glaudžiai  susijęs su tuo, jog strategiškai svarbus yra intelektinių išteklių, taip pat žinių, kultūros, intelektinio kapitalo, inovacijų ir rinkos dalyvių santykių, konsolidavimas ir jų valdymas. </w:t>
      </w:r>
      <w:r w:rsidRPr="008D7AEA">
        <w:rPr>
          <w:lang w:val="en-US"/>
        </w:rPr>
        <w:t>Tačiau akivaizdu, visa tai yra sunkiau išreikšti piniginiais ar kitais svorio matais.</w:t>
      </w:r>
    </w:p>
    <w:p w:rsidR="003B07DC" w:rsidRPr="008D7AEA" w:rsidRDefault="003B07DC" w:rsidP="003B07DC">
      <w:pPr>
        <w:spacing w:line="360" w:lineRule="auto"/>
        <w:ind w:firstLine="567"/>
        <w:jc w:val="both"/>
      </w:pPr>
      <w:r w:rsidRPr="008D7AEA">
        <w:rPr>
          <w:lang w:val="en-US"/>
        </w:rPr>
        <w:t xml:space="preserve">Šiuo metu Lietuva vis dar negali pasigirti didelę pridėtinę vertę kuriančių verslo įmonių gausa, ir pati šalies vyriausybė tik pradeda suvokti pridėtinės vertės kūrimo ir jos didinimo svarbą visai šalies ekonomikai. Tačiau biržoje </w:t>
      </w:r>
      <w:r w:rsidRPr="008D7AEA">
        <w:rPr>
          <w:bCs/>
        </w:rPr>
        <w:t xml:space="preserve">listinguojamos įmonės yra viena tokių sričių </w:t>
      </w:r>
      <w:r w:rsidRPr="008D7AEA">
        <w:rPr>
          <w:lang w:val="en-US"/>
        </w:rPr>
        <w:t xml:space="preserve">kurioje gali būti geriausiai viešai matomas intelektinio kapitalo dalyvavimas. Investuotojui gali būti ganėtinai sunku įvertinti </w:t>
      </w:r>
      <w:r w:rsidRPr="008D7AEA">
        <w:t>įmonės patrauklumą pagal tiesiogiai tradicinėse finans</w:t>
      </w:r>
      <w:r w:rsidR="00985610">
        <w:t>ų ataskaitose pateikiamą</w:t>
      </w:r>
      <w:r w:rsidRPr="008D7AEA">
        <w:t xml:space="preserve"> informaciją, o intelektinio kapitalo ataskaitas pateikia mažai įmonių, kadangi ši informacija nėra privaloma skelbti, o ir moksliniai intelektinio kapitalo vertinimo modeliai labiau orientuoti į įmonių valdymo sprendmų priėmimą. Taip pasireiškia temos aktualumas, t</w:t>
      </w:r>
      <w:r w:rsidRPr="008D7AEA">
        <w:rPr>
          <w:lang w:val="en-US"/>
        </w:rPr>
        <w:t>odėl verta, kaip finansų rinkų specialistei, apskaičiuoti biržoje kotiruojamų įmonių intelektinio kapitalo vertę ir ateities perspektyvas ir šalia tradicinių pelningumo rodiklių skaičiavimo metodų pateikti ir intelektinio kapitalo skaičiavimo metodus, kurie labiau ats</w:t>
      </w:r>
      <w:r w:rsidR="00D9648F" w:rsidRPr="008D7AEA">
        <w:rPr>
          <w:lang w:val="en-US"/>
        </w:rPr>
        <w:t xml:space="preserve">pindi </w:t>
      </w:r>
      <w:r w:rsidR="00452578">
        <w:rPr>
          <w:lang w:val="en-US"/>
        </w:rPr>
        <w:t>vertinamų įmonių vertę. Anot mokslininkų</w:t>
      </w:r>
      <w:r w:rsidRPr="008D7AEA">
        <w:rPr>
          <w:lang w:val="en-US"/>
        </w:rPr>
        <w:t>, intelektinio kapitalo ištekliai turėtų būti įtraukti į organizacijos vertinimo ataskaitas, nes tradiciniai finansiniai svertai atspindi tik materialųjį įmonės turt</w:t>
      </w:r>
      <w:r w:rsidRPr="008D7AEA">
        <w:t>ą</w:t>
      </w:r>
      <w:r w:rsidRPr="008D7AEA">
        <w:rPr>
          <w:lang w:val="en-US"/>
        </w:rPr>
        <w:t xml:space="preserve">. </w:t>
      </w:r>
    </w:p>
    <w:p w:rsidR="003B07DC" w:rsidRPr="001E38E9" w:rsidRDefault="003B07DC" w:rsidP="003B07DC">
      <w:pPr>
        <w:spacing w:line="360" w:lineRule="auto"/>
        <w:ind w:firstLine="567"/>
        <w:jc w:val="both"/>
        <w:rPr>
          <w:bCs/>
          <w:color w:val="FF0000"/>
        </w:rPr>
      </w:pPr>
      <w:r w:rsidRPr="008D7AEA">
        <w:rPr>
          <w:b/>
          <w:bCs/>
        </w:rPr>
        <w:t xml:space="preserve">Tyrimo problema. </w:t>
      </w:r>
      <w:r w:rsidRPr="008D7AEA">
        <w:rPr>
          <w:bCs/>
        </w:rPr>
        <w:t xml:space="preserve">Specialistų vertinimu, dažna šalies verslo organizacija nepakankamai išnaudoja savo intelektinio kapitalo valdymo galimybes, nors pripažįsta jo svarbą įmonės veiklos efektyvumui. </w:t>
      </w:r>
      <w:r w:rsidRPr="008D7AEA">
        <w:t xml:space="preserve">Intelektinis kapitalas įtakoja įmonių pridėtinės vertės kūrimąsi, rezultatus ir optimistines perspektyvas, yra svarbus tiek vidiniams, tiek išoriniams įmonėms poreikiams bei vartotojams, o ypač </w:t>
      </w:r>
      <w:r w:rsidRPr="002E23B4">
        <w:t>tokiems kaip investuotojai</w:t>
      </w:r>
      <w:r w:rsidR="006D57F3" w:rsidRPr="002E23B4">
        <w:t>, partneriai</w:t>
      </w:r>
      <w:r w:rsidRPr="002E23B4">
        <w:t xml:space="preserve">. </w:t>
      </w:r>
      <w:r w:rsidRPr="002E23B4">
        <w:rPr>
          <w:bCs/>
        </w:rPr>
        <w:t xml:space="preserve">Svarbu suvokti, jog verslo įmonė turi investuoti į intelektinį kapitalą ir tinkamai jį valdyti, norint sulaukti atitinkamos įmonės veiklos sėkmės. </w:t>
      </w:r>
      <w:r w:rsidR="003B35B5" w:rsidRPr="002E23B4">
        <w:rPr>
          <w:bCs/>
        </w:rPr>
        <w:t xml:space="preserve">Ar galima prilyginti </w:t>
      </w:r>
      <w:r w:rsidR="003B35B5" w:rsidRPr="00B37523">
        <w:rPr>
          <w:bCs/>
        </w:rPr>
        <w:t xml:space="preserve">įmonės </w:t>
      </w:r>
      <w:r w:rsidR="002E23B4" w:rsidRPr="00B37523">
        <w:rPr>
          <w:bCs/>
        </w:rPr>
        <w:t>intelektinio kapitalo svarbą finansiniam</w:t>
      </w:r>
      <w:r w:rsidR="003B35B5" w:rsidRPr="00B37523">
        <w:rPr>
          <w:bCs/>
        </w:rPr>
        <w:t xml:space="preserve">s </w:t>
      </w:r>
      <w:r w:rsidR="002E23B4" w:rsidRPr="00B37523">
        <w:rPr>
          <w:bCs/>
        </w:rPr>
        <w:t xml:space="preserve">įmonių rezultatams ir ar galima juos vertinti tolygiai? Taip išorinis intelektinio kapitalo vertinimas tampa komplikuotas. </w:t>
      </w:r>
      <w:r w:rsidRPr="00B37523">
        <w:rPr>
          <w:bCs/>
        </w:rPr>
        <w:t xml:space="preserve">O tai ypač svarbu </w:t>
      </w:r>
      <w:r w:rsidR="002E23B4" w:rsidRPr="00B37523">
        <w:rPr>
          <w:bCs/>
        </w:rPr>
        <w:t>norint teigiamai reprezentuoti įmonę bei siekiant įtikinti ir pritraukti investuotoją.</w:t>
      </w:r>
      <w:r w:rsidRPr="00B37523">
        <w:rPr>
          <w:bCs/>
        </w:rPr>
        <w:t xml:space="preserve"> Taip iškyla probleminis klausimas: Kaip verti</w:t>
      </w:r>
      <w:r w:rsidR="00844146" w:rsidRPr="00B37523">
        <w:rPr>
          <w:bCs/>
        </w:rPr>
        <w:t>nti intelektinio kapitalą</w:t>
      </w:r>
      <w:r w:rsidRPr="00B37523">
        <w:rPr>
          <w:bCs/>
        </w:rPr>
        <w:t xml:space="preserve"> </w:t>
      </w:r>
      <w:r w:rsidR="00985610">
        <w:rPr>
          <w:bCs/>
        </w:rPr>
        <w:t>biržoje listinguojamose įmonėse?</w:t>
      </w:r>
    </w:p>
    <w:p w:rsidR="003B07DC" w:rsidRPr="00B37523" w:rsidRDefault="003B07DC" w:rsidP="003B07DC">
      <w:pPr>
        <w:spacing w:line="360" w:lineRule="auto"/>
        <w:ind w:firstLine="567"/>
        <w:jc w:val="both"/>
        <w:rPr>
          <w:lang w:val="en-US"/>
        </w:rPr>
      </w:pPr>
      <w:r w:rsidRPr="009955E0">
        <w:rPr>
          <w:lang w:val="en-US"/>
        </w:rPr>
        <w:t xml:space="preserve">Todėl šiame darbe bus siekama sukurti modelį, kuriuo remiantis būtų galima indetifikuoti biržoje listinguojamų įmonių intelektinį kapitalą, kaip įmonių stipriąsias savybes, kurios padeda pasiekti konkurencinį pranašumą rinkoje. </w:t>
      </w:r>
      <w:r w:rsidR="009955E0" w:rsidRPr="009955E0">
        <w:rPr>
          <w:lang w:val="en-US"/>
        </w:rPr>
        <w:t xml:space="preserve">O ryšio nustatymas tarp finansinės įmonės sėkmės ir intelektualiosios įmonės pusės </w:t>
      </w:r>
      <w:r w:rsidRPr="009955E0">
        <w:rPr>
          <w:lang w:val="en-US"/>
        </w:rPr>
        <w:t>gali sąlygoti organizacijos stiprias konkurencines pozicijas, o tuo tarpu ir investuotojų domėjimąsi įmone.</w:t>
      </w:r>
      <w:r w:rsidRPr="001E38E9">
        <w:rPr>
          <w:color w:val="FF0000"/>
          <w:lang w:val="en-US"/>
        </w:rPr>
        <w:t xml:space="preserve"> </w:t>
      </w:r>
      <w:r w:rsidRPr="00B37523">
        <w:rPr>
          <w:lang w:val="en-US"/>
        </w:rPr>
        <w:t xml:space="preserve">To pasekoje bus siekama išnagrinėti įmonių intelektinio kapitalo įvertinimo prieinamumą pasinaudojant viešosiomis informacijos skleidimo priemonėmis. </w:t>
      </w:r>
    </w:p>
    <w:p w:rsidR="003B07DC" w:rsidRPr="001E38E9" w:rsidRDefault="003B07DC" w:rsidP="003B07DC">
      <w:pPr>
        <w:spacing w:line="360" w:lineRule="auto"/>
        <w:ind w:firstLine="567"/>
        <w:jc w:val="both"/>
        <w:rPr>
          <w:bCs/>
        </w:rPr>
      </w:pPr>
      <w:r w:rsidRPr="001E38E9">
        <w:rPr>
          <w:b/>
          <w:bCs/>
        </w:rPr>
        <w:t xml:space="preserve">Tyrimo objektas. </w:t>
      </w:r>
      <w:r w:rsidR="00D318AB" w:rsidRPr="001E38E9">
        <w:rPr>
          <w:bCs/>
        </w:rPr>
        <w:t xml:space="preserve">Biržoje </w:t>
      </w:r>
      <w:r w:rsidRPr="001E38E9">
        <w:rPr>
          <w:bCs/>
        </w:rPr>
        <w:t>listinguojamų įmonių intelektinis kapitalas.</w:t>
      </w:r>
    </w:p>
    <w:p w:rsidR="003B07DC" w:rsidRPr="003B35B5" w:rsidRDefault="003B35B5" w:rsidP="003B07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bCs/>
        </w:rPr>
      </w:pPr>
      <w:r>
        <w:rPr>
          <w:b/>
          <w:bCs/>
        </w:rPr>
        <w:t>Tyrimo hipotezė</w:t>
      </w:r>
      <w:r w:rsidR="003B07DC" w:rsidRPr="008D7AEA">
        <w:rPr>
          <w:b/>
          <w:bCs/>
        </w:rPr>
        <w:t xml:space="preserve">: </w:t>
      </w:r>
      <w:r w:rsidR="00E47BB2" w:rsidRPr="00E47BB2">
        <w:rPr>
          <w:bCs/>
        </w:rPr>
        <w:t>Daroma prielaida, kad yra santykinis ryšys tarp įmonių</w:t>
      </w:r>
      <w:r w:rsidR="00E47BB2">
        <w:rPr>
          <w:bCs/>
        </w:rPr>
        <w:t xml:space="preserve"> </w:t>
      </w:r>
      <w:r w:rsidR="00E47BB2" w:rsidRPr="003B35B5">
        <w:rPr>
          <w:bCs/>
        </w:rPr>
        <w:t xml:space="preserve">finansinių ir nefinansinių </w:t>
      </w:r>
      <w:r w:rsidR="00E47BB2">
        <w:rPr>
          <w:bCs/>
        </w:rPr>
        <w:t xml:space="preserve">intelektinio kapitalo </w:t>
      </w:r>
      <w:r w:rsidR="00D669D9">
        <w:rPr>
          <w:bCs/>
        </w:rPr>
        <w:t xml:space="preserve">lygio </w:t>
      </w:r>
      <w:r w:rsidR="00E47BB2">
        <w:rPr>
          <w:bCs/>
        </w:rPr>
        <w:t>vertinimo</w:t>
      </w:r>
      <w:r w:rsidR="00E47BB2" w:rsidRPr="003B35B5">
        <w:rPr>
          <w:bCs/>
        </w:rPr>
        <w:t xml:space="preserve"> rodikl</w:t>
      </w:r>
      <w:r w:rsidR="00E47BB2">
        <w:rPr>
          <w:bCs/>
        </w:rPr>
        <w:t>i</w:t>
      </w:r>
      <w:r w:rsidR="00E47BB2" w:rsidRPr="003B35B5">
        <w:rPr>
          <w:bCs/>
        </w:rPr>
        <w:t>ų</w:t>
      </w:r>
      <w:r w:rsidR="00D669D9">
        <w:rPr>
          <w:bCs/>
        </w:rPr>
        <w:t>.</w:t>
      </w:r>
    </w:p>
    <w:p w:rsidR="003B07DC" w:rsidRPr="00452578" w:rsidRDefault="003B07DC" w:rsidP="004525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bCs/>
        </w:rPr>
      </w:pPr>
      <w:r w:rsidRPr="00452578">
        <w:rPr>
          <w:b/>
          <w:bCs/>
        </w:rPr>
        <w:t xml:space="preserve">Tyrimo tikslas. </w:t>
      </w:r>
      <w:r w:rsidRPr="00452578">
        <w:rPr>
          <w:bCs/>
        </w:rPr>
        <w:t xml:space="preserve">Atskleisti intelektinio kapitalo koncepciją ir įvertinti </w:t>
      </w:r>
      <w:r w:rsidR="00DE5C17">
        <w:rPr>
          <w:bCs/>
        </w:rPr>
        <w:t xml:space="preserve">biržoje </w:t>
      </w:r>
      <w:r w:rsidRPr="00452578">
        <w:rPr>
          <w:bCs/>
        </w:rPr>
        <w:t>listinguoj</w:t>
      </w:r>
      <w:r w:rsidR="00DE5C17">
        <w:rPr>
          <w:bCs/>
        </w:rPr>
        <w:t>amų įmonių intelektinį kapitalą</w:t>
      </w:r>
      <w:r w:rsidRPr="00452578">
        <w:rPr>
          <w:bCs/>
        </w:rPr>
        <w:t>.</w:t>
      </w:r>
    </w:p>
    <w:p w:rsidR="003B07DC" w:rsidRPr="008D7AEA" w:rsidRDefault="003B07DC" w:rsidP="003B07DC">
      <w:pPr>
        <w:spacing w:line="360" w:lineRule="auto"/>
        <w:ind w:firstLine="567"/>
        <w:jc w:val="both"/>
        <w:rPr>
          <w:b/>
          <w:bCs/>
          <w:lang w:val="en-US"/>
        </w:rPr>
      </w:pPr>
      <w:r w:rsidRPr="008D7AEA">
        <w:rPr>
          <w:b/>
          <w:bCs/>
        </w:rPr>
        <w:t>Tyrimo uždaviniai:</w:t>
      </w:r>
      <w:r w:rsidRPr="008D7AEA">
        <w:rPr>
          <w:b/>
          <w:bCs/>
          <w:lang w:val="en-US"/>
        </w:rPr>
        <w:t xml:space="preserve"> </w:t>
      </w:r>
    </w:p>
    <w:p w:rsidR="003B07DC" w:rsidRPr="008D7AEA" w:rsidRDefault="003B07DC" w:rsidP="003B07DC">
      <w:pPr>
        <w:numPr>
          <w:ilvl w:val="0"/>
          <w:numId w:val="5"/>
        </w:numPr>
        <w:spacing w:line="360" w:lineRule="auto"/>
        <w:ind w:left="0" w:firstLine="567"/>
        <w:jc w:val="both"/>
        <w:rPr>
          <w:bCs/>
          <w:lang w:val="en-US"/>
        </w:rPr>
      </w:pPr>
      <w:r w:rsidRPr="008D7AEA">
        <w:rPr>
          <w:bCs/>
          <w:lang w:val="en-US"/>
        </w:rPr>
        <w:t>Atskleisti intelektinio kapitalo sampratą, valdymo ypatumus bei svarbą organizacijai.</w:t>
      </w:r>
    </w:p>
    <w:p w:rsidR="003B07DC" w:rsidRPr="006B7464" w:rsidRDefault="003B07DC" w:rsidP="006B7464">
      <w:pPr>
        <w:numPr>
          <w:ilvl w:val="0"/>
          <w:numId w:val="5"/>
        </w:numPr>
        <w:spacing w:line="360" w:lineRule="auto"/>
        <w:ind w:left="0" w:firstLine="567"/>
        <w:jc w:val="both"/>
        <w:rPr>
          <w:bCs/>
          <w:lang w:val="en-US"/>
        </w:rPr>
      </w:pPr>
      <w:r w:rsidRPr="008D7AEA">
        <w:rPr>
          <w:lang w:val="en-US"/>
        </w:rPr>
        <w:t>Išnagrinėti intelekt</w:t>
      </w:r>
      <w:r w:rsidR="006B7464">
        <w:rPr>
          <w:lang w:val="en-US"/>
        </w:rPr>
        <w:t>inio kapitalo vertinimo metodus bei p</w:t>
      </w:r>
      <w:r w:rsidR="00FB3115" w:rsidRPr="006B7464">
        <w:rPr>
          <w:lang w:val="en-US"/>
        </w:rPr>
        <w:t>ateikti vertinimo modelį</w:t>
      </w:r>
      <w:r w:rsidRPr="006B7464">
        <w:rPr>
          <w:lang w:val="en-US"/>
        </w:rPr>
        <w:t xml:space="preserve"> įmonių intelektiniam kapitalui nustatyti</w:t>
      </w:r>
      <w:r w:rsidR="00DE5C17" w:rsidRPr="006B7464">
        <w:rPr>
          <w:lang w:val="en-US"/>
        </w:rPr>
        <w:t xml:space="preserve"> ir įvertinti</w:t>
      </w:r>
      <w:r w:rsidR="00FB3115" w:rsidRPr="006B7464">
        <w:rPr>
          <w:lang w:val="en-US"/>
        </w:rPr>
        <w:t>.</w:t>
      </w:r>
    </w:p>
    <w:p w:rsidR="00AC0651" w:rsidRPr="006B7464" w:rsidRDefault="003B07DC" w:rsidP="006B7464">
      <w:pPr>
        <w:numPr>
          <w:ilvl w:val="0"/>
          <w:numId w:val="5"/>
        </w:numPr>
        <w:spacing w:line="360" w:lineRule="auto"/>
        <w:ind w:left="0" w:firstLine="567"/>
        <w:jc w:val="both"/>
        <w:rPr>
          <w:bCs/>
          <w:lang w:val="en-US"/>
        </w:rPr>
      </w:pPr>
      <w:r w:rsidRPr="008D7AEA">
        <w:rPr>
          <w:bCs/>
          <w:lang w:val="en-US"/>
        </w:rPr>
        <w:t>Įvertinti vertybinių popierių biržoje kotiruojamų įmonių intelektinio kapitalo lygį.</w:t>
      </w:r>
    </w:p>
    <w:p w:rsidR="003B07DC" w:rsidRPr="008D7AEA" w:rsidRDefault="003B07DC" w:rsidP="003B07DC">
      <w:pPr>
        <w:spacing w:line="360" w:lineRule="auto"/>
        <w:ind w:firstLine="567"/>
      </w:pPr>
      <w:r w:rsidRPr="008D7AEA">
        <w:rPr>
          <w:b/>
          <w:bCs/>
        </w:rPr>
        <w:t xml:space="preserve">Tyrimo metodai: </w:t>
      </w:r>
      <w:r w:rsidRPr="008D7AEA">
        <w:rPr>
          <w:bCs/>
        </w:rPr>
        <w:t>Pagrindiniai tyrimo metodai – mokslinės literatūros ir statistinių duomenų analizė.</w:t>
      </w:r>
      <w:r w:rsidRPr="008D7AEA">
        <w:t xml:space="preserve"> </w:t>
      </w:r>
    </w:p>
    <w:p w:rsidR="003B07DC" w:rsidRPr="008D7AEA" w:rsidRDefault="003B07DC" w:rsidP="003B07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sidRPr="008D7AEA">
        <w:rPr>
          <w:lang w:val="en-US"/>
        </w:rPr>
        <w:t xml:space="preserve">Teorinėje darbo dalyje atliekama mokslinės literatūros šaltinių analizė, sintezė ir apibendrinimas,  </w:t>
      </w:r>
      <w:r w:rsidRPr="008D7AEA">
        <w:rPr>
          <w:bCs/>
        </w:rPr>
        <w:t>konceptualizavimas,</w:t>
      </w:r>
      <w:r w:rsidRPr="008D7AEA">
        <w:rPr>
          <w:lang w:val="en-US"/>
        </w:rPr>
        <w:t xml:space="preserve"> išsirenkant ir analizuojant įvairias tiriamą temą aprašančias mokslines knygas, publikacijas, interneto šaltinius ir kitus pasiekiamus informacijos šaltinius, analizuojama tema. Lyginimosios analiz</w:t>
      </w:r>
      <w:r w:rsidRPr="008D7AEA">
        <w:t>ės</w:t>
      </w:r>
      <w:r w:rsidRPr="008D7AEA">
        <w:rPr>
          <w:lang w:val="en-US"/>
        </w:rPr>
        <w:t xml:space="preserve"> metodas naudojamas, norint atskleisti įvairių autorių samprotavimus</w:t>
      </w:r>
      <w:r w:rsidR="00452578">
        <w:rPr>
          <w:lang w:val="en-US"/>
        </w:rPr>
        <w:t xml:space="preserve"> apie intelektinį kapitalą ir j</w:t>
      </w:r>
      <w:r w:rsidRPr="008D7AEA">
        <w:rPr>
          <w:lang w:val="en-US"/>
        </w:rPr>
        <w:t>o svarbą organizacijoje.</w:t>
      </w:r>
    </w:p>
    <w:p w:rsidR="003B07DC" w:rsidRPr="008D7AEA" w:rsidRDefault="003B07DC" w:rsidP="003B07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sidRPr="008D7AEA">
        <w:rPr>
          <w:lang w:val="en-US"/>
        </w:rPr>
        <w:t>Analitinėje darbo dalyje analizuojant statistinius duomenis, naudojami kiekybiniai matematinės statistikos ir duomenų analizės metodai</w:t>
      </w:r>
      <w:r w:rsidR="00275D67">
        <w:rPr>
          <w:lang w:val="en-US"/>
        </w:rPr>
        <w:t>.</w:t>
      </w:r>
      <w:r w:rsidRPr="008D7AEA">
        <w:rPr>
          <w:lang w:val="en-US"/>
        </w:rPr>
        <w:t xml:space="preserve"> Santykinių rodiklių skaičiavimas, statistinių duomenų analizė, sisteminimas, lyginimas bei grafinio interpretavimo metodai, koreliacinė analizė. Lyginamosios analizės metodas naudojamas siekiant išsiaiškinti įmonių intelektinio kapitalo panašumus bei skirtumus. Tyrimas buvo atliktas, remiantis vertybinių pop</w:t>
      </w:r>
      <w:r w:rsidR="00D318AB">
        <w:rPr>
          <w:lang w:val="en-US"/>
        </w:rPr>
        <w:t>ierių biržų,</w:t>
      </w:r>
      <w:r w:rsidRPr="008D7AEA">
        <w:rPr>
          <w:lang w:val="en-US"/>
        </w:rPr>
        <w:t xml:space="preserve"> tuo metu šalyje listinguojamų įmonių ataskaitose pateikiamais  </w:t>
      </w:r>
      <w:r w:rsidR="00D318AB">
        <w:rPr>
          <w:lang w:val="en-US"/>
        </w:rPr>
        <w:t>finansiniais</w:t>
      </w:r>
      <w:r w:rsidRPr="008D7AEA">
        <w:rPr>
          <w:lang w:val="en-US"/>
        </w:rPr>
        <w:t xml:space="preserve"> duomenimis</w:t>
      </w:r>
      <w:r w:rsidR="00D318AB">
        <w:rPr>
          <w:lang w:val="en-US"/>
        </w:rPr>
        <w:t xml:space="preserve"> bei statistikos institucijų pateikiamais statistiniais duomenimis</w:t>
      </w:r>
      <w:r w:rsidRPr="008D7AEA">
        <w:rPr>
          <w:lang w:val="en-US"/>
        </w:rPr>
        <w:t>.</w:t>
      </w:r>
    </w:p>
    <w:p w:rsidR="003B07DC" w:rsidRPr="008D7AEA" w:rsidRDefault="003B07DC" w:rsidP="003B07DC">
      <w:pPr>
        <w:spacing w:line="360" w:lineRule="auto"/>
        <w:ind w:firstLine="567"/>
        <w:jc w:val="both"/>
        <w:rPr>
          <w:bCs/>
        </w:rPr>
      </w:pPr>
      <w:r w:rsidRPr="008D7AEA">
        <w:rPr>
          <w:b/>
          <w:bCs/>
        </w:rPr>
        <w:t xml:space="preserve">Tyrimo naujumas ir reikšmingumas. </w:t>
      </w:r>
      <w:r w:rsidRPr="008D7AEA">
        <w:rPr>
          <w:bCs/>
        </w:rPr>
        <w:t>Moksliniu požiūriu tyrimas yra naujas tuo, jog jame pateikiama teorinė intelektinio kapitalo reikšmingumo bei valdymo analizė, apimanti Lietuvos ir užsienio specialistų išskirtas intelektinio kapitalo koncepcijas. Darbas naudingas, kadangi pateikiams konkretus intelektinio kapitalo vertinimo atvejis, t.y. vertybinių popierių birž</w:t>
      </w:r>
      <w:r w:rsidR="00985610">
        <w:rPr>
          <w:bCs/>
        </w:rPr>
        <w:t>o</w:t>
      </w:r>
      <w:r w:rsidRPr="008D7AEA">
        <w:rPr>
          <w:bCs/>
        </w:rPr>
        <w:t xml:space="preserve">je </w:t>
      </w:r>
      <w:r w:rsidR="009955E0">
        <w:rPr>
          <w:bCs/>
        </w:rPr>
        <w:t xml:space="preserve">NASDAQ </w:t>
      </w:r>
      <w:r w:rsidR="00600E4F">
        <w:rPr>
          <w:bCs/>
        </w:rPr>
        <w:t xml:space="preserve">OMX Vilnius </w:t>
      </w:r>
      <w:r w:rsidR="009955E0">
        <w:rPr>
          <w:bCs/>
        </w:rPr>
        <w:t xml:space="preserve">(toliau – OMX Vilnius) </w:t>
      </w:r>
      <w:r w:rsidRPr="008D7AEA">
        <w:rPr>
          <w:bCs/>
        </w:rPr>
        <w:t xml:space="preserve">kotiruojamų įmonių,  bei nustatyta minėtų organizacijų intelektinio kapitalo vertė skirtingais skaičiavimo metodais. </w:t>
      </w:r>
      <w:r w:rsidRPr="008D7AEA">
        <w:rPr>
          <w:lang w:val="en-US"/>
        </w:rPr>
        <w:t xml:space="preserve">Gauti tyrimo rezultatai atskleis </w:t>
      </w:r>
      <w:r w:rsidR="00600E4F">
        <w:rPr>
          <w:bCs/>
        </w:rPr>
        <w:t>birž</w:t>
      </w:r>
      <w:r w:rsidR="00985610">
        <w:rPr>
          <w:bCs/>
        </w:rPr>
        <w:t>o</w:t>
      </w:r>
      <w:r w:rsidR="00600E4F">
        <w:rPr>
          <w:bCs/>
        </w:rPr>
        <w:t>je listinguo</w:t>
      </w:r>
      <w:r w:rsidRPr="008D7AEA">
        <w:rPr>
          <w:bCs/>
        </w:rPr>
        <w:t>jamų įmonių</w:t>
      </w:r>
      <w:r w:rsidRPr="008D7AEA">
        <w:rPr>
          <w:lang w:val="en-US"/>
        </w:rPr>
        <w:t xml:space="preserve"> intelektinio kapitalo vert</w:t>
      </w:r>
      <w:r w:rsidRPr="008D7AEA">
        <w:t>ę bei ryšį su kitais rodikliais,</w:t>
      </w:r>
      <w:r w:rsidRPr="008D7AEA">
        <w:rPr>
          <w:lang w:val="en-US"/>
        </w:rPr>
        <w:t xml:space="preserve"> padės įvertinti įmonių pajėgumus</w:t>
      </w:r>
      <w:r w:rsidRPr="008D7AEA">
        <w:t>.</w:t>
      </w:r>
      <w:r w:rsidR="00600E4F">
        <w:t xml:space="preserve"> Be to šie rezulatatai buvo palyginti ir su užsienio šalies įmonių rodmenimis.</w:t>
      </w:r>
    </w:p>
    <w:p w:rsidR="003B07DC" w:rsidRPr="008D7AEA" w:rsidRDefault="003B07DC" w:rsidP="003B07DC">
      <w:pPr>
        <w:spacing w:line="360" w:lineRule="auto"/>
        <w:ind w:firstLine="567"/>
        <w:jc w:val="both"/>
        <w:rPr>
          <w:lang w:val="en-US"/>
        </w:rPr>
      </w:pPr>
      <w:r w:rsidRPr="008D7AEA">
        <w:rPr>
          <w:b/>
          <w:bCs/>
        </w:rPr>
        <w:t xml:space="preserve">Magistrinio baigiamojo darbo struktūra. </w:t>
      </w:r>
      <w:r w:rsidRPr="008D7AEA">
        <w:rPr>
          <w:lang w:val="en-US"/>
        </w:rPr>
        <w:t>Darbą sudaro 3 dalys: pirmoji yra teorinė, antroji – metodologin</w:t>
      </w:r>
      <w:r w:rsidRPr="008D7AEA">
        <w:t xml:space="preserve">ė, trečioji </w:t>
      </w:r>
      <w:r w:rsidR="00726A80" w:rsidRPr="008D7AEA">
        <w:rPr>
          <w:lang w:val="en-US"/>
        </w:rPr>
        <w:t>–</w:t>
      </w:r>
      <w:r w:rsidRPr="008D7AEA">
        <w:t xml:space="preserve"> </w:t>
      </w:r>
      <w:r w:rsidRPr="008D7AEA">
        <w:rPr>
          <w:lang w:val="en-US"/>
        </w:rPr>
        <w:t>analitinio pobūdžio. Pirmojoje dalyje pasirinkta tema analizuojama teoriniu aspektu, remiantis tiek moksline lietuvių, tiek užsienio autorių literatūra. Dėmesys skiriamas intelektinio kapitalo sampratai ir teoriniam nagrinėjimui įvairių autorių darbuose, taip pat aprašomi ir lyginami intelektinio kapitalo skaičiavimo metodai, jų įva</w:t>
      </w:r>
      <w:r w:rsidR="00985610">
        <w:rPr>
          <w:lang w:val="en-US"/>
        </w:rPr>
        <w:t>i</w:t>
      </w:r>
      <w:r w:rsidRPr="008D7AEA">
        <w:rPr>
          <w:lang w:val="en-US"/>
        </w:rPr>
        <w:t>rovė. Antrojoje</w:t>
      </w:r>
      <w:r w:rsidR="00985610">
        <w:rPr>
          <w:lang w:val="en-US"/>
        </w:rPr>
        <w:t xml:space="preserve"> dalyje nagrinėjama intelektini</w:t>
      </w:r>
      <w:r w:rsidRPr="008D7AEA">
        <w:rPr>
          <w:lang w:val="en-US"/>
        </w:rPr>
        <w:t>o kapitalo vertinimo būtinumas, procesas ir metodika, bei vertinamų įmonių veiklos specifika. Trečiojoje, analitinėje dalyje, atliekamas empirinis tyrimas, remiantis vertybinių popierių biržos</w:t>
      </w:r>
      <w:r w:rsidR="00600E4F">
        <w:rPr>
          <w:lang w:val="en-US"/>
        </w:rPr>
        <w:t xml:space="preserve"> OMX Vilnius</w:t>
      </w:r>
      <w:r w:rsidRPr="008D7AEA">
        <w:rPr>
          <w:lang w:val="en-US"/>
        </w:rPr>
        <w:t>, listinguojamų įmonių veiklos rodiklių statistiniais duomenimis, siekiama iš</w:t>
      </w:r>
      <w:r w:rsidR="00275D67">
        <w:rPr>
          <w:lang w:val="en-US"/>
        </w:rPr>
        <w:t>analizuoti intelektinio kapitalo lygį,</w:t>
      </w:r>
      <w:r w:rsidRPr="008D7AEA">
        <w:rPr>
          <w:lang w:val="en-US"/>
        </w:rPr>
        <w:t xml:space="preserve"> išsiaiškinti kaip tai praktiškai veikia </w:t>
      </w:r>
      <w:r w:rsidR="00600E4F">
        <w:rPr>
          <w:lang w:val="en-US"/>
        </w:rPr>
        <w:t>listinguo</w:t>
      </w:r>
      <w:r w:rsidRPr="008D7AEA">
        <w:rPr>
          <w:lang w:val="en-US"/>
        </w:rPr>
        <w:t xml:space="preserve">jamų įmonių veiklos </w:t>
      </w:r>
      <w:r w:rsidRPr="001E38E9">
        <w:rPr>
          <w:lang w:val="en-US"/>
        </w:rPr>
        <w:t>rezultatus. Nagrinėjami pasirinkti reikšmingiausi finansiniai rodikli</w:t>
      </w:r>
      <w:r w:rsidR="00275D67">
        <w:rPr>
          <w:lang w:val="en-US"/>
        </w:rPr>
        <w:t>ai pagal jų skaičiavimo metodika</w:t>
      </w:r>
      <w:r w:rsidRPr="001E38E9">
        <w:rPr>
          <w:lang w:val="en-US"/>
        </w:rPr>
        <w:t xml:space="preserve">s, atliekama koreliacinė ryšio analizė. </w:t>
      </w:r>
      <w:r w:rsidR="001E38E9" w:rsidRPr="001E38E9">
        <w:rPr>
          <w:lang w:val="en-US"/>
        </w:rPr>
        <w:t xml:space="preserve">Tyrimo rezultatai lyginami su </w:t>
      </w:r>
      <w:r w:rsidR="009955E0">
        <w:rPr>
          <w:lang w:val="en-US"/>
        </w:rPr>
        <w:t xml:space="preserve">NASDAQ </w:t>
      </w:r>
      <w:r w:rsidR="001E38E9" w:rsidRPr="001E38E9">
        <w:rPr>
          <w:lang w:val="en-US"/>
        </w:rPr>
        <w:t xml:space="preserve">OMX Talinas vertybinių popierių biržoje </w:t>
      </w:r>
      <w:r w:rsidR="009955E0">
        <w:rPr>
          <w:lang w:val="en-US"/>
        </w:rPr>
        <w:t xml:space="preserve">(toliau – OMX Talinas) </w:t>
      </w:r>
      <w:r w:rsidR="001E38E9" w:rsidRPr="001E38E9">
        <w:rPr>
          <w:lang w:val="en-US"/>
        </w:rPr>
        <w:t>listinguojamų įmonių rezultatais.</w:t>
      </w:r>
      <w:r w:rsidR="001E38E9">
        <w:rPr>
          <w:color w:val="E36C0A" w:themeColor="accent6" w:themeShade="BF"/>
          <w:lang w:val="en-US"/>
        </w:rPr>
        <w:t xml:space="preserve"> </w:t>
      </w:r>
      <w:r w:rsidRPr="008D7AEA">
        <w:rPr>
          <w:lang w:val="en-US"/>
        </w:rPr>
        <w:t>Darbo pabaigoje pateiktos išvados</w:t>
      </w:r>
      <w:r w:rsidR="00275D67">
        <w:rPr>
          <w:lang w:val="en-US"/>
        </w:rPr>
        <w:t xml:space="preserve"> ir siūlymai</w:t>
      </w:r>
      <w:r w:rsidRPr="008D7AEA">
        <w:rPr>
          <w:lang w:val="en-US"/>
        </w:rPr>
        <w:t>. Darbas paruo</w:t>
      </w:r>
      <w:r w:rsidRPr="008D7AEA">
        <w:t>š</w:t>
      </w:r>
      <w:r w:rsidRPr="008D7AEA">
        <w:rPr>
          <w:lang w:val="en-US"/>
        </w:rPr>
        <w:t xml:space="preserve">tas remiantis </w:t>
      </w:r>
      <w:r w:rsidR="005B4055">
        <w:rPr>
          <w:lang w:val="en-US"/>
        </w:rPr>
        <w:t>108</w:t>
      </w:r>
      <w:r w:rsidR="00985610" w:rsidRPr="001B0F87">
        <w:rPr>
          <w:lang w:val="en-US"/>
        </w:rPr>
        <w:t xml:space="preserve"> literatū</w:t>
      </w:r>
      <w:r w:rsidRPr="001B0F87">
        <w:rPr>
          <w:lang w:val="en-US"/>
        </w:rPr>
        <w:t>ros</w:t>
      </w:r>
      <w:r w:rsidRPr="008D7AEA">
        <w:rPr>
          <w:lang w:val="en-US"/>
        </w:rPr>
        <w:t xml:space="preserve"> šaltiniais. Prieduose pateikiama </w:t>
      </w:r>
      <w:r w:rsidR="001E38E9">
        <w:rPr>
          <w:lang w:val="en-US"/>
        </w:rPr>
        <w:t xml:space="preserve">papildoma </w:t>
      </w:r>
      <w:r w:rsidRPr="008D7AEA">
        <w:rPr>
          <w:lang w:val="en-US"/>
        </w:rPr>
        <w:t>informacija bei statistika, naudota skaičiavimuose.</w:t>
      </w:r>
    </w:p>
    <w:p w:rsidR="003B07DC" w:rsidRDefault="003B07DC" w:rsidP="003B07DC">
      <w:pPr>
        <w:spacing w:line="360" w:lineRule="auto"/>
        <w:jc w:val="both"/>
        <w:rPr>
          <w:bCs/>
        </w:rPr>
      </w:pPr>
    </w:p>
    <w:p w:rsidR="0070574A" w:rsidRPr="00734A9D" w:rsidRDefault="006652C2" w:rsidP="001E38E9">
      <w:pPr>
        <w:tabs>
          <w:tab w:val="left" w:pos="10205"/>
        </w:tabs>
        <w:spacing w:line="360" w:lineRule="auto"/>
        <w:jc w:val="center"/>
        <w:rPr>
          <w:b/>
          <w:sz w:val="32"/>
          <w:szCs w:val="32"/>
        </w:rPr>
      </w:pPr>
      <w:r w:rsidRPr="00DD7E0E">
        <w:rPr>
          <w:b/>
        </w:rPr>
        <w:br w:type="column"/>
      </w:r>
      <w:r w:rsidR="00734A9D" w:rsidRPr="00734A9D">
        <w:rPr>
          <w:b/>
          <w:sz w:val="32"/>
          <w:szCs w:val="32"/>
        </w:rPr>
        <w:t xml:space="preserve">1. </w:t>
      </w:r>
      <w:r w:rsidR="0070574A" w:rsidRPr="00734A9D">
        <w:rPr>
          <w:b/>
          <w:sz w:val="32"/>
          <w:szCs w:val="32"/>
        </w:rPr>
        <w:t>INTELEKTINIO KAPITALO SUBJEKTO TEORIJA</w:t>
      </w:r>
    </w:p>
    <w:p w:rsidR="0070574A" w:rsidRPr="00DD7E0E" w:rsidRDefault="0070574A" w:rsidP="0070574A">
      <w:pPr>
        <w:jc w:val="center"/>
        <w:rPr>
          <w:b/>
          <w:sz w:val="32"/>
        </w:rPr>
      </w:pPr>
      <w:r w:rsidRPr="00DD7E0E">
        <w:rPr>
          <w:b/>
          <w:sz w:val="32"/>
        </w:rPr>
        <w:t xml:space="preserve"> </w:t>
      </w:r>
    </w:p>
    <w:p w:rsidR="0070574A" w:rsidRPr="00DD7E0E" w:rsidRDefault="0070574A" w:rsidP="0070574A">
      <w:pPr>
        <w:spacing w:line="360" w:lineRule="auto"/>
        <w:ind w:firstLine="567"/>
        <w:jc w:val="both"/>
      </w:pPr>
      <w:r w:rsidRPr="00DD7E0E">
        <w:t xml:space="preserve">Ekonomikoje tikslinga išskirti tradicines kapitalo rūšis, kaip fizinis ir finansinis kapitalas, bei dabartinės ekonomikos sąlygomis susiformavusią intlektinio kapitalo rūšį. </w:t>
      </w:r>
      <w:r w:rsidRPr="00DD7E0E">
        <w:rPr>
          <w:lang w:val="en-US"/>
        </w:rPr>
        <w:t>Anks</w:t>
      </w:r>
      <w:r w:rsidRPr="00DD7E0E">
        <w:t>č</w:t>
      </w:r>
      <w:r w:rsidRPr="00DD7E0E">
        <w:rPr>
          <w:lang w:val="en-US"/>
        </w:rPr>
        <w:t xml:space="preserve">iau svarbiausiu organizacijos turtu laikyti materialūs ištekliai, tokie kaip nekilnojamas turtas, įrengimai, žaliavos, užleidžia savo vietą žinioms, darbuotojų kompetencijai, santykiams su klientais ir partneriais arba kitaip tariant, intelektiniam kapitalui. </w:t>
      </w:r>
      <w:r w:rsidRPr="00DD7E0E">
        <w:t>Mokslinėje literatūroje pateikiama daug ir įvairių kapitalo apibūdinimų bei klasifikacijų. Intelektinio kapitalo apibūdinimas taip pat ne išimtis.</w:t>
      </w:r>
    </w:p>
    <w:p w:rsidR="0070574A" w:rsidRPr="00DD7E0E" w:rsidRDefault="0070574A" w:rsidP="0070574A">
      <w:pPr>
        <w:rPr>
          <w:b/>
          <w:sz w:val="32"/>
        </w:rPr>
      </w:pPr>
    </w:p>
    <w:p w:rsidR="0070574A" w:rsidRPr="00DD7E0E" w:rsidRDefault="0070574A" w:rsidP="0070574A">
      <w:pPr>
        <w:numPr>
          <w:ilvl w:val="1"/>
          <w:numId w:val="6"/>
        </w:numPr>
        <w:jc w:val="center"/>
        <w:rPr>
          <w:b/>
          <w:sz w:val="28"/>
          <w:szCs w:val="28"/>
        </w:rPr>
      </w:pPr>
      <w:r w:rsidRPr="00DD7E0E">
        <w:rPr>
          <w:b/>
          <w:sz w:val="28"/>
          <w:szCs w:val="28"/>
        </w:rPr>
        <w:t>Intelektinio kapitalo subjekto koncepcija</w:t>
      </w:r>
    </w:p>
    <w:p w:rsidR="0070574A" w:rsidRPr="00DD7E0E" w:rsidRDefault="0070574A" w:rsidP="00276D77">
      <w:pPr>
        <w:spacing w:line="360" w:lineRule="auto"/>
        <w:jc w:val="both"/>
        <w:rPr>
          <w:b/>
          <w:sz w:val="28"/>
          <w:szCs w:val="28"/>
        </w:rPr>
      </w:pPr>
    </w:p>
    <w:p w:rsidR="0070574A" w:rsidRPr="00DD7E0E" w:rsidRDefault="0070574A" w:rsidP="00276D77">
      <w:pPr>
        <w:numPr>
          <w:ilvl w:val="2"/>
          <w:numId w:val="6"/>
        </w:numPr>
        <w:spacing w:line="360" w:lineRule="auto"/>
        <w:ind w:hanging="1233"/>
        <w:jc w:val="both"/>
        <w:rPr>
          <w:b/>
          <w:lang w:val="en-US"/>
        </w:rPr>
      </w:pPr>
      <w:r w:rsidRPr="00DD7E0E">
        <w:rPr>
          <w:b/>
          <w:lang w:val="en-US"/>
        </w:rPr>
        <w:t>Intelektinio kapitalo samprata</w:t>
      </w:r>
    </w:p>
    <w:p w:rsidR="0070574A" w:rsidRPr="00DD7E0E" w:rsidRDefault="0070574A" w:rsidP="00276D77">
      <w:pPr>
        <w:spacing w:line="360" w:lineRule="auto"/>
        <w:jc w:val="both"/>
        <w:rPr>
          <w:b/>
          <w:sz w:val="28"/>
          <w:szCs w:val="28"/>
          <w:lang w:val="en-US"/>
        </w:rPr>
      </w:pPr>
    </w:p>
    <w:p w:rsidR="0070574A" w:rsidRPr="00DD7E0E" w:rsidRDefault="0070574A" w:rsidP="0070574A">
      <w:pPr>
        <w:autoSpaceDE w:val="0"/>
        <w:autoSpaceDN w:val="0"/>
        <w:adjustRightInd w:val="0"/>
        <w:spacing w:line="360" w:lineRule="auto"/>
        <w:ind w:firstLine="567"/>
        <w:jc w:val="both"/>
        <w:rPr>
          <w:lang w:val="en-US"/>
        </w:rPr>
      </w:pPr>
      <w:r w:rsidRPr="00DD7E0E">
        <w:rPr>
          <w:lang w:val="en-US"/>
        </w:rPr>
        <w:t xml:space="preserve">Kapitalas kartais tapatinamas su pastatais, </w:t>
      </w:r>
      <w:r w:rsidRPr="00DD7E0E">
        <w:t>į</w:t>
      </w:r>
      <w:r w:rsidRPr="00DD7E0E">
        <w:rPr>
          <w:lang w:val="en-US"/>
        </w:rPr>
        <w:t>rengimais (tai, ką galima apčiuopti). Tačiau pamirštama kapitalo esmė: tai ne tik turtas,</w:t>
      </w:r>
      <w:r w:rsidR="00985610">
        <w:rPr>
          <w:lang w:val="en-US"/>
        </w:rPr>
        <w:t xml:space="preserve"> bet ir turto savybė kurti vertę</w:t>
      </w:r>
      <w:r w:rsidRPr="00DD7E0E">
        <w:rPr>
          <w:lang w:val="en-US"/>
        </w:rPr>
        <w:t xml:space="preserve"> ateityje, taip jau buvo minima net </w:t>
      </w:r>
      <w:r w:rsidRPr="00DD7E0E">
        <w:rPr>
          <w:i/>
          <w:lang w:val="en-US"/>
        </w:rPr>
        <w:t>marksizmo</w:t>
      </w:r>
      <w:r w:rsidRPr="00DD7E0E">
        <w:rPr>
          <w:lang w:val="en-US"/>
        </w:rPr>
        <w:t xml:space="preserve"> teorijoje. Kapitalas įgauna aiškesnę formą tik tada, kai yra apibūdinamas ne pinigine išraiška, o turtu, kuris turi potencialą kurti vertę. Būtent tiktai taip galima įvertinti nematerialųjį turtą </w:t>
      </w:r>
      <w:r w:rsidR="002D0B49">
        <w:rPr>
          <w:lang w:val="en-US"/>
        </w:rPr>
        <w:t>(</w:t>
      </w:r>
      <w:r w:rsidR="002D0B49" w:rsidRPr="002D0B49">
        <w:rPr>
          <w:i/>
          <w:lang w:val="en-US"/>
        </w:rPr>
        <w:t>angl.</w:t>
      </w:r>
      <w:r w:rsidR="005F5F44">
        <w:rPr>
          <w:lang w:val="en-US"/>
        </w:rPr>
        <w:t xml:space="preserve"> Intangible a</w:t>
      </w:r>
      <w:r w:rsidR="002D0B49">
        <w:rPr>
          <w:lang w:val="en-US"/>
        </w:rPr>
        <w:t xml:space="preserve">ssets) </w:t>
      </w:r>
      <w:r w:rsidRPr="00DD7E0E">
        <w:rPr>
          <w:lang w:val="en-US"/>
        </w:rPr>
        <w:t xml:space="preserve">– apskaičiuojant, kiek jis gali sukurti pridėtinės vertės. </w:t>
      </w:r>
    </w:p>
    <w:p w:rsidR="0070574A" w:rsidRPr="00DD7E0E" w:rsidRDefault="0070574A" w:rsidP="0070574A">
      <w:pPr>
        <w:autoSpaceDE w:val="0"/>
        <w:autoSpaceDN w:val="0"/>
        <w:adjustRightInd w:val="0"/>
        <w:spacing w:line="360" w:lineRule="auto"/>
        <w:ind w:firstLine="567"/>
        <w:jc w:val="both"/>
        <w:rPr>
          <w:lang w:val="en-US"/>
        </w:rPr>
      </w:pPr>
      <w:r w:rsidRPr="00DD7E0E">
        <w:rPr>
          <w:lang w:val="en-US"/>
        </w:rPr>
        <w:t xml:space="preserve">Šiuolaikinės organizacijos būsima sėkmė labiausiai grindžiama nematerialiosiomis vertybėmis </w:t>
      </w:r>
      <w:r w:rsidRPr="00DD7E0E">
        <w:rPr>
          <w:i/>
          <w:lang w:val="en-US"/>
        </w:rPr>
        <w:t>(Edvinsson and Malone, 1997; Lev, 2001; Spender and Grant, 1996; Stewart, 1997; Sveiby, 1997; Teece, 1998)</w:t>
      </w:r>
      <w:r w:rsidRPr="00DD7E0E">
        <w:rPr>
          <w:lang w:val="en-US"/>
        </w:rPr>
        <w:t xml:space="preserve">. </w:t>
      </w:r>
      <w:r w:rsidRPr="00DD7E0E">
        <w:t xml:space="preserve">Nematerialusis turtas visada egzistavo organizacijų vykdomose operacijose. </w:t>
      </w:r>
      <w:r w:rsidRPr="00DD7E0E">
        <w:rPr>
          <w:i/>
        </w:rPr>
        <w:t>Diksi (1896) ir J. K. Galbraith (1969</w:t>
      </w:r>
      <w:r w:rsidRPr="00DD7E0E">
        <w:t>) buvo pirmieji, kurie atitinkamai panaudojjo frazes apie nematerialujį turtą ir intelektinį kapitalą</w:t>
      </w:r>
      <w:r w:rsidR="002D0B49">
        <w:t xml:space="preserve"> </w:t>
      </w:r>
      <w:r w:rsidR="002D0B49">
        <w:rPr>
          <w:lang w:val="en-US"/>
        </w:rPr>
        <w:t>(</w:t>
      </w:r>
      <w:r w:rsidR="002D0B49" w:rsidRPr="002D0B49">
        <w:rPr>
          <w:i/>
          <w:lang w:val="en-US"/>
        </w:rPr>
        <w:t>angl.</w:t>
      </w:r>
      <w:r w:rsidR="005F5F44">
        <w:rPr>
          <w:lang w:val="en-US"/>
        </w:rPr>
        <w:t xml:space="preserve"> Intellectual c</w:t>
      </w:r>
      <w:r w:rsidR="002D0B49">
        <w:rPr>
          <w:lang w:val="en-US"/>
        </w:rPr>
        <w:t>apital)</w:t>
      </w:r>
      <w:r w:rsidRPr="00DD7E0E">
        <w:t xml:space="preserve"> (</w:t>
      </w:r>
      <w:r w:rsidRPr="00DD7E0E">
        <w:rPr>
          <w:i/>
        </w:rPr>
        <w:t>Kristandl, ir Bontis, 2007</w:t>
      </w:r>
      <w:r w:rsidR="004A604D">
        <w:t>)</w:t>
      </w:r>
      <w:r w:rsidRPr="00DD7E0E">
        <w:t>. Per paskutinius dešimtmečius, nematerialiojo turto, informacijos, žinių svarba organizacijoje stipriai išaugo. Intelektinio kapitalo koncepcija tapo viena perspektyviaus</w:t>
      </w:r>
      <w:r w:rsidR="00985610">
        <w:t>ių sričių verslo organizacijų ne</w:t>
      </w:r>
      <w:r w:rsidRPr="00DD7E0E">
        <w:t xml:space="preserve">materialių resursų tyrimuose. </w:t>
      </w:r>
    </w:p>
    <w:p w:rsidR="0070574A" w:rsidRPr="00DD7E0E" w:rsidRDefault="0070574A" w:rsidP="0070574A">
      <w:pPr>
        <w:spacing w:line="360" w:lineRule="auto"/>
        <w:ind w:firstLine="567"/>
        <w:jc w:val="both"/>
      </w:pPr>
      <w:r w:rsidRPr="00DD7E0E">
        <w:t xml:space="preserve">Klasikiniai moksliniai darbai šioje srityje buvo parašyti </w:t>
      </w:r>
      <w:r w:rsidRPr="00DD7E0E">
        <w:rPr>
          <w:i/>
        </w:rPr>
        <w:t xml:space="preserve">T. Stewart, L. Edvinnson, M. Malone, N. Bontis </w:t>
      </w:r>
      <w:r w:rsidRPr="00DD7E0E">
        <w:t>ir kitų.</w:t>
      </w:r>
    </w:p>
    <w:p w:rsidR="0070574A" w:rsidRPr="00DD7E0E" w:rsidRDefault="0070574A" w:rsidP="007057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sidRPr="00DD7E0E">
        <w:rPr>
          <w:lang w:val="en-US"/>
        </w:rPr>
        <w:t>Intelektuala</w:t>
      </w:r>
      <w:r w:rsidR="00985610">
        <w:rPr>
          <w:lang w:val="en-US"/>
        </w:rPr>
        <w:t>us kapitalo sąvoka</w:t>
      </w:r>
      <w:r w:rsidRPr="00DD7E0E">
        <w:rPr>
          <w:lang w:val="en-US"/>
        </w:rPr>
        <w:t xml:space="preserve"> pirmą kartą panaudota </w:t>
      </w:r>
      <w:r w:rsidR="005F5F44">
        <w:rPr>
          <w:i/>
          <w:lang w:val="en-US"/>
        </w:rPr>
        <w:t>T. Stewart</w:t>
      </w:r>
      <w:r w:rsidRPr="00DD7E0E">
        <w:rPr>
          <w:i/>
          <w:lang w:val="en-US"/>
        </w:rPr>
        <w:t xml:space="preserve"> (1991</w:t>
      </w:r>
      <w:r w:rsidRPr="00DD7E0E">
        <w:rPr>
          <w:lang w:val="en-US"/>
        </w:rPr>
        <w:t>). Tai atkreipė daugelio verslo organizacijų bei tyrėjų dėmesį</w:t>
      </w:r>
      <w:r w:rsidR="00AC0C27">
        <w:rPr>
          <w:lang w:val="en-US"/>
        </w:rPr>
        <w:t xml:space="preserve"> </w:t>
      </w:r>
      <w:r w:rsidR="00AC0C27" w:rsidRPr="00DD7E0E">
        <w:rPr>
          <w:i/>
          <w:lang w:val="en-US"/>
        </w:rPr>
        <w:t>(kaip, Edvinsson and Malone, 1997; Roos and Ross, 1997; Roos et al., 1997; Stewart, 1997; Sveiby, 1997; Edvinsson et al., 2000; Pike and Roos, 2000</w:t>
      </w:r>
      <w:r w:rsidR="00AC0C27" w:rsidRPr="00DD7E0E">
        <w:rPr>
          <w:lang w:val="en-US"/>
        </w:rPr>
        <w:t>)</w:t>
      </w:r>
      <w:r w:rsidRPr="00DD7E0E">
        <w:rPr>
          <w:lang w:val="en-US"/>
        </w:rPr>
        <w:t xml:space="preserve">, ir sukūrė pagrindinį impulsą intelektinio kapitalo, kaip nematerialiojo turto tolesniems nagrinėjimams, ko pasekoje vėliau tai išsiplėtojo knygose bei žurnaluose </w:t>
      </w:r>
      <w:r w:rsidR="00AC0C27">
        <w:rPr>
          <w:lang w:val="en-US"/>
        </w:rPr>
        <w:t>(</w:t>
      </w:r>
      <w:r w:rsidR="00AC0C27" w:rsidRPr="00AC0C27">
        <w:rPr>
          <w:i/>
          <w:lang w:val="en-US"/>
        </w:rPr>
        <w:t>Yitman, 2011</w:t>
      </w:r>
      <w:r w:rsidR="00AC0C27">
        <w:rPr>
          <w:lang w:val="en-US"/>
        </w:rPr>
        <w:t>)</w:t>
      </w:r>
      <w:r w:rsidRPr="00DD7E0E">
        <w:rPr>
          <w:lang w:val="en-US"/>
        </w:rPr>
        <w:t xml:space="preserve">. Vėlesniuose veikaluose </w:t>
      </w:r>
      <w:r w:rsidRPr="00DD7E0E">
        <w:rPr>
          <w:i/>
          <w:lang w:val="en-US"/>
        </w:rPr>
        <w:t>T.</w:t>
      </w:r>
      <w:r w:rsidRPr="00DD7E0E">
        <w:rPr>
          <w:lang w:val="en-US"/>
        </w:rPr>
        <w:t xml:space="preserve"> </w:t>
      </w:r>
      <w:r w:rsidRPr="00DD7E0E">
        <w:rPr>
          <w:i/>
          <w:lang w:val="en-US"/>
        </w:rPr>
        <w:t>Stewart (1997)</w:t>
      </w:r>
      <w:r w:rsidRPr="00DD7E0E">
        <w:rPr>
          <w:lang w:val="en-US"/>
        </w:rPr>
        <w:t xml:space="preserve"> apibrėžė, jog intelektinis kapitalas apibūdinamas kaip intelektinė medžiaga – žinios, informacija, intelektinė nuosavybė, patirtis – kuri gali būti panaudota vertei kurti </w:t>
      </w:r>
      <w:r w:rsidRPr="00DD7E0E">
        <w:rPr>
          <w:i/>
          <w:lang w:val="en-US"/>
        </w:rPr>
        <w:t>(Stewart, 1997)</w:t>
      </w:r>
      <w:r w:rsidRPr="00DD7E0E">
        <w:rPr>
          <w:lang w:val="en-US"/>
        </w:rPr>
        <w:t>. Šiuo apibrėžimu apibūdinant visas darbuotojų žinias, sudarančias galimybes įmonėms įgyti konkurencinį pranašumą prieš konkurentus</w:t>
      </w:r>
      <w:r w:rsidR="00AC0C27">
        <w:rPr>
          <w:lang w:val="en-US"/>
        </w:rPr>
        <w:t xml:space="preserve"> (</w:t>
      </w:r>
      <w:r w:rsidR="00AC0C27" w:rsidRPr="00AC0C27">
        <w:rPr>
          <w:i/>
          <w:iCs/>
          <w:lang w:val="en-US"/>
        </w:rPr>
        <w:t>Ahlgren</w:t>
      </w:r>
      <w:r w:rsidR="00AC0C27">
        <w:rPr>
          <w:i/>
          <w:iCs/>
          <w:lang w:val="en-US"/>
        </w:rPr>
        <w:t>, 2011</w:t>
      </w:r>
      <w:r w:rsidR="00AC0C27">
        <w:rPr>
          <w:lang w:val="en-US"/>
        </w:rPr>
        <w:t>)</w:t>
      </w:r>
      <w:r w:rsidRPr="00DD7E0E">
        <w:rPr>
          <w:lang w:val="en-US"/>
        </w:rPr>
        <w:t>. Vėliau į šį apibrėžimą buvo įtraukiama vis daugiau veiksnių, ko pasekoje vieningos nuomonės, kas yra intelektinis kapitalas, nėra. Kita intelektinio kapitalo atsiradimo prielaida remiasi žinių visuomenės formavimusi.</w:t>
      </w:r>
    </w:p>
    <w:p w:rsidR="0070574A" w:rsidRPr="00DD7E0E" w:rsidRDefault="0070574A" w:rsidP="0070574A">
      <w:pPr>
        <w:spacing w:line="360" w:lineRule="auto"/>
        <w:ind w:firstLine="567"/>
        <w:jc w:val="both"/>
        <w:rPr>
          <w:lang w:val="en-US"/>
        </w:rPr>
      </w:pPr>
      <w:r w:rsidRPr="00DD7E0E">
        <w:t>Nagrinėjant intelektinio kapitalo konce</w:t>
      </w:r>
      <w:r w:rsidR="00985610">
        <w:t>pciją, tikslinga išskirti keletą</w:t>
      </w:r>
      <w:r w:rsidRPr="00DD7E0E">
        <w:t xml:space="preserve"> autorių grupių, kurie skirtingai įvardija intelektinio kapitalo apibūdinimo </w:t>
      </w:r>
      <w:r w:rsidRPr="00985610">
        <w:t>aspektus (1 priedas).</w:t>
      </w:r>
      <w:r w:rsidRPr="00DD7E0E">
        <w:t xml:space="preserve"> </w:t>
      </w:r>
      <w:r w:rsidRPr="00DD7E0E">
        <w:rPr>
          <w:lang w:val="en-US"/>
        </w:rPr>
        <w:t>Lietuvos ir užsienio literatūroje yra daug ir įvairių intelektinio kapitalo apibrėžimų, tačiau šiame darbe būtų galima juos išskirti į keletą grupių. Vienoje jų, dauguma mokslinės literatūros autorių (</w:t>
      </w:r>
      <w:r w:rsidRPr="00DD7E0E">
        <w:rPr>
          <w:i/>
          <w:lang w:val="en-US"/>
        </w:rPr>
        <w:t>kaip Edvinsson 1996, Bontis 1998,</w:t>
      </w:r>
      <w:r w:rsidR="00844146">
        <w:rPr>
          <w:i/>
          <w:lang w:val="en-US"/>
        </w:rPr>
        <w:t xml:space="preserve"> kt.</w:t>
      </w:r>
      <w:r w:rsidRPr="00DD7E0E">
        <w:rPr>
          <w:i/>
          <w:lang w:val="en-US"/>
        </w:rPr>
        <w:t>)</w:t>
      </w:r>
      <w:r w:rsidRPr="00DD7E0E">
        <w:rPr>
          <w:lang w:val="en-US"/>
        </w:rPr>
        <w:t xml:space="preserve"> </w:t>
      </w:r>
      <w:r w:rsidR="00844146">
        <w:rPr>
          <w:lang w:val="en-US"/>
        </w:rPr>
        <w:t xml:space="preserve">įvardija </w:t>
      </w:r>
      <w:r w:rsidRPr="00DD7E0E">
        <w:rPr>
          <w:lang w:val="en-US"/>
        </w:rPr>
        <w:t>intelektin</w:t>
      </w:r>
      <w:r w:rsidR="00985610">
        <w:rPr>
          <w:lang w:val="en-US"/>
        </w:rPr>
        <w:t>i</w:t>
      </w:r>
      <w:r w:rsidRPr="00DD7E0E">
        <w:rPr>
          <w:lang w:val="en-US"/>
        </w:rPr>
        <w:t>ų kapitalą, kaip specifnį turtą naudojamą konkretiems tiksl</w:t>
      </w:r>
      <w:r w:rsidR="00985610">
        <w:rPr>
          <w:lang w:val="en-US"/>
        </w:rPr>
        <w:t>a</w:t>
      </w:r>
      <w:r w:rsidRPr="00DD7E0E">
        <w:rPr>
          <w:lang w:val="en-US"/>
        </w:rPr>
        <w:t xml:space="preserve">ms pasiekti, ir kitoje, kur intelektinis kapitalas įvardijamas kaip bendras nematerialusis turtas </w:t>
      </w:r>
      <w:r w:rsidRPr="00DD7E0E">
        <w:rPr>
          <w:i/>
          <w:lang w:val="en-US"/>
        </w:rPr>
        <w:t>(Brooking 1996, Stewart 1997, Roos and Roos 1997, Hsu and Frang 2009 )</w:t>
      </w:r>
      <w:r w:rsidRPr="00DD7E0E">
        <w:rPr>
          <w:lang w:val="en-US"/>
        </w:rPr>
        <w:t>, ir t.t. Tai yra tarsi įrodymas, jog nėra bendrai priimto apibrėžimo intelektinio kapitalo koncepcijoje, nepaisant to, kad yra daugybė egzistuojančių apibrėžimų, pristatytų iš įvairių perspektyvų bei priklausančių nuo veiklos pobūdžio.</w:t>
      </w:r>
    </w:p>
    <w:p w:rsidR="0070574A" w:rsidRPr="00DD7E0E" w:rsidRDefault="0070574A" w:rsidP="0070574A">
      <w:pPr>
        <w:spacing w:line="360" w:lineRule="auto"/>
        <w:ind w:firstLine="567"/>
        <w:jc w:val="both"/>
        <w:rPr>
          <w:lang w:val="en-US"/>
        </w:rPr>
      </w:pPr>
      <w:r w:rsidRPr="00DD7E0E">
        <w:rPr>
          <w:lang w:val="en-US"/>
        </w:rPr>
        <w:t>Intelektinis kapitalas apima visus procesus ir turtą, kurie paprastai nerodomi balansinėje ataskaitoje bei nematerialų turtą (prekės ženklus, patentus ir ženklus), kuriuos įvertina modernūs apskaitos metodai, o tai apima organizacijos narių žinių sumą ir praktinių žinių interpretavimą (taip teigiama, kad intelektualus kapitalas nėra apskaitomas įmonių atskaitomybėje) (</w:t>
      </w:r>
      <w:r w:rsidRPr="00DD7E0E">
        <w:rPr>
          <w:i/>
          <w:lang w:val="en-US"/>
        </w:rPr>
        <w:t>Roos et al., 1997</w:t>
      </w:r>
      <w:r w:rsidR="00AE4409">
        <w:rPr>
          <w:lang w:val="en-US"/>
        </w:rPr>
        <w:t>)</w:t>
      </w:r>
      <w:r w:rsidRPr="00DD7E0E">
        <w:rPr>
          <w:lang w:val="en-US"/>
        </w:rPr>
        <w:t>. Bendrai, intelektinis kapitalas apibūdina nematerialųj</w:t>
      </w:r>
      <w:r w:rsidR="00985610">
        <w:rPr>
          <w:lang w:val="en-US"/>
        </w:rPr>
        <w:t>į</w:t>
      </w:r>
      <w:r w:rsidRPr="00DD7E0E">
        <w:rPr>
          <w:lang w:val="en-US"/>
        </w:rPr>
        <w:t xml:space="preserve"> turtą ar nematerialiuosius verslo faktorius įmonėje, kurie turi potencialą įtakoti verslo</w:t>
      </w:r>
      <w:r w:rsidR="00ED1950">
        <w:rPr>
          <w:lang w:val="en-US"/>
        </w:rPr>
        <w:t xml:space="preserve"> sėkmę, bet nėra apskaitoje (</w:t>
      </w:r>
      <w:r w:rsidR="00ED1950" w:rsidRPr="00ED1950">
        <w:rPr>
          <w:i/>
          <w:lang w:val="en-US"/>
        </w:rPr>
        <w:t>Kamath, 2007</w:t>
      </w:r>
      <w:r w:rsidR="00ED1950">
        <w:rPr>
          <w:lang w:val="en-US"/>
        </w:rPr>
        <w:t>)</w:t>
      </w:r>
      <w:r w:rsidRPr="00DD7E0E">
        <w:rPr>
          <w:lang w:val="en-US"/>
        </w:rPr>
        <w:t>.</w:t>
      </w:r>
    </w:p>
    <w:p w:rsidR="0070574A" w:rsidRPr="00DD7E0E" w:rsidRDefault="0070574A" w:rsidP="0070574A">
      <w:pPr>
        <w:spacing w:line="360" w:lineRule="auto"/>
        <w:ind w:firstLine="567"/>
        <w:jc w:val="both"/>
        <w:rPr>
          <w:lang w:val="en-US"/>
        </w:rPr>
      </w:pPr>
      <w:r w:rsidRPr="00DD7E0E">
        <w:rPr>
          <w:lang w:val="en-US"/>
        </w:rPr>
        <w:t xml:space="preserve">Šiuo metu, intelektinis kapitalas yra plačiai pripažįstamas, kaip kritinis teisingo ir tvaraus konkurencinio pranašumo šaltinis </w:t>
      </w:r>
      <w:r w:rsidR="005F5F44">
        <w:rPr>
          <w:i/>
          <w:lang w:val="en-US"/>
        </w:rPr>
        <w:t>(</w:t>
      </w:r>
      <w:r w:rsidRPr="00DD7E0E">
        <w:rPr>
          <w:i/>
          <w:lang w:val="en-US"/>
        </w:rPr>
        <w:t>Marr et al., 200</w:t>
      </w:r>
      <w:r w:rsidR="00775A4C">
        <w:rPr>
          <w:lang w:val="en-US"/>
        </w:rPr>
        <w:t>3</w:t>
      </w:r>
      <w:r w:rsidRPr="00DD7E0E">
        <w:rPr>
          <w:i/>
          <w:lang w:val="en-US"/>
        </w:rPr>
        <w:t>)</w:t>
      </w:r>
      <w:r w:rsidRPr="00DD7E0E">
        <w:rPr>
          <w:lang w:val="en-US"/>
        </w:rPr>
        <w:t>. Žinios yra intelektinio kapitalo pagrindas ir todėl tai yra org</w:t>
      </w:r>
      <w:r w:rsidR="00AE4409">
        <w:rPr>
          <w:lang w:val="en-US"/>
        </w:rPr>
        <w:t>anizacinių pajėgumų centre (</w:t>
      </w:r>
      <w:r w:rsidR="00AE4409">
        <w:rPr>
          <w:i/>
          <w:lang w:val="en-US"/>
        </w:rPr>
        <w:t>Young</w:t>
      </w:r>
      <w:r w:rsidR="00AE4409" w:rsidRPr="00AE4409">
        <w:rPr>
          <w:i/>
          <w:lang w:val="en-US"/>
        </w:rPr>
        <w:t>, 2009</w:t>
      </w:r>
      <w:r w:rsidR="00AE4409">
        <w:rPr>
          <w:lang w:val="en-US"/>
        </w:rPr>
        <w:t>).</w:t>
      </w:r>
    </w:p>
    <w:p w:rsidR="0070574A" w:rsidRPr="00DD7E0E" w:rsidRDefault="0070574A" w:rsidP="0070574A">
      <w:pPr>
        <w:spacing w:line="360" w:lineRule="auto"/>
        <w:ind w:firstLine="567"/>
        <w:jc w:val="both"/>
      </w:pPr>
      <w:r w:rsidRPr="00DD7E0E">
        <w:rPr>
          <w:lang w:val="en-US"/>
        </w:rPr>
        <w:t>Pla</w:t>
      </w:r>
      <w:r w:rsidRPr="00DD7E0E">
        <w:t xml:space="preserve">čiai žinomas ir vienas paprasčiausių intelektinio kapitalo apibrėžimų yra apibūdinamas, kaip “ žinios, kurios gali būti konvertuotos į vertę”, taip teigė intelektinio kapitalo teorijos pradininkai </w:t>
      </w:r>
      <w:r w:rsidRPr="00DD7E0E">
        <w:rPr>
          <w:i/>
        </w:rPr>
        <w:t>L. Edvinsson ir P Sullivan (1996)</w:t>
      </w:r>
      <w:r w:rsidR="002A4D9E">
        <w:t>.</w:t>
      </w:r>
    </w:p>
    <w:p w:rsidR="0070574A" w:rsidRPr="00DD7E0E" w:rsidRDefault="0070574A" w:rsidP="0070574A">
      <w:pPr>
        <w:spacing w:line="360" w:lineRule="auto"/>
        <w:ind w:firstLine="567"/>
        <w:jc w:val="both"/>
        <w:rPr>
          <w:lang w:val="en-US"/>
        </w:rPr>
      </w:pPr>
      <w:r w:rsidRPr="00DD7E0E">
        <w:rPr>
          <w:lang w:val="en-US"/>
        </w:rPr>
        <w:t>Žinių ekonomikos eroje, intelektinis kapitalas, nors ir paslėptas už balansinės vertės, yra įmonės vertės kūrimas (</w:t>
      </w:r>
      <w:r w:rsidRPr="00DD7E0E">
        <w:rPr>
          <w:i/>
          <w:lang w:val="en-US"/>
        </w:rPr>
        <w:t>Edvinsson ir Malone, 1997; Petty ir Guthrie, 2000</w:t>
      </w:r>
      <w:r w:rsidR="002A4D9E">
        <w:rPr>
          <w:lang w:val="en-US"/>
        </w:rPr>
        <w:t>).</w:t>
      </w:r>
    </w:p>
    <w:p w:rsidR="0070574A" w:rsidRPr="00DD7E0E" w:rsidRDefault="0070574A" w:rsidP="0070574A">
      <w:pPr>
        <w:spacing w:line="360" w:lineRule="auto"/>
        <w:ind w:firstLine="567"/>
        <w:jc w:val="both"/>
        <w:rPr>
          <w:lang w:val="en-US"/>
        </w:rPr>
      </w:pPr>
      <w:r w:rsidRPr="00DD7E0E">
        <w:rPr>
          <w:lang w:val="en-US"/>
        </w:rPr>
        <w:t xml:space="preserve">Visi šie apibrėžimai atspindi tokius svarbius intelektinio kapitalo koncepcijos aspektus, kaip: 1) intelektinis kapitalas yra kažkas įsivaizduojamo; 2) yra stiprus ryšys tarp žinių ir darbuotojų kompetencijos, bei tarp klientų ir organizacijos naudojamų technologijų; 3) atsiranda geresnių galimybių organizacijai užsiimti sėkminga veikla ateityje </w:t>
      </w:r>
      <w:r w:rsidR="00300A6B">
        <w:rPr>
          <w:i/>
          <w:lang w:val="en-US"/>
        </w:rPr>
        <w:t xml:space="preserve">(Kale, </w:t>
      </w:r>
      <w:r w:rsidRPr="00DD7E0E">
        <w:rPr>
          <w:i/>
          <w:lang w:val="en-US"/>
        </w:rPr>
        <w:t>Civici, 2003</w:t>
      </w:r>
      <w:r w:rsidR="002A4D9E">
        <w:rPr>
          <w:lang w:val="en-US"/>
        </w:rPr>
        <w:t>).</w:t>
      </w:r>
    </w:p>
    <w:p w:rsidR="0070574A" w:rsidRPr="00DD7E0E" w:rsidRDefault="0070574A" w:rsidP="007057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sidRPr="00DD7E0E">
        <w:rPr>
          <w:lang w:val="en-US"/>
        </w:rPr>
        <w:t>Intelektinio kapitalo apibrėžimas turi būti pakankamai platus, kad organizacijos jame apimtų visą savo neapčiuopiamą išteklių spektrą, bet pakankamai konkretus, kad jis padėtų įmonių vadovams imtis reikalingų valdymo veiksmų (</w:t>
      </w:r>
      <w:r w:rsidR="00300A6B">
        <w:rPr>
          <w:i/>
          <w:lang w:val="en-US"/>
        </w:rPr>
        <w:t xml:space="preserve">Zhou, </w:t>
      </w:r>
      <w:r w:rsidRPr="00DD7E0E">
        <w:rPr>
          <w:i/>
          <w:lang w:val="en-US"/>
        </w:rPr>
        <w:t>Fink, 2003</w:t>
      </w:r>
      <w:r w:rsidR="002A4D9E">
        <w:rPr>
          <w:lang w:val="en-US"/>
        </w:rPr>
        <w:t>)</w:t>
      </w:r>
      <w:r w:rsidRPr="00DD7E0E">
        <w:rPr>
          <w:lang w:val="en-US"/>
        </w:rPr>
        <w:t>.</w:t>
      </w:r>
    </w:p>
    <w:p w:rsidR="0070574A" w:rsidRPr="00DD7E0E" w:rsidRDefault="0070574A" w:rsidP="007057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sidRPr="00DD7E0E">
        <w:rPr>
          <w:lang w:val="en-US"/>
        </w:rPr>
        <w:t xml:space="preserve">Lietuvos autorės Palumickaitė, Matuzevičiūtė (2007) pažymi elementus, kurie kartojasi intelektinio kapitalo apibrėžimuose: „nematerialumą, žinias, kurios kuria vertę, bei praktikos įtaką“, o aptardamos intelektinio kapitalo bendras sudedamąsias dalis įvardija: „žinias (tiek išdėstytas, tiek numanomas), žinių keitimosi procesus, produktus, gautus besikeičiant žiniomis“. Autorės taip pat atkreipia dėmesį </w:t>
      </w:r>
      <w:r w:rsidR="00985610">
        <w:rPr>
          <w:lang w:val="en-US"/>
        </w:rPr>
        <w:t xml:space="preserve">į </w:t>
      </w:r>
      <w:r w:rsidRPr="00DD7E0E">
        <w:rPr>
          <w:lang w:val="en-US"/>
        </w:rPr>
        <w:t>tai, kad skiriasi intelektinio kapitalo apibrėžimų turinys ir sudarymo principai. Deja, Lietuvos mokslininkai vis dar stokoja d</w:t>
      </w:r>
      <w:r w:rsidRPr="00DD7E0E">
        <w:t xml:space="preserve">ėmesio </w:t>
      </w:r>
      <w:r w:rsidRPr="00DD7E0E">
        <w:rPr>
          <w:lang w:val="en-US"/>
        </w:rPr>
        <w:t xml:space="preserve">intelektinio kapitalo koncepcijos studijoms, todėl ir </w:t>
      </w:r>
      <w:r w:rsidRPr="002A4D9E">
        <w:rPr>
          <w:lang w:val="en-US"/>
        </w:rPr>
        <w:t>buvo verta plačiau paanalizuoti užsienio mokslininkų darbus in</w:t>
      </w:r>
      <w:r w:rsidR="002A4D9E" w:rsidRPr="002A4D9E">
        <w:rPr>
          <w:lang w:val="en-US"/>
        </w:rPr>
        <w:t>telektinio kapitalo srityje (</w:t>
      </w:r>
      <w:r w:rsidR="00985610">
        <w:rPr>
          <w:rFonts w:eastAsia="SimSun"/>
          <w:i/>
          <w:color w:val="141413"/>
          <w:lang w:val="en-US" w:eastAsia="en-US"/>
        </w:rPr>
        <w:t>Jakutytė</w:t>
      </w:r>
      <w:r w:rsidR="002A4D9E" w:rsidRPr="002A4D9E">
        <w:rPr>
          <w:rFonts w:eastAsia="SimSun"/>
          <w:i/>
          <w:color w:val="141413"/>
          <w:lang w:val="en-US" w:eastAsia="en-US"/>
        </w:rPr>
        <w:t>-Sungailiene, 2009</w:t>
      </w:r>
      <w:r w:rsidR="002A4D9E" w:rsidRPr="002A4D9E">
        <w:rPr>
          <w:i/>
          <w:lang w:val="en-US"/>
        </w:rPr>
        <w:t>)</w:t>
      </w:r>
      <w:r w:rsidRPr="002A4D9E">
        <w:rPr>
          <w:i/>
          <w:lang w:val="en-US"/>
        </w:rPr>
        <w:t>.</w:t>
      </w:r>
      <w:r w:rsidRPr="00DD7E0E">
        <w:rPr>
          <w:lang w:val="en-US"/>
        </w:rPr>
        <w:t xml:space="preserve"> </w:t>
      </w:r>
    </w:p>
    <w:p w:rsidR="0070574A" w:rsidRPr="00DD7E0E" w:rsidRDefault="0070574A" w:rsidP="0070574A">
      <w:pPr>
        <w:spacing w:line="360" w:lineRule="auto"/>
        <w:ind w:firstLine="567"/>
        <w:jc w:val="both"/>
        <w:rPr>
          <w:lang w:val="en-US"/>
        </w:rPr>
      </w:pPr>
      <w:r w:rsidRPr="00DD7E0E">
        <w:rPr>
          <w:lang w:val="en-US"/>
        </w:rPr>
        <w:t>Apibendrinant, galima teigti, jog intelektinis kapitalas yra atitinkamą vert</w:t>
      </w:r>
      <w:r w:rsidRPr="00DD7E0E">
        <w:t>ę</w:t>
      </w:r>
      <w:r w:rsidRPr="00DD7E0E">
        <w:rPr>
          <w:lang w:val="en-US"/>
        </w:rPr>
        <w:t xml:space="preserve"> turinčios žinios. O pastarųjų įvertinimas ir pritaikymas verslo organizacijai leidžia sukurti didesnę pridėtinę vertę ir įgyti konkurencinį pranašumą. Daugelis autorių intelektinį kapitalą apibūdina keliomis kryptimis: kaip nematerialųjį turtą, žinias, konkurencinį pranašumą. Esminė intelektinio kapitalo savybė yra organizacijos gebėjimas įdarbinti turimas žinias ir kitus nematerialiuosius išteklius taip, kad jie neštų įmonei pelną.  </w:t>
      </w:r>
    </w:p>
    <w:p w:rsidR="0070574A" w:rsidRPr="00DD7E0E" w:rsidRDefault="0070574A" w:rsidP="00276D77">
      <w:pPr>
        <w:tabs>
          <w:tab w:val="left" w:pos="567"/>
        </w:tabs>
        <w:spacing w:line="360" w:lineRule="auto"/>
        <w:ind w:left="567"/>
        <w:jc w:val="both"/>
        <w:rPr>
          <w:lang w:val="en-US"/>
        </w:rPr>
      </w:pPr>
    </w:p>
    <w:p w:rsidR="0070574A" w:rsidRPr="00DD7E0E" w:rsidRDefault="0070574A" w:rsidP="00276D77">
      <w:pPr>
        <w:numPr>
          <w:ilvl w:val="2"/>
          <w:numId w:val="6"/>
        </w:numPr>
        <w:tabs>
          <w:tab w:val="left" w:pos="567"/>
        </w:tabs>
        <w:spacing w:line="360" w:lineRule="auto"/>
        <w:ind w:left="567" w:firstLine="0"/>
        <w:jc w:val="both"/>
        <w:rPr>
          <w:b/>
          <w:lang w:val="en-US"/>
        </w:rPr>
      </w:pPr>
      <w:r w:rsidRPr="00DD7E0E">
        <w:rPr>
          <w:b/>
          <w:lang w:val="en-US"/>
        </w:rPr>
        <w:t>Intelektinio kapitalo strukt</w:t>
      </w:r>
      <w:r w:rsidRPr="00DD7E0E">
        <w:rPr>
          <w:b/>
        </w:rPr>
        <w:t>ūra</w:t>
      </w:r>
    </w:p>
    <w:p w:rsidR="0070574A" w:rsidRPr="00DD7E0E" w:rsidRDefault="0070574A" w:rsidP="00276D77">
      <w:pPr>
        <w:tabs>
          <w:tab w:val="left" w:pos="567"/>
        </w:tabs>
        <w:spacing w:line="360" w:lineRule="auto"/>
        <w:ind w:left="567"/>
        <w:jc w:val="both"/>
        <w:rPr>
          <w:b/>
          <w:sz w:val="28"/>
          <w:szCs w:val="28"/>
          <w:lang w:val="en-US"/>
        </w:rPr>
      </w:pPr>
    </w:p>
    <w:p w:rsidR="0070574A" w:rsidRPr="00DD7E0E" w:rsidRDefault="0070574A" w:rsidP="0070574A">
      <w:pPr>
        <w:spacing w:line="360" w:lineRule="auto"/>
        <w:ind w:firstLine="567"/>
        <w:jc w:val="both"/>
        <w:rPr>
          <w:lang w:val="en-US"/>
        </w:rPr>
      </w:pPr>
      <w:r w:rsidRPr="00DD7E0E">
        <w:rPr>
          <w:lang w:val="en-US"/>
        </w:rPr>
        <w:t>Įvairių intelektinio kapitalo klasifikacijų teorinių schemų ir modelių buvo pateikta daugelio mokslininkų (</w:t>
      </w:r>
      <w:r w:rsidRPr="00DD7E0E">
        <w:rPr>
          <w:i/>
          <w:lang w:val="en-US"/>
        </w:rPr>
        <w:t xml:space="preserve"> L. Edvinsson 1994; Bo</w:t>
      </w:r>
      <w:r w:rsidR="005F5F44">
        <w:rPr>
          <w:i/>
          <w:lang w:val="en-US"/>
        </w:rPr>
        <w:t>ntis, 1998, 2002; Brooking, 1996</w:t>
      </w:r>
      <w:r w:rsidRPr="00DD7E0E">
        <w:rPr>
          <w:i/>
          <w:lang w:val="en-US"/>
        </w:rPr>
        <w:t>;</w:t>
      </w:r>
      <w:r w:rsidRPr="00DD7E0E">
        <w:rPr>
          <w:lang w:val="en-US"/>
        </w:rPr>
        <w:t xml:space="preserve"> Petty &amp; Guthrie, 2000</w:t>
      </w:r>
      <w:r w:rsidRPr="00DD7E0E">
        <w:rPr>
          <w:i/>
          <w:lang w:val="en-US"/>
        </w:rPr>
        <w:t>; ir kitų</w:t>
      </w:r>
      <w:r w:rsidRPr="00DD7E0E">
        <w:rPr>
          <w:lang w:val="en-US"/>
        </w:rPr>
        <w:t>).</w:t>
      </w:r>
    </w:p>
    <w:p w:rsidR="0070574A" w:rsidRPr="00DD7E0E" w:rsidRDefault="0070574A" w:rsidP="0070574A">
      <w:pPr>
        <w:spacing w:line="360" w:lineRule="auto"/>
        <w:ind w:firstLine="567"/>
        <w:jc w:val="both"/>
        <w:rPr>
          <w:lang w:val="en-US"/>
        </w:rPr>
      </w:pPr>
      <w:r w:rsidRPr="00DD7E0E">
        <w:rPr>
          <w:lang w:val="en-US"/>
        </w:rPr>
        <w:t>Skandia (</w:t>
      </w:r>
      <w:r w:rsidRPr="00DD7E0E">
        <w:t>Švedijos finansų paslaugas teikianti kompanija</w:t>
      </w:r>
      <w:r w:rsidRPr="00DD7E0E">
        <w:rPr>
          <w:lang w:val="en-US"/>
        </w:rPr>
        <w:t xml:space="preserve">) pirmoji įvertino intelektinį kapitalą ir pagal </w:t>
      </w:r>
      <w:r w:rsidRPr="00DD7E0E">
        <w:rPr>
          <w:i/>
          <w:lang w:val="en-US"/>
        </w:rPr>
        <w:t>L. Edvinsson</w:t>
      </w:r>
      <w:r w:rsidRPr="00DD7E0E">
        <w:rPr>
          <w:lang w:val="en-US"/>
        </w:rPr>
        <w:t xml:space="preserve"> naujo verslo modelį, pavadintą </w:t>
      </w:r>
      <w:r w:rsidRPr="00DD7E0E">
        <w:rPr>
          <w:i/>
          <w:lang w:val="en-US"/>
        </w:rPr>
        <w:t>Skandia Navigator</w:t>
      </w:r>
      <w:r w:rsidRPr="00DD7E0E">
        <w:rPr>
          <w:lang w:val="en-US"/>
        </w:rPr>
        <w:t xml:space="preserve">. Anot, </w:t>
      </w:r>
      <w:r w:rsidRPr="00DD7E0E">
        <w:rPr>
          <w:i/>
          <w:lang w:val="en-US"/>
        </w:rPr>
        <w:t>Skandia (1994)</w:t>
      </w:r>
      <w:r w:rsidRPr="00DD7E0E">
        <w:rPr>
          <w:lang w:val="en-US"/>
        </w:rPr>
        <w:t xml:space="preserve"> modelio </w:t>
      </w:r>
      <w:r w:rsidRPr="00A873A5">
        <w:rPr>
          <w:lang w:val="en-US"/>
        </w:rPr>
        <w:t xml:space="preserve">(žiūrėti 2 priedą) </w:t>
      </w:r>
      <w:r w:rsidRPr="00DD7E0E">
        <w:rPr>
          <w:lang w:val="en-US"/>
        </w:rPr>
        <w:t>intelektinis kapitalas buvo suvokiamas kaip “bendr</w:t>
      </w:r>
      <w:r w:rsidR="00985610">
        <w:rPr>
          <w:lang w:val="en-US"/>
        </w:rPr>
        <w:t>a suma… nematerialiosios vertės</w:t>
      </w:r>
      <w:r w:rsidRPr="00DD7E0E">
        <w:rPr>
          <w:lang w:val="en-US"/>
        </w:rPr>
        <w:t>, kuri gali būti pavadinta intelektiniu kapitalu, kuri apima žmogiškąjį kapitalą</w:t>
      </w:r>
      <w:r w:rsidR="005F5F44">
        <w:rPr>
          <w:lang w:val="en-US"/>
        </w:rPr>
        <w:t xml:space="preserve"> (</w:t>
      </w:r>
      <w:r w:rsidR="005F5F44" w:rsidRPr="005F5F44">
        <w:rPr>
          <w:i/>
          <w:lang w:val="en-US"/>
        </w:rPr>
        <w:t>angl.</w:t>
      </w:r>
      <w:r w:rsidR="005F5F44">
        <w:rPr>
          <w:lang w:val="en-US"/>
        </w:rPr>
        <w:t xml:space="preserve"> Human capital)</w:t>
      </w:r>
      <w:r w:rsidRPr="00DD7E0E">
        <w:rPr>
          <w:lang w:val="en-US"/>
        </w:rPr>
        <w:t xml:space="preserve"> ir s</w:t>
      </w:r>
      <w:r w:rsidR="00985610">
        <w:rPr>
          <w:lang w:val="en-US"/>
        </w:rPr>
        <w:t>truktūrinį kapitalą</w:t>
      </w:r>
      <w:r w:rsidR="005F5F44">
        <w:rPr>
          <w:lang w:val="en-US"/>
        </w:rPr>
        <w:t xml:space="preserve"> (</w:t>
      </w:r>
      <w:r w:rsidR="005F5F44" w:rsidRPr="005F5F44">
        <w:rPr>
          <w:i/>
          <w:lang w:val="en-US"/>
        </w:rPr>
        <w:t>angl</w:t>
      </w:r>
      <w:r w:rsidR="005F5F44">
        <w:rPr>
          <w:lang w:val="en-US"/>
        </w:rPr>
        <w:t>. Structural capital)</w:t>
      </w:r>
      <w:r w:rsidR="00985610">
        <w:rPr>
          <w:lang w:val="en-US"/>
        </w:rPr>
        <w:t>. Žmogiškąjį</w:t>
      </w:r>
      <w:r w:rsidRPr="00DD7E0E">
        <w:rPr>
          <w:lang w:val="en-US"/>
        </w:rPr>
        <w:t xml:space="preserve"> kapitalas sudaro žinios, įgūdžiai, darbuotojo gebėjimas priimti sprendimus klientų atžvilgiu. Struktūrinis kapitalas susideda iš visko, kas išlieka darbuotojui išėjus namo: duomenų bazės, klientų duomenys, programinė įranga, instrukcijos, prekės </w:t>
      </w:r>
      <w:r w:rsidR="005F5F44">
        <w:rPr>
          <w:lang w:val="en-US"/>
        </w:rPr>
        <w:t>ženklai, organizacinė struktūra</w:t>
      </w:r>
      <w:r w:rsidRPr="00DD7E0E">
        <w:rPr>
          <w:lang w:val="en-US"/>
        </w:rPr>
        <w:t xml:space="preserve">, ir t.t. arba kitaip tariant, organizaciniai gebėjimai. </w:t>
      </w:r>
      <w:r w:rsidR="00311A7D">
        <w:rPr>
          <w:lang w:val="en-US"/>
        </w:rPr>
        <w:t xml:space="preserve">Pagal </w:t>
      </w:r>
      <w:r w:rsidR="00311A7D" w:rsidRPr="00311A7D">
        <w:rPr>
          <w:i/>
          <w:lang w:val="en-US"/>
        </w:rPr>
        <w:t>Skandia</w:t>
      </w:r>
      <w:r w:rsidR="00311A7D">
        <w:rPr>
          <w:lang w:val="en-US"/>
        </w:rPr>
        <w:t>, k</w:t>
      </w:r>
      <w:r w:rsidRPr="00DD7E0E">
        <w:rPr>
          <w:lang w:val="en-US"/>
        </w:rPr>
        <w:t>lientų kapitalas (santykių su klientais)</w:t>
      </w:r>
      <w:r w:rsidR="005F5F44">
        <w:rPr>
          <w:lang w:val="en-US"/>
        </w:rPr>
        <w:t xml:space="preserve"> (</w:t>
      </w:r>
      <w:r w:rsidR="005F5F44" w:rsidRPr="005F5F44">
        <w:rPr>
          <w:i/>
          <w:lang w:val="en-US"/>
        </w:rPr>
        <w:t>angl.</w:t>
      </w:r>
      <w:r w:rsidR="005F5F44">
        <w:rPr>
          <w:lang w:val="en-US"/>
        </w:rPr>
        <w:t xml:space="preserve"> Customer capital)</w:t>
      </w:r>
      <w:r w:rsidRPr="00DD7E0E">
        <w:rPr>
          <w:lang w:val="en-US"/>
        </w:rPr>
        <w:t xml:space="preserve"> yra reikšminga struktūrinio kapitalo dalis. Struktūrinis kapitalas gali būti valdomas, bet tai nėra žmogiškasis kapitalas” (</w:t>
      </w:r>
      <w:r w:rsidR="00311A7D" w:rsidRPr="00311A7D">
        <w:rPr>
          <w:i/>
          <w:lang w:val="en-US"/>
        </w:rPr>
        <w:t>Venugopal</w:t>
      </w:r>
      <w:r w:rsidR="00311A7D">
        <w:rPr>
          <w:i/>
          <w:lang w:val="en-US"/>
        </w:rPr>
        <w:t>,</w:t>
      </w:r>
      <w:r w:rsidR="00311A7D" w:rsidRPr="00311A7D">
        <w:rPr>
          <w:i/>
          <w:lang w:val="en-US"/>
        </w:rPr>
        <w:t xml:space="preserve"> </w:t>
      </w:r>
      <w:r w:rsidR="00311A7D">
        <w:rPr>
          <w:i/>
          <w:lang w:val="en-US"/>
        </w:rPr>
        <w:t>Subha</w:t>
      </w:r>
      <w:r w:rsidR="00311A7D" w:rsidRPr="00311A7D">
        <w:rPr>
          <w:i/>
          <w:lang w:val="en-US"/>
        </w:rPr>
        <w:t>, 2012</w:t>
      </w:r>
      <w:r w:rsidR="00311A7D">
        <w:rPr>
          <w:lang w:val="en-US"/>
        </w:rPr>
        <w:t>).</w:t>
      </w:r>
      <w:r w:rsidRPr="00DD7E0E">
        <w:rPr>
          <w:lang w:val="en-US"/>
        </w:rPr>
        <w:t xml:space="preserve"> Šiuos požiūriu intelektinis kapitalas susideda iš dviejų komponentų – žmogiškojo ir struktūrinio kapitalų.</w:t>
      </w:r>
    </w:p>
    <w:p w:rsidR="0070574A" w:rsidRPr="00DD7E0E" w:rsidRDefault="0070574A" w:rsidP="005F5F44">
      <w:pPr>
        <w:spacing w:line="360" w:lineRule="auto"/>
        <w:ind w:firstLine="567"/>
        <w:jc w:val="both"/>
        <w:rPr>
          <w:lang w:val="en-US"/>
        </w:rPr>
      </w:pPr>
      <w:r w:rsidRPr="00DD7E0E">
        <w:rPr>
          <w:lang w:val="en-US"/>
        </w:rPr>
        <w:t xml:space="preserve">Šiame darbe labiausiai priimtinas, plačiai paplitęs </w:t>
      </w:r>
      <w:r w:rsidRPr="00DD7E0E">
        <w:rPr>
          <w:i/>
          <w:lang w:val="en-US"/>
        </w:rPr>
        <w:t>N. Bontis</w:t>
      </w:r>
      <w:r w:rsidR="00AC0651">
        <w:rPr>
          <w:lang w:val="en-US"/>
        </w:rPr>
        <w:t xml:space="preserve"> modelis (1998) (žr.</w:t>
      </w:r>
      <w:r w:rsidRPr="00DD7E0E">
        <w:rPr>
          <w:lang w:val="en-US"/>
        </w:rPr>
        <w:t xml:space="preserve"> 1</w:t>
      </w:r>
      <w:r w:rsidRPr="00DD7E0E">
        <w:t xml:space="preserve"> paveiklą</w:t>
      </w:r>
      <w:r w:rsidRPr="00DD7E0E">
        <w:rPr>
          <w:lang w:val="en-US"/>
        </w:rPr>
        <w:t>), kuris intelektinį kapitalą išskiria į tris pagrindines dalis: Žmogiškąjį kapitalą (žinios ir įgūdžiai), Struktūrinį kapitalą (vidiniai procesai ir informacija, kuri yra organizacijos nuosavybė), Klientinį/Santykių kapitalą (ryšiai su akcininkais, klientais)</w:t>
      </w:r>
      <w:r w:rsidR="005F5F44">
        <w:rPr>
          <w:lang w:val="en-US"/>
        </w:rPr>
        <w:t xml:space="preserve"> (</w:t>
      </w:r>
      <w:r w:rsidR="005F5F44" w:rsidRPr="005F5F44">
        <w:rPr>
          <w:i/>
          <w:lang w:val="en-US"/>
        </w:rPr>
        <w:t>angl.</w:t>
      </w:r>
      <w:r w:rsidR="005F5F44">
        <w:rPr>
          <w:lang w:val="en-US"/>
        </w:rPr>
        <w:t xml:space="preserve"> Customer/ Social capital)</w:t>
      </w:r>
      <w:r w:rsidRPr="00DD7E0E">
        <w:rPr>
          <w:lang w:val="en-US"/>
        </w:rPr>
        <w:t xml:space="preserve">. Autorius teigia, kad būtent struktūrinio kapitalo dėka žmogiškasis kapitalas virsta intelektiniu kapitalu. </w:t>
      </w:r>
    </w:p>
    <w:p w:rsidR="0070574A" w:rsidRPr="00DD7E0E" w:rsidRDefault="00B57F31" w:rsidP="0070574A">
      <w:pPr>
        <w:spacing w:line="360" w:lineRule="auto"/>
        <w:ind w:firstLine="567"/>
        <w:jc w:val="both"/>
        <w:rPr>
          <w:lang w:val="en-US"/>
        </w:rPr>
      </w:pPr>
      <w:r>
        <w:rPr>
          <w:noProof/>
          <w:lang w:val="en-US" w:eastAsia="en-US"/>
        </w:rPr>
        <w:drawing>
          <wp:inline distT="0" distB="0" distL="0" distR="0">
            <wp:extent cx="5697220" cy="1480185"/>
            <wp:effectExtent l="0" t="0" r="0" b="5715"/>
            <wp:docPr id="1"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0574A" w:rsidRPr="00DD7E0E" w:rsidRDefault="0070574A" w:rsidP="0070574A">
      <w:pPr>
        <w:ind w:firstLine="567"/>
        <w:rPr>
          <w:b/>
          <w:lang w:val="en-US"/>
        </w:rPr>
      </w:pPr>
    </w:p>
    <w:p w:rsidR="0070574A" w:rsidRPr="00DD7E0E" w:rsidRDefault="0070574A" w:rsidP="0070574A">
      <w:pPr>
        <w:ind w:firstLine="567"/>
        <w:rPr>
          <w:lang w:val="en-US"/>
        </w:rPr>
      </w:pPr>
      <w:r w:rsidRPr="00DD7E0E">
        <w:rPr>
          <w:b/>
          <w:lang w:val="en-US"/>
        </w:rPr>
        <w:t>Šaltinis:</w:t>
      </w:r>
      <w:r w:rsidRPr="00DD7E0E">
        <w:rPr>
          <w:lang w:val="en-US"/>
        </w:rPr>
        <w:t xml:space="preserve"> sudar</w:t>
      </w:r>
      <w:r w:rsidR="00DF77A6">
        <w:rPr>
          <w:lang w:val="en-US"/>
        </w:rPr>
        <w:t xml:space="preserve">yta pagal </w:t>
      </w:r>
      <w:r w:rsidR="00DF77A6" w:rsidRPr="00DF77A6">
        <w:rPr>
          <w:i/>
          <w:lang w:val="en-US"/>
        </w:rPr>
        <w:t>Bontis, N. (1998), ir P</w:t>
      </w:r>
      <w:r w:rsidRPr="00DF77A6">
        <w:rPr>
          <w:i/>
          <w:lang w:val="en-US"/>
        </w:rPr>
        <w:t xml:space="preserve">ablos </w:t>
      </w:r>
      <w:r w:rsidR="00DF77A6" w:rsidRPr="00DF77A6">
        <w:rPr>
          <w:i/>
          <w:lang w:val="en-US"/>
        </w:rPr>
        <w:t>(2002</w:t>
      </w:r>
      <w:r w:rsidR="00DF77A6">
        <w:rPr>
          <w:lang w:val="en-US"/>
        </w:rPr>
        <w:t>).</w:t>
      </w:r>
      <w:r w:rsidRPr="00DD7E0E">
        <w:rPr>
          <w:lang w:val="en-US"/>
        </w:rPr>
        <w:t xml:space="preserve"> </w:t>
      </w:r>
    </w:p>
    <w:p w:rsidR="0070574A" w:rsidRPr="00DD7E0E" w:rsidRDefault="0070574A" w:rsidP="0070574A">
      <w:pPr>
        <w:ind w:firstLine="567"/>
        <w:jc w:val="center"/>
        <w:rPr>
          <w:lang w:val="en-US"/>
        </w:rPr>
      </w:pPr>
    </w:p>
    <w:p w:rsidR="0070574A" w:rsidRPr="00DD7E0E" w:rsidRDefault="0070574A" w:rsidP="0070574A">
      <w:pPr>
        <w:spacing w:line="360" w:lineRule="auto"/>
        <w:ind w:firstLine="567"/>
        <w:jc w:val="center"/>
        <w:rPr>
          <w:b/>
          <w:lang w:val="en-US"/>
        </w:rPr>
      </w:pPr>
      <w:r w:rsidRPr="00DD7E0E">
        <w:rPr>
          <w:lang w:val="en-US"/>
        </w:rPr>
        <w:t xml:space="preserve">1 pav. </w:t>
      </w:r>
      <w:r w:rsidRPr="00DD7E0E">
        <w:rPr>
          <w:b/>
          <w:lang w:val="en-US"/>
        </w:rPr>
        <w:t>Intelektinio kapitalo konceptualizavimas</w:t>
      </w:r>
    </w:p>
    <w:p w:rsidR="0070574A" w:rsidRPr="00DD7E0E" w:rsidRDefault="0070574A" w:rsidP="0070574A">
      <w:pPr>
        <w:spacing w:line="360" w:lineRule="auto"/>
        <w:ind w:firstLine="567"/>
        <w:jc w:val="both"/>
        <w:rPr>
          <w:lang w:val="en-US"/>
        </w:rPr>
      </w:pPr>
    </w:p>
    <w:p w:rsidR="0070574A" w:rsidRPr="00DD7E0E" w:rsidRDefault="0070574A" w:rsidP="007057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sidRPr="00DD7E0E">
        <w:rPr>
          <w:lang w:val="en-US"/>
        </w:rPr>
        <w:t xml:space="preserve">Šis modelio pagrindu intelektinio kapitalo struktūra yra labiausiai diskutuotina mokslinėje literatūroje, toliau naudinga plačiau panagrinėti  šios struktūros sudedamąsias dalis. Kiti autoriai, kaip </w:t>
      </w:r>
      <w:r w:rsidRPr="00DD7E0E">
        <w:rPr>
          <w:i/>
          <w:lang w:val="en-US"/>
        </w:rPr>
        <w:t>T. Stewar</w:t>
      </w:r>
      <w:r w:rsidR="0098746C">
        <w:rPr>
          <w:i/>
          <w:lang w:val="en-US"/>
        </w:rPr>
        <w:t>t (1997), Sveiby (1997), Roos et al</w:t>
      </w:r>
      <w:r w:rsidRPr="00DD7E0E">
        <w:rPr>
          <w:i/>
          <w:lang w:val="en-US"/>
        </w:rPr>
        <w:t>. (1997), Edvinsson ir Malone (1997),</w:t>
      </w:r>
      <w:r w:rsidRPr="00DD7E0E">
        <w:rPr>
          <w:lang w:val="en-US"/>
        </w:rPr>
        <w:t xml:space="preserve"> sekdami kitus intelektinio kapitalo pasiekėjus, intelektinį kapitalą klasifikavo taip pat išskirdami tris pagrindines nematerialiojo turto dalis (žmogiškasis, struktūrin</w:t>
      </w:r>
      <w:r w:rsidR="00DF77A6">
        <w:rPr>
          <w:lang w:val="en-US"/>
        </w:rPr>
        <w:t>is ir socialinis kapitalai) (</w:t>
      </w:r>
      <w:r w:rsidR="0098746C">
        <w:rPr>
          <w:i/>
          <w:lang w:val="en-US"/>
        </w:rPr>
        <w:t>Hancock et al.</w:t>
      </w:r>
      <w:r w:rsidR="00DF77A6" w:rsidRPr="00DF77A6">
        <w:rPr>
          <w:i/>
          <w:lang w:val="en-US"/>
        </w:rPr>
        <w:t>, 2007</w:t>
      </w:r>
      <w:r w:rsidR="00DF77A6">
        <w:rPr>
          <w:lang w:val="en-US"/>
        </w:rPr>
        <w:t>)</w:t>
      </w:r>
      <w:r w:rsidRPr="00DD7E0E">
        <w:rPr>
          <w:lang w:val="en-US"/>
        </w:rPr>
        <w:t xml:space="preserve"> ir apibūdino jas kaip žinių, sugebėjimų ir santykiu dimensijomis darbuotojo, kaip asmens ir organizacijos lygmenyje</w:t>
      </w:r>
      <w:r w:rsidR="00DF77A6">
        <w:rPr>
          <w:lang w:val="en-US"/>
        </w:rPr>
        <w:t xml:space="preserve"> (</w:t>
      </w:r>
      <w:r w:rsidR="00DF77A6" w:rsidRPr="00DF77A6">
        <w:rPr>
          <w:i/>
          <w:lang w:val="en-US"/>
        </w:rPr>
        <w:t>Yitmen, 2011</w:t>
      </w:r>
      <w:r w:rsidR="00DF77A6">
        <w:rPr>
          <w:lang w:val="en-US"/>
        </w:rPr>
        <w:t>)</w:t>
      </w:r>
      <w:r w:rsidRPr="00DD7E0E">
        <w:rPr>
          <w:lang w:val="en-US"/>
        </w:rPr>
        <w:t xml:space="preserve">. Lietuvos autoriai </w:t>
      </w:r>
      <w:r w:rsidRPr="00DF77A6">
        <w:rPr>
          <w:i/>
          <w:lang w:val="en-US"/>
        </w:rPr>
        <w:t>Mikule</w:t>
      </w:r>
      <w:r w:rsidRPr="00DF77A6">
        <w:rPr>
          <w:rFonts w:hAnsi="Cambria Math"/>
          <w:i/>
          <w:lang w:val="en-US"/>
        </w:rPr>
        <w:t>̇</w:t>
      </w:r>
      <w:r w:rsidRPr="00DF77A6">
        <w:rPr>
          <w:i/>
          <w:lang w:val="en-US"/>
        </w:rPr>
        <w:t>niene</w:t>
      </w:r>
      <w:r w:rsidRPr="00DF77A6">
        <w:rPr>
          <w:rFonts w:hAnsi="Cambria Math"/>
          <w:i/>
          <w:lang w:val="en-US"/>
        </w:rPr>
        <w:t>̇</w:t>
      </w:r>
      <w:r w:rsidRPr="00DF77A6">
        <w:rPr>
          <w:i/>
          <w:lang w:val="en-US"/>
        </w:rPr>
        <w:t>, Jucevic</w:t>
      </w:r>
      <w:r w:rsidRPr="00DF77A6">
        <w:rPr>
          <w:rFonts w:hAnsi="Cambria Math"/>
          <w:i/>
          <w:lang w:val="en-US"/>
        </w:rPr>
        <w:t>̌</w:t>
      </w:r>
      <w:r w:rsidRPr="00DF77A6">
        <w:rPr>
          <w:i/>
          <w:lang w:val="en-US"/>
        </w:rPr>
        <w:t>ius (2000</w:t>
      </w:r>
      <w:r w:rsidRPr="00DD7E0E">
        <w:rPr>
          <w:lang w:val="en-US"/>
        </w:rPr>
        <w:t>) organizacijos intelektinio kapitalo tyrimuose išskiria darbuotoju</w:t>
      </w:r>
      <w:r w:rsidRPr="00DD7E0E">
        <w:rPr>
          <w:rFonts w:hAnsi="Cambria Math"/>
          <w:lang w:val="en-US"/>
        </w:rPr>
        <w:t>̨</w:t>
      </w:r>
      <w:r w:rsidRPr="00DD7E0E">
        <w:rPr>
          <w:lang w:val="en-US"/>
        </w:rPr>
        <w:t xml:space="preserve"> kapitalo transformavimąsi i</w:t>
      </w:r>
      <w:r w:rsidRPr="00DD7E0E">
        <w:rPr>
          <w:rFonts w:hAnsi="Cambria Math"/>
          <w:lang w:val="en-US"/>
        </w:rPr>
        <w:t>̨</w:t>
      </w:r>
      <w:r w:rsidRPr="00DD7E0E">
        <w:rPr>
          <w:lang w:val="en-US"/>
        </w:rPr>
        <w:t xml:space="preserve"> intelektini</w:t>
      </w:r>
      <w:r w:rsidRPr="00DD7E0E">
        <w:rPr>
          <w:rFonts w:hAnsi="Cambria Math"/>
          <w:lang w:val="en-US"/>
        </w:rPr>
        <w:t>̨</w:t>
      </w:r>
      <w:r w:rsidRPr="00DD7E0E">
        <w:rPr>
          <w:lang w:val="en-US"/>
        </w:rPr>
        <w:t xml:space="preserve"> turta</w:t>
      </w:r>
      <w:r w:rsidRPr="00DD7E0E">
        <w:rPr>
          <w:rFonts w:hAnsi="Cambria Math"/>
          <w:lang w:val="en-US"/>
        </w:rPr>
        <w:t>̨</w:t>
      </w:r>
      <w:r w:rsidRPr="00DD7E0E">
        <w:rPr>
          <w:lang w:val="en-US"/>
        </w:rPr>
        <w:t xml:space="preserve"> ir nuosavybe</w:t>
      </w:r>
      <w:r w:rsidRPr="00DD7E0E">
        <w:rPr>
          <w:rFonts w:hAnsi="Cambria Math"/>
          <w:lang w:val="en-US"/>
        </w:rPr>
        <w:t>̨</w:t>
      </w:r>
      <w:r w:rsidRPr="00DD7E0E">
        <w:rPr>
          <w:lang w:val="en-US"/>
        </w:rPr>
        <w:t>, taip pat pabre</w:t>
      </w:r>
      <w:r w:rsidRPr="00DD7E0E">
        <w:rPr>
          <w:rFonts w:hAnsi="Cambria Math"/>
          <w:lang w:val="en-US"/>
        </w:rPr>
        <w:t>̇</w:t>
      </w:r>
      <w:r w:rsidRPr="00DD7E0E">
        <w:rPr>
          <w:lang w:val="en-US"/>
        </w:rPr>
        <w:t>žiant, kad intelektini</w:t>
      </w:r>
      <w:r w:rsidRPr="00DD7E0E">
        <w:rPr>
          <w:rFonts w:hAnsi="Cambria Math"/>
          <w:lang w:val="en-US"/>
        </w:rPr>
        <w:t>̨</w:t>
      </w:r>
      <w:r w:rsidRPr="00DD7E0E">
        <w:rPr>
          <w:lang w:val="en-US"/>
        </w:rPr>
        <w:t xml:space="preserve"> kapitala</w:t>
      </w:r>
      <w:r w:rsidRPr="00DD7E0E">
        <w:rPr>
          <w:rFonts w:hAnsi="Cambria Math"/>
          <w:lang w:val="en-US"/>
        </w:rPr>
        <w:t>̨</w:t>
      </w:r>
      <w:r w:rsidRPr="00DD7E0E">
        <w:rPr>
          <w:lang w:val="en-US"/>
        </w:rPr>
        <w:t xml:space="preserve"> sudaro darbuotoju</w:t>
      </w:r>
      <w:r w:rsidRPr="00DD7E0E">
        <w:rPr>
          <w:rFonts w:hAnsi="Cambria Math"/>
          <w:lang w:val="en-US"/>
        </w:rPr>
        <w:t>̨</w:t>
      </w:r>
      <w:r w:rsidRPr="00DD7E0E">
        <w:rPr>
          <w:lang w:val="en-US"/>
        </w:rPr>
        <w:t xml:space="preserve"> kapitalas, struktu</w:t>
      </w:r>
      <w:r w:rsidRPr="00DD7E0E">
        <w:rPr>
          <w:rFonts w:hAnsi="Cambria Math"/>
          <w:lang w:val="en-US"/>
        </w:rPr>
        <w:t>̄</w:t>
      </w:r>
      <w:r w:rsidRPr="00DD7E0E">
        <w:rPr>
          <w:lang w:val="en-US"/>
        </w:rPr>
        <w:t>rinis kapitalas ir santykiu</w:t>
      </w:r>
      <w:r w:rsidRPr="00DD7E0E">
        <w:rPr>
          <w:rFonts w:hAnsi="Cambria Math"/>
          <w:lang w:val="en-US"/>
        </w:rPr>
        <w:t>̨</w:t>
      </w:r>
      <w:r w:rsidRPr="00DD7E0E">
        <w:rPr>
          <w:lang w:val="en-US"/>
        </w:rPr>
        <w:t xml:space="preserve"> kapitalas. </w:t>
      </w:r>
    </w:p>
    <w:p w:rsidR="0070574A" w:rsidRPr="00DF77A6" w:rsidRDefault="0070574A" w:rsidP="0070574A">
      <w:pPr>
        <w:spacing w:line="360" w:lineRule="auto"/>
        <w:ind w:firstLine="567"/>
        <w:jc w:val="both"/>
        <w:rPr>
          <w:i/>
          <w:lang w:val="en-US"/>
        </w:rPr>
      </w:pPr>
      <w:r w:rsidRPr="00DD7E0E">
        <w:rPr>
          <w:lang w:val="en-US"/>
        </w:rPr>
        <w:t xml:space="preserve">Nors būta ir kitokių skirstymų: </w:t>
      </w:r>
      <w:r w:rsidRPr="00DD7E0E">
        <w:rPr>
          <w:i/>
          <w:lang w:val="en-US"/>
        </w:rPr>
        <w:t>A. Brooking (1996)</w:t>
      </w:r>
      <w:r w:rsidRPr="00DD7E0E">
        <w:rPr>
          <w:lang w:val="en-US"/>
        </w:rPr>
        <w:t xml:space="preserve"> intelektinį kapitalą skirsto į tokias išteklių rūšis: 1) rinkos ištekliai (prekės ženklai, klientai, platinimo kanalai, verslo bendradarbiavimai), 2) intelektinės nuosavybės ištekliai (patentai, autorinės teisės, prekybos paslaptys), 3) žmogiškieji ištekliai (išsilavinimas, su darbu susijusios žinios ir kompetencija), 4) infrastruktūros ištekliai (vadybos procesai, informacinės technologinės sistemos, kontaktų mez</w:t>
      </w:r>
      <w:r w:rsidR="00DF77A6">
        <w:rPr>
          <w:lang w:val="en-US"/>
        </w:rPr>
        <w:t>gimas, finansinės sistemos) (</w:t>
      </w:r>
      <w:r w:rsidR="00DF77A6" w:rsidRPr="00DF77A6">
        <w:rPr>
          <w:i/>
          <w:lang w:val="en-US"/>
        </w:rPr>
        <w:t>Brooking, 1996)</w:t>
      </w:r>
      <w:r w:rsidRPr="00DF77A6">
        <w:rPr>
          <w:i/>
          <w:lang w:val="en-US"/>
        </w:rPr>
        <w:t xml:space="preserve">. </w:t>
      </w:r>
    </w:p>
    <w:p w:rsidR="0070574A" w:rsidRPr="00DD7E0E" w:rsidRDefault="0070574A" w:rsidP="0070574A">
      <w:pPr>
        <w:spacing w:line="360" w:lineRule="auto"/>
        <w:ind w:firstLine="567"/>
        <w:jc w:val="both"/>
        <w:rPr>
          <w:lang w:val="en-US"/>
        </w:rPr>
      </w:pPr>
      <w:r w:rsidRPr="00DD7E0E">
        <w:rPr>
          <w:lang w:val="en-US"/>
        </w:rPr>
        <w:t xml:space="preserve">Lengviau intelektinį kapitalą apibūdinti atskirai pagal jo sudedamuosius  tris komponentus, kurie atlieka pagrindinį vaidmenį intelektinio kapitalo teorijoje. </w:t>
      </w:r>
    </w:p>
    <w:p w:rsidR="0070574A" w:rsidRPr="00DD7E0E" w:rsidRDefault="0070574A" w:rsidP="00276D77">
      <w:pPr>
        <w:spacing w:line="360" w:lineRule="auto"/>
        <w:ind w:firstLine="567"/>
        <w:jc w:val="both"/>
        <w:rPr>
          <w:lang w:val="en-US"/>
        </w:rPr>
      </w:pPr>
    </w:p>
    <w:p w:rsidR="0070574A" w:rsidRPr="00276D77" w:rsidRDefault="0070574A" w:rsidP="00276D77">
      <w:pPr>
        <w:spacing w:line="360" w:lineRule="auto"/>
        <w:ind w:firstLine="567"/>
        <w:rPr>
          <w:b/>
          <w:lang w:val="en-US"/>
        </w:rPr>
      </w:pPr>
      <w:r w:rsidRPr="00DD7E0E">
        <w:rPr>
          <w:b/>
          <w:lang w:val="en-US"/>
        </w:rPr>
        <w:t xml:space="preserve">Žmogiškasis kapitalas </w:t>
      </w:r>
    </w:p>
    <w:p w:rsidR="0070574A" w:rsidRPr="00DD7E0E" w:rsidRDefault="0070574A" w:rsidP="0070574A">
      <w:pPr>
        <w:spacing w:line="360" w:lineRule="auto"/>
        <w:ind w:firstLine="567"/>
        <w:jc w:val="both"/>
        <w:rPr>
          <w:lang w:val="en-US"/>
        </w:rPr>
      </w:pPr>
      <w:r w:rsidRPr="00DD7E0E">
        <w:rPr>
          <w:lang w:val="en-US"/>
        </w:rPr>
        <w:t xml:space="preserve">Literatūroje, intelektinis kapitalas skirstomas į keletą komponentų. Vienas jų - žmogiškasis kapitalas, kuris yra viena svarbiausių intelektinio kapitalo sudedamųjų dalių dabartiniame darbe. Netgi tokiuose ankstyvuosiuose darbuose, kaip </w:t>
      </w:r>
      <w:r w:rsidRPr="00DD7E0E">
        <w:rPr>
          <w:i/>
          <w:lang w:val="en-US"/>
        </w:rPr>
        <w:t>Smith (1776), Mincer (1958), Schultz (1961), and Becker (1964)</w:t>
      </w:r>
      <w:r w:rsidRPr="00DD7E0E">
        <w:rPr>
          <w:lang w:val="en-US"/>
        </w:rPr>
        <w:t xml:space="preserve"> parodoma, jog žmogiškojo kapitalo teorijos jau seniai pripažino bendro ž</w:t>
      </w:r>
      <w:r w:rsidR="00DF77A6">
        <w:rPr>
          <w:lang w:val="en-US"/>
        </w:rPr>
        <w:t>mogiškojo faktoriaus svarbą (</w:t>
      </w:r>
      <w:r w:rsidR="00C76C8F">
        <w:rPr>
          <w:i/>
          <w:lang w:val="en-US"/>
        </w:rPr>
        <w:t>Gamerschlag, 2013</w:t>
      </w:r>
      <w:r w:rsidR="00DF77A6">
        <w:rPr>
          <w:lang w:val="en-US"/>
        </w:rPr>
        <w:t>)</w:t>
      </w:r>
      <w:r w:rsidRPr="00DD7E0E">
        <w:rPr>
          <w:lang w:val="en-US"/>
        </w:rPr>
        <w:t>.</w:t>
      </w:r>
    </w:p>
    <w:p w:rsidR="0070574A" w:rsidRPr="00DD7E0E" w:rsidRDefault="0070574A" w:rsidP="0070574A">
      <w:pPr>
        <w:spacing w:line="360" w:lineRule="auto"/>
        <w:ind w:firstLine="567"/>
        <w:jc w:val="both"/>
        <w:rPr>
          <w:lang w:val="en-US"/>
        </w:rPr>
      </w:pPr>
      <w:r w:rsidRPr="00DD7E0E">
        <w:rPr>
          <w:i/>
          <w:lang w:val="en-US"/>
        </w:rPr>
        <w:t>Sveiby</w:t>
      </w:r>
      <w:r w:rsidRPr="00DD7E0E">
        <w:rPr>
          <w:lang w:val="en-US"/>
        </w:rPr>
        <w:t xml:space="preserve"> (1997, p. 10)  apibūdino žmogiškąjį kapitalą kaip “gebėjimą veikti įvairiose situacijose bei kurti tiek materialujį</w:t>
      </w:r>
      <w:r w:rsidR="00DF77A6">
        <w:rPr>
          <w:lang w:val="en-US"/>
        </w:rPr>
        <w:t>, tiek nematerialųjį turtą”</w:t>
      </w:r>
      <w:r w:rsidRPr="00DD7E0E">
        <w:rPr>
          <w:lang w:val="en-US"/>
        </w:rPr>
        <w:t>. Jis tap pat teigė, jog</w:t>
      </w:r>
      <w:r w:rsidRPr="00DD7E0E">
        <w:rPr>
          <w:rFonts w:ascii="Times" w:hAnsi="Times" w:cs="Times"/>
          <w:lang w:val="en-US"/>
        </w:rPr>
        <w:t xml:space="preserve"> </w:t>
      </w:r>
      <w:r w:rsidRPr="00DD7E0E">
        <w:rPr>
          <w:lang w:val="en-US"/>
        </w:rPr>
        <w:t>žmogau</w:t>
      </w:r>
      <w:r w:rsidR="005F5F44">
        <w:rPr>
          <w:lang w:val="en-US"/>
        </w:rPr>
        <w:t>s</w:t>
      </w:r>
      <w:r w:rsidRPr="00DD7E0E">
        <w:rPr>
          <w:lang w:val="en-US"/>
        </w:rPr>
        <w:t xml:space="preserve"> kompetencija yra pagrindinis nematerialiojo turto komponentas, kuris apima tiek vidinę, tiek išorinę įmonės struktūras. Žmogiškasis kapitalas yra apibrėžiamas, kaip visuma žinių, įgūdžių, inovacijų ir darbuotojų gebėjimo pasiekti tikslų </w:t>
      </w:r>
      <w:r w:rsidRPr="00DD7E0E">
        <w:rPr>
          <w:i/>
          <w:lang w:val="en-US"/>
        </w:rPr>
        <w:t>(Dzinkowski, 2000)</w:t>
      </w:r>
      <w:r w:rsidRPr="00DD7E0E">
        <w:rPr>
          <w:lang w:val="en-US"/>
        </w:rPr>
        <w:t xml:space="preserve">. Tuo tarpu </w:t>
      </w:r>
      <w:r w:rsidRPr="00DD7E0E">
        <w:rPr>
          <w:i/>
          <w:lang w:val="en-US"/>
        </w:rPr>
        <w:t>N. Bontis ir kt.</w:t>
      </w:r>
      <w:r w:rsidR="005F5F44">
        <w:rPr>
          <w:lang w:val="en-US"/>
        </w:rPr>
        <w:t xml:space="preserve"> (2000</w:t>
      </w:r>
      <w:r w:rsidRPr="00DD7E0E">
        <w:rPr>
          <w:lang w:val="en-US"/>
        </w:rPr>
        <w:t>) pareiškė, jog žmogiškasis kapitalas gali būti apibrėžiamas kaip “ individualūs žinių ištekliai, pristatomi pači</w:t>
      </w:r>
      <w:r w:rsidR="00DF77A6">
        <w:rPr>
          <w:lang w:val="en-US"/>
        </w:rPr>
        <w:t>ų organizacijos darbuotojų”</w:t>
      </w:r>
      <w:r w:rsidRPr="00DD7E0E">
        <w:rPr>
          <w:lang w:val="en-US"/>
        </w:rPr>
        <w:t xml:space="preserve">. O darbuotojai dažniausiai laikomi įmonės svarbiausiu turtu </w:t>
      </w:r>
      <w:r w:rsidRPr="00DD7E0E">
        <w:rPr>
          <w:i/>
          <w:lang w:val="en-US"/>
        </w:rPr>
        <w:t>(Abeysekera and Guthrie, 2004)</w:t>
      </w:r>
      <w:r w:rsidRPr="00DD7E0E">
        <w:rPr>
          <w:lang w:val="en-US"/>
        </w:rPr>
        <w:t xml:space="preserve">. Naujų technologijų ir nuolat besikeičiančio verslo klimato amžiuje, intelektualios ir sparčiai prisitaikančios prie naujovių darbo jėgos paklausa darosi vis didesnė nei bet kada. </w:t>
      </w:r>
      <w:r w:rsidR="00595F4B" w:rsidRPr="00595F4B">
        <w:rPr>
          <w:i/>
          <w:lang w:val="en-US"/>
        </w:rPr>
        <w:t>Rimmel</w:t>
      </w:r>
      <w:r w:rsidR="00595F4B">
        <w:rPr>
          <w:i/>
          <w:lang w:val="en-US"/>
        </w:rPr>
        <w:t xml:space="preserve"> ir kt.</w:t>
      </w:r>
      <w:r w:rsidR="00300A6B">
        <w:rPr>
          <w:i/>
          <w:lang w:val="en-US"/>
        </w:rPr>
        <w:t xml:space="preserve"> (2013</w:t>
      </w:r>
      <w:r w:rsidR="00595F4B">
        <w:rPr>
          <w:lang w:val="en-US"/>
        </w:rPr>
        <w:t>) susitemino požiūrį, kad d</w:t>
      </w:r>
      <w:r w:rsidRPr="00DD7E0E">
        <w:rPr>
          <w:lang w:val="en-US"/>
        </w:rPr>
        <w:t xml:space="preserve">arbo jėga, kuri aukštame žmogiškojo kapitalo lygmenyje, gali sugebėti priimti inovacijas ir atlikti strateginius atnaujinimus </w:t>
      </w:r>
      <w:r w:rsidRPr="00DD7E0E">
        <w:rPr>
          <w:i/>
          <w:lang w:val="en-US"/>
        </w:rPr>
        <w:t>(</w:t>
      </w:r>
      <w:r w:rsidR="00595F4B">
        <w:rPr>
          <w:i/>
          <w:lang w:val="en-US"/>
        </w:rPr>
        <w:t xml:space="preserve">pagal </w:t>
      </w:r>
      <w:r w:rsidR="005F5F44">
        <w:rPr>
          <w:i/>
          <w:lang w:val="en-US"/>
        </w:rPr>
        <w:t>Bontis, 1998, 2002</w:t>
      </w:r>
      <w:r w:rsidRPr="00DD7E0E">
        <w:rPr>
          <w:i/>
          <w:lang w:val="en-US"/>
        </w:rPr>
        <w:t>; Abeysekera and Guthrie, 2004; Abeysekera, 2006).</w:t>
      </w:r>
      <w:r w:rsidRPr="00DD7E0E">
        <w:rPr>
          <w:lang w:val="en-US"/>
        </w:rPr>
        <w:t xml:space="preserve"> </w:t>
      </w:r>
      <w:r w:rsidRPr="00DD7E0E">
        <w:rPr>
          <w:i/>
          <w:lang w:val="en-US"/>
        </w:rPr>
        <w:t xml:space="preserve">Riahi-Belkaoui </w:t>
      </w:r>
      <w:r w:rsidR="005F5F44">
        <w:rPr>
          <w:lang w:val="en-US"/>
        </w:rPr>
        <w:t>(2003</w:t>
      </w:r>
      <w:r w:rsidR="00276D77">
        <w:rPr>
          <w:lang w:val="en-US"/>
        </w:rPr>
        <w:t xml:space="preserve">) </w:t>
      </w:r>
      <w:r w:rsidRPr="00DD7E0E">
        <w:rPr>
          <w:lang w:val="en-US"/>
        </w:rPr>
        <w:t xml:space="preserve">taip pat pareiškė, jog “ žmogiškasis kapitalas kuria inovacijas – tiksliau naujus produktus ir paslaugas </w:t>
      </w:r>
      <w:r w:rsidR="002765AC">
        <w:rPr>
          <w:lang w:val="en-US"/>
        </w:rPr>
        <w:t>arba gerina verslo pocesus”</w:t>
      </w:r>
      <w:r w:rsidRPr="00DD7E0E">
        <w:rPr>
          <w:lang w:val="en-US"/>
        </w:rPr>
        <w:t>.</w:t>
      </w:r>
    </w:p>
    <w:p w:rsidR="0070574A" w:rsidRPr="00DD7E0E" w:rsidRDefault="0070574A" w:rsidP="007057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sidRPr="00DD7E0E">
        <w:rPr>
          <w:lang w:val="en-US"/>
        </w:rPr>
        <w:t>Žmogiškasis kapitalas yra svarbus pamatas inovacijoms, norint strategiškai atnaujinti įmonę, be to įmonė gali sukurti ir realizuoti žiniomis grįst</w:t>
      </w:r>
      <w:r w:rsidR="005F5F44">
        <w:t>ą</w:t>
      </w:r>
      <w:r w:rsidRPr="00DD7E0E">
        <w:rPr>
          <w:lang w:val="en-US"/>
        </w:rPr>
        <w:t xml:space="preserve"> ekonominę vertę. Žmogiškasis kapitalas gali būti apibrėžiamas kaip darbuotojo kompetencijos, požiūrio ir kūrybiškumo derinys.</w:t>
      </w:r>
    </w:p>
    <w:p w:rsidR="0070574A" w:rsidRPr="00DD7E0E" w:rsidRDefault="0070574A" w:rsidP="0070574A">
      <w:pPr>
        <w:spacing w:line="360" w:lineRule="auto"/>
        <w:ind w:firstLine="567"/>
        <w:jc w:val="both"/>
        <w:rPr>
          <w:lang w:val="en-US"/>
        </w:rPr>
      </w:pPr>
      <w:r w:rsidRPr="00DD7E0E">
        <w:rPr>
          <w:lang w:val="en-US"/>
        </w:rPr>
        <w:t xml:space="preserve">Darbuotojai generuoja žmogiškąjį kapitalą per savo kompetenciją, savo požiūrį ir savo intelektinį judrumą </w:t>
      </w:r>
      <w:r w:rsidR="00A3483D">
        <w:rPr>
          <w:i/>
          <w:lang w:val="en-US"/>
        </w:rPr>
        <w:t>(Roos, 1997</w:t>
      </w:r>
      <w:r w:rsidRPr="00DD7E0E">
        <w:rPr>
          <w:i/>
          <w:lang w:val="en-US"/>
        </w:rPr>
        <w:t>).</w:t>
      </w:r>
      <w:r w:rsidRPr="00DD7E0E">
        <w:rPr>
          <w:lang w:val="en-US"/>
        </w:rPr>
        <w:t xml:space="preserve"> Darbuotojų kompetencija yra “kietoji” intelektinio kapitalo dalis. Ji apima darbuotojų žinias, įgūdžius, talentus ir įgudimą, iš kurių žinios ir įgūdžiai atlieka pagrindinį vaidmenį. Žinios, kurios susideda iš techninių žinių ir akademinių žinių, gaunamos daugiausia per mokyklinį </w:t>
      </w:r>
      <w:r w:rsidR="005F5F44">
        <w:rPr>
          <w:lang w:val="en-US"/>
        </w:rPr>
        <w:t xml:space="preserve">ugdymą ir todėl jos yra labiau </w:t>
      </w:r>
      <w:r w:rsidRPr="00DD7E0E">
        <w:rPr>
          <w:lang w:val="en-US"/>
        </w:rPr>
        <w:t xml:space="preserve">teorinės. Įgūdžiai, darbuotojo sugebėjimas įvykdyti praktines užduotis, gaunami daugiausia per praktiką. Darbuotojų požiūris yra “minkštoji” intelektinio kapitalo dalis, įskaitant ir jų motyvaciją darbui bei pasitenkinimą dėl darbo. Ji yra laikoma darbuotojams būtina sąlyga norint visapusiškai išnaudoti jų kompetenciją. </w:t>
      </w:r>
    </w:p>
    <w:p w:rsidR="0070574A" w:rsidRPr="00DD7E0E" w:rsidRDefault="0070574A" w:rsidP="0070574A">
      <w:pPr>
        <w:spacing w:line="360" w:lineRule="auto"/>
        <w:ind w:firstLine="567"/>
        <w:jc w:val="both"/>
        <w:rPr>
          <w:lang w:val="en-US"/>
        </w:rPr>
      </w:pPr>
      <w:r w:rsidRPr="00DD7E0E">
        <w:rPr>
          <w:lang w:val="en-US"/>
        </w:rPr>
        <w:t>Žmogiškasis kapitalas gali būti ribojamas mikro, t.y. individualiame (asmeniniai atributai, techninė kompetencija ir kūribiškumas) arba makro, t.y. organizaciniame (komandinis darbas, sveikatinga darbo aplinka) lygmenyje.</w:t>
      </w:r>
    </w:p>
    <w:p w:rsidR="0070574A" w:rsidRPr="00DD7E0E" w:rsidRDefault="0070574A" w:rsidP="007057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b/>
          <w:lang w:val="en-US"/>
        </w:rPr>
      </w:pPr>
      <w:r w:rsidRPr="00DD7E0E">
        <w:rPr>
          <w:lang w:val="en-US"/>
        </w:rPr>
        <w:t>Apibendrinant, galima teigti, jog žmogiškasis kapitalas yra svarbiausias produkcijos gamybos įrankis, keliant klientams tiekiamų paslaugų kokybę. Be to, tai suteikia privalumų rinkoje bei kuria įmonės pridėtinę vertę. Žmogiškasis kapitalas formuojamas per darbuotojų kompetenciją, požiūrį ir intelektinį judrumą.</w:t>
      </w:r>
    </w:p>
    <w:p w:rsidR="0070574A" w:rsidRPr="00DD7E0E" w:rsidRDefault="0070574A" w:rsidP="00276D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b/>
          <w:lang w:val="en-US"/>
        </w:rPr>
      </w:pPr>
    </w:p>
    <w:p w:rsidR="0070574A" w:rsidRPr="00DD7E0E" w:rsidRDefault="0070574A" w:rsidP="00276D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sidRPr="00DD7E0E">
        <w:rPr>
          <w:b/>
          <w:lang w:val="en-US"/>
        </w:rPr>
        <w:t>Struktūrinis kapitalas</w:t>
      </w:r>
    </w:p>
    <w:p w:rsidR="0070574A" w:rsidRPr="00DD7E0E" w:rsidRDefault="0070574A" w:rsidP="0070574A">
      <w:pPr>
        <w:spacing w:line="360" w:lineRule="auto"/>
        <w:ind w:firstLine="567"/>
        <w:jc w:val="both"/>
        <w:rPr>
          <w:lang w:val="en-US"/>
        </w:rPr>
      </w:pPr>
      <w:r w:rsidRPr="00DD7E0E">
        <w:rPr>
          <w:lang w:val="en-US"/>
        </w:rPr>
        <w:t>Struktūrinis kapitalas sudaro visas su žmogiškaisiais ištekliais nesusij</w:t>
      </w:r>
      <w:r w:rsidR="002765AC">
        <w:rPr>
          <w:lang w:val="en-US"/>
        </w:rPr>
        <w:t>usias žinias organizacijoje (</w:t>
      </w:r>
      <w:r w:rsidR="002765AC" w:rsidRPr="002765AC">
        <w:rPr>
          <w:i/>
          <w:lang w:val="en-US"/>
        </w:rPr>
        <w:t>Ferreira, Martinez, 2011</w:t>
      </w:r>
      <w:r w:rsidR="002765AC">
        <w:rPr>
          <w:lang w:val="en-US"/>
        </w:rPr>
        <w:t>)</w:t>
      </w:r>
      <w:r w:rsidRPr="00DD7E0E">
        <w:rPr>
          <w:lang w:val="en-US"/>
        </w:rPr>
        <w:t>. Struktūrinis kapitalas apibrėžiamas kaip vidiniai organizacijos ištekliai: patentai, prekės ženklai, techninė įranga, program</w:t>
      </w:r>
      <w:r w:rsidR="005F5F44">
        <w:rPr>
          <w:lang w:val="en-US"/>
        </w:rPr>
        <w:t>inė įranga, duomenų bazė</w:t>
      </w:r>
      <w:r w:rsidRPr="00DD7E0E">
        <w:rPr>
          <w:lang w:val="en-US"/>
        </w:rPr>
        <w:t xml:space="preserve">s, organizacinė struktūra ir organizaciniai sugebėjimai </w:t>
      </w:r>
      <w:r w:rsidRPr="00DD7E0E">
        <w:rPr>
          <w:i/>
          <w:lang w:val="en-US"/>
        </w:rPr>
        <w:t>(Edvinsson and Malone, 1997)</w:t>
      </w:r>
      <w:r w:rsidRPr="00DD7E0E">
        <w:rPr>
          <w:lang w:val="en-US"/>
        </w:rPr>
        <w:t xml:space="preserve">. </w:t>
      </w:r>
      <w:r w:rsidR="005F5F44">
        <w:rPr>
          <w:i/>
          <w:lang w:val="en-US"/>
        </w:rPr>
        <w:t>Sveiby (1997</w:t>
      </w:r>
      <w:r w:rsidRPr="00DD7E0E">
        <w:rPr>
          <w:i/>
          <w:lang w:val="en-US"/>
        </w:rPr>
        <w:t>)</w:t>
      </w:r>
      <w:r w:rsidRPr="00DD7E0E">
        <w:rPr>
          <w:lang w:val="en-US"/>
        </w:rPr>
        <w:t xml:space="preserve"> struktūrinį kapitalą apibrėžė, kaip “patentai, koncepcijos, modeliai bei kompiuterinės ir administracinės sistemos“. Kitaip tariant, struktūrinis kapitalas apjungia struktūrizuotas žinias ir informaciją, kuri saugoma įmonės viduje. Jam priklauso informaciniai resursai, darbo instrukcijos ir metodikos, kompanijos organizacijos sistema ir t.t.  Tai organizacijos kuriamos žinios, kurios negali būti </w:t>
      </w:r>
      <w:r w:rsidR="00097583">
        <w:rPr>
          <w:lang w:val="en-US"/>
        </w:rPr>
        <w:t>atskirtos nuo organizacijos (</w:t>
      </w:r>
      <w:r w:rsidR="00C76C8F">
        <w:rPr>
          <w:i/>
          <w:lang w:val="en-US"/>
        </w:rPr>
        <w:t>Cahill at al.</w:t>
      </w:r>
      <w:r w:rsidR="00097583" w:rsidRPr="00097583">
        <w:rPr>
          <w:i/>
          <w:lang w:val="en-US"/>
        </w:rPr>
        <w:t>, 2010</w:t>
      </w:r>
      <w:r w:rsidR="00097583">
        <w:rPr>
          <w:lang w:val="en-US"/>
        </w:rPr>
        <w:t>)</w:t>
      </w:r>
      <w:r w:rsidRPr="00DD7E0E">
        <w:rPr>
          <w:lang w:val="en-US"/>
        </w:rPr>
        <w:t xml:space="preserve">. </w:t>
      </w:r>
    </w:p>
    <w:p w:rsidR="0070574A" w:rsidRPr="00DD7E0E" w:rsidRDefault="0070574A" w:rsidP="0070574A">
      <w:pPr>
        <w:spacing w:line="360" w:lineRule="auto"/>
        <w:ind w:firstLine="567"/>
        <w:jc w:val="both"/>
        <w:rPr>
          <w:lang w:val="en-US"/>
        </w:rPr>
      </w:pPr>
      <w:r w:rsidRPr="00DD7E0E">
        <w:rPr>
          <w:lang w:val="en-US"/>
        </w:rPr>
        <w:t xml:space="preserve">Struktūriniu kapitalu siekiama, kad būtų sudarytos sąlygos darbuotojams pagerinti verslo efektyvumą, dėka jų žinių ir kompetencijos. </w:t>
      </w:r>
      <w:r w:rsidRPr="00DD7E0E">
        <w:rPr>
          <w:i/>
          <w:lang w:val="en-US"/>
        </w:rPr>
        <w:t>Dzinkowski (2000)</w:t>
      </w:r>
      <w:r w:rsidRPr="00DD7E0E">
        <w:rPr>
          <w:lang w:val="en-US"/>
        </w:rPr>
        <w:t xml:space="preserve"> struktūrinio kapitalo padalino į intelektinę nuosavybę ir infrastruktūros turtą. Intelektinė nuosavybė sudaro intelektinio turto, interesų turėtojų teises, kurias gina įstatymai, pavyzdžiui, patentai, autorinės teisės ir prekių ženklai. Infrastruktūros turtas susideda iš elementų, kurie gali būti įsigyti iš išorės arba gali būti sudaryti įmonės viduje (korporacinė kultūra, valdymo procesai, informacinių sistemų, tinklų sistemos ir mokslinių tyrimų projektai) </w:t>
      </w:r>
      <w:r w:rsidRPr="00DD7E0E">
        <w:rPr>
          <w:i/>
          <w:lang w:val="en-US"/>
        </w:rPr>
        <w:t>(Bozzolan</w:t>
      </w:r>
      <w:r w:rsidR="00F70691">
        <w:rPr>
          <w:i/>
          <w:lang w:val="en-US"/>
        </w:rPr>
        <w:t xml:space="preserve"> et al.</w:t>
      </w:r>
      <w:r w:rsidRPr="00DD7E0E">
        <w:rPr>
          <w:i/>
          <w:lang w:val="en-US"/>
        </w:rPr>
        <w:t>, 2003).</w:t>
      </w:r>
      <w:r w:rsidRPr="00DD7E0E">
        <w:rPr>
          <w:lang w:val="en-US"/>
        </w:rPr>
        <w:t xml:space="preserve"> Tai įkūnija tai, kas lieka organizacijoje, kai darbuotojai palieka darbo vietas ir išvyksta namo nakčiai (Roos </w:t>
      </w:r>
      <w:r w:rsidRPr="00DD7E0E">
        <w:rPr>
          <w:i/>
          <w:iCs/>
          <w:lang w:val="en-US"/>
        </w:rPr>
        <w:t>et al.</w:t>
      </w:r>
      <w:r w:rsidR="00BD4071">
        <w:rPr>
          <w:lang w:val="en-US"/>
        </w:rPr>
        <w:t>, 2001)</w:t>
      </w:r>
      <w:r w:rsidRPr="00DD7E0E">
        <w:rPr>
          <w:lang w:val="en-US"/>
        </w:rPr>
        <w:t>. Struktūrinis kapitalas - tai intelektinio kapitalo dalis, kuri lieka įmonėje pasibaigus darbo dienai.</w:t>
      </w:r>
    </w:p>
    <w:p w:rsidR="0070574A" w:rsidRPr="00DD7E0E" w:rsidRDefault="005F5F44" w:rsidP="0070574A">
      <w:pPr>
        <w:spacing w:line="360" w:lineRule="auto"/>
        <w:ind w:firstLine="567"/>
        <w:jc w:val="both"/>
        <w:rPr>
          <w:iCs/>
          <w:sz w:val="20"/>
          <w:szCs w:val="20"/>
          <w:lang w:val="en-US"/>
        </w:rPr>
      </w:pPr>
      <w:r>
        <w:rPr>
          <w:i/>
          <w:lang w:val="en-US"/>
        </w:rPr>
        <w:t>Chen et al</w:t>
      </w:r>
      <w:r w:rsidR="0070574A" w:rsidRPr="00DD7E0E">
        <w:rPr>
          <w:i/>
          <w:lang w:val="en-US"/>
        </w:rPr>
        <w:t>. (2004)</w:t>
      </w:r>
      <w:r w:rsidR="0070574A" w:rsidRPr="00DD7E0E">
        <w:rPr>
          <w:lang w:val="en-US"/>
        </w:rPr>
        <w:t xml:space="preserve"> nurodė, kad struktūrinio kapitalo turinys apima verslo kultūrą, organ</w:t>
      </w:r>
      <w:r>
        <w:rPr>
          <w:lang w:val="en-US"/>
        </w:rPr>
        <w:t>izacinę struktūrą, organizacinį mokymąsi</w:t>
      </w:r>
      <w:r w:rsidR="0070574A" w:rsidRPr="00DD7E0E">
        <w:rPr>
          <w:lang w:val="en-US"/>
        </w:rPr>
        <w:t xml:space="preserve">, veiklos srautus ir informaciją, </w:t>
      </w:r>
      <w:r>
        <w:rPr>
          <w:lang w:val="en-US"/>
        </w:rPr>
        <w:t xml:space="preserve">skirtą </w:t>
      </w:r>
      <w:r w:rsidR="0070574A" w:rsidRPr="00DD7E0E">
        <w:rPr>
          <w:lang w:val="en-US"/>
        </w:rPr>
        <w:t>padėti taupančių į</w:t>
      </w:r>
      <w:r w:rsidR="00BD4071">
        <w:rPr>
          <w:lang w:val="en-US"/>
        </w:rPr>
        <w:t>monių ir sistemų operacijas</w:t>
      </w:r>
      <w:r w:rsidR="0070574A" w:rsidRPr="00DD7E0E">
        <w:rPr>
          <w:lang w:val="en-US"/>
        </w:rPr>
        <w:t xml:space="preserve">. </w:t>
      </w:r>
      <w:r w:rsidR="0070574A" w:rsidRPr="00DD7E0E">
        <w:rPr>
          <w:iCs/>
          <w:lang w:val="en-US"/>
        </w:rPr>
        <w:t>Struktūrinis kapitalas susijęs su įmonės sistema ir struktūra. Organizacija su stipriu struktūriniu kapitalu gali sukurti palankias sąlygas žmogiškojo kapitalo panaudojimui ir leisti žmogiškajam kapitalui realizuoti turimą didžiausią potencialą, o tuomet ir didinti inovacinį ir klientinį kapitalą. Struktūrinį kapitalą galima suskirstyti į tokias dalis, kaip įmonės kultūra, organizacinė struktūra, organizacinis mokymas, veiklos proces</w:t>
      </w:r>
      <w:r w:rsidR="0016478E">
        <w:rPr>
          <w:iCs/>
          <w:lang w:val="en-US"/>
        </w:rPr>
        <w:t>as ir informacinės sistemos (</w:t>
      </w:r>
      <w:r w:rsidR="0016478E" w:rsidRPr="00C54914">
        <w:rPr>
          <w:i/>
          <w:iCs/>
          <w:lang w:val="en-US"/>
        </w:rPr>
        <w:t xml:space="preserve">Amiri ir kt., </w:t>
      </w:r>
      <w:r w:rsidR="00C54914" w:rsidRPr="00C54914">
        <w:rPr>
          <w:i/>
          <w:iCs/>
          <w:lang w:val="en-US"/>
        </w:rPr>
        <w:t>2010</w:t>
      </w:r>
      <w:r w:rsidR="0016478E">
        <w:rPr>
          <w:iCs/>
          <w:lang w:val="en-US"/>
        </w:rPr>
        <w:t>)</w:t>
      </w:r>
      <w:r w:rsidR="0070574A" w:rsidRPr="00DD7E0E">
        <w:rPr>
          <w:iCs/>
          <w:lang w:val="en-US"/>
        </w:rPr>
        <w:t>.</w:t>
      </w:r>
    </w:p>
    <w:p w:rsidR="0070574A" w:rsidRPr="00DD7E0E" w:rsidRDefault="0070574A" w:rsidP="0070574A">
      <w:pPr>
        <w:spacing w:line="360" w:lineRule="auto"/>
        <w:ind w:firstLine="567"/>
        <w:jc w:val="both"/>
        <w:rPr>
          <w:sz w:val="20"/>
          <w:szCs w:val="20"/>
          <w:lang w:val="en-US"/>
        </w:rPr>
      </w:pPr>
      <w:r w:rsidRPr="00DD7E0E">
        <w:rPr>
          <w:lang w:val="en-US"/>
        </w:rPr>
        <w:t xml:space="preserve">Struktūrinis arba organizacinis kapitalas yra literatūroje suvokiamas kaip žinios, kurios „lieka“ kartu su organizacija, net ir darbuotojui iš jos išėjus. Jis susideda iš procedūrų, sistemų, kultūros, duomenų bazės (duomenų centro egzistavimas, bendras informacinių technologijų naudojimas). O pasak, </w:t>
      </w:r>
      <w:r w:rsidRPr="00BD4071">
        <w:rPr>
          <w:i/>
          <w:lang w:val="en-US"/>
        </w:rPr>
        <w:t>Mikulėnienės</w:t>
      </w:r>
      <w:r w:rsidR="00C76C8F">
        <w:rPr>
          <w:i/>
          <w:lang w:val="en-US"/>
        </w:rPr>
        <w:t>, Jucevičiaus</w:t>
      </w:r>
      <w:r w:rsidRPr="00BD4071">
        <w:rPr>
          <w:i/>
          <w:lang w:val="en-US"/>
        </w:rPr>
        <w:t xml:space="preserve"> (2000</w:t>
      </w:r>
      <w:r w:rsidR="00C76C8F">
        <w:rPr>
          <w:lang w:val="en-US"/>
        </w:rPr>
        <w:t>), bū</w:t>
      </w:r>
      <w:r w:rsidRPr="00DD7E0E">
        <w:rPr>
          <w:lang w:val="en-US"/>
        </w:rPr>
        <w:t>tent struktūrinis ka</w:t>
      </w:r>
      <w:r w:rsidR="005F5F44">
        <w:rPr>
          <w:lang w:val="en-US"/>
        </w:rPr>
        <w:t>pitalas yra prielaida darbuotojų</w:t>
      </w:r>
      <w:r w:rsidRPr="00DD7E0E">
        <w:rPr>
          <w:lang w:val="en-US"/>
        </w:rPr>
        <w:t xml:space="preserve"> kapitalui virsti intelektiniu kapitalu.</w:t>
      </w:r>
    </w:p>
    <w:p w:rsidR="0070574A" w:rsidRPr="00DD7E0E" w:rsidRDefault="0070574A" w:rsidP="0070574A">
      <w:pPr>
        <w:spacing w:line="360" w:lineRule="auto"/>
        <w:ind w:firstLine="567"/>
        <w:jc w:val="both"/>
        <w:rPr>
          <w:sz w:val="20"/>
          <w:szCs w:val="20"/>
          <w:lang w:val="en-US"/>
        </w:rPr>
      </w:pPr>
    </w:p>
    <w:p w:rsidR="0070574A" w:rsidRPr="00DD7E0E" w:rsidRDefault="0070574A" w:rsidP="0070574A">
      <w:pPr>
        <w:spacing w:line="360" w:lineRule="auto"/>
        <w:ind w:firstLine="567"/>
        <w:jc w:val="both"/>
        <w:rPr>
          <w:sz w:val="20"/>
          <w:szCs w:val="20"/>
          <w:lang w:val="en-US"/>
        </w:rPr>
      </w:pPr>
      <w:r w:rsidRPr="00DD7E0E">
        <w:rPr>
          <w:b/>
          <w:lang w:val="en-US"/>
        </w:rPr>
        <w:t>Socialinis kapitalas</w:t>
      </w:r>
    </w:p>
    <w:p w:rsidR="0070574A" w:rsidRPr="00DD7E0E" w:rsidRDefault="0070574A" w:rsidP="007057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sz w:val="19"/>
          <w:szCs w:val="19"/>
          <w:lang w:val="en-US"/>
        </w:rPr>
      </w:pPr>
      <w:r w:rsidRPr="00DD7E0E">
        <w:rPr>
          <w:lang w:val="en-US"/>
        </w:rPr>
        <w:t xml:space="preserve">Socialinis kapitalas </w:t>
      </w:r>
      <w:r w:rsidRPr="00DD7E0E">
        <w:rPr>
          <w:i/>
          <w:lang w:val="en-US"/>
        </w:rPr>
        <w:t>(</w:t>
      </w:r>
      <w:r w:rsidRPr="005F5F44">
        <w:rPr>
          <w:i/>
          <w:lang w:val="en-US"/>
        </w:rPr>
        <w:t>angl.</w:t>
      </w:r>
      <w:r w:rsidRPr="00DD7E0E">
        <w:rPr>
          <w:lang w:val="en-US"/>
        </w:rPr>
        <w:t xml:space="preserve"> </w:t>
      </w:r>
      <w:r w:rsidRPr="005F5F44">
        <w:rPr>
          <w:lang w:val="en-US"/>
        </w:rPr>
        <w:t>Social capital</w:t>
      </w:r>
      <w:r w:rsidRPr="00DD7E0E">
        <w:rPr>
          <w:lang w:val="en-US"/>
        </w:rPr>
        <w:t>) dažnai dar vadinamas kaip klientinis kapitalas (</w:t>
      </w:r>
      <w:r w:rsidRPr="005F5F44">
        <w:rPr>
          <w:i/>
          <w:lang w:val="en-US"/>
        </w:rPr>
        <w:t>angl.</w:t>
      </w:r>
      <w:r w:rsidRPr="00DD7E0E">
        <w:rPr>
          <w:lang w:val="en-US"/>
        </w:rPr>
        <w:t xml:space="preserve"> </w:t>
      </w:r>
      <w:r w:rsidRPr="005F5F44">
        <w:rPr>
          <w:lang w:val="en-US"/>
        </w:rPr>
        <w:t>Customer capital)</w:t>
      </w:r>
      <w:r w:rsidRPr="00DD7E0E">
        <w:rPr>
          <w:lang w:val="en-US"/>
        </w:rPr>
        <w:t xml:space="preserve"> (</w:t>
      </w:r>
      <w:r w:rsidRPr="00DD7E0E">
        <w:rPr>
          <w:i/>
          <w:lang w:val="en-US"/>
        </w:rPr>
        <w:t>T. Stewart, 1997</w:t>
      </w:r>
      <w:r w:rsidRPr="00DD7E0E">
        <w:rPr>
          <w:lang w:val="en-US"/>
        </w:rPr>
        <w:t>) arba santykių kapitalas (</w:t>
      </w:r>
      <w:r w:rsidRPr="005F5F44">
        <w:rPr>
          <w:i/>
          <w:lang w:val="en-US"/>
        </w:rPr>
        <w:t>angl.</w:t>
      </w:r>
      <w:r w:rsidRPr="00DD7E0E">
        <w:rPr>
          <w:lang w:val="en-US"/>
        </w:rPr>
        <w:t xml:space="preserve"> </w:t>
      </w:r>
      <w:r w:rsidRPr="005F5F44">
        <w:rPr>
          <w:lang w:val="en-US"/>
        </w:rPr>
        <w:t>Relational capital</w:t>
      </w:r>
      <w:r w:rsidRPr="00DD7E0E">
        <w:rPr>
          <w:lang w:val="en-US"/>
        </w:rPr>
        <w:t>) (</w:t>
      </w:r>
      <w:r w:rsidR="00452B27">
        <w:rPr>
          <w:i/>
          <w:lang w:val="en-US"/>
        </w:rPr>
        <w:t>Brennan, 2001</w:t>
      </w:r>
      <w:r w:rsidRPr="00DD7E0E">
        <w:rPr>
          <w:i/>
          <w:lang w:val="en-US"/>
        </w:rPr>
        <w:t>; Sveiby, 1997</w:t>
      </w:r>
      <w:r w:rsidRPr="00DD7E0E">
        <w:rPr>
          <w:lang w:val="en-US"/>
        </w:rPr>
        <w:t>). Kai kurie autoriai socialį kapitalą išskiria kaip dalį struktūrinio kapitalo (</w:t>
      </w:r>
      <w:r w:rsidRPr="00DD7E0E">
        <w:rPr>
          <w:i/>
          <w:lang w:val="en-US"/>
        </w:rPr>
        <w:t>Edvinsson and Malone, 1997</w:t>
      </w:r>
      <w:r w:rsidRPr="00DD7E0E">
        <w:rPr>
          <w:lang w:val="en-US"/>
        </w:rPr>
        <w:t>) (žiūrėti 2 priedą), dar kiti kaip atskirą komponentą nepriklausantį intelektiniam kapitalui (</w:t>
      </w:r>
      <w:r w:rsidRPr="00DD7E0E">
        <w:rPr>
          <w:i/>
          <w:lang w:val="en-US"/>
        </w:rPr>
        <w:t>Stewart, 1997</w:t>
      </w:r>
      <w:r w:rsidRPr="00DD7E0E">
        <w:rPr>
          <w:lang w:val="en-US"/>
        </w:rPr>
        <w:t>).  Tačiau daugelis autorių tai įvardina kaip vieną iš savarankiškų intelektinio kapitalo komponentų.</w:t>
      </w:r>
    </w:p>
    <w:p w:rsidR="0070574A" w:rsidRPr="00DD7E0E" w:rsidRDefault="00536246" w:rsidP="0070574A">
      <w:pPr>
        <w:spacing w:line="360" w:lineRule="auto"/>
        <w:ind w:firstLine="567"/>
        <w:jc w:val="both"/>
        <w:rPr>
          <w:lang w:val="en-US"/>
        </w:rPr>
      </w:pPr>
      <w:r>
        <w:rPr>
          <w:lang w:val="en-US"/>
        </w:rPr>
        <w:t xml:space="preserve">Pasak </w:t>
      </w:r>
      <w:r w:rsidR="0070574A" w:rsidRPr="00DD7E0E">
        <w:rPr>
          <w:i/>
          <w:lang w:val="en-US"/>
        </w:rPr>
        <w:t>R.</w:t>
      </w:r>
      <w:r w:rsidR="0070574A" w:rsidRPr="00DD7E0E">
        <w:rPr>
          <w:lang w:val="en-US"/>
        </w:rPr>
        <w:t xml:space="preserve"> </w:t>
      </w:r>
      <w:r w:rsidR="0070574A" w:rsidRPr="00DD7E0E">
        <w:rPr>
          <w:i/>
          <w:lang w:val="en-US"/>
        </w:rPr>
        <w:t>Mikulėnienės (2004</w:t>
      </w:r>
      <w:r w:rsidR="0070574A" w:rsidRPr="00DD7E0E">
        <w:rPr>
          <w:lang w:val="en-US"/>
        </w:rPr>
        <w:t xml:space="preserve">), socialinis kapitalas yra intelektiniai ištekliai, turintys potencialą kurti vertę, organizacijai palaikant santykius su išorėje suinteresuotais subjektais, taip veikiant ir organizacijos reputaciją. </w:t>
      </w:r>
    </w:p>
    <w:p w:rsidR="0070574A" w:rsidRPr="00DD7E0E" w:rsidRDefault="0070574A" w:rsidP="0070574A">
      <w:pPr>
        <w:spacing w:line="360" w:lineRule="auto"/>
        <w:ind w:firstLine="567"/>
        <w:jc w:val="both"/>
        <w:rPr>
          <w:lang w:val="en-US"/>
        </w:rPr>
      </w:pPr>
      <w:r w:rsidRPr="00DD7E0E">
        <w:rPr>
          <w:i/>
          <w:lang w:val="en-US"/>
        </w:rPr>
        <w:t>Sveiby (1997</w:t>
      </w:r>
      <w:r w:rsidRPr="00DD7E0E">
        <w:rPr>
          <w:lang w:val="en-US"/>
        </w:rPr>
        <w:t xml:space="preserve">) santykių kapitalą apibūdino kaip “santykiai su klientais ir tiekėjais”. </w:t>
      </w:r>
      <w:r w:rsidRPr="005F5F44">
        <w:rPr>
          <w:i/>
          <w:lang w:val="en-US"/>
        </w:rPr>
        <w:t>Johnson</w:t>
      </w:r>
      <w:r w:rsidRPr="00DD7E0E">
        <w:rPr>
          <w:lang w:val="en-US"/>
        </w:rPr>
        <w:t xml:space="preserve"> (1999) kiek praplėtė apibrėžimą “socialinis kapitalas yra visuma santykių tarp įmonės ir jos pagrindinių suinteresuotų šalių, kaip klient</w:t>
      </w:r>
      <w:r w:rsidR="00BD4071">
        <w:rPr>
          <w:lang w:val="en-US"/>
        </w:rPr>
        <w:t>ai, tiekėjai ir partneriai”</w:t>
      </w:r>
      <w:r w:rsidRPr="00DD7E0E">
        <w:rPr>
          <w:lang w:val="en-US"/>
        </w:rPr>
        <w:t xml:space="preserve">. </w:t>
      </w:r>
      <w:r w:rsidRPr="00DD7E0E">
        <w:rPr>
          <w:i/>
          <w:lang w:val="en-US"/>
        </w:rPr>
        <w:t>Dzinkowski (2000)</w:t>
      </w:r>
      <w:r w:rsidRPr="00DD7E0E">
        <w:rPr>
          <w:lang w:val="en-US"/>
        </w:rPr>
        <w:t xml:space="preserve"> paminėjo, jog socialinis kapitalas yra klientai, klientų lojalumas, distribucijos kanalai, organizacijos partnerių pripažinimas, palankios sutartys ir licenzijos. Panašiai šį kapitalą apibūdino ir detalizavo </w:t>
      </w:r>
      <w:r w:rsidRPr="00DD7E0E">
        <w:rPr>
          <w:i/>
          <w:lang w:val="en-US"/>
        </w:rPr>
        <w:t>Petty ir Guthrie</w:t>
      </w:r>
      <w:r w:rsidR="005F5F44">
        <w:rPr>
          <w:i/>
          <w:lang w:val="en-US"/>
        </w:rPr>
        <w:t xml:space="preserve"> 2000</w:t>
      </w:r>
      <w:r w:rsidRPr="00DD7E0E">
        <w:rPr>
          <w:i/>
          <w:lang w:val="en-US"/>
        </w:rPr>
        <w:t>, IFAC</w:t>
      </w:r>
      <w:r w:rsidRPr="00DD7E0E">
        <w:rPr>
          <w:lang w:val="en-US"/>
        </w:rPr>
        <w:t xml:space="preserve"> (angl. </w:t>
      </w:r>
      <w:r w:rsidRPr="00DD7E0E">
        <w:rPr>
          <w:i/>
          <w:lang w:val="en-US"/>
        </w:rPr>
        <w:t>International Federation of Accountants</w:t>
      </w:r>
      <w:r w:rsidRPr="00DD7E0E">
        <w:rPr>
          <w:lang w:val="en-US"/>
        </w:rPr>
        <w:t>)</w:t>
      </w:r>
      <w:r w:rsidR="00775A4C">
        <w:rPr>
          <w:lang w:val="en-US"/>
        </w:rPr>
        <w:t xml:space="preserve"> </w:t>
      </w:r>
      <w:r w:rsidR="00775A4C" w:rsidRPr="00775A4C">
        <w:rPr>
          <w:i/>
          <w:lang w:val="en-US"/>
        </w:rPr>
        <w:t>1998</w:t>
      </w:r>
      <w:r w:rsidR="00BD4071">
        <w:rPr>
          <w:lang w:val="en-US"/>
        </w:rPr>
        <w:t xml:space="preserve"> </w:t>
      </w:r>
      <w:r w:rsidRPr="00DD7E0E">
        <w:rPr>
          <w:lang w:val="en-US"/>
        </w:rPr>
        <w:t>(žiūrėti 3 priede).</w:t>
      </w:r>
    </w:p>
    <w:p w:rsidR="0070574A" w:rsidRPr="00DD7E0E" w:rsidRDefault="0070574A" w:rsidP="0070574A">
      <w:pPr>
        <w:spacing w:line="360" w:lineRule="auto"/>
        <w:ind w:firstLine="567"/>
        <w:jc w:val="both"/>
        <w:rPr>
          <w:lang w:val="en-US"/>
        </w:rPr>
      </w:pPr>
      <w:r w:rsidRPr="00DD7E0E">
        <w:rPr>
          <w:i/>
          <w:lang w:val="en-US"/>
        </w:rPr>
        <w:t>T. Stewart</w:t>
      </w:r>
      <w:r w:rsidRPr="00DD7E0E">
        <w:rPr>
          <w:lang w:val="en-US"/>
        </w:rPr>
        <w:t xml:space="preserve"> </w:t>
      </w:r>
      <w:r w:rsidRPr="00DD7E0E">
        <w:rPr>
          <w:i/>
          <w:lang w:val="en-US"/>
        </w:rPr>
        <w:t>(1997)</w:t>
      </w:r>
      <w:r w:rsidRPr="00DD7E0E">
        <w:rPr>
          <w:lang w:val="en-US"/>
        </w:rPr>
        <w:t xml:space="preserve"> teigė, jog santykių kapitalas parodo bendrą supratimą apie žinias, kurios apima klientų pageidavimus ir rinkos kanalus</w:t>
      </w:r>
      <w:r w:rsidR="005F5F44">
        <w:rPr>
          <w:lang w:val="en-US"/>
        </w:rPr>
        <w:t>, įskaitant tiekėjus, vyriausybę</w:t>
      </w:r>
      <w:r w:rsidRPr="00DD7E0E">
        <w:rPr>
          <w:lang w:val="en-US"/>
        </w:rPr>
        <w:t xml:space="preserve"> ar susijusias pramonininkų asociacijas, bei jų santykius. Būta ir panašių apibrėžimų, kaip kad socialinis kapitalas tai </w:t>
      </w:r>
      <w:r w:rsidRPr="00DD7E0E">
        <w:t xml:space="preserve">“nematerialiojo turto potencialas organizacijos išorėje. Tai apima žinias integruotas į klientus, tiekėjus, vyriausybę ar susijusias pramoninkų  asociacijas” </w:t>
      </w:r>
      <w:r w:rsidR="00BD4071">
        <w:rPr>
          <w:i/>
        </w:rPr>
        <w:t>(</w:t>
      </w:r>
      <w:r w:rsidR="005F5F44">
        <w:rPr>
          <w:i/>
        </w:rPr>
        <w:t>Bontis, 1999</w:t>
      </w:r>
      <w:r w:rsidRPr="00DD7E0E">
        <w:rPr>
          <w:i/>
        </w:rPr>
        <w:t xml:space="preserve">). </w:t>
      </w:r>
      <w:r w:rsidRPr="00DD7E0E">
        <w:t>Jis taip pat aiškino, jog socialinis kapitalas yra viennintelis intelektinio kapitalo komponentas, kuris kontaktuoja su organizacijos išore, ir šios dalies žinias yra sunkiausia vystyti, sisteminti ir palyginti su struktūri</w:t>
      </w:r>
      <w:r w:rsidR="00BD4071">
        <w:t>niu ar žmogiškuoju kapitalu (</w:t>
      </w:r>
      <w:r w:rsidR="00BD4071" w:rsidRPr="005F5F44">
        <w:rPr>
          <w:i/>
        </w:rPr>
        <w:t>Sussan,</w:t>
      </w:r>
      <w:r w:rsidR="00BD4071" w:rsidRPr="00BD4071">
        <w:rPr>
          <w:i/>
        </w:rPr>
        <w:t xml:space="preserve"> 2012</w:t>
      </w:r>
      <w:r w:rsidR="00BD4071">
        <w:t>)</w:t>
      </w:r>
      <w:r w:rsidRPr="00DD7E0E">
        <w:t xml:space="preserve">. </w:t>
      </w:r>
    </w:p>
    <w:p w:rsidR="0070574A" w:rsidRPr="00DD7E0E" w:rsidRDefault="0070574A" w:rsidP="00967A1A">
      <w:pPr>
        <w:spacing w:line="360" w:lineRule="auto"/>
        <w:ind w:firstLine="567"/>
        <w:jc w:val="both"/>
        <w:rPr>
          <w:lang w:val="en-US"/>
        </w:rPr>
      </w:pPr>
      <w:r w:rsidRPr="00DD7E0E">
        <w:rPr>
          <w:lang w:val="en-US"/>
        </w:rPr>
        <w:t>Socialinis kapitalas yra susijęs su organizacijos ir jos santykiais</w:t>
      </w:r>
      <w:r w:rsidR="005F5F44">
        <w:rPr>
          <w:lang w:val="en-US"/>
        </w:rPr>
        <w:t>,</w:t>
      </w:r>
      <w:r w:rsidRPr="00DD7E0E">
        <w:rPr>
          <w:lang w:val="en-US"/>
        </w:rPr>
        <w:t xml:space="preserve"> su išorės elementais, tokiais kaip klientai, teikėjai, kreditoriai ar akcininkai. Kitaip tariant, socialinis kapitalas yra organizacijos gebėjimas kurti santykių su išorės suinteresuotosiomis šalimis vertę. Organizacijos gali sukurti dideles socialinio kapitalo atsargas, kaip klientai, lojalumas prekės ženklui, klientų pasitenkinimas, įvaizdis ir prestižas rinkoje, tačiau, svarbiausia net tik sukurti socialinį kapitalą, bet ir sugebėti jį išlaikyti, norint kad</w:t>
      </w:r>
      <w:r w:rsidR="007F6D17">
        <w:rPr>
          <w:lang w:val="en-US"/>
        </w:rPr>
        <w:t xml:space="preserve"> organizacija būtų sėkminga (</w:t>
      </w:r>
      <w:r w:rsidR="00C76C8F">
        <w:rPr>
          <w:i/>
          <w:lang w:val="en-US"/>
        </w:rPr>
        <w:t>Cahill et al.</w:t>
      </w:r>
      <w:r w:rsidR="007F6D17" w:rsidRPr="007F6D17">
        <w:rPr>
          <w:i/>
          <w:lang w:val="en-US"/>
        </w:rPr>
        <w:t>, 2010</w:t>
      </w:r>
      <w:r w:rsidR="007F6D17">
        <w:rPr>
          <w:lang w:val="en-US"/>
        </w:rPr>
        <w:t>)</w:t>
      </w:r>
      <w:r w:rsidRPr="00DD7E0E">
        <w:rPr>
          <w:lang w:val="en-US"/>
        </w:rPr>
        <w:t>. Socialinis kapitalas tiesiogiai veikia organizacijos kuriamą pridėtinę vertę ir vis dažniau tampa lemiamu veiksniu norint išlaikyti ilgalaikį konkurencinį pranašumą.</w:t>
      </w:r>
    </w:p>
    <w:p w:rsidR="0070574A" w:rsidRPr="0092561F" w:rsidRDefault="0070574A" w:rsidP="00481B38">
      <w:pPr>
        <w:autoSpaceDE w:val="0"/>
        <w:autoSpaceDN w:val="0"/>
        <w:adjustRightInd w:val="0"/>
        <w:spacing w:line="360" w:lineRule="auto"/>
        <w:ind w:firstLine="567"/>
        <w:jc w:val="both"/>
        <w:rPr>
          <w:lang w:val="en-US"/>
        </w:rPr>
      </w:pPr>
      <w:r w:rsidRPr="00DD7E0E">
        <w:rPr>
          <w:lang w:val="en-US"/>
        </w:rPr>
        <w:t>Apibendrinat, galima sakyti, jog literatūroje dažniausiai aptinkamas intelektinio kapitalo skirstymas į</w:t>
      </w:r>
      <w:r w:rsidR="005F5F44">
        <w:rPr>
          <w:lang w:val="en-US"/>
        </w:rPr>
        <w:t xml:space="preserve"> 3 dalis: žmogiškąjį kapitalą, s</w:t>
      </w:r>
      <w:r w:rsidRPr="00DD7E0E">
        <w:rPr>
          <w:lang w:val="en-US"/>
        </w:rPr>
        <w:t>truktūrinį</w:t>
      </w:r>
      <w:r w:rsidR="0092561F">
        <w:rPr>
          <w:lang w:val="en-US"/>
        </w:rPr>
        <w:t xml:space="preserve"> kapitalą ir socialinį k</w:t>
      </w:r>
      <w:r w:rsidR="005F5F44">
        <w:rPr>
          <w:lang w:val="en-US"/>
        </w:rPr>
        <w:t>a</w:t>
      </w:r>
      <w:r w:rsidR="0092561F">
        <w:rPr>
          <w:lang w:val="en-US"/>
        </w:rPr>
        <w:t>pitalą.</w:t>
      </w:r>
      <w:r w:rsidRPr="00DD7E0E">
        <w:rPr>
          <w:lang w:val="en-US"/>
        </w:rPr>
        <w:t xml:space="preserve"> Žmogiškasis kapitalas yra nematerialiųjų išteklių kolekcija, į kurią yra įdėta į kompetencijų (įskaitant įgūdžius ir know-how), požiūris (motyvacija, lyderio savybės aukštesniame valdyme) ir intelektinis judrumas (inovacijos ir verslumas, ir t</w:t>
      </w:r>
      <w:r w:rsidR="005F5F44">
        <w:rPr>
          <w:lang w:val="en-US"/>
        </w:rPr>
        <w:t>.t.,</w:t>
      </w:r>
      <w:r w:rsidRPr="00DD7E0E">
        <w:rPr>
          <w:lang w:val="en-US"/>
        </w:rPr>
        <w:t xml:space="preserve"> kurį sudaro organizacijos nariams). Kompetencija apima įgūdžius ir išsilavinimą, o požiūris apima darbuotojų darbo elgsenos komponentus. Intelektinis judrumas leidžia keisti praktiką</w:t>
      </w:r>
      <w:r w:rsidRPr="0092561F">
        <w:rPr>
          <w:lang w:val="en-US"/>
        </w:rPr>
        <w:t xml:space="preserve"> ir galvoti apie novatoriškus problemų sprendimus. Struktūrinis kapitalas </w:t>
      </w:r>
      <w:r w:rsidR="003078D7" w:rsidRPr="0092561F">
        <w:rPr>
          <w:lang w:val="en-US"/>
        </w:rPr>
        <w:t>apibūdinamas kaip vidiniai techniniai organizacijos ištekliai, dalies autorių dar skirtomas į intelektinę nuosavybę ir infrastruktūros turtą</w:t>
      </w:r>
      <w:r w:rsidR="00481B38" w:rsidRPr="0092561F">
        <w:rPr>
          <w:lang w:val="en-US"/>
        </w:rPr>
        <w:t xml:space="preserve">. </w:t>
      </w:r>
      <w:r w:rsidRPr="0092561F">
        <w:rPr>
          <w:lang w:val="en-US"/>
        </w:rPr>
        <w:t>Mokslin</w:t>
      </w:r>
      <w:r w:rsidRPr="0092561F">
        <w:t>ė</w:t>
      </w:r>
      <w:r w:rsidRPr="0092561F">
        <w:rPr>
          <w:lang w:val="en-US"/>
        </w:rPr>
        <w:t xml:space="preserve">je literatūroje socialinis kapitalas (arba dar vadinamas santykių </w:t>
      </w:r>
      <w:r w:rsidR="005F5F44">
        <w:rPr>
          <w:lang w:val="en-US"/>
        </w:rPr>
        <w:t>kapitalu</w:t>
      </w:r>
      <w:r w:rsidRPr="0092561F">
        <w:rPr>
          <w:lang w:val="en-US"/>
        </w:rPr>
        <w:t>) yra apibūdinamas kaip kapitalas, kuris susijęs su išoriniais santykiais su klientais, tiekėj</w:t>
      </w:r>
      <w:r w:rsidR="00B57F31" w:rsidRPr="0092561F">
        <w:rPr>
          <w:lang w:val="en-US"/>
        </w:rPr>
        <w:t xml:space="preserve">ais bei partneriais. Tai dalis </w:t>
      </w:r>
      <w:r w:rsidRPr="0092561F">
        <w:rPr>
          <w:lang w:val="en-US"/>
        </w:rPr>
        <w:t>žmogiškojo bei struktūrinio kapitalų, susietų organizacijos santykiais su išorine (investuotojai, kreditoriai, klientai, tiekėjai), bei jų suvokimas apie organizaciją (klientų</w:t>
      </w:r>
      <w:r w:rsidRPr="0092561F">
        <w:rPr>
          <w:rFonts w:ascii="Times" w:hAnsi="Times" w:cs="Times"/>
          <w:lang w:val="en-US"/>
        </w:rPr>
        <w:t xml:space="preserve"> pasitikėjimas, klientų</w:t>
      </w:r>
      <w:r w:rsidRPr="0092561F">
        <w:rPr>
          <w:lang w:val="en-US"/>
        </w:rPr>
        <w:t xml:space="preserve"> ištikimybė ir pan.).</w:t>
      </w:r>
      <w:r w:rsidRPr="0092561F">
        <w:t xml:space="preserve"> Kas svarbiausia, tai kad </w:t>
      </w:r>
      <w:r w:rsidRPr="0092561F">
        <w:rPr>
          <w:lang w:val="en-US"/>
        </w:rPr>
        <w:t xml:space="preserve">pasak </w:t>
      </w:r>
      <w:r w:rsidRPr="0092561F">
        <w:rPr>
          <w:i/>
          <w:lang w:val="en-US"/>
        </w:rPr>
        <w:t>E</w:t>
      </w:r>
      <w:r w:rsidR="005F5F44">
        <w:rPr>
          <w:i/>
          <w:lang w:val="en-US"/>
        </w:rPr>
        <w:t>dvinsson ir Malone (1997</w:t>
      </w:r>
      <w:r w:rsidRPr="0092561F">
        <w:rPr>
          <w:i/>
          <w:lang w:val="en-US"/>
        </w:rPr>
        <w:t>),</w:t>
      </w:r>
      <w:r w:rsidRPr="0092561F">
        <w:rPr>
          <w:lang w:val="en-US"/>
        </w:rPr>
        <w:t xml:space="preserve"> įmonės sėkmę sąlygoja būtent visų trijų (žmogiškojo, struktūrinio bei klientų) intelektinio kapitalo komponentų derinys, o ne kiekvieno atskirai. Įmonė turi vienodai įvertinti ir valdyti visus tris intelektinio kapitalo komponentus, norėdama išlaikyti konkurencinį pranašumą šiuolaikinėje rinkoje (</w:t>
      </w:r>
      <w:r w:rsidR="007F6D17" w:rsidRPr="0092561F">
        <w:rPr>
          <w:i/>
          <w:lang w:val="en-US"/>
        </w:rPr>
        <w:t>Benevene,</w:t>
      </w:r>
      <w:r w:rsidRPr="0092561F">
        <w:rPr>
          <w:i/>
          <w:lang w:val="en-US"/>
        </w:rPr>
        <w:t xml:space="preserve"> Cortini, 2010</w:t>
      </w:r>
      <w:r w:rsidR="007F6D17" w:rsidRPr="0092561F">
        <w:rPr>
          <w:lang w:val="en-US"/>
        </w:rPr>
        <w:t>)</w:t>
      </w:r>
      <w:r w:rsidR="005F5F44">
        <w:rPr>
          <w:lang w:val="en-US"/>
        </w:rPr>
        <w:t>. Tą pačią mintį išsakė ir</w:t>
      </w:r>
      <w:r w:rsidRPr="0092561F">
        <w:rPr>
          <w:i/>
          <w:lang w:val="en-US"/>
        </w:rPr>
        <w:t xml:space="preserve"> </w:t>
      </w:r>
      <w:r w:rsidR="00220D18">
        <w:rPr>
          <w:i/>
          <w:lang w:val="en-US"/>
        </w:rPr>
        <w:t>Shih, Susanto</w:t>
      </w:r>
      <w:r w:rsidRPr="0092561F">
        <w:rPr>
          <w:i/>
          <w:lang w:val="en-US"/>
        </w:rPr>
        <w:t xml:space="preserve"> (2011</w:t>
      </w:r>
      <w:r w:rsidRPr="0092561F">
        <w:rPr>
          <w:lang w:val="en-US"/>
        </w:rPr>
        <w:t xml:space="preserve">), perfrazuodamas </w:t>
      </w:r>
      <w:r w:rsidRPr="0092561F">
        <w:rPr>
          <w:i/>
          <w:lang w:val="en-US"/>
        </w:rPr>
        <w:t>T. Stewart (1997</w:t>
      </w:r>
      <w:r w:rsidRPr="0092561F">
        <w:rPr>
          <w:lang w:val="en-US"/>
        </w:rPr>
        <w:t>). Kuomet darbuotojai (žmogiškasis kapitalas) pasitelkdami organizacijos struktūrinį kapitalą bendrauja su klientais, tiekėjais, parteneriais ir kitais išorės subjektais, tuomet to bendradarbiavimo kokybė at</w:t>
      </w:r>
      <w:r w:rsidR="00D33EDE" w:rsidRPr="0092561F">
        <w:rPr>
          <w:lang w:val="en-US"/>
        </w:rPr>
        <w:t>sispindi socialiniame kapitale.</w:t>
      </w:r>
    </w:p>
    <w:p w:rsidR="00091449" w:rsidRPr="0092561F" w:rsidRDefault="00091449" w:rsidP="0092561F">
      <w:pPr>
        <w:autoSpaceDE w:val="0"/>
        <w:autoSpaceDN w:val="0"/>
        <w:adjustRightInd w:val="0"/>
        <w:spacing w:line="360" w:lineRule="auto"/>
        <w:ind w:firstLine="567"/>
        <w:jc w:val="both"/>
        <w:rPr>
          <w:lang w:val="en-US"/>
        </w:rPr>
      </w:pPr>
    </w:p>
    <w:p w:rsidR="00091449" w:rsidRPr="00734A9D" w:rsidRDefault="00091449" w:rsidP="0092561F">
      <w:pPr>
        <w:numPr>
          <w:ilvl w:val="2"/>
          <w:numId w:val="6"/>
        </w:numPr>
        <w:spacing w:line="360" w:lineRule="auto"/>
        <w:jc w:val="both"/>
        <w:rPr>
          <w:b/>
        </w:rPr>
      </w:pPr>
      <w:r w:rsidRPr="00734A9D">
        <w:rPr>
          <w:b/>
        </w:rPr>
        <w:t>Intelektinio kapitalo matavimo</w:t>
      </w:r>
      <w:r w:rsidR="006B7464">
        <w:rPr>
          <w:b/>
        </w:rPr>
        <w:t xml:space="preserve"> rodikliai ir vertinimo metodai</w:t>
      </w:r>
    </w:p>
    <w:p w:rsidR="00091449" w:rsidRPr="0092561F" w:rsidRDefault="00091449" w:rsidP="0092561F">
      <w:pPr>
        <w:spacing w:line="360" w:lineRule="auto"/>
      </w:pPr>
    </w:p>
    <w:p w:rsidR="00091449" w:rsidRPr="0092561F" w:rsidRDefault="00091449" w:rsidP="00091449">
      <w:pPr>
        <w:spacing w:line="360" w:lineRule="auto"/>
        <w:ind w:firstLine="567"/>
        <w:jc w:val="both"/>
        <w:rPr>
          <w:lang w:val="en-US"/>
        </w:rPr>
      </w:pPr>
      <w:r w:rsidRPr="0092561F">
        <w:rPr>
          <w:lang w:val="en-US"/>
        </w:rPr>
        <w:t xml:space="preserve">Matuojant intelektinį kapitalą iškyla klausimas </w:t>
      </w:r>
      <w:r w:rsidRPr="0092561F">
        <w:t>kokie kintamieji rodikliai turėtų atspindėti įmonės intelektinio kapitalo vertinimo modelius ir metodus,</w:t>
      </w:r>
      <w:r w:rsidR="005F5F44">
        <w:rPr>
          <w:lang w:val="en-US"/>
        </w:rPr>
        <w:t xml:space="preserve"> kokį matą pasirinkti. O ir</w:t>
      </w:r>
      <w:r w:rsidRPr="0092561F">
        <w:rPr>
          <w:lang w:val="en-US"/>
        </w:rPr>
        <w:t xml:space="preserve"> </w:t>
      </w:r>
      <w:r w:rsidRPr="0092561F">
        <w:t xml:space="preserve">vieningos nuomonės, kas yra intelektinis kapitalas ir kokios pagrindinės jo sudedamosios </w:t>
      </w:r>
      <w:r w:rsidR="005F5F44">
        <w:t>dalys, nebuvimas komplikuoja ir</w:t>
      </w:r>
      <w:r w:rsidRPr="0092561F">
        <w:t xml:space="preserve"> intelektinio kapitalo vertės nustatymą.</w:t>
      </w:r>
      <w:r w:rsidRPr="0092561F">
        <w:rPr>
          <w:lang w:val="en-US"/>
        </w:rPr>
        <w:t xml:space="preserve"> Nėra griežtai apibrėžtų kriterijų</w:t>
      </w:r>
      <w:r w:rsidR="005F5F44">
        <w:rPr>
          <w:lang w:val="en-US"/>
        </w:rPr>
        <w:t>,</w:t>
      </w:r>
      <w:r w:rsidRPr="0092561F">
        <w:rPr>
          <w:lang w:val="en-US"/>
        </w:rPr>
        <w:t xml:space="preserve"> pagal kurios turėtų būti vertinamas intelektinis kapitalas. Tai gali būti piniginė reikšmė ar kitoks kriterijus.</w:t>
      </w:r>
    </w:p>
    <w:p w:rsidR="00091449" w:rsidRPr="0092561F" w:rsidRDefault="00091449" w:rsidP="00091449">
      <w:pPr>
        <w:spacing w:line="360" w:lineRule="auto"/>
        <w:ind w:firstLine="567"/>
        <w:jc w:val="both"/>
      </w:pPr>
      <w:r w:rsidRPr="0092561F">
        <w:rPr>
          <w:lang w:val="en-US"/>
        </w:rPr>
        <w:t>Tai pat vienas iš sunkumų bandant įvertinti, yra tas</w:t>
      </w:r>
      <w:r w:rsidR="005F5F44">
        <w:rPr>
          <w:lang w:val="en-US"/>
        </w:rPr>
        <w:t>,</w:t>
      </w:r>
      <w:r w:rsidRPr="0092561F">
        <w:rPr>
          <w:lang w:val="en-US"/>
        </w:rPr>
        <w:t xml:space="preserve"> kad nėra vieningo tikslo kam yra apskaičiuojamas intelektinis kapitalas. Tai priklauso nuo pačios organizacijos veiklos specifikos, poreikio atsiradimo šaknų ir galiausiai pačio rezultato įtakos. Tokia padėtis apsunkina unikalaus vertinim</w:t>
      </w:r>
      <w:r w:rsidR="005F5F44">
        <w:rPr>
          <w:lang w:val="en-US"/>
        </w:rPr>
        <w:t>o modelio parinkimą, kuris tiktų</w:t>
      </w:r>
      <w:r w:rsidRPr="0092561F">
        <w:rPr>
          <w:lang w:val="en-US"/>
        </w:rPr>
        <w:t xml:space="preserve"> bet kokioje situacijoje ir bet kokiam tikslui. Bet iš kitos pusės, </w:t>
      </w:r>
      <w:r w:rsidRPr="0092561F">
        <w:t>tai leidžia intelektinį kapitalą vertinti įvairiais požiūriais, pritaikyti pagal konkrečią situaciją ar poreikius</w:t>
      </w:r>
      <w:r w:rsidR="005F5F44">
        <w:t>,</w:t>
      </w:r>
      <w:r w:rsidRPr="0092561F">
        <w:t xml:space="preserve"> ko rezultatas turėtų būti didelė intelektinio kapitalo matavimo ir vertinimo modelių įvairovė. Autoriai</w:t>
      </w:r>
      <w:r w:rsidRPr="0092561F">
        <w:rPr>
          <w:i/>
        </w:rPr>
        <w:t xml:space="preserve"> Marr ir kt. (2003)</w:t>
      </w:r>
      <w:r w:rsidRPr="0092561F">
        <w:t xml:space="preserve"> teigė, jog organizacijos turėtų matuoti ir vertinti savo intelektinį kapitalą dėl tokių 3 priežasčių k</w:t>
      </w:r>
      <w:r w:rsidR="005F5F44">
        <w:t>aip: strategija, įtakos elgsena, išorinis įsitvirtinimas</w:t>
      </w:r>
      <w:r w:rsidRPr="0092561F">
        <w:t xml:space="preserve">. </w:t>
      </w:r>
    </w:p>
    <w:p w:rsidR="00091449" w:rsidRPr="0092561F" w:rsidRDefault="00091449" w:rsidP="00091449">
      <w:pPr>
        <w:spacing w:line="360" w:lineRule="auto"/>
        <w:ind w:firstLine="567"/>
        <w:jc w:val="both"/>
      </w:pPr>
      <w:r w:rsidRPr="0092561F">
        <w:t xml:space="preserve">Pasak </w:t>
      </w:r>
      <w:r w:rsidRPr="0092561F">
        <w:rPr>
          <w:i/>
        </w:rPr>
        <w:t>R. Tamošiūnaitės ir kt. (2012)</w:t>
      </w:r>
      <w:r w:rsidRPr="0092561F">
        <w:t xml:space="preserve"> intelektinio kapitalo vertinimo procesas neapsiriboja tik finansiniu intelektinio kapitalo duomenų atskleidimu, pagal juos intelektinis kapitalas atlieka ir kitas jo vertinimo funkcijas, kaip „pagalba formuojant organizacijos strategiją, strategijos įgyvendinimo vertinimas, pagalba organizacijos veiklų diversifikacijoje bei plėtroje, vadovų atlygio priemonė ir atskaitos taškas, komunikacija su išoriniais suinteresuotais asmenimis, leidžia indetifikuoti organizacinių žinių srautus ir problemas, leidžia tobulinti mokymosi veiklas, leidžia indetifikuoti geriausias praktikas, paskleisti jas organizcijoje, leidžia skatinti inovacijas ir bendradarbiavimą.“ O intelektinio kapitalo vertinimo tikslas gali būti ne apskaičiuoti intelektinio kapitalo vertę, bet ir parengti įmonę ar rinką intelektinio kapitalo valdymo intervencijai </w:t>
      </w:r>
      <w:r w:rsidR="009A614C">
        <w:rPr>
          <w:i/>
        </w:rPr>
        <w:t>(Mo</w:t>
      </w:r>
      <w:r w:rsidRPr="0092561F">
        <w:rPr>
          <w:i/>
        </w:rPr>
        <w:t>uritsen, 2009)</w:t>
      </w:r>
      <w:r w:rsidRPr="0092561F">
        <w:t xml:space="preserve">. Be to, pasak to paties autoriaus, vertinimas yra svarbus dėl to, kad jis plėtoja žinias apie intelektinio kapitalo būklę, kuomet tai gali būti naudinga priimant sprendimus dėl tam tikrų intelektinio kapitalo elementų didinimo ar mažinimo. </w:t>
      </w:r>
    </w:p>
    <w:p w:rsidR="00091449" w:rsidRPr="0092561F" w:rsidRDefault="00091449" w:rsidP="00091449">
      <w:pPr>
        <w:spacing w:line="360" w:lineRule="auto"/>
        <w:ind w:firstLine="567"/>
        <w:jc w:val="both"/>
      </w:pPr>
      <w:r w:rsidRPr="0092561F">
        <w:rPr>
          <w:lang w:val="en-US"/>
        </w:rPr>
        <w:t xml:space="preserve">Autorių </w:t>
      </w:r>
      <w:r w:rsidRPr="0092561F">
        <w:rPr>
          <w:i/>
          <w:lang w:val="en-US"/>
        </w:rPr>
        <w:t xml:space="preserve">(Edvinsson 1997, Stewart </w:t>
      </w:r>
      <w:r w:rsidR="00A873A5">
        <w:rPr>
          <w:i/>
          <w:lang w:val="en-US"/>
        </w:rPr>
        <w:t>1997</w:t>
      </w:r>
      <w:r w:rsidRPr="0092561F">
        <w:rPr>
          <w:i/>
          <w:lang w:val="en-US"/>
        </w:rPr>
        <w:t xml:space="preserve">, Pulic 1998, 2000, Sveiby 2000, 2001) </w:t>
      </w:r>
      <w:r w:rsidRPr="0092561F">
        <w:rPr>
          <w:lang w:val="en-US"/>
        </w:rPr>
        <w:t>tei</w:t>
      </w:r>
      <w:r w:rsidR="00E71E2A">
        <w:rPr>
          <w:lang w:val="en-US"/>
        </w:rPr>
        <w:t>gimu tradiciniai metodai, pagrį</w:t>
      </w:r>
      <w:r w:rsidRPr="0092561F">
        <w:rPr>
          <w:lang w:val="en-US"/>
        </w:rPr>
        <w:t>sti bendrai priimtais apskaitos principais, kurie naudojami pajamoms ar kitoms skaitinėms reikšmėms nustatyti, gali būti ne</w:t>
      </w:r>
      <w:r w:rsidR="00E71E2A">
        <w:rPr>
          <w:lang w:val="en-US"/>
        </w:rPr>
        <w:t>tinkami norint atlikti apskaitą</w:t>
      </w:r>
      <w:r w:rsidRPr="0092561F">
        <w:rPr>
          <w:lang w:val="en-US"/>
        </w:rPr>
        <w:t xml:space="preserve"> šiuolaikinės ekonomikos pasaulyje, kur pagrindinis varžymosi pranašumas tampa intelektinis kapitalas. </w:t>
      </w:r>
      <w:r w:rsidR="005F5F44">
        <w:t>O didžiausias iššū</w:t>
      </w:r>
      <w:r w:rsidRPr="0092561F">
        <w:t xml:space="preserve">kis tyrėjams - įrodyti, kad intelektinis kapitalas kuria vertę </w:t>
      </w:r>
      <w:r w:rsidRPr="0092561F">
        <w:rPr>
          <w:i/>
        </w:rPr>
        <w:t>(Palumickaitė, Matuzevičiūtė, 2007)</w:t>
      </w:r>
      <w:r w:rsidRPr="0092561F">
        <w:t>.</w:t>
      </w:r>
    </w:p>
    <w:p w:rsidR="00091449" w:rsidRPr="0092561F" w:rsidRDefault="00091449" w:rsidP="00091449">
      <w:pPr>
        <w:spacing w:line="360" w:lineRule="auto"/>
        <w:ind w:firstLine="567"/>
        <w:jc w:val="both"/>
      </w:pPr>
      <w:r w:rsidRPr="0092561F">
        <w:t xml:space="preserve">Tačiau autorių kaip  </w:t>
      </w:r>
      <w:r w:rsidR="005F5F44">
        <w:rPr>
          <w:i/>
        </w:rPr>
        <w:t xml:space="preserve">Bontis (1998), Roos, Roos </w:t>
      </w:r>
      <w:r w:rsidRPr="0092561F">
        <w:rPr>
          <w:i/>
        </w:rPr>
        <w:t>(1997), Youndt et al. (2004),</w:t>
      </w:r>
      <w:r w:rsidRPr="0092561F">
        <w:t xml:space="preserve"> </w:t>
      </w:r>
      <w:r w:rsidRPr="0092561F">
        <w:rPr>
          <w:i/>
        </w:rPr>
        <w:t>Wang, Cha</w:t>
      </w:r>
      <w:r w:rsidR="009A614C">
        <w:rPr>
          <w:i/>
        </w:rPr>
        <w:t>ng (2005), El-Bannany (2008), Mo</w:t>
      </w:r>
      <w:r w:rsidRPr="0092561F">
        <w:rPr>
          <w:i/>
        </w:rPr>
        <w:t xml:space="preserve">uritsen </w:t>
      </w:r>
      <w:r w:rsidR="0098746C">
        <w:rPr>
          <w:i/>
        </w:rPr>
        <w:t>(2011</w:t>
      </w:r>
      <w:r w:rsidRPr="0092561F">
        <w:rPr>
          <w:i/>
        </w:rPr>
        <w:t xml:space="preserve">) </w:t>
      </w:r>
      <w:r w:rsidRPr="0092561F">
        <w:t xml:space="preserve">nuomone, intelektinio kapitalo matavimas ir vertinimas tam tikrais atvejais yra svarbesnis nei materialusis turtas, tačiau be jo kiekybiškai sunkiai įmanoma įvertinti intelektinį kapitalą. Panašiai teigia ir Lietuvos autoriai </w:t>
      </w:r>
      <w:r w:rsidRPr="0092561F">
        <w:rPr>
          <w:i/>
        </w:rPr>
        <w:t xml:space="preserve">Stankevičienė, Liucvaitienė (2012), </w:t>
      </w:r>
      <w:r w:rsidRPr="0092561F">
        <w:rPr>
          <w:i/>
          <w:lang w:val="en-US"/>
        </w:rPr>
        <w:t>Palumickaitė, Matuzevičiūtės (2007),</w:t>
      </w:r>
      <w:r w:rsidRPr="0092561F">
        <w:rPr>
          <w:lang w:val="en-US"/>
        </w:rPr>
        <w:t xml:space="preserve"> jog </w:t>
      </w:r>
      <w:r w:rsidRPr="0092561F">
        <w:t>intelektinis kapitalas yra tiesiogiai susijęs su kit</w:t>
      </w:r>
      <w:r w:rsidR="005F5F44">
        <w:t>omis kapitalo rūšimis, taip natūraliai suformuodamas galimybę</w:t>
      </w:r>
      <w:r w:rsidRPr="0092561F">
        <w:t xml:space="preserve"> intelektinio kapitalo vertinimui naudoti materialųjį turtą. Dažniausiai ir papras</w:t>
      </w:r>
      <w:r w:rsidRPr="0092561F">
        <w:rPr>
          <w:lang w:val="en-US"/>
        </w:rPr>
        <w:t>čiausiai</w:t>
      </w:r>
      <w:r w:rsidRPr="0092561F">
        <w:t xml:space="preserve"> organizacijos intelektinio kapitalo vertė suprantama kaip skirtumas tarp jos rinkos ir fizinio kapitalo balansinės vertės </w:t>
      </w:r>
      <w:r w:rsidR="009A614C">
        <w:rPr>
          <w:i/>
        </w:rPr>
        <w:t>(Stewart 1997, Mo</w:t>
      </w:r>
      <w:r w:rsidRPr="0092561F">
        <w:rPr>
          <w:i/>
        </w:rPr>
        <w:t>uritsen 2002, Palumickaitė, Matuzevičiutė 2007</w:t>
      </w:r>
      <w:r w:rsidRPr="0092561F">
        <w:t xml:space="preserve">). </w:t>
      </w:r>
    </w:p>
    <w:p w:rsidR="00091449" w:rsidRPr="0092561F" w:rsidRDefault="00091449" w:rsidP="00091449">
      <w:pPr>
        <w:spacing w:line="360" w:lineRule="auto"/>
        <w:ind w:firstLine="567"/>
        <w:jc w:val="both"/>
      </w:pPr>
      <w:r w:rsidRPr="0092561F">
        <w:rPr>
          <w:lang w:val="en-US"/>
        </w:rPr>
        <w:t xml:space="preserve">Žinomiausi intelektinio kapitalo ar kitaip tariant nematerialiojo turto vertinimo metodai buvo pasiūlyti </w:t>
      </w:r>
      <w:r w:rsidRPr="0092561F">
        <w:t xml:space="preserve">tokių autorių </w:t>
      </w:r>
      <w:hyperlink r:id="rId13" w:anchor="idb18" w:tooltip="b18." w:history="1">
        <w:r w:rsidRPr="0092561F">
          <w:rPr>
            <w:rStyle w:val="Hyperlink"/>
            <w:i/>
            <w:color w:val="auto"/>
            <w:u w:val="none"/>
          </w:rPr>
          <w:t>Kaplan and Norton (1992)</w:t>
        </w:r>
      </w:hyperlink>
      <w:r w:rsidRPr="0092561F">
        <w:rPr>
          <w:i/>
        </w:rPr>
        <w:t xml:space="preserve">, </w:t>
      </w:r>
      <w:hyperlink r:id="rId14" w:anchor="idb33" w:tooltip="b33." w:history="1">
        <w:r w:rsidRPr="0092561F">
          <w:rPr>
            <w:rStyle w:val="Hyperlink"/>
            <w:i/>
            <w:color w:val="auto"/>
            <w:u w:val="none"/>
          </w:rPr>
          <w:t>Sveiby (1997)</w:t>
        </w:r>
      </w:hyperlink>
      <w:r w:rsidRPr="0092561F">
        <w:rPr>
          <w:i/>
        </w:rPr>
        <w:t xml:space="preserve">, </w:t>
      </w:r>
      <w:hyperlink r:id="rId15" w:anchor="idb7" w:tooltip="b7." w:history="1">
        <w:r w:rsidRPr="0092561F">
          <w:rPr>
            <w:rStyle w:val="Hyperlink"/>
            <w:i/>
            <w:color w:val="auto"/>
            <w:u w:val="none"/>
          </w:rPr>
          <w:t>Edvinsson and Malone (1997)</w:t>
        </w:r>
      </w:hyperlink>
      <w:r w:rsidRPr="0092561F">
        <w:rPr>
          <w:i/>
        </w:rPr>
        <w:t xml:space="preserve">, </w:t>
      </w:r>
      <w:hyperlink r:id="rId16" w:anchor="idb20" w:tooltip="b20." w:history="1">
        <w:r w:rsidRPr="0092561F">
          <w:rPr>
            <w:rStyle w:val="Hyperlink"/>
            <w:i/>
            <w:color w:val="auto"/>
            <w:u w:val="none"/>
          </w:rPr>
          <w:t>Lev (1999)</w:t>
        </w:r>
      </w:hyperlink>
      <w:r w:rsidRPr="0092561F">
        <w:rPr>
          <w:i/>
        </w:rPr>
        <w:t xml:space="preserve">, </w:t>
      </w:r>
      <w:hyperlink r:id="rId17" w:anchor="idb2" w:tooltip="b2." w:history="1">
        <w:r w:rsidRPr="0092561F">
          <w:rPr>
            <w:rStyle w:val="Hyperlink"/>
            <w:i/>
            <w:color w:val="auto"/>
            <w:u w:val="none"/>
          </w:rPr>
          <w:t>Andriessen and Tiessen (2000)</w:t>
        </w:r>
      </w:hyperlink>
      <w:r w:rsidRPr="0092561F">
        <w:rPr>
          <w:i/>
        </w:rPr>
        <w:t xml:space="preserve">, </w:t>
      </w:r>
      <w:hyperlink r:id="rId18" w:anchor="idb4" w:tooltip="b4." w:history="1">
        <w:r w:rsidRPr="0092561F">
          <w:rPr>
            <w:rStyle w:val="Hyperlink"/>
            <w:i/>
            <w:color w:val="auto"/>
            <w:u w:val="none"/>
          </w:rPr>
          <w:t>Bontis (2000)</w:t>
        </w:r>
      </w:hyperlink>
      <w:r w:rsidRPr="0092561F">
        <w:rPr>
          <w:i/>
        </w:rPr>
        <w:t xml:space="preserve"> and </w:t>
      </w:r>
      <w:hyperlink r:id="rId19" w:anchor="idb31" w:tooltip="b31." w:history="1">
        <w:r w:rsidRPr="0092561F">
          <w:rPr>
            <w:rStyle w:val="Hyperlink"/>
            <w:i/>
            <w:color w:val="auto"/>
            <w:u w:val="none"/>
          </w:rPr>
          <w:t>Sullivan (2000)</w:t>
        </w:r>
      </w:hyperlink>
      <w:r w:rsidRPr="0092561F">
        <w:rPr>
          <w:i/>
        </w:rPr>
        <w:t xml:space="preserve">. </w:t>
      </w:r>
      <w:hyperlink r:id="rId20" w:anchor="idb20" w:tooltip="b20." w:history="1">
        <w:r w:rsidRPr="0092561F">
          <w:rPr>
            <w:rStyle w:val="Hyperlink"/>
            <w:i/>
            <w:color w:val="auto"/>
            <w:u w:val="none"/>
          </w:rPr>
          <w:t>Lev (1999)</w:t>
        </w:r>
      </w:hyperlink>
      <w:r w:rsidRPr="0092561F">
        <w:t xml:space="preserve"> išvystė tokią metodologiją, kuri yra ekonominis pagrindas gamybos funkcijai, kur fizinis, finansinis ir žinių kapitalai sukuria įmonės ekonominę vertę. </w:t>
      </w:r>
    </w:p>
    <w:p w:rsidR="00091449" w:rsidRPr="0092561F" w:rsidRDefault="00091449" w:rsidP="00091449">
      <w:pPr>
        <w:spacing w:line="360" w:lineRule="auto"/>
        <w:ind w:firstLine="567"/>
        <w:jc w:val="both"/>
        <w:rPr>
          <w:lang w:eastAsia="ja-JP"/>
        </w:rPr>
      </w:pPr>
      <w:r w:rsidRPr="0092561F">
        <w:rPr>
          <w:lang w:eastAsia="ja-JP"/>
        </w:rPr>
        <w:t>Intelektinio kapitalo vertinimo metodų skirstymas į tam tikras kategorijas gali palengvinti reikalingo metodo paiešką, susiaurinti pačių metodų pasirinkimo alternatyvas.</w:t>
      </w:r>
      <w:r w:rsidRPr="0092561F">
        <w:rPr>
          <w:sz w:val="26"/>
          <w:szCs w:val="26"/>
          <w:lang w:val="en-US"/>
        </w:rPr>
        <w:t xml:space="preserve"> </w:t>
      </w:r>
      <w:r w:rsidR="005F5F44">
        <w:rPr>
          <w:i/>
          <w:lang w:val="en-US"/>
        </w:rPr>
        <w:t>Gröjer (2001</w:t>
      </w:r>
      <w:r w:rsidRPr="0092561F">
        <w:rPr>
          <w:i/>
          <w:lang w:val="en-US"/>
        </w:rPr>
        <w:t>)</w:t>
      </w:r>
      <w:r w:rsidRPr="0092561F">
        <w:rPr>
          <w:lang w:val="en-US"/>
        </w:rPr>
        <w:t xml:space="preserve"> apibūdina klasifikavimo tikslą, su kuriuo matavimas yra glaudžiai susijęs : “… klasifikuoti/suskirstyti kažką, tai reiškia paaiškinti pobūdį ar svarbiausias kažkieno ypatybes. Norint klasifikuoti ar suskirstyti reikia atrinkti savybes/požymius, kurie apibūdina objektą, įvykį, būseną”. Tačiau mokslinių darbų apie</w:t>
      </w:r>
      <w:r w:rsidR="005F5F44">
        <w:rPr>
          <w:lang w:val="en-US"/>
        </w:rPr>
        <w:t xml:space="preserve"> lyginamąjį metodų vertinimą nė</w:t>
      </w:r>
      <w:r w:rsidRPr="0092561F">
        <w:rPr>
          <w:lang w:val="en-US"/>
        </w:rPr>
        <w:t>r</w:t>
      </w:r>
      <w:r w:rsidR="005F5F44">
        <w:rPr>
          <w:lang w:val="en-US"/>
        </w:rPr>
        <w:t>a</w:t>
      </w:r>
      <w:r w:rsidRPr="0092561F">
        <w:rPr>
          <w:lang w:val="en-US"/>
        </w:rPr>
        <w:t xml:space="preserve"> daug, tikliau tie patys jau esami metodai grupuojami į atitinkamas kategorijas. Vienas tokių intelektinio kapitalo vertinimo metodų skirtymų yra siūlytas </w:t>
      </w:r>
      <w:r w:rsidRPr="0092561F">
        <w:rPr>
          <w:i/>
          <w:lang w:val="en-US"/>
        </w:rPr>
        <w:t>Sveiby (2010)</w:t>
      </w:r>
      <w:r w:rsidRPr="0092561F">
        <w:rPr>
          <w:lang w:val="en-US"/>
        </w:rPr>
        <w:t xml:space="preserve">, kuriam pritaria ir tokie autoriai kaip </w:t>
      </w:r>
      <w:r w:rsidRPr="0092561F">
        <w:rPr>
          <w:i/>
          <w:lang w:val="en-US"/>
        </w:rPr>
        <w:t>Nazari, Herremans (2007),</w:t>
      </w:r>
      <w:r w:rsidRPr="0092561F">
        <w:rPr>
          <w:lang w:val="en-US"/>
        </w:rPr>
        <w:t xml:space="preserve"> </w:t>
      </w:r>
      <w:r w:rsidRPr="0092561F">
        <w:rPr>
          <w:i/>
          <w:lang w:eastAsia="ja-JP"/>
        </w:rPr>
        <w:t xml:space="preserve">Znakovaitė ir Pabedinskaitė (2010), Demartini, Paoloni (2013) </w:t>
      </w:r>
      <w:r w:rsidRPr="0092561F">
        <w:rPr>
          <w:lang w:eastAsia="ja-JP"/>
        </w:rPr>
        <w:t>:</w:t>
      </w:r>
    </w:p>
    <w:p w:rsidR="00091449" w:rsidRPr="0092561F" w:rsidRDefault="00091449" w:rsidP="00091449">
      <w:pPr>
        <w:numPr>
          <w:ilvl w:val="0"/>
          <w:numId w:val="8"/>
        </w:numPr>
        <w:spacing w:line="360" w:lineRule="auto"/>
        <w:jc w:val="both"/>
      </w:pPr>
      <w:r w:rsidRPr="0092561F">
        <w:rPr>
          <w:lang w:eastAsia="ja-JP"/>
        </w:rPr>
        <w:t xml:space="preserve">Tiesioginiai intelektinio kapitalo metodai </w:t>
      </w:r>
      <w:r w:rsidRPr="0092561F">
        <w:rPr>
          <w:i/>
          <w:lang w:eastAsia="ja-JP"/>
        </w:rPr>
        <w:t xml:space="preserve">(angl. </w:t>
      </w:r>
      <w:r w:rsidRPr="0092561F">
        <w:rPr>
          <w:lang w:val="en-US"/>
        </w:rPr>
        <w:t>Direct Intellectual Capital Methods</w:t>
      </w:r>
      <w:r w:rsidRPr="0092561F">
        <w:rPr>
          <w:i/>
          <w:lang w:val="en-US"/>
        </w:rPr>
        <w:t>)</w:t>
      </w:r>
    </w:p>
    <w:p w:rsidR="00091449" w:rsidRPr="0092561F" w:rsidRDefault="00091449" w:rsidP="00091449">
      <w:pPr>
        <w:numPr>
          <w:ilvl w:val="0"/>
          <w:numId w:val="8"/>
        </w:numPr>
        <w:spacing w:line="360" w:lineRule="auto"/>
        <w:jc w:val="both"/>
      </w:pPr>
      <w:r w:rsidRPr="0092561F">
        <w:rPr>
          <w:lang w:eastAsia="ja-JP"/>
        </w:rPr>
        <w:t xml:space="preserve">Rinkos kapitalizacijos metodai </w:t>
      </w:r>
      <w:r w:rsidRPr="0092561F">
        <w:rPr>
          <w:i/>
          <w:lang w:eastAsia="ja-JP"/>
        </w:rPr>
        <w:t xml:space="preserve">(angl. </w:t>
      </w:r>
      <w:r w:rsidRPr="0092561F">
        <w:rPr>
          <w:lang w:val="en-US"/>
        </w:rPr>
        <w:t>Market Capitalization Methods)</w:t>
      </w:r>
    </w:p>
    <w:p w:rsidR="00091449" w:rsidRPr="0092561F" w:rsidRDefault="00091449" w:rsidP="00091449">
      <w:pPr>
        <w:numPr>
          <w:ilvl w:val="0"/>
          <w:numId w:val="8"/>
        </w:numPr>
        <w:spacing w:line="360" w:lineRule="auto"/>
        <w:jc w:val="both"/>
      </w:pPr>
      <w:r w:rsidRPr="0092561F">
        <w:rPr>
          <w:lang w:eastAsia="ja-JP"/>
        </w:rPr>
        <w:t xml:space="preserve">Turto grąžos metodai </w:t>
      </w:r>
      <w:r w:rsidRPr="0092561F">
        <w:rPr>
          <w:i/>
          <w:lang w:eastAsia="ja-JP"/>
        </w:rPr>
        <w:t xml:space="preserve">(angl.. </w:t>
      </w:r>
      <w:r w:rsidRPr="0092561F">
        <w:rPr>
          <w:lang w:val="en-US"/>
        </w:rPr>
        <w:t>Return on Assets Methods</w:t>
      </w:r>
      <w:r w:rsidRPr="0092561F">
        <w:rPr>
          <w:i/>
          <w:lang w:eastAsia="ja-JP"/>
        </w:rPr>
        <w:t>)</w:t>
      </w:r>
    </w:p>
    <w:p w:rsidR="00091449" w:rsidRPr="0092561F" w:rsidRDefault="00091449" w:rsidP="00091449">
      <w:pPr>
        <w:widowControl w:val="0"/>
        <w:numPr>
          <w:ilvl w:val="0"/>
          <w:numId w:val="8"/>
        </w:numPr>
        <w:spacing w:line="360" w:lineRule="auto"/>
        <w:jc w:val="both"/>
        <w:rPr>
          <w:lang w:eastAsia="ja-JP"/>
        </w:rPr>
      </w:pPr>
      <w:r w:rsidRPr="0092561F">
        <w:rPr>
          <w:lang w:eastAsia="ja-JP"/>
        </w:rPr>
        <w:t xml:space="preserve">Balansiniai taškiniai metodai </w:t>
      </w:r>
      <w:r w:rsidRPr="0092561F">
        <w:rPr>
          <w:i/>
          <w:lang w:eastAsia="ja-JP"/>
        </w:rPr>
        <w:t xml:space="preserve">(angl. </w:t>
      </w:r>
      <w:r w:rsidRPr="0092561F">
        <w:rPr>
          <w:lang w:val="en-US"/>
        </w:rPr>
        <w:t>Scorecard Methods)</w:t>
      </w:r>
    </w:p>
    <w:p w:rsidR="00091449" w:rsidRPr="0092561F" w:rsidRDefault="00091449" w:rsidP="00091449">
      <w:pPr>
        <w:widowControl w:val="0"/>
        <w:spacing w:line="360" w:lineRule="auto"/>
        <w:jc w:val="both"/>
        <w:rPr>
          <w:lang w:eastAsia="ja-JP"/>
        </w:rPr>
      </w:pPr>
      <w:r w:rsidRPr="0092561F">
        <w:rPr>
          <w:lang w:eastAsia="ja-JP"/>
        </w:rPr>
        <w:t xml:space="preserve">Plačiau apie šią intelektinio kapitalo vertinimo metodų klasifikaciją </w:t>
      </w:r>
      <w:r w:rsidR="00925696" w:rsidRPr="0092561F">
        <w:rPr>
          <w:lang w:eastAsia="ja-JP"/>
        </w:rPr>
        <w:t xml:space="preserve">1 </w:t>
      </w:r>
      <w:r w:rsidRPr="0092561F">
        <w:rPr>
          <w:lang w:eastAsia="ja-JP"/>
        </w:rPr>
        <w:t>lentelėje.</w:t>
      </w:r>
    </w:p>
    <w:p w:rsidR="00116576" w:rsidRPr="0092561F" w:rsidRDefault="00116576" w:rsidP="00091449">
      <w:pPr>
        <w:widowControl w:val="0"/>
        <w:spacing w:line="360" w:lineRule="auto"/>
        <w:jc w:val="both"/>
        <w:rPr>
          <w:lang w:eastAsia="ja-JP"/>
        </w:rPr>
      </w:pPr>
    </w:p>
    <w:p w:rsidR="00091449" w:rsidRPr="00893C13" w:rsidRDefault="00925696" w:rsidP="00116576">
      <w:pPr>
        <w:widowControl w:val="0"/>
        <w:spacing w:line="360" w:lineRule="auto"/>
        <w:jc w:val="center"/>
        <w:rPr>
          <w:b/>
          <w:lang w:eastAsia="ja-JP"/>
        </w:rPr>
      </w:pPr>
      <w:r w:rsidRPr="00893C13">
        <w:rPr>
          <w:b/>
          <w:lang w:eastAsia="ja-JP"/>
        </w:rPr>
        <w:t>1 l</w:t>
      </w:r>
      <w:r w:rsidR="00091449" w:rsidRPr="00893C13">
        <w:rPr>
          <w:b/>
          <w:lang w:eastAsia="ja-JP"/>
        </w:rPr>
        <w:t>entelė</w:t>
      </w:r>
      <w:r w:rsidR="00116576" w:rsidRPr="00893C13">
        <w:rPr>
          <w:b/>
          <w:lang w:eastAsia="ja-JP"/>
        </w:rPr>
        <w:t>. Intelektinio kapitalo vertinimo metodų klasifikavimas</w:t>
      </w:r>
    </w:p>
    <w:p w:rsidR="00116576" w:rsidRPr="0092561F" w:rsidRDefault="00116576" w:rsidP="00116576">
      <w:pPr>
        <w:widowControl w:val="0"/>
        <w:spacing w:line="360" w:lineRule="auto"/>
        <w:ind w:left="1367"/>
        <w:jc w:val="center"/>
        <w:rPr>
          <w:b/>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4111"/>
        <w:gridCol w:w="4111"/>
      </w:tblGrid>
      <w:tr w:rsidR="00091449" w:rsidRPr="0092561F" w:rsidTr="00091449">
        <w:tc>
          <w:tcPr>
            <w:tcW w:w="1809" w:type="dxa"/>
            <w:shd w:val="clear" w:color="auto" w:fill="auto"/>
            <w:vAlign w:val="center"/>
          </w:tcPr>
          <w:p w:rsidR="00091449" w:rsidRPr="0092561F" w:rsidRDefault="00091449" w:rsidP="00091449">
            <w:pPr>
              <w:spacing w:line="360" w:lineRule="auto"/>
              <w:jc w:val="center"/>
              <w:rPr>
                <w:b/>
                <w:sz w:val="22"/>
                <w:szCs w:val="22"/>
                <w:lang w:val="en-US"/>
              </w:rPr>
            </w:pPr>
            <w:r w:rsidRPr="0092561F">
              <w:rPr>
                <w:b/>
                <w:sz w:val="22"/>
                <w:szCs w:val="22"/>
                <w:lang w:val="en-US"/>
              </w:rPr>
              <w:t>Metodų skirstymas</w:t>
            </w:r>
          </w:p>
        </w:tc>
        <w:tc>
          <w:tcPr>
            <w:tcW w:w="4111" w:type="dxa"/>
            <w:shd w:val="clear" w:color="auto" w:fill="auto"/>
            <w:vAlign w:val="center"/>
          </w:tcPr>
          <w:p w:rsidR="00091449" w:rsidRPr="0092561F" w:rsidRDefault="00091449" w:rsidP="00091449">
            <w:pPr>
              <w:spacing w:line="360" w:lineRule="auto"/>
              <w:jc w:val="center"/>
              <w:rPr>
                <w:b/>
                <w:sz w:val="22"/>
                <w:szCs w:val="22"/>
                <w:lang w:val="en-US"/>
              </w:rPr>
            </w:pPr>
            <w:r w:rsidRPr="0092561F">
              <w:rPr>
                <w:b/>
                <w:sz w:val="22"/>
                <w:szCs w:val="22"/>
                <w:lang w:val="en-US"/>
              </w:rPr>
              <w:t>Metodikų esmė</w:t>
            </w:r>
          </w:p>
        </w:tc>
        <w:tc>
          <w:tcPr>
            <w:tcW w:w="4111" w:type="dxa"/>
            <w:shd w:val="clear" w:color="auto" w:fill="auto"/>
            <w:vAlign w:val="center"/>
          </w:tcPr>
          <w:p w:rsidR="00091449" w:rsidRPr="0092561F" w:rsidRDefault="00091449" w:rsidP="00091449">
            <w:pPr>
              <w:spacing w:line="360" w:lineRule="auto"/>
              <w:jc w:val="center"/>
              <w:rPr>
                <w:b/>
                <w:sz w:val="22"/>
                <w:szCs w:val="22"/>
                <w:lang w:val="en-US"/>
              </w:rPr>
            </w:pPr>
            <w:r w:rsidRPr="0092561F">
              <w:rPr>
                <w:b/>
                <w:sz w:val="22"/>
                <w:szCs w:val="22"/>
                <w:lang w:val="en-US"/>
              </w:rPr>
              <w:t>Metodai, autoriai</w:t>
            </w:r>
          </w:p>
        </w:tc>
      </w:tr>
      <w:tr w:rsidR="00091449" w:rsidRPr="0092561F" w:rsidTr="00091449">
        <w:tc>
          <w:tcPr>
            <w:tcW w:w="1809" w:type="dxa"/>
            <w:shd w:val="clear" w:color="auto" w:fill="auto"/>
            <w:vAlign w:val="center"/>
          </w:tcPr>
          <w:p w:rsidR="00091449" w:rsidRPr="0092561F" w:rsidRDefault="00091449" w:rsidP="00091449">
            <w:pPr>
              <w:spacing w:line="360" w:lineRule="auto"/>
              <w:jc w:val="center"/>
              <w:rPr>
                <w:i/>
                <w:sz w:val="22"/>
                <w:szCs w:val="22"/>
                <w:lang w:val="en-US"/>
              </w:rPr>
            </w:pPr>
            <w:r w:rsidRPr="0092561F">
              <w:rPr>
                <w:i/>
                <w:sz w:val="22"/>
                <w:szCs w:val="22"/>
                <w:lang w:eastAsia="ja-JP"/>
              </w:rPr>
              <w:t>Tiesioginiai intelektinio kapitalo metodai</w:t>
            </w:r>
          </w:p>
        </w:tc>
        <w:tc>
          <w:tcPr>
            <w:tcW w:w="4111" w:type="dxa"/>
            <w:shd w:val="clear" w:color="auto" w:fill="auto"/>
          </w:tcPr>
          <w:p w:rsidR="00091449" w:rsidRPr="0092561F" w:rsidRDefault="00091449" w:rsidP="00091449">
            <w:pPr>
              <w:spacing w:line="360" w:lineRule="auto"/>
              <w:jc w:val="both"/>
              <w:rPr>
                <w:sz w:val="22"/>
                <w:szCs w:val="22"/>
                <w:lang w:val="en-US"/>
              </w:rPr>
            </w:pPr>
            <w:r w:rsidRPr="0092561F">
              <w:rPr>
                <w:sz w:val="22"/>
                <w:szCs w:val="22"/>
                <w:lang w:val="en-US"/>
              </w:rPr>
              <w:t>Intelektinis k</w:t>
            </w:r>
            <w:r w:rsidR="001A0843">
              <w:rPr>
                <w:sz w:val="22"/>
                <w:szCs w:val="22"/>
                <w:lang w:val="en-US"/>
              </w:rPr>
              <w:t>apitalas vertinamas nustatant į</w:t>
            </w:r>
            <w:r w:rsidRPr="0092561F">
              <w:rPr>
                <w:sz w:val="22"/>
                <w:szCs w:val="22"/>
                <w:lang w:val="en-US"/>
              </w:rPr>
              <w:t>vairius atskirus mikro komponentus,</w:t>
            </w:r>
            <w:r w:rsidRPr="0092561F">
              <w:rPr>
                <w:sz w:val="22"/>
                <w:szCs w:val="22"/>
              </w:rPr>
              <w:t xml:space="preserve"> ir jie gali būti tiesiogiai įvertinami kiekvienas atskirai arba kaip agreguotas koeficientas.</w:t>
            </w:r>
            <w:r w:rsidRPr="0092561F">
              <w:rPr>
                <w:sz w:val="22"/>
                <w:szCs w:val="22"/>
                <w:lang w:val="en-US"/>
              </w:rPr>
              <w:t xml:space="preserve"> Tai suteikia i</w:t>
            </w:r>
            <w:r w:rsidR="001A0843">
              <w:rPr>
                <w:sz w:val="22"/>
                <w:szCs w:val="22"/>
                <w:lang w:val="en-US"/>
              </w:rPr>
              <w:t>šsamios informacijaos apie visą intelektinį kapitalą</w:t>
            </w:r>
            <w:r w:rsidRPr="0092561F">
              <w:rPr>
                <w:sz w:val="22"/>
                <w:szCs w:val="22"/>
                <w:lang w:val="en-US"/>
              </w:rPr>
              <w:t xml:space="preserve"> </w:t>
            </w:r>
            <w:r w:rsidR="001A0843">
              <w:rPr>
                <w:sz w:val="22"/>
                <w:szCs w:val="22"/>
                <w:lang w:val="en-US"/>
              </w:rPr>
              <w:t>organizacijoje. Tačiau yra trū</w:t>
            </w:r>
            <w:r w:rsidRPr="0092561F">
              <w:rPr>
                <w:sz w:val="22"/>
                <w:szCs w:val="22"/>
                <w:lang w:val="en-US"/>
              </w:rPr>
              <w:t>kumas – sunku lyginti rezultatus.</w:t>
            </w:r>
          </w:p>
        </w:tc>
        <w:tc>
          <w:tcPr>
            <w:tcW w:w="4111" w:type="dxa"/>
            <w:shd w:val="clear" w:color="auto" w:fill="auto"/>
          </w:tcPr>
          <w:p w:rsidR="00091449" w:rsidRPr="0092561F" w:rsidRDefault="00091449" w:rsidP="00091449">
            <w:pPr>
              <w:spacing w:line="360" w:lineRule="auto"/>
              <w:jc w:val="both"/>
              <w:rPr>
                <w:sz w:val="22"/>
                <w:szCs w:val="22"/>
              </w:rPr>
            </w:pPr>
            <w:r w:rsidRPr="0092561F">
              <w:rPr>
                <w:sz w:val="22"/>
                <w:szCs w:val="22"/>
              </w:rPr>
              <w:t>Šiai kategorijai priskiriami:</w:t>
            </w:r>
          </w:p>
          <w:p w:rsidR="00091449" w:rsidRPr="0092561F" w:rsidRDefault="001A0843" w:rsidP="00091449">
            <w:pPr>
              <w:numPr>
                <w:ilvl w:val="0"/>
                <w:numId w:val="11"/>
              </w:numPr>
              <w:spacing w:line="360" w:lineRule="auto"/>
              <w:ind w:left="460"/>
              <w:jc w:val="both"/>
              <w:rPr>
                <w:sz w:val="22"/>
                <w:szCs w:val="22"/>
              </w:rPr>
            </w:pPr>
            <w:r>
              <w:rPr>
                <w:rFonts w:eastAsia="MS Mincho"/>
                <w:sz w:val="22"/>
                <w:szCs w:val="22"/>
                <w:lang w:val="en-US"/>
              </w:rPr>
              <w:t>Svertinis cituojamų patentų</w:t>
            </w:r>
            <w:r w:rsidR="00091449" w:rsidRPr="0092561F">
              <w:rPr>
                <w:rFonts w:eastAsia="MS Mincho"/>
                <w:sz w:val="22"/>
                <w:szCs w:val="22"/>
                <w:lang w:val="en-US"/>
              </w:rPr>
              <w:t xml:space="preserve"> indeksas </w:t>
            </w:r>
            <w:r w:rsidR="00091449" w:rsidRPr="0092561F">
              <w:rPr>
                <w:sz w:val="22"/>
                <w:szCs w:val="22"/>
                <w:lang w:val="en-US"/>
              </w:rPr>
              <w:t>(</w:t>
            </w:r>
            <w:r w:rsidR="00091449" w:rsidRPr="0092561F">
              <w:rPr>
                <w:i/>
                <w:sz w:val="22"/>
                <w:szCs w:val="22"/>
                <w:lang w:val="en-US"/>
              </w:rPr>
              <w:t>angl.</w:t>
            </w:r>
            <w:r w:rsidR="00091449" w:rsidRPr="0092561F">
              <w:rPr>
                <w:sz w:val="22"/>
                <w:szCs w:val="22"/>
                <w:lang w:val="en-US"/>
              </w:rPr>
              <w:t xml:space="preserve"> Citation-weighted patents (Bontis, 1998); </w:t>
            </w:r>
          </w:p>
          <w:p w:rsidR="00091449" w:rsidRPr="0092561F" w:rsidRDefault="00BF3E79" w:rsidP="00091449">
            <w:pPr>
              <w:numPr>
                <w:ilvl w:val="0"/>
                <w:numId w:val="11"/>
              </w:numPr>
              <w:spacing w:line="360" w:lineRule="auto"/>
              <w:ind w:left="460"/>
              <w:jc w:val="both"/>
              <w:rPr>
                <w:sz w:val="22"/>
                <w:szCs w:val="22"/>
              </w:rPr>
            </w:pPr>
            <w:r>
              <w:rPr>
                <w:sz w:val="22"/>
                <w:szCs w:val="22"/>
                <w:lang w:val="en-US"/>
              </w:rPr>
              <w:t>Vertė</w:t>
            </w:r>
            <w:r w:rsidR="00091449" w:rsidRPr="0092561F">
              <w:rPr>
                <w:sz w:val="22"/>
                <w:szCs w:val="22"/>
                <w:lang w:val="en-US"/>
              </w:rPr>
              <w:t>s tyrėjas (</w:t>
            </w:r>
            <w:r w:rsidR="00091449" w:rsidRPr="0092561F">
              <w:rPr>
                <w:i/>
                <w:sz w:val="22"/>
                <w:szCs w:val="22"/>
                <w:lang w:val="en-US"/>
              </w:rPr>
              <w:t>angl</w:t>
            </w:r>
            <w:r w:rsidR="00091449" w:rsidRPr="0092561F">
              <w:rPr>
                <w:sz w:val="22"/>
                <w:szCs w:val="22"/>
                <w:lang w:val="en-US"/>
              </w:rPr>
              <w:t>. The value explorer, Andriessen, 2004).</w:t>
            </w:r>
          </w:p>
          <w:p w:rsidR="00091449" w:rsidRPr="0092561F" w:rsidRDefault="00091449" w:rsidP="00091449">
            <w:pPr>
              <w:numPr>
                <w:ilvl w:val="0"/>
                <w:numId w:val="11"/>
              </w:numPr>
              <w:spacing w:line="360" w:lineRule="auto"/>
              <w:ind w:left="460"/>
              <w:jc w:val="both"/>
              <w:rPr>
                <w:sz w:val="22"/>
                <w:szCs w:val="22"/>
              </w:rPr>
            </w:pPr>
            <w:r w:rsidRPr="0092561F">
              <w:rPr>
                <w:sz w:val="22"/>
                <w:szCs w:val="22"/>
                <w:lang w:val="en-US"/>
              </w:rPr>
              <w:t>Technologijų tarpininkas (</w:t>
            </w:r>
            <w:r w:rsidRPr="0092561F">
              <w:rPr>
                <w:i/>
                <w:sz w:val="22"/>
                <w:szCs w:val="22"/>
                <w:lang w:val="en-US"/>
              </w:rPr>
              <w:t>angl.</w:t>
            </w:r>
            <w:r w:rsidRPr="0092561F">
              <w:rPr>
                <w:sz w:val="22"/>
                <w:szCs w:val="22"/>
                <w:lang w:val="en-US"/>
              </w:rPr>
              <w:t xml:space="preserve"> Technology Broker, Brooking, </w:t>
            </w:r>
            <w:r w:rsidRPr="0092561F">
              <w:rPr>
                <w:sz w:val="22"/>
                <w:szCs w:val="22"/>
              </w:rPr>
              <w:t>1996</w:t>
            </w:r>
            <w:r w:rsidRPr="0092561F">
              <w:rPr>
                <w:sz w:val="22"/>
                <w:szCs w:val="22"/>
                <w:lang w:val="en-US"/>
              </w:rPr>
              <w:t>)</w:t>
            </w:r>
          </w:p>
          <w:p w:rsidR="00091449" w:rsidRPr="0092561F" w:rsidRDefault="00091449" w:rsidP="00091449">
            <w:pPr>
              <w:numPr>
                <w:ilvl w:val="0"/>
                <w:numId w:val="11"/>
              </w:numPr>
              <w:spacing w:line="360" w:lineRule="auto"/>
              <w:ind w:left="460"/>
              <w:jc w:val="both"/>
              <w:rPr>
                <w:sz w:val="22"/>
                <w:szCs w:val="22"/>
              </w:rPr>
            </w:pPr>
            <w:r w:rsidRPr="0092561F">
              <w:rPr>
                <w:sz w:val="22"/>
                <w:szCs w:val="22"/>
                <w:lang w:val="en-US"/>
              </w:rPr>
              <w:t>Žmogiškųjų išteklių kaštai ir apskaita (</w:t>
            </w:r>
            <w:r w:rsidRPr="0092561F">
              <w:rPr>
                <w:i/>
                <w:sz w:val="22"/>
                <w:szCs w:val="22"/>
                <w:lang w:val="en-US"/>
              </w:rPr>
              <w:t>angl.</w:t>
            </w:r>
            <w:r w:rsidRPr="0092561F">
              <w:rPr>
                <w:sz w:val="22"/>
                <w:szCs w:val="22"/>
                <w:lang w:val="en-US"/>
              </w:rPr>
              <w:t xml:space="preserve"> Human Resource Costing &amp; Accounting, Johansson, 1996)</w:t>
            </w:r>
          </w:p>
          <w:p w:rsidR="00091449" w:rsidRPr="0092561F" w:rsidRDefault="00091449" w:rsidP="00091449">
            <w:pPr>
              <w:numPr>
                <w:ilvl w:val="0"/>
                <w:numId w:val="11"/>
              </w:numPr>
              <w:spacing w:line="360" w:lineRule="auto"/>
              <w:ind w:left="460"/>
              <w:jc w:val="both"/>
              <w:rPr>
                <w:sz w:val="22"/>
                <w:szCs w:val="22"/>
              </w:rPr>
            </w:pPr>
            <w:r w:rsidRPr="0092561F">
              <w:rPr>
                <w:sz w:val="22"/>
                <w:szCs w:val="22"/>
                <w:lang w:val="en-US"/>
              </w:rPr>
              <w:t>Visos vertės kūrimas (</w:t>
            </w:r>
            <w:r w:rsidRPr="0092561F">
              <w:rPr>
                <w:i/>
                <w:sz w:val="22"/>
                <w:szCs w:val="22"/>
                <w:lang w:val="en-US"/>
              </w:rPr>
              <w:t>angl.</w:t>
            </w:r>
            <w:r w:rsidRPr="0092561F">
              <w:rPr>
                <w:sz w:val="22"/>
                <w:szCs w:val="22"/>
                <w:lang w:val="en-US"/>
              </w:rPr>
              <w:t xml:space="preserve"> Total Value Creation, </w:t>
            </w:r>
            <w:r w:rsidRPr="0092561F">
              <w:rPr>
                <w:rFonts w:eastAsia="MS Mincho"/>
                <w:sz w:val="20"/>
                <w:szCs w:val="20"/>
                <w:lang w:val="en-US"/>
              </w:rPr>
              <w:t>Anderson &amp; McLean, 2000</w:t>
            </w:r>
            <w:r w:rsidRPr="0092561F">
              <w:rPr>
                <w:sz w:val="22"/>
                <w:szCs w:val="22"/>
              </w:rPr>
              <w:t>)</w:t>
            </w:r>
          </w:p>
        </w:tc>
      </w:tr>
      <w:tr w:rsidR="00091449" w:rsidRPr="0092561F" w:rsidTr="00091449">
        <w:tc>
          <w:tcPr>
            <w:tcW w:w="1809" w:type="dxa"/>
            <w:shd w:val="clear" w:color="auto" w:fill="auto"/>
            <w:vAlign w:val="center"/>
          </w:tcPr>
          <w:p w:rsidR="00091449" w:rsidRPr="0092561F" w:rsidRDefault="00091449" w:rsidP="00091449">
            <w:pPr>
              <w:spacing w:line="360" w:lineRule="auto"/>
              <w:jc w:val="center"/>
              <w:rPr>
                <w:i/>
                <w:sz w:val="22"/>
                <w:szCs w:val="22"/>
                <w:lang w:val="en-US"/>
              </w:rPr>
            </w:pPr>
            <w:r w:rsidRPr="0092561F">
              <w:rPr>
                <w:i/>
                <w:sz w:val="22"/>
                <w:szCs w:val="22"/>
                <w:lang w:eastAsia="ja-JP"/>
              </w:rPr>
              <w:t xml:space="preserve">Rinkos kapitalizacijos metodai </w:t>
            </w:r>
          </w:p>
        </w:tc>
        <w:tc>
          <w:tcPr>
            <w:tcW w:w="4111" w:type="dxa"/>
            <w:shd w:val="clear" w:color="auto" w:fill="auto"/>
          </w:tcPr>
          <w:p w:rsidR="00091449" w:rsidRPr="0092561F" w:rsidRDefault="00091449" w:rsidP="00091449">
            <w:pPr>
              <w:spacing w:line="360" w:lineRule="auto"/>
              <w:jc w:val="both"/>
              <w:rPr>
                <w:sz w:val="22"/>
                <w:szCs w:val="22"/>
                <w:lang w:val="en-US"/>
              </w:rPr>
            </w:pPr>
            <w:r w:rsidRPr="0092561F">
              <w:rPr>
                <w:sz w:val="22"/>
                <w:szCs w:val="22"/>
                <w:lang w:val="en-US"/>
              </w:rPr>
              <w:t>Int</w:t>
            </w:r>
            <w:r w:rsidR="001A0843">
              <w:rPr>
                <w:sz w:val="22"/>
                <w:szCs w:val="22"/>
                <w:lang w:val="en-US"/>
              </w:rPr>
              <w:t>elektinis kapitalas yra apskaič</w:t>
            </w:r>
            <w:r w:rsidRPr="0092561F">
              <w:rPr>
                <w:sz w:val="22"/>
                <w:szCs w:val="22"/>
                <w:lang w:val="en-US"/>
              </w:rPr>
              <w:t>iuojamas kaip</w:t>
            </w:r>
            <w:r w:rsidR="001A0843">
              <w:rPr>
                <w:sz w:val="22"/>
                <w:szCs w:val="22"/>
                <w:lang w:val="en-US"/>
              </w:rPr>
              <w:t xml:space="preserve"> skirtumas tarp įmonė</w:t>
            </w:r>
            <w:r w:rsidRPr="0092561F">
              <w:rPr>
                <w:sz w:val="22"/>
                <w:szCs w:val="22"/>
                <w:lang w:val="en-US"/>
              </w:rPr>
              <w:t>s rinkos kapitalizacijos ir akc</w:t>
            </w:r>
            <w:r w:rsidR="001A0843">
              <w:rPr>
                <w:sz w:val="22"/>
                <w:szCs w:val="22"/>
                <w:lang w:val="en-US"/>
              </w:rPr>
              <w:t>inio kapitalo (balansinės) vertė</w:t>
            </w:r>
            <w:r w:rsidRPr="0092561F">
              <w:rPr>
                <w:sz w:val="22"/>
                <w:szCs w:val="22"/>
                <w:lang w:val="en-US"/>
              </w:rPr>
              <w:t>s. Metodo privalumas -</w:t>
            </w:r>
            <w:r w:rsidR="001A0843">
              <w:rPr>
                <w:sz w:val="22"/>
                <w:szCs w:val="22"/>
                <w:lang w:val="en-US"/>
              </w:rPr>
              <w:t xml:space="preserve"> intelektinis kapitalas gali bū</w:t>
            </w:r>
            <w:r w:rsidRPr="0092561F">
              <w:rPr>
                <w:sz w:val="22"/>
                <w:szCs w:val="22"/>
                <w:lang w:val="en-US"/>
              </w:rPr>
              <w:t>ti lygi</w:t>
            </w:r>
            <w:r w:rsidR="001A0843">
              <w:rPr>
                <w:sz w:val="22"/>
                <w:szCs w:val="22"/>
                <w:lang w:val="en-US"/>
              </w:rPr>
              <w:t>namas su to paties sektoriaus įmonėmis. Trū</w:t>
            </w:r>
            <w:r w:rsidRPr="0092561F">
              <w:rPr>
                <w:sz w:val="22"/>
                <w:szCs w:val="22"/>
                <w:lang w:val="en-US"/>
              </w:rPr>
              <w:t>kumas - nenumato informa</w:t>
            </w:r>
            <w:r w:rsidR="001A0843">
              <w:rPr>
                <w:sz w:val="22"/>
                <w:szCs w:val="22"/>
                <w:lang w:val="en-US"/>
              </w:rPr>
              <w:t>cijos apie komponentus, prisidė</w:t>
            </w:r>
            <w:r w:rsidRPr="0092561F">
              <w:rPr>
                <w:sz w:val="22"/>
                <w:szCs w:val="22"/>
                <w:lang w:val="en-US"/>
              </w:rPr>
              <w:t>jusius prie intelektinio kapitalo.</w:t>
            </w:r>
          </w:p>
        </w:tc>
        <w:tc>
          <w:tcPr>
            <w:tcW w:w="4111" w:type="dxa"/>
            <w:shd w:val="clear" w:color="auto" w:fill="auto"/>
          </w:tcPr>
          <w:p w:rsidR="00091449" w:rsidRPr="0092561F" w:rsidRDefault="00091449" w:rsidP="00091449">
            <w:pPr>
              <w:spacing w:line="360" w:lineRule="auto"/>
              <w:jc w:val="both"/>
              <w:rPr>
                <w:sz w:val="22"/>
                <w:szCs w:val="22"/>
              </w:rPr>
            </w:pPr>
            <w:r w:rsidRPr="0092561F">
              <w:rPr>
                <w:sz w:val="22"/>
                <w:szCs w:val="22"/>
              </w:rPr>
              <w:t>Šiai kategorijai priskiriami:</w:t>
            </w:r>
          </w:p>
          <w:p w:rsidR="00091449" w:rsidRPr="0092561F" w:rsidRDefault="00091449" w:rsidP="00091449">
            <w:pPr>
              <w:numPr>
                <w:ilvl w:val="0"/>
                <w:numId w:val="12"/>
              </w:numPr>
              <w:spacing w:line="360" w:lineRule="auto"/>
              <w:ind w:left="460"/>
              <w:jc w:val="both"/>
              <w:rPr>
                <w:sz w:val="22"/>
                <w:szCs w:val="22"/>
              </w:rPr>
            </w:pPr>
            <w:r w:rsidRPr="0092561F">
              <w:rPr>
                <w:sz w:val="22"/>
                <w:szCs w:val="22"/>
                <w:lang w:val="en-US"/>
              </w:rPr>
              <w:t>Tobins q indeksas (</w:t>
            </w:r>
            <w:r w:rsidRPr="0092561F">
              <w:rPr>
                <w:i/>
                <w:sz w:val="22"/>
                <w:szCs w:val="22"/>
                <w:lang w:val="en-US"/>
              </w:rPr>
              <w:t>angl.</w:t>
            </w:r>
            <w:r w:rsidRPr="0092561F">
              <w:rPr>
                <w:sz w:val="22"/>
                <w:szCs w:val="22"/>
                <w:lang w:val="en-US"/>
              </w:rPr>
              <w:t xml:space="preserve"> Tobin’s q, Stewart, 1997; Bontis, 1998);</w:t>
            </w:r>
          </w:p>
          <w:p w:rsidR="00091449" w:rsidRPr="0092561F" w:rsidRDefault="00091449" w:rsidP="00091449">
            <w:pPr>
              <w:numPr>
                <w:ilvl w:val="0"/>
                <w:numId w:val="12"/>
              </w:numPr>
              <w:spacing w:line="360" w:lineRule="auto"/>
              <w:ind w:left="460"/>
              <w:jc w:val="both"/>
              <w:rPr>
                <w:sz w:val="22"/>
                <w:szCs w:val="22"/>
              </w:rPr>
            </w:pPr>
            <w:r w:rsidRPr="0092561F">
              <w:rPr>
                <w:sz w:val="22"/>
                <w:szCs w:val="22"/>
                <w:lang w:val="en-US"/>
              </w:rPr>
              <w:t xml:space="preserve"> Rinkos-buhalterinė vertė (</w:t>
            </w:r>
            <w:r w:rsidRPr="0092561F">
              <w:rPr>
                <w:i/>
                <w:sz w:val="22"/>
                <w:szCs w:val="22"/>
                <w:lang w:val="en-US"/>
              </w:rPr>
              <w:t>angl.</w:t>
            </w:r>
            <w:r w:rsidRPr="0092561F">
              <w:rPr>
                <w:sz w:val="22"/>
                <w:szCs w:val="22"/>
                <w:lang w:val="en-US"/>
              </w:rPr>
              <w:t xml:space="preserve"> Market-to-book value, Stewart, 1997).</w:t>
            </w:r>
          </w:p>
          <w:p w:rsidR="00091449" w:rsidRPr="0092561F" w:rsidRDefault="00091449" w:rsidP="00091449">
            <w:pPr>
              <w:numPr>
                <w:ilvl w:val="0"/>
                <w:numId w:val="12"/>
              </w:numPr>
              <w:spacing w:line="360" w:lineRule="auto"/>
              <w:ind w:left="460"/>
              <w:jc w:val="both"/>
              <w:rPr>
                <w:sz w:val="22"/>
                <w:szCs w:val="22"/>
              </w:rPr>
            </w:pPr>
            <w:r w:rsidRPr="0092561F">
              <w:rPr>
                <w:sz w:val="22"/>
                <w:szCs w:val="22"/>
                <w:lang w:val="en-US"/>
              </w:rPr>
              <w:t>Nematomas balansas (</w:t>
            </w:r>
            <w:r w:rsidRPr="0092561F">
              <w:rPr>
                <w:i/>
                <w:sz w:val="22"/>
                <w:szCs w:val="22"/>
                <w:lang w:val="en-US"/>
              </w:rPr>
              <w:t>angl.</w:t>
            </w:r>
            <w:r w:rsidRPr="0092561F">
              <w:rPr>
                <w:sz w:val="22"/>
                <w:szCs w:val="22"/>
                <w:lang w:val="en-US"/>
              </w:rPr>
              <w:t xml:space="preserve"> The Invisible Balance Sheet, Sweiby, 1989)</w:t>
            </w:r>
          </w:p>
        </w:tc>
      </w:tr>
      <w:tr w:rsidR="00091449" w:rsidRPr="0092561F" w:rsidTr="00925696">
        <w:tc>
          <w:tcPr>
            <w:tcW w:w="1809" w:type="dxa"/>
            <w:tcBorders>
              <w:bottom w:val="single" w:sz="4" w:space="0" w:color="auto"/>
            </w:tcBorders>
            <w:shd w:val="clear" w:color="auto" w:fill="auto"/>
            <w:vAlign w:val="center"/>
          </w:tcPr>
          <w:p w:rsidR="00091449" w:rsidRPr="0092561F" w:rsidRDefault="00091449" w:rsidP="00091449">
            <w:pPr>
              <w:spacing w:line="360" w:lineRule="auto"/>
              <w:jc w:val="center"/>
              <w:rPr>
                <w:i/>
                <w:sz w:val="22"/>
                <w:szCs w:val="22"/>
                <w:lang w:val="en-US"/>
              </w:rPr>
            </w:pPr>
            <w:r w:rsidRPr="0092561F">
              <w:rPr>
                <w:i/>
                <w:sz w:val="22"/>
                <w:szCs w:val="22"/>
                <w:lang w:eastAsia="ja-JP"/>
              </w:rPr>
              <w:t xml:space="preserve">Turto grąžos metodai </w:t>
            </w:r>
          </w:p>
        </w:tc>
        <w:tc>
          <w:tcPr>
            <w:tcW w:w="4111" w:type="dxa"/>
            <w:tcBorders>
              <w:bottom w:val="single" w:sz="4" w:space="0" w:color="auto"/>
            </w:tcBorders>
            <w:shd w:val="clear" w:color="auto" w:fill="auto"/>
          </w:tcPr>
          <w:p w:rsidR="00091449" w:rsidRPr="0092561F" w:rsidRDefault="00091449" w:rsidP="0092561F">
            <w:pPr>
              <w:spacing w:line="360" w:lineRule="auto"/>
              <w:jc w:val="both"/>
              <w:rPr>
                <w:sz w:val="22"/>
                <w:szCs w:val="22"/>
                <w:lang w:val="en-US"/>
              </w:rPr>
            </w:pPr>
            <w:r w:rsidRPr="0092561F">
              <w:rPr>
                <w:sz w:val="22"/>
                <w:szCs w:val="22"/>
              </w:rPr>
              <w:t xml:space="preserve">Vidutinis įmonės pelnas iki mokesčių už tam tikrą laikotarpį padalinamas iš įmonės vidutinio materialiojo turto. Taip gaunamas įmonės turto grąžos (ROA, angl.  Return on assets) koeficientas. Rezultatai lyginami su pramonės vidurkiu. Skirtumas dauginamas </w:t>
            </w:r>
          </w:p>
        </w:tc>
        <w:tc>
          <w:tcPr>
            <w:tcW w:w="4111" w:type="dxa"/>
            <w:tcBorders>
              <w:bottom w:val="single" w:sz="4" w:space="0" w:color="auto"/>
            </w:tcBorders>
            <w:shd w:val="clear" w:color="auto" w:fill="auto"/>
          </w:tcPr>
          <w:p w:rsidR="00091449" w:rsidRPr="0092561F" w:rsidRDefault="00091449" w:rsidP="00091449">
            <w:pPr>
              <w:spacing w:line="360" w:lineRule="auto"/>
              <w:jc w:val="both"/>
              <w:rPr>
                <w:sz w:val="22"/>
                <w:szCs w:val="22"/>
              </w:rPr>
            </w:pPr>
            <w:r w:rsidRPr="0092561F">
              <w:rPr>
                <w:sz w:val="22"/>
                <w:szCs w:val="22"/>
              </w:rPr>
              <w:t>Šiai kategorijai priskiriami:</w:t>
            </w:r>
          </w:p>
          <w:p w:rsidR="00091449" w:rsidRPr="0092561F" w:rsidRDefault="00091449" w:rsidP="00091449">
            <w:pPr>
              <w:numPr>
                <w:ilvl w:val="0"/>
                <w:numId w:val="13"/>
              </w:numPr>
              <w:spacing w:line="360" w:lineRule="auto"/>
              <w:ind w:left="460"/>
              <w:jc w:val="both"/>
              <w:rPr>
                <w:sz w:val="22"/>
                <w:szCs w:val="22"/>
              </w:rPr>
            </w:pPr>
            <w:r w:rsidRPr="0092561F">
              <w:rPr>
                <w:sz w:val="22"/>
                <w:szCs w:val="22"/>
                <w:lang w:val="en-US"/>
              </w:rPr>
              <w:t>Pridėtinės vertės koeficientas (</w:t>
            </w:r>
            <w:r w:rsidRPr="0092561F">
              <w:rPr>
                <w:i/>
                <w:sz w:val="22"/>
                <w:szCs w:val="22"/>
                <w:lang w:val="en-US"/>
              </w:rPr>
              <w:t>angl.</w:t>
            </w:r>
            <w:r w:rsidRPr="0092561F">
              <w:rPr>
                <w:sz w:val="22"/>
                <w:szCs w:val="22"/>
                <w:lang w:val="en-US"/>
              </w:rPr>
              <w:t xml:space="preserve"> Value-added intellectual coefficient VAIC</w:t>
            </w:r>
            <w:r w:rsidR="009F62F1">
              <w:rPr>
                <w:sz w:val="22"/>
                <w:szCs w:val="22"/>
                <w:lang w:val="en-US"/>
              </w:rPr>
              <w:t>™</w:t>
            </w:r>
            <w:r w:rsidRPr="0092561F">
              <w:rPr>
                <w:sz w:val="22"/>
                <w:szCs w:val="22"/>
                <w:lang w:val="en-US"/>
              </w:rPr>
              <w:t xml:space="preserve">, Pulic, 1997); </w:t>
            </w:r>
          </w:p>
          <w:p w:rsidR="00925696" w:rsidRPr="0092561F" w:rsidRDefault="00091449" w:rsidP="0092561F">
            <w:pPr>
              <w:numPr>
                <w:ilvl w:val="0"/>
                <w:numId w:val="13"/>
              </w:numPr>
              <w:spacing w:line="360" w:lineRule="auto"/>
              <w:ind w:left="460"/>
              <w:jc w:val="both"/>
              <w:rPr>
                <w:sz w:val="22"/>
                <w:szCs w:val="22"/>
              </w:rPr>
            </w:pPr>
            <w:r w:rsidRPr="0092561F">
              <w:rPr>
                <w:sz w:val="22"/>
                <w:szCs w:val="22"/>
                <w:lang w:val="en-US"/>
              </w:rPr>
              <w:t>Žinių kapitalo pajamas (</w:t>
            </w:r>
            <w:r w:rsidRPr="0092561F">
              <w:rPr>
                <w:i/>
                <w:sz w:val="22"/>
                <w:szCs w:val="22"/>
                <w:lang w:val="en-US"/>
              </w:rPr>
              <w:t>angl.</w:t>
            </w:r>
            <w:r w:rsidRPr="0092561F">
              <w:rPr>
                <w:sz w:val="22"/>
                <w:szCs w:val="22"/>
                <w:lang w:val="en-US"/>
              </w:rPr>
              <w:t xml:space="preserve"> Knowledge capital earnings, Lev,</w:t>
            </w:r>
          </w:p>
        </w:tc>
      </w:tr>
      <w:tr w:rsidR="00925696" w:rsidRPr="0092561F" w:rsidTr="00925696">
        <w:tc>
          <w:tcPr>
            <w:tcW w:w="1809" w:type="dxa"/>
            <w:tcBorders>
              <w:left w:val="nil"/>
              <w:bottom w:val="nil"/>
              <w:right w:val="nil"/>
            </w:tcBorders>
            <w:shd w:val="clear" w:color="auto" w:fill="auto"/>
            <w:vAlign w:val="center"/>
          </w:tcPr>
          <w:p w:rsidR="00925696" w:rsidRPr="0092561F" w:rsidRDefault="00925696" w:rsidP="00091449">
            <w:pPr>
              <w:spacing w:line="360" w:lineRule="auto"/>
              <w:jc w:val="center"/>
              <w:rPr>
                <w:i/>
                <w:sz w:val="22"/>
                <w:szCs w:val="22"/>
                <w:lang w:eastAsia="ja-JP"/>
              </w:rPr>
            </w:pPr>
          </w:p>
        </w:tc>
        <w:tc>
          <w:tcPr>
            <w:tcW w:w="4111" w:type="dxa"/>
            <w:tcBorders>
              <w:left w:val="nil"/>
              <w:bottom w:val="nil"/>
              <w:right w:val="nil"/>
            </w:tcBorders>
            <w:shd w:val="clear" w:color="auto" w:fill="auto"/>
          </w:tcPr>
          <w:p w:rsidR="00925696" w:rsidRPr="0092561F" w:rsidRDefault="00925696" w:rsidP="00925696">
            <w:pPr>
              <w:spacing w:line="360" w:lineRule="auto"/>
              <w:jc w:val="both"/>
              <w:rPr>
                <w:sz w:val="22"/>
                <w:szCs w:val="22"/>
              </w:rPr>
            </w:pPr>
          </w:p>
        </w:tc>
        <w:tc>
          <w:tcPr>
            <w:tcW w:w="4111" w:type="dxa"/>
            <w:tcBorders>
              <w:left w:val="nil"/>
              <w:bottom w:val="nil"/>
              <w:right w:val="nil"/>
            </w:tcBorders>
            <w:shd w:val="clear" w:color="auto" w:fill="auto"/>
          </w:tcPr>
          <w:p w:rsidR="00925696" w:rsidRPr="0092561F" w:rsidRDefault="00315F72" w:rsidP="00925696">
            <w:pPr>
              <w:spacing w:line="360" w:lineRule="auto"/>
              <w:jc w:val="right"/>
              <w:rPr>
                <w:sz w:val="22"/>
                <w:szCs w:val="22"/>
              </w:rPr>
            </w:pPr>
            <w:r w:rsidRPr="0092561F">
              <w:rPr>
                <w:sz w:val="22"/>
                <w:szCs w:val="22"/>
              </w:rPr>
              <w:t>1 l</w:t>
            </w:r>
            <w:r w:rsidR="00925696" w:rsidRPr="0092561F">
              <w:rPr>
                <w:sz w:val="22"/>
                <w:szCs w:val="22"/>
              </w:rPr>
              <w:t>entelės tęsinys kitame puslapyje</w:t>
            </w:r>
          </w:p>
        </w:tc>
      </w:tr>
      <w:tr w:rsidR="00925696" w:rsidRPr="0092561F" w:rsidTr="00925696">
        <w:tc>
          <w:tcPr>
            <w:tcW w:w="1809" w:type="dxa"/>
            <w:tcBorders>
              <w:top w:val="nil"/>
              <w:left w:val="nil"/>
              <w:right w:val="nil"/>
            </w:tcBorders>
            <w:shd w:val="clear" w:color="auto" w:fill="auto"/>
            <w:vAlign w:val="center"/>
          </w:tcPr>
          <w:p w:rsidR="00925696" w:rsidRPr="0092561F" w:rsidRDefault="00925696" w:rsidP="00091449">
            <w:pPr>
              <w:spacing w:line="360" w:lineRule="auto"/>
              <w:jc w:val="center"/>
              <w:rPr>
                <w:i/>
                <w:sz w:val="22"/>
                <w:szCs w:val="22"/>
                <w:lang w:eastAsia="ja-JP"/>
              </w:rPr>
            </w:pPr>
          </w:p>
        </w:tc>
        <w:tc>
          <w:tcPr>
            <w:tcW w:w="4111" w:type="dxa"/>
            <w:tcBorders>
              <w:top w:val="nil"/>
              <w:left w:val="nil"/>
              <w:right w:val="nil"/>
            </w:tcBorders>
            <w:shd w:val="clear" w:color="auto" w:fill="auto"/>
          </w:tcPr>
          <w:p w:rsidR="00925696" w:rsidRPr="0092561F" w:rsidRDefault="00925696" w:rsidP="00925696">
            <w:pPr>
              <w:spacing w:line="360" w:lineRule="auto"/>
              <w:jc w:val="both"/>
              <w:rPr>
                <w:sz w:val="22"/>
                <w:szCs w:val="22"/>
              </w:rPr>
            </w:pPr>
          </w:p>
        </w:tc>
        <w:tc>
          <w:tcPr>
            <w:tcW w:w="4111" w:type="dxa"/>
            <w:tcBorders>
              <w:top w:val="nil"/>
              <w:left w:val="nil"/>
              <w:right w:val="nil"/>
            </w:tcBorders>
            <w:shd w:val="clear" w:color="auto" w:fill="auto"/>
          </w:tcPr>
          <w:p w:rsidR="00925696" w:rsidRPr="0092561F" w:rsidRDefault="00925696" w:rsidP="00925696">
            <w:pPr>
              <w:spacing w:line="360" w:lineRule="auto"/>
              <w:jc w:val="right"/>
              <w:rPr>
                <w:sz w:val="22"/>
                <w:szCs w:val="22"/>
              </w:rPr>
            </w:pPr>
            <w:r w:rsidRPr="0092561F">
              <w:rPr>
                <w:sz w:val="22"/>
                <w:szCs w:val="22"/>
              </w:rPr>
              <w:t>1 lentelės tęsinys</w:t>
            </w:r>
          </w:p>
        </w:tc>
      </w:tr>
      <w:tr w:rsidR="00925696" w:rsidRPr="0092561F" w:rsidTr="00091449">
        <w:tc>
          <w:tcPr>
            <w:tcW w:w="1809" w:type="dxa"/>
            <w:shd w:val="clear" w:color="auto" w:fill="auto"/>
            <w:vAlign w:val="center"/>
          </w:tcPr>
          <w:p w:rsidR="00925696" w:rsidRPr="0092561F" w:rsidRDefault="00925696" w:rsidP="00091449">
            <w:pPr>
              <w:spacing w:line="360" w:lineRule="auto"/>
              <w:jc w:val="center"/>
              <w:rPr>
                <w:i/>
                <w:sz w:val="22"/>
                <w:szCs w:val="22"/>
                <w:lang w:eastAsia="ja-JP"/>
              </w:rPr>
            </w:pPr>
          </w:p>
        </w:tc>
        <w:tc>
          <w:tcPr>
            <w:tcW w:w="4111" w:type="dxa"/>
            <w:shd w:val="clear" w:color="auto" w:fill="auto"/>
          </w:tcPr>
          <w:p w:rsidR="00925696" w:rsidRPr="0092561F" w:rsidRDefault="0092561F" w:rsidP="00091449">
            <w:pPr>
              <w:spacing w:line="360" w:lineRule="auto"/>
              <w:jc w:val="both"/>
              <w:rPr>
                <w:sz w:val="22"/>
                <w:szCs w:val="22"/>
              </w:rPr>
            </w:pPr>
            <w:r w:rsidRPr="0092561F">
              <w:rPr>
                <w:sz w:val="22"/>
                <w:szCs w:val="22"/>
              </w:rPr>
              <w:t xml:space="preserve">iš įmonės vidutinio materialiojo turto, taip </w:t>
            </w:r>
            <w:r w:rsidR="00925696" w:rsidRPr="0092561F">
              <w:rPr>
                <w:sz w:val="22"/>
                <w:szCs w:val="22"/>
              </w:rPr>
              <w:t>randama vidutinis metinis įmonės pelnas iš nematerialiojo turto. Gautas rodiklis dalinamas iš įmonės kapitalo kainos arba palūkanų normos, gali parodyti nematerialaus turto ar intelektinės kapitalo vertę.</w:t>
            </w:r>
          </w:p>
        </w:tc>
        <w:tc>
          <w:tcPr>
            <w:tcW w:w="4111" w:type="dxa"/>
            <w:shd w:val="clear" w:color="auto" w:fill="auto"/>
          </w:tcPr>
          <w:p w:rsidR="0092561F" w:rsidRPr="0092561F" w:rsidRDefault="0092561F" w:rsidP="0092561F">
            <w:pPr>
              <w:tabs>
                <w:tab w:val="left" w:pos="459"/>
              </w:tabs>
              <w:spacing w:line="360" w:lineRule="auto"/>
              <w:ind w:left="459" w:hanging="425"/>
              <w:jc w:val="both"/>
              <w:rPr>
                <w:sz w:val="22"/>
                <w:szCs w:val="22"/>
              </w:rPr>
            </w:pPr>
            <w:r w:rsidRPr="0092561F">
              <w:rPr>
                <w:sz w:val="22"/>
                <w:szCs w:val="22"/>
                <w:lang w:val="en-US"/>
              </w:rPr>
              <w:t>2001).</w:t>
            </w:r>
          </w:p>
          <w:p w:rsidR="00925696" w:rsidRPr="0092561F" w:rsidRDefault="00925696" w:rsidP="0092561F">
            <w:pPr>
              <w:numPr>
                <w:ilvl w:val="0"/>
                <w:numId w:val="13"/>
              </w:numPr>
              <w:tabs>
                <w:tab w:val="left" w:pos="459"/>
              </w:tabs>
              <w:spacing w:line="360" w:lineRule="auto"/>
              <w:ind w:left="459" w:hanging="425"/>
              <w:jc w:val="both"/>
              <w:rPr>
                <w:sz w:val="22"/>
                <w:szCs w:val="22"/>
              </w:rPr>
            </w:pPr>
            <w:r w:rsidRPr="0092561F">
              <w:rPr>
                <w:sz w:val="22"/>
                <w:szCs w:val="22"/>
                <w:lang w:val="en-US"/>
              </w:rPr>
              <w:t>Ekonominė pridėtinė vertė (</w:t>
            </w:r>
            <w:r w:rsidRPr="0092561F">
              <w:rPr>
                <w:i/>
                <w:sz w:val="22"/>
                <w:szCs w:val="22"/>
                <w:lang w:val="en-US"/>
              </w:rPr>
              <w:t xml:space="preserve">angl. </w:t>
            </w:r>
            <w:r w:rsidRPr="0092561F">
              <w:rPr>
                <w:sz w:val="22"/>
                <w:szCs w:val="22"/>
                <w:lang w:val="en-US"/>
              </w:rPr>
              <w:t>Economic Value Added, Bontis, 1999)</w:t>
            </w:r>
          </w:p>
          <w:p w:rsidR="00925696" w:rsidRPr="0092561F" w:rsidRDefault="00925696" w:rsidP="0092561F">
            <w:pPr>
              <w:numPr>
                <w:ilvl w:val="0"/>
                <w:numId w:val="13"/>
              </w:numPr>
              <w:tabs>
                <w:tab w:val="left" w:pos="459"/>
              </w:tabs>
              <w:spacing w:line="360" w:lineRule="auto"/>
              <w:ind w:left="459" w:hanging="425"/>
              <w:jc w:val="both"/>
              <w:rPr>
                <w:sz w:val="22"/>
                <w:szCs w:val="22"/>
              </w:rPr>
            </w:pPr>
            <w:r w:rsidRPr="0092561F">
              <w:rPr>
                <w:sz w:val="22"/>
                <w:szCs w:val="22"/>
                <w:lang w:val="en-US"/>
              </w:rPr>
              <w:t>Suskaičiuota neapčiuopama vertė (angl. Calculated Intangible Value, Stewart, 1997)</w:t>
            </w:r>
          </w:p>
        </w:tc>
      </w:tr>
      <w:tr w:rsidR="00091449" w:rsidRPr="0092561F" w:rsidTr="00091449">
        <w:tc>
          <w:tcPr>
            <w:tcW w:w="1809" w:type="dxa"/>
            <w:shd w:val="clear" w:color="auto" w:fill="auto"/>
            <w:vAlign w:val="center"/>
          </w:tcPr>
          <w:p w:rsidR="00091449" w:rsidRPr="0092561F" w:rsidRDefault="00091449" w:rsidP="00091449">
            <w:pPr>
              <w:spacing w:line="360" w:lineRule="auto"/>
              <w:jc w:val="center"/>
              <w:rPr>
                <w:i/>
                <w:sz w:val="22"/>
                <w:szCs w:val="22"/>
                <w:lang w:val="en-US"/>
              </w:rPr>
            </w:pPr>
            <w:r w:rsidRPr="0092561F">
              <w:rPr>
                <w:i/>
                <w:sz w:val="22"/>
                <w:szCs w:val="22"/>
                <w:lang w:eastAsia="ja-JP"/>
              </w:rPr>
              <w:t xml:space="preserve">Balansiniai taškiniai arba rezultatų lentelės metodai </w:t>
            </w:r>
          </w:p>
        </w:tc>
        <w:tc>
          <w:tcPr>
            <w:tcW w:w="4111" w:type="dxa"/>
            <w:shd w:val="clear" w:color="auto" w:fill="auto"/>
          </w:tcPr>
          <w:p w:rsidR="00091449" w:rsidRPr="0092561F" w:rsidRDefault="00091449" w:rsidP="00091449">
            <w:pPr>
              <w:spacing w:line="360" w:lineRule="auto"/>
              <w:jc w:val="both"/>
              <w:rPr>
                <w:sz w:val="22"/>
                <w:szCs w:val="22"/>
              </w:rPr>
            </w:pPr>
            <w:r w:rsidRPr="0092561F">
              <w:rPr>
                <w:sz w:val="22"/>
                <w:szCs w:val="22"/>
              </w:rPr>
              <w:t xml:space="preserve">Intelektinio kapitalo komponentų sintezės būdu, sukuriami indeksai, kurie pateikiami taškų skaičiumi lentelėse ar grafiko pavidalu. Šie metodai panašūs į tiesioginio intelektinio kapitalo metodus, tačiau neišreiškiami pinigine verte. </w:t>
            </w:r>
            <w:r w:rsidRPr="0092561F">
              <w:rPr>
                <w:sz w:val="22"/>
                <w:szCs w:val="22"/>
                <w:lang w:val="en-US"/>
              </w:rPr>
              <w:t>Leidžia geriau pamatuoti faktines sąnaudas, procesus ir rezultatus.</w:t>
            </w:r>
            <w:r w:rsidRPr="0092561F">
              <w:rPr>
                <w:sz w:val="22"/>
                <w:szCs w:val="22"/>
              </w:rPr>
              <w:t xml:space="preserve"> </w:t>
            </w:r>
          </w:p>
          <w:p w:rsidR="00091449" w:rsidRPr="0092561F" w:rsidRDefault="00091449" w:rsidP="0009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tc>
        <w:tc>
          <w:tcPr>
            <w:tcW w:w="4111" w:type="dxa"/>
            <w:shd w:val="clear" w:color="auto" w:fill="auto"/>
          </w:tcPr>
          <w:p w:rsidR="00091449" w:rsidRPr="0092561F" w:rsidRDefault="00091449" w:rsidP="00091449">
            <w:pPr>
              <w:spacing w:line="360" w:lineRule="auto"/>
              <w:jc w:val="both"/>
              <w:rPr>
                <w:sz w:val="22"/>
                <w:szCs w:val="22"/>
              </w:rPr>
            </w:pPr>
            <w:r w:rsidRPr="0092561F">
              <w:rPr>
                <w:sz w:val="22"/>
                <w:szCs w:val="22"/>
              </w:rPr>
              <w:t>Šiai kategorijai priskiriami:</w:t>
            </w:r>
          </w:p>
          <w:p w:rsidR="00091449" w:rsidRPr="0092561F" w:rsidRDefault="00091449" w:rsidP="00091449">
            <w:pPr>
              <w:numPr>
                <w:ilvl w:val="0"/>
                <w:numId w:val="14"/>
              </w:numPr>
              <w:spacing w:line="360" w:lineRule="auto"/>
              <w:ind w:left="460"/>
              <w:jc w:val="both"/>
              <w:rPr>
                <w:sz w:val="22"/>
                <w:szCs w:val="22"/>
              </w:rPr>
            </w:pPr>
            <w:r w:rsidRPr="0092561F">
              <w:rPr>
                <w:sz w:val="22"/>
                <w:szCs w:val="22"/>
                <w:lang w:val="en-US"/>
              </w:rPr>
              <w:t>Subalansuot</w:t>
            </w:r>
            <w:r w:rsidRPr="0092561F">
              <w:rPr>
                <w:sz w:val="22"/>
                <w:szCs w:val="22"/>
              </w:rPr>
              <w:t xml:space="preserve">ų rodiklių lentelė (angl. </w:t>
            </w:r>
            <w:r w:rsidRPr="0092561F">
              <w:rPr>
                <w:sz w:val="22"/>
                <w:szCs w:val="22"/>
                <w:lang w:val="en-US"/>
              </w:rPr>
              <w:t xml:space="preserve">Balanced scorecard Kaplan and Norton, 1992); </w:t>
            </w:r>
          </w:p>
          <w:p w:rsidR="00091449" w:rsidRPr="0092561F" w:rsidRDefault="00091449" w:rsidP="00091449">
            <w:pPr>
              <w:numPr>
                <w:ilvl w:val="0"/>
                <w:numId w:val="14"/>
              </w:numPr>
              <w:spacing w:line="360" w:lineRule="auto"/>
              <w:ind w:left="460"/>
              <w:jc w:val="both"/>
              <w:rPr>
                <w:sz w:val="22"/>
                <w:szCs w:val="22"/>
              </w:rPr>
            </w:pPr>
            <w:r w:rsidRPr="0092561F">
              <w:rPr>
                <w:sz w:val="22"/>
                <w:szCs w:val="22"/>
                <w:lang w:val="en-US"/>
              </w:rPr>
              <w:t xml:space="preserve">Skandia navigator (Edvinsson and Malone, 1997); </w:t>
            </w:r>
          </w:p>
          <w:p w:rsidR="00091449" w:rsidRPr="0092561F" w:rsidRDefault="00091449" w:rsidP="00091449">
            <w:pPr>
              <w:numPr>
                <w:ilvl w:val="0"/>
                <w:numId w:val="14"/>
              </w:numPr>
              <w:spacing w:line="360" w:lineRule="auto"/>
              <w:ind w:left="460"/>
              <w:jc w:val="both"/>
              <w:rPr>
                <w:sz w:val="22"/>
                <w:szCs w:val="22"/>
              </w:rPr>
            </w:pPr>
            <w:r w:rsidRPr="0092561F">
              <w:rPr>
                <w:sz w:val="22"/>
                <w:szCs w:val="22"/>
                <w:lang w:val="en-US"/>
              </w:rPr>
              <w:t>Intelektinio kapitalo indeksas (</w:t>
            </w:r>
            <w:r w:rsidRPr="0092561F">
              <w:rPr>
                <w:i/>
                <w:sz w:val="22"/>
                <w:szCs w:val="22"/>
                <w:lang w:val="en-US"/>
              </w:rPr>
              <w:t>angl.</w:t>
            </w:r>
            <w:r w:rsidRPr="0092561F">
              <w:rPr>
                <w:sz w:val="22"/>
                <w:szCs w:val="22"/>
                <w:lang w:val="en-US"/>
              </w:rPr>
              <w:t xml:space="preserve"> IC-index, Roos et al., 1997); </w:t>
            </w:r>
          </w:p>
          <w:p w:rsidR="00091449" w:rsidRPr="0092561F" w:rsidRDefault="00BF3E79" w:rsidP="00091449">
            <w:pPr>
              <w:numPr>
                <w:ilvl w:val="0"/>
                <w:numId w:val="14"/>
              </w:numPr>
              <w:spacing w:line="360" w:lineRule="auto"/>
              <w:ind w:left="460"/>
              <w:jc w:val="both"/>
              <w:rPr>
                <w:sz w:val="22"/>
                <w:szCs w:val="22"/>
              </w:rPr>
            </w:pPr>
            <w:r>
              <w:rPr>
                <w:sz w:val="22"/>
                <w:szCs w:val="22"/>
                <w:lang w:val="en-US"/>
              </w:rPr>
              <w:t>Nematomo turto monitoriu</w:t>
            </w:r>
            <w:r w:rsidR="00091449" w:rsidRPr="0092561F">
              <w:rPr>
                <w:sz w:val="22"/>
                <w:szCs w:val="22"/>
                <w:lang w:val="en-US"/>
              </w:rPr>
              <w:t>s (</w:t>
            </w:r>
            <w:r w:rsidR="00091449" w:rsidRPr="0092561F">
              <w:rPr>
                <w:i/>
                <w:sz w:val="22"/>
                <w:szCs w:val="22"/>
                <w:lang w:val="en-US"/>
              </w:rPr>
              <w:t>angl.</w:t>
            </w:r>
            <w:r w:rsidR="00091449" w:rsidRPr="0092561F">
              <w:rPr>
                <w:sz w:val="22"/>
                <w:szCs w:val="22"/>
                <w:lang w:val="en-US"/>
              </w:rPr>
              <w:t xml:space="preserve"> Intangible asset monitor, Sveiby, 1997); </w:t>
            </w:r>
          </w:p>
          <w:p w:rsidR="00091449" w:rsidRPr="0092561F" w:rsidRDefault="00091449" w:rsidP="00091449">
            <w:pPr>
              <w:numPr>
                <w:ilvl w:val="0"/>
                <w:numId w:val="14"/>
              </w:numPr>
              <w:spacing w:line="360" w:lineRule="auto"/>
              <w:ind w:left="460"/>
              <w:jc w:val="both"/>
              <w:rPr>
                <w:sz w:val="22"/>
                <w:szCs w:val="22"/>
              </w:rPr>
            </w:pPr>
            <w:r w:rsidRPr="0092561F">
              <w:rPr>
                <w:sz w:val="22"/>
                <w:szCs w:val="22"/>
                <w:lang w:val="en-US"/>
              </w:rPr>
              <w:t>Vertės grandinės lentelė (</w:t>
            </w:r>
            <w:r w:rsidRPr="0092561F">
              <w:rPr>
                <w:i/>
                <w:sz w:val="22"/>
                <w:szCs w:val="22"/>
                <w:lang w:val="en-US"/>
              </w:rPr>
              <w:t>angl</w:t>
            </w:r>
            <w:r w:rsidRPr="0092561F">
              <w:rPr>
                <w:sz w:val="22"/>
                <w:szCs w:val="22"/>
                <w:lang w:val="en-US"/>
              </w:rPr>
              <w:t>. Value chain scoreboard (Lev, 2002);</w:t>
            </w:r>
          </w:p>
          <w:p w:rsidR="00091449" w:rsidRPr="0092561F" w:rsidRDefault="00091449" w:rsidP="00091449">
            <w:pPr>
              <w:numPr>
                <w:ilvl w:val="0"/>
                <w:numId w:val="14"/>
              </w:numPr>
              <w:spacing w:line="360" w:lineRule="auto"/>
              <w:ind w:left="460"/>
              <w:jc w:val="both"/>
              <w:rPr>
                <w:sz w:val="22"/>
                <w:szCs w:val="22"/>
              </w:rPr>
            </w:pPr>
            <w:r w:rsidRPr="0092561F">
              <w:rPr>
                <w:sz w:val="22"/>
                <w:szCs w:val="22"/>
                <w:lang w:val="en-US"/>
              </w:rPr>
              <w:t>Intelektinio kapitalo ataskaita (</w:t>
            </w:r>
            <w:r w:rsidRPr="0092561F">
              <w:rPr>
                <w:i/>
                <w:sz w:val="22"/>
                <w:szCs w:val="22"/>
                <w:lang w:val="en-US"/>
              </w:rPr>
              <w:t>angl.</w:t>
            </w:r>
            <w:r w:rsidRPr="0092561F">
              <w:rPr>
                <w:sz w:val="22"/>
                <w:szCs w:val="22"/>
                <w:lang w:val="en-US"/>
              </w:rPr>
              <w:t xml:space="preserve"> Intellectual capital statement, Danish Ministry, 2003);</w:t>
            </w:r>
          </w:p>
          <w:p w:rsidR="00091449" w:rsidRPr="0092561F" w:rsidRDefault="00091449" w:rsidP="00091449">
            <w:pPr>
              <w:numPr>
                <w:ilvl w:val="0"/>
                <w:numId w:val="14"/>
              </w:numPr>
              <w:spacing w:line="360" w:lineRule="auto"/>
              <w:ind w:left="460"/>
              <w:jc w:val="both"/>
              <w:rPr>
                <w:sz w:val="22"/>
                <w:szCs w:val="22"/>
              </w:rPr>
            </w:pPr>
            <w:r w:rsidRPr="0092561F">
              <w:rPr>
                <w:sz w:val="22"/>
                <w:szCs w:val="22"/>
                <w:lang w:val="en-US"/>
              </w:rPr>
              <w:t>Žinių aprošomoji (</w:t>
            </w:r>
            <w:r w:rsidRPr="0092561F">
              <w:rPr>
                <w:i/>
                <w:sz w:val="22"/>
                <w:szCs w:val="22"/>
                <w:lang w:val="en-US"/>
              </w:rPr>
              <w:t>angl.</w:t>
            </w:r>
            <w:r w:rsidRPr="0092561F">
              <w:rPr>
                <w:sz w:val="22"/>
                <w:szCs w:val="22"/>
                <w:lang w:val="en-US"/>
              </w:rPr>
              <w:t xml:space="preserve"> “knowledge narrative”, Mouritsen et al., 2001).</w:t>
            </w:r>
          </w:p>
          <w:p w:rsidR="00091449" w:rsidRPr="0092561F" w:rsidRDefault="00091449" w:rsidP="00091449">
            <w:pPr>
              <w:numPr>
                <w:ilvl w:val="0"/>
                <w:numId w:val="14"/>
              </w:numPr>
              <w:spacing w:line="360" w:lineRule="auto"/>
              <w:ind w:left="460"/>
              <w:jc w:val="both"/>
              <w:rPr>
                <w:sz w:val="22"/>
                <w:szCs w:val="22"/>
              </w:rPr>
            </w:pPr>
            <w:r w:rsidRPr="0092561F">
              <w:rPr>
                <w:sz w:val="22"/>
                <w:szCs w:val="22"/>
                <w:lang w:val="en-US"/>
              </w:rPr>
              <w:t>Meritum gairės (</w:t>
            </w:r>
            <w:r w:rsidRPr="0092561F">
              <w:rPr>
                <w:i/>
                <w:sz w:val="22"/>
                <w:szCs w:val="22"/>
                <w:lang w:val="en-US"/>
              </w:rPr>
              <w:t>angl.</w:t>
            </w:r>
            <w:r w:rsidRPr="0092561F">
              <w:rPr>
                <w:sz w:val="22"/>
                <w:szCs w:val="22"/>
                <w:lang w:val="en-US"/>
              </w:rPr>
              <w:t xml:space="preserve"> Meritum Guidelines, 2002)</w:t>
            </w:r>
          </w:p>
        </w:tc>
      </w:tr>
    </w:tbl>
    <w:p w:rsidR="00091449" w:rsidRPr="0092561F" w:rsidRDefault="00091449" w:rsidP="00091449">
      <w:pPr>
        <w:spacing w:line="360" w:lineRule="auto"/>
        <w:ind w:firstLine="567"/>
        <w:jc w:val="both"/>
        <w:rPr>
          <w:sz w:val="20"/>
          <w:szCs w:val="20"/>
          <w:lang w:val="en-US"/>
        </w:rPr>
      </w:pPr>
      <w:r w:rsidRPr="0092561F">
        <w:rPr>
          <w:sz w:val="20"/>
          <w:szCs w:val="20"/>
          <w:lang w:val="en-US"/>
        </w:rPr>
        <w:t xml:space="preserve">Sudaryta autorės pagal: Nazari, Herremans (2007), </w:t>
      </w:r>
      <w:r w:rsidRPr="0092561F">
        <w:rPr>
          <w:sz w:val="20"/>
          <w:szCs w:val="20"/>
          <w:lang w:eastAsia="ja-JP"/>
        </w:rPr>
        <w:t>Znakovaitė ir Pabedinskaitė (2010), Tamošiūnaitė ir kt. (2012), Demartini, Paoloni (2013).</w:t>
      </w:r>
    </w:p>
    <w:p w:rsidR="00091449" w:rsidRPr="0092561F" w:rsidRDefault="00091449" w:rsidP="00091449">
      <w:pPr>
        <w:spacing w:line="360" w:lineRule="auto"/>
        <w:ind w:firstLine="567"/>
        <w:jc w:val="both"/>
        <w:rPr>
          <w:sz w:val="26"/>
          <w:szCs w:val="26"/>
          <w:lang w:val="en-US"/>
        </w:rPr>
      </w:pPr>
    </w:p>
    <w:p w:rsidR="00091449" w:rsidRPr="0092561F" w:rsidRDefault="00091449" w:rsidP="0009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sz w:val="19"/>
          <w:szCs w:val="19"/>
          <w:lang w:val="en-US"/>
        </w:rPr>
      </w:pPr>
      <w:r w:rsidRPr="0092561F">
        <w:rPr>
          <w:i/>
        </w:rPr>
        <w:t>Luthy (1998)</w:t>
      </w:r>
      <w:r w:rsidRPr="0092561F">
        <w:t xml:space="preserve"> yra pasiūlytos šios keturios intelektinio kapitalo vertinimo metodų skirtymo kategorijos, pagal kurias </w:t>
      </w:r>
      <w:r w:rsidRPr="0092561F">
        <w:rPr>
          <w:i/>
        </w:rPr>
        <w:t>Sveiby (2007)</w:t>
      </w:r>
      <w:r w:rsidRPr="0092561F">
        <w:t xml:space="preserve"> sėkmingai suskirstė 34 intelektinio kapitalo vertinimo metodus </w:t>
      </w:r>
      <w:r w:rsidRPr="0092561F">
        <w:rPr>
          <w:i/>
        </w:rPr>
        <w:t>(Nazari, Herremans 2007)</w:t>
      </w:r>
      <w:r w:rsidRPr="0092561F">
        <w:t>. Šios metodų grupės gali būti skirtomos pagal gautinus rezultatus – piniginė-nepiniginė išraiška, mikro-makro lygiu matuojamas intelektinis kapitalas. Pirmosios trys intelektinio kapitalo vertinimo metodų kategorij</w:t>
      </w:r>
      <w:r w:rsidR="00BF3E79">
        <w:t>os, intelektinio kapitalo vertę</w:t>
      </w:r>
      <w:r w:rsidRPr="0092561F">
        <w:t xml:space="preserve"> pateikia pinigine išraiška, o ketvirtoji - ne. Tiesioginiams balansiniams taškiniams intelektinio kapitalo vertinimo metodams būdingas atskirų komponentų identifikavimas, o rinkos kapitalizacijos ir turto grąžos metodų kategorijos rezultatai pateikiami kaip bendras organizacijos intelektinio kapitalo lygis. Nors kiek vėliau, </w:t>
      </w:r>
      <w:r w:rsidRPr="0092561F">
        <w:rPr>
          <w:i/>
        </w:rPr>
        <w:t>Chan (2009)</w:t>
      </w:r>
      <w:r w:rsidRPr="0092561F">
        <w:t xml:space="preserve"> nustatęs 34 intelektinio kapitalo vertinimo metodus juos sugrupavo į tokias kategorijas: (1) rinkos kapitalizavimo; (2) tiesioginiai intelektinio kapitalo matavimo metodai; (3) subalansuotų rodiklių (arba balansiniai taškiniai) metodai; (4) pridėtinės ekonominės vertės; ir (5) VAIC</w:t>
      </w:r>
      <w:r w:rsidR="009F62F1">
        <w:t>™</w:t>
      </w:r>
      <w:r w:rsidRPr="0092561F">
        <w:t xml:space="preserve"> metodologija. Pastarasis metodas yra standartinis ir nuoseklus intelektinio kapitalo matavimo būdas, kuris gali būti naudojamas atlikti lyginamąją analizę tiek vietos , tiek tarptautiniu lygiu</w:t>
      </w:r>
      <w:r w:rsidR="00C76C8F">
        <w:rPr>
          <w:i/>
        </w:rPr>
        <w:t xml:space="preserve"> (</w:t>
      </w:r>
      <w:r w:rsidRPr="0092561F">
        <w:rPr>
          <w:i/>
        </w:rPr>
        <w:t xml:space="preserve"> Cahill</w:t>
      </w:r>
      <w:r w:rsidR="00C76C8F">
        <w:rPr>
          <w:i/>
        </w:rPr>
        <w:t xml:space="preserve"> et al.</w:t>
      </w:r>
      <w:r w:rsidRPr="0092561F">
        <w:rPr>
          <w:i/>
        </w:rPr>
        <w:t>, 2010).</w:t>
      </w:r>
    </w:p>
    <w:p w:rsidR="00091449" w:rsidRPr="0092561F" w:rsidRDefault="00091449" w:rsidP="00091449">
      <w:pPr>
        <w:spacing w:line="360" w:lineRule="auto"/>
        <w:ind w:firstLine="567"/>
        <w:jc w:val="both"/>
      </w:pPr>
      <w:r w:rsidRPr="0092561F">
        <w:rPr>
          <w:i/>
        </w:rPr>
        <w:t>Sveiby (2001)</w:t>
      </w:r>
      <w:r w:rsidRPr="0092561F">
        <w:t xml:space="preserve"> pabrėžia, kad nėra vieno metodo, kuris galėtų atitikti visus lūkesčius, metodai turi būti atrenkami atsižvelgiant į tikslus, situaciją ir gautos informacijos naudotojus. Todėl </w:t>
      </w:r>
      <w:r w:rsidRPr="0092561F">
        <w:rPr>
          <w:lang w:val="en-US"/>
        </w:rPr>
        <w:t>vienas iš svarbiausi</w:t>
      </w:r>
      <w:r w:rsidRPr="0092561F">
        <w:t>ų</w:t>
      </w:r>
      <w:r w:rsidRPr="0092561F">
        <w:rPr>
          <w:lang w:val="en-US"/>
        </w:rPr>
        <w:t xml:space="preserve"> pastebėtų aspektų, norint pasinaudoti tinkamais intelektinio kapitalo vertinimo metodais, reikia įvertinti kokiam tikslui matuojamas intelektinis kapitalas ir kam šis vertinimas skirtas: vidiniams ar išoriniams organizacijos poreikiams. Lietuvos mokslininkai (</w:t>
      </w:r>
      <w:r w:rsidR="00405798">
        <w:rPr>
          <w:i/>
          <w:lang w:val="en-US"/>
        </w:rPr>
        <w:t>Vaškelienė</w:t>
      </w:r>
      <w:r w:rsidR="00BF3E79">
        <w:rPr>
          <w:i/>
          <w:lang w:val="en-US"/>
        </w:rPr>
        <w:t xml:space="preserve"> </w:t>
      </w:r>
      <w:r w:rsidR="00A873A5">
        <w:rPr>
          <w:i/>
          <w:lang w:val="en-US"/>
        </w:rPr>
        <w:t>2007</w:t>
      </w:r>
      <w:r w:rsidR="00BF3E79">
        <w:rPr>
          <w:i/>
          <w:lang w:val="en-US"/>
        </w:rPr>
        <w:t>, Znakovaitė, Pabedinskaitė 2010, Ūžienė 2009, 2010</w:t>
      </w:r>
      <w:r w:rsidRPr="0092561F">
        <w:rPr>
          <w:i/>
          <w:lang w:val="en-US"/>
        </w:rPr>
        <w:t>)</w:t>
      </w:r>
      <w:r w:rsidRPr="0092561F">
        <w:rPr>
          <w:lang w:val="en-US"/>
        </w:rPr>
        <w:t xml:space="preserve"> pa</w:t>
      </w:r>
      <w:r w:rsidRPr="0092561F">
        <w:t>žym</w:t>
      </w:r>
      <w:r w:rsidRPr="0092561F">
        <w:rPr>
          <w:lang w:val="en-US"/>
        </w:rPr>
        <w:t>i, jog intelektinio kapitalo vertinimo metodikas pagal ideologi</w:t>
      </w:r>
      <w:r w:rsidR="00405798">
        <w:rPr>
          <w:lang w:val="en-US"/>
        </w:rPr>
        <w:t>nė prigimtimį, realizavimo pobū</w:t>
      </w:r>
      <w:r w:rsidRPr="0092561F">
        <w:rPr>
          <w:lang w:val="en-US"/>
        </w:rPr>
        <w:t xml:space="preserve">dį ir vertinimo technikas vertėtų išskirti į dvi grupes: </w:t>
      </w:r>
    </w:p>
    <w:p w:rsidR="00091449" w:rsidRPr="0092561F" w:rsidRDefault="00091449" w:rsidP="00091449">
      <w:pPr>
        <w:numPr>
          <w:ilvl w:val="0"/>
          <w:numId w:val="10"/>
        </w:numPr>
        <w:spacing w:line="360" w:lineRule="auto"/>
        <w:ind w:firstLine="567"/>
        <w:jc w:val="both"/>
        <w:rPr>
          <w:lang w:val="en-US"/>
        </w:rPr>
      </w:pPr>
      <w:r w:rsidRPr="0092561F">
        <w:rPr>
          <w:lang w:val="en-US"/>
        </w:rPr>
        <w:t>matavimo metodai, skirti vidaus valdymo tikslais;</w:t>
      </w:r>
    </w:p>
    <w:p w:rsidR="00091449" w:rsidRPr="0092561F" w:rsidRDefault="00091449" w:rsidP="00091449">
      <w:pPr>
        <w:numPr>
          <w:ilvl w:val="0"/>
          <w:numId w:val="10"/>
        </w:numPr>
        <w:spacing w:line="360" w:lineRule="auto"/>
        <w:ind w:firstLine="567"/>
        <w:jc w:val="both"/>
        <w:rPr>
          <w:lang w:val="en-US"/>
        </w:rPr>
      </w:pPr>
      <w:r w:rsidRPr="0092561F">
        <w:rPr>
          <w:lang w:val="en-US"/>
        </w:rPr>
        <w:t>matavimo metodai, skirti išorės atskaitomybės tikslais.</w:t>
      </w:r>
    </w:p>
    <w:p w:rsidR="00091449" w:rsidRPr="0092561F" w:rsidRDefault="00091449" w:rsidP="0009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sidRPr="0092561F">
        <w:rPr>
          <w:lang w:val="en-US"/>
        </w:rPr>
        <w:t>Pirmuoju atv</w:t>
      </w:r>
      <w:r w:rsidR="00405798">
        <w:rPr>
          <w:lang w:val="en-US"/>
        </w:rPr>
        <w:t>eju metodai, orientuoti vidinių suinteresuotųjų dalyvių</w:t>
      </w:r>
      <w:r w:rsidRPr="0092561F">
        <w:rPr>
          <w:lang w:val="en-US"/>
        </w:rPr>
        <w:t xml:space="preserve"> informaciniams poreikiams tenkinti. Renkama intelektinio kapitalo informacija gali būti naudojama valdymo sprendimams priimti: kokiais žmogiškaisiais ištekliais d</w:t>
      </w:r>
      <w:r w:rsidR="00405798">
        <w:rPr>
          <w:lang w:val="en-US"/>
        </w:rPr>
        <w:t>isponuoti organizacijai, kaip įgyvendinti žmogiškųjų išteklių plėtrą</w:t>
      </w:r>
      <w:r w:rsidRPr="0092561F">
        <w:rPr>
          <w:lang w:val="en-US"/>
        </w:rPr>
        <w:t>,</w:t>
      </w:r>
      <w:r w:rsidR="00405798">
        <w:rPr>
          <w:lang w:val="en-US"/>
        </w:rPr>
        <w:t xml:space="preserve"> kaip žinoti, kokia yra klientų</w:t>
      </w:r>
      <w:r w:rsidRPr="0092561F">
        <w:rPr>
          <w:lang w:val="en-US"/>
        </w:rPr>
        <w:t xml:space="preserve"> dinamika, k</w:t>
      </w:r>
      <w:r w:rsidR="00405798">
        <w:rPr>
          <w:lang w:val="en-US"/>
        </w:rPr>
        <w:t>aip organizuoti darbą, išteklių</w:t>
      </w:r>
      <w:r w:rsidRPr="0092561F">
        <w:rPr>
          <w:lang w:val="en-US"/>
        </w:rPr>
        <w:t xml:space="preserve"> naudo</w:t>
      </w:r>
      <w:r w:rsidR="00405798">
        <w:rPr>
          <w:lang w:val="en-US"/>
        </w:rPr>
        <w:t>jimą ir pan. Lyginant skirtingų laikotarpių</w:t>
      </w:r>
      <w:r w:rsidRPr="0092561F">
        <w:rPr>
          <w:lang w:val="en-US"/>
        </w:rPr>
        <w:t xml:space="preserve"> intelektinio kapitalo surinktą info</w:t>
      </w:r>
      <w:r w:rsidR="00405798">
        <w:rPr>
          <w:lang w:val="en-US"/>
        </w:rPr>
        <w:t>rmaciją, galima matyti, kaip sėkmingai yra į</w:t>
      </w:r>
      <w:r w:rsidRPr="0092561F">
        <w:rPr>
          <w:lang w:val="en-US"/>
        </w:rPr>
        <w:t>gyvendinama organizacijos strategija, kurie e</w:t>
      </w:r>
      <w:r w:rsidR="00405798">
        <w:rPr>
          <w:lang w:val="en-US"/>
        </w:rPr>
        <w:t>lementai reikalauja didesnio dėmesio, kokios galimos tolesnė</w:t>
      </w:r>
      <w:r w:rsidRPr="0092561F">
        <w:rPr>
          <w:lang w:val="en-US"/>
        </w:rPr>
        <w:t xml:space="preserve">s organizacijos perspektyvos. </w:t>
      </w:r>
    </w:p>
    <w:p w:rsidR="00091449" w:rsidRPr="0092561F" w:rsidRDefault="00091449" w:rsidP="00091449">
      <w:pPr>
        <w:spacing w:line="360" w:lineRule="auto"/>
        <w:ind w:firstLine="567"/>
        <w:jc w:val="both"/>
        <w:rPr>
          <w:lang w:val="en-US"/>
        </w:rPr>
      </w:pPr>
      <w:r w:rsidRPr="0092561F">
        <w:rPr>
          <w:lang w:val="en-US"/>
        </w:rPr>
        <w:t>Antruoju atve</w:t>
      </w:r>
      <w:r w:rsidR="00405798">
        <w:rPr>
          <w:lang w:val="en-US"/>
        </w:rPr>
        <w:t>ju metodai, orientuoti išorinių</w:t>
      </w:r>
      <w:r w:rsidRPr="0092561F">
        <w:rPr>
          <w:lang w:val="en-US"/>
        </w:rPr>
        <w:t xml:space="preserve"> suinteresuot</w:t>
      </w:r>
      <w:r w:rsidR="00405798">
        <w:rPr>
          <w:lang w:val="en-US"/>
        </w:rPr>
        <w:t>ųjų dalyvių</w:t>
      </w:r>
      <w:r w:rsidRPr="0092561F">
        <w:rPr>
          <w:lang w:val="en-US"/>
        </w:rPr>
        <w:t xml:space="preserve"> informaciniams poreikiams tenkinti. Ši intelektinio kapitalo informacija yra suteikiama išorinėms suinteresuotoms šalims: investuotojams, partneriams, klientams. Tok</w:t>
      </w:r>
      <w:r w:rsidR="00405798">
        <w:rPr>
          <w:lang w:val="en-US"/>
        </w:rPr>
        <w:t>ia informacija teikia išsamesnį organizacijos vaizdą</w:t>
      </w:r>
      <w:r w:rsidRPr="0092561F">
        <w:rPr>
          <w:lang w:val="en-US"/>
        </w:rPr>
        <w:t>. Organizacijos partneriai, klientai ir investuotojai gali įve</w:t>
      </w:r>
      <w:r w:rsidR="00405798">
        <w:rPr>
          <w:lang w:val="en-US"/>
        </w:rPr>
        <w:t>rtinti organizacijos potencialą</w:t>
      </w:r>
      <w:r w:rsidRPr="0092561F">
        <w:rPr>
          <w:lang w:val="en-US"/>
        </w:rPr>
        <w:t xml:space="preserve"> (darbuotojus, ryšius su k</w:t>
      </w:r>
      <w:r w:rsidR="00405798">
        <w:rPr>
          <w:lang w:val="en-US"/>
        </w:rPr>
        <w:t>lientais, partneriais), kaip sė</w:t>
      </w:r>
      <w:r w:rsidRPr="0092561F">
        <w:rPr>
          <w:lang w:val="en-US"/>
        </w:rPr>
        <w:t>kmingai yra organizuojamas darbas organizacijos viduje. Pap</w:t>
      </w:r>
      <w:r w:rsidR="00405798">
        <w:rPr>
          <w:lang w:val="en-US"/>
        </w:rPr>
        <w:t>ildoma informacija organizaciją daro patrauklesnę</w:t>
      </w:r>
      <w:r w:rsidRPr="0092561F">
        <w:rPr>
          <w:lang w:val="en-US"/>
        </w:rPr>
        <w:t xml:space="preserve"> ne tik darbuotojams, bet ir </w:t>
      </w:r>
      <w:r w:rsidR="00405798">
        <w:rPr>
          <w:lang w:val="en-US"/>
        </w:rPr>
        <w:t>akcininkams, investuotojams, bū</w:t>
      </w:r>
      <w:r w:rsidRPr="0092561F">
        <w:rPr>
          <w:lang w:val="en-US"/>
        </w:rPr>
        <w:t>simiems partneriams, klientams.</w:t>
      </w:r>
    </w:p>
    <w:p w:rsidR="00091449" w:rsidRPr="0092561F" w:rsidRDefault="00405798" w:rsidP="0009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t>Yra daug modelių</w:t>
      </w:r>
      <w:r w:rsidR="00091449" w:rsidRPr="0092561F">
        <w:t xml:space="preserve"> (</w:t>
      </w:r>
      <w:r w:rsidR="0092561F" w:rsidRPr="0092561F">
        <w:t>žiūrėti 4</w:t>
      </w:r>
      <w:r>
        <w:t xml:space="preserve"> priedą), skirtų į</w:t>
      </w:r>
      <w:r w:rsidR="00091449" w:rsidRPr="0092561F">
        <w:t xml:space="preserve">vertinti intelektualaus kapitalo vertę, pradedant nuo tradicinių </w:t>
      </w:r>
      <w:r w:rsidR="00091449" w:rsidRPr="0092561F">
        <w:rPr>
          <w:lang w:val="en-US"/>
        </w:rPr>
        <w:t>Tobin’s Q metodo, Balanced Scorecard požiūriu (</w:t>
      </w:r>
      <w:r w:rsidR="00091449" w:rsidRPr="0092561F">
        <w:rPr>
          <w:i/>
          <w:lang w:val="en-US"/>
        </w:rPr>
        <w:t>Kaplan and Norton, 1996</w:t>
      </w:r>
      <w:r w:rsidR="00091449" w:rsidRPr="0092561F">
        <w:rPr>
          <w:lang w:val="en-US"/>
        </w:rPr>
        <w:t>), Intangible</w:t>
      </w:r>
      <w:r w:rsidR="00091449" w:rsidRPr="0092561F">
        <w:rPr>
          <w:b/>
        </w:rPr>
        <w:t xml:space="preserve"> </w:t>
      </w:r>
      <w:r w:rsidR="00091449" w:rsidRPr="0092561F">
        <w:rPr>
          <w:lang w:val="en-US"/>
        </w:rPr>
        <w:t>Asset Score Sheet (</w:t>
      </w:r>
      <w:r w:rsidR="00091449" w:rsidRPr="0092561F">
        <w:rPr>
          <w:i/>
          <w:lang w:val="en-US"/>
        </w:rPr>
        <w:t>Sveiby, 1989</w:t>
      </w:r>
      <w:r w:rsidR="00091449" w:rsidRPr="0092561F">
        <w:rPr>
          <w:lang w:val="en-US"/>
        </w:rPr>
        <w:t>) ir baigiant Value Added Intellectual Coefficient (VAIC™) (</w:t>
      </w:r>
      <w:r w:rsidR="00091449" w:rsidRPr="0092561F">
        <w:rPr>
          <w:i/>
          <w:lang w:val="en-US"/>
        </w:rPr>
        <w:t>Pulic,</w:t>
      </w:r>
      <w:r w:rsidR="00091449" w:rsidRPr="0092561F">
        <w:rPr>
          <w:b/>
          <w:i/>
        </w:rPr>
        <w:t xml:space="preserve"> </w:t>
      </w:r>
      <w:r w:rsidR="00091449" w:rsidRPr="0092561F">
        <w:rPr>
          <w:i/>
          <w:lang w:val="en-US"/>
        </w:rPr>
        <w:t>1998</w:t>
      </w:r>
      <w:r w:rsidR="00091449" w:rsidRPr="0092561F">
        <w:rPr>
          <w:lang w:val="en-US"/>
        </w:rPr>
        <w:t>), nuo kada, kai dar tradicinės apskaitos sistemos buvo nepakankamos įtraukti naujus pasikeitimus (</w:t>
      </w:r>
      <w:r w:rsidR="00091449" w:rsidRPr="0092561F">
        <w:rPr>
          <w:i/>
          <w:lang w:val="en-US"/>
        </w:rPr>
        <w:t>Venugopal, Subha, 2012</w:t>
      </w:r>
      <w:r w:rsidR="00091449" w:rsidRPr="0092561F">
        <w:rPr>
          <w:lang w:val="en-US"/>
        </w:rPr>
        <w:t>). Priede pateikti susisteminti metodai, parodo, kad skirtingi autoriai pateikia skir</w:t>
      </w:r>
      <w:r w:rsidR="00624373">
        <w:rPr>
          <w:lang w:val="en-US"/>
        </w:rPr>
        <w:t>tingas vertinimo metodikas. Tačiau šių tyrėjų darbuose neišryškėja vieningas požiū</w:t>
      </w:r>
      <w:r w:rsidR="00091449" w:rsidRPr="0092561F">
        <w:rPr>
          <w:lang w:val="en-US"/>
        </w:rPr>
        <w:t>ris inte</w:t>
      </w:r>
      <w:r w:rsidR="00624373">
        <w:rPr>
          <w:lang w:val="en-US"/>
        </w:rPr>
        <w:t>lektinio kapitalo vertinime, jų</w:t>
      </w:r>
      <w:r w:rsidR="00091449" w:rsidRPr="0092561F">
        <w:rPr>
          <w:lang w:val="en-US"/>
        </w:rPr>
        <w:t xml:space="preserve"> vis</w:t>
      </w:r>
      <w:r w:rsidR="00BF3E79">
        <w:rPr>
          <w:lang w:val="en-US"/>
        </w:rPr>
        <w:t xml:space="preserve"> daugėja, o tai lemia chaotiš</w:t>
      </w:r>
      <w:r w:rsidR="00624373">
        <w:rPr>
          <w:lang w:val="en-US"/>
        </w:rPr>
        <w:t>ką</w:t>
      </w:r>
      <w:r w:rsidR="00091449" w:rsidRPr="0092561F">
        <w:rPr>
          <w:lang w:val="en-US"/>
        </w:rPr>
        <w:t xml:space="preserve"> intelektinio kapitalo vertinimo metodikos pl</w:t>
      </w:r>
      <w:r w:rsidR="00624373">
        <w:rPr>
          <w:lang w:val="en-US"/>
        </w:rPr>
        <w:t>ėtros pobūdį ir nenuoseklumą</w:t>
      </w:r>
      <w:r w:rsidR="00091449" w:rsidRPr="0092561F">
        <w:rPr>
          <w:lang w:val="en-US"/>
        </w:rPr>
        <w:t>.</w:t>
      </w:r>
      <w:r w:rsidR="00091449" w:rsidRPr="0092561F">
        <w:rPr>
          <w:lang w:val="en-US"/>
        </w:rPr>
        <w:tab/>
      </w:r>
    </w:p>
    <w:p w:rsidR="00091449" w:rsidRPr="0092561F" w:rsidRDefault="00624373" w:rsidP="0009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lang w:val="en-US"/>
        </w:rPr>
        <w:tab/>
        <w:t>Intelektinio kapitalo skaičiavimo metodai gali būti suskirstyti į</w:t>
      </w:r>
      <w:r w:rsidR="00091449" w:rsidRPr="0092561F">
        <w:rPr>
          <w:lang w:val="en-US"/>
        </w:rPr>
        <w:t xml:space="preserve"> dvi kategorijas pagal rezultato gavimą pinigine ar nepinigine verte </w:t>
      </w:r>
      <w:r w:rsidR="00BF3E79">
        <w:rPr>
          <w:i/>
          <w:lang w:val="en-US"/>
        </w:rPr>
        <w:t>(Sveiby, 2001; Pike,</w:t>
      </w:r>
      <w:r w:rsidR="00091449" w:rsidRPr="0092561F">
        <w:rPr>
          <w:i/>
          <w:lang w:val="en-US"/>
        </w:rPr>
        <w:t xml:space="preserve"> Roos 2000)</w:t>
      </w:r>
      <w:r w:rsidR="00091449" w:rsidRPr="0092561F">
        <w:rPr>
          <w:lang w:val="en-US"/>
        </w:rPr>
        <w:t>:</w:t>
      </w:r>
    </w:p>
    <w:p w:rsidR="00091449" w:rsidRPr="0092561F" w:rsidRDefault="007B09F6" w:rsidP="007B09F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134" w:hanging="567"/>
        <w:jc w:val="both"/>
        <w:rPr>
          <w:lang w:val="en-US"/>
        </w:rPr>
      </w:pPr>
      <w:r w:rsidRPr="0092561F">
        <w:rPr>
          <w:lang w:val="en-US"/>
        </w:rPr>
        <w:t xml:space="preserve"> t</w:t>
      </w:r>
      <w:r w:rsidR="00091449" w:rsidRPr="0092561F">
        <w:rPr>
          <w:lang w:val="en-US"/>
        </w:rPr>
        <w:t>ie, kurie nenaudoja pi</w:t>
      </w:r>
      <w:r w:rsidR="00624373">
        <w:rPr>
          <w:lang w:val="en-US"/>
        </w:rPr>
        <w:t>niginio intelektinio kapitalo į</w:t>
      </w:r>
      <w:r w:rsidR="00091449" w:rsidRPr="0092561F">
        <w:rPr>
          <w:lang w:val="en-US"/>
        </w:rPr>
        <w:t>vertinimo (nefinansiniu pagrindu);</w:t>
      </w:r>
    </w:p>
    <w:p w:rsidR="00091449" w:rsidRPr="0092561F" w:rsidRDefault="007B09F6" w:rsidP="007B09F6">
      <w:pPr>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134" w:hanging="567"/>
        <w:jc w:val="both"/>
        <w:rPr>
          <w:lang w:val="en-US"/>
        </w:rPr>
      </w:pPr>
      <w:r w:rsidRPr="0092561F">
        <w:rPr>
          <w:lang w:val="en-US"/>
        </w:rPr>
        <w:t xml:space="preserve"> </w:t>
      </w:r>
      <w:r w:rsidR="00091449" w:rsidRPr="0092561F">
        <w:rPr>
          <w:lang w:val="en-US"/>
        </w:rPr>
        <w:t xml:space="preserve">tie, kurie </w:t>
      </w:r>
      <w:r w:rsidR="00624373">
        <w:rPr>
          <w:lang w:val="en-US"/>
        </w:rPr>
        <w:t>įvertina intelektinį kapitalą</w:t>
      </w:r>
      <w:r w:rsidR="00091449" w:rsidRPr="0092561F">
        <w:rPr>
          <w:lang w:val="en-US"/>
        </w:rPr>
        <w:t xml:space="preserve"> pinigine verte (finansiniu pagrindu).</w:t>
      </w:r>
    </w:p>
    <w:p w:rsidR="00091449" w:rsidRPr="0092561F" w:rsidRDefault="00091449" w:rsidP="0009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sidRPr="0092561F">
        <w:rPr>
          <w:lang w:val="en-US"/>
        </w:rPr>
        <w:t>Sąrašas šių sugrupuotų metodų pagrindinių priemonių yra pateikiamas 2 lentelėje žemiau.</w:t>
      </w:r>
    </w:p>
    <w:p w:rsidR="00116576" w:rsidRPr="0092561F" w:rsidRDefault="00116576" w:rsidP="0009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p>
    <w:p w:rsidR="00091449" w:rsidRPr="0092561F" w:rsidRDefault="00091449" w:rsidP="00116576">
      <w:pPr>
        <w:spacing w:line="360" w:lineRule="auto"/>
        <w:ind w:firstLine="720"/>
        <w:jc w:val="center"/>
      </w:pPr>
      <w:r w:rsidRPr="0092561F">
        <w:rPr>
          <w:b/>
        </w:rPr>
        <w:t>2 lentelė</w:t>
      </w:r>
      <w:r w:rsidR="00116576" w:rsidRPr="0092561F">
        <w:rPr>
          <w:b/>
        </w:rPr>
        <w:t xml:space="preserve">. </w:t>
      </w:r>
      <w:r w:rsidRPr="0092561F">
        <w:rPr>
          <w:b/>
        </w:rPr>
        <w:t>Intelektinio kapitalo matavimo metodai finansiniu ir nefinansiniu vertinimo  pagrindu</w:t>
      </w:r>
    </w:p>
    <w:p w:rsidR="00091449" w:rsidRPr="0092561F" w:rsidRDefault="00091449" w:rsidP="00091449">
      <w:pPr>
        <w:ind w:firstLine="720"/>
        <w:jc w:val="right"/>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5245"/>
      </w:tblGrid>
      <w:tr w:rsidR="00091449" w:rsidRPr="0092561F" w:rsidTr="00091449">
        <w:tc>
          <w:tcPr>
            <w:tcW w:w="4786" w:type="dxa"/>
            <w:shd w:val="clear" w:color="auto" w:fill="auto"/>
            <w:vAlign w:val="center"/>
          </w:tcPr>
          <w:p w:rsidR="00091449" w:rsidRPr="0092561F" w:rsidRDefault="00091449" w:rsidP="00091449">
            <w:pPr>
              <w:spacing w:line="360" w:lineRule="auto"/>
              <w:jc w:val="center"/>
              <w:rPr>
                <w:b/>
              </w:rPr>
            </w:pPr>
            <w:r w:rsidRPr="0092561F">
              <w:rPr>
                <w:b/>
              </w:rPr>
              <w:t>Matavimo modelis finansiniu vertinimo pagrindu</w:t>
            </w:r>
          </w:p>
        </w:tc>
        <w:tc>
          <w:tcPr>
            <w:tcW w:w="5245" w:type="dxa"/>
            <w:shd w:val="clear" w:color="auto" w:fill="auto"/>
            <w:vAlign w:val="center"/>
          </w:tcPr>
          <w:p w:rsidR="00091449" w:rsidRPr="0092561F" w:rsidRDefault="00091449" w:rsidP="00091449">
            <w:pPr>
              <w:tabs>
                <w:tab w:val="left" w:pos="-242"/>
                <w:tab w:val="left" w:pos="1451"/>
              </w:tabs>
              <w:spacing w:line="360" w:lineRule="auto"/>
              <w:ind w:left="-100" w:right="-108" w:hanging="8"/>
              <w:jc w:val="center"/>
              <w:rPr>
                <w:b/>
              </w:rPr>
            </w:pPr>
            <w:r w:rsidRPr="0092561F">
              <w:rPr>
                <w:b/>
              </w:rPr>
              <w:t>Matavimo modelis nefinansiniu vertinimo pagrindu</w:t>
            </w:r>
          </w:p>
        </w:tc>
      </w:tr>
      <w:tr w:rsidR="00091449" w:rsidRPr="0092561F" w:rsidTr="00091449">
        <w:tc>
          <w:tcPr>
            <w:tcW w:w="4786" w:type="dxa"/>
            <w:shd w:val="clear" w:color="auto" w:fill="auto"/>
          </w:tcPr>
          <w:p w:rsidR="00091449" w:rsidRPr="0092561F" w:rsidRDefault="00091449" w:rsidP="00091449">
            <w:pPr>
              <w:numPr>
                <w:ilvl w:val="0"/>
                <w:numId w:val="16"/>
              </w:numPr>
              <w:spacing w:line="360" w:lineRule="auto"/>
              <w:ind w:left="426"/>
              <w:jc w:val="both"/>
              <w:rPr>
                <w:sz w:val="22"/>
                <w:szCs w:val="22"/>
              </w:rPr>
            </w:pPr>
            <w:r w:rsidRPr="0092561F">
              <w:rPr>
                <w:sz w:val="22"/>
                <w:szCs w:val="22"/>
              </w:rPr>
              <w:t>EVA ir MVA modelis (</w:t>
            </w:r>
            <w:r w:rsidRPr="0092561F">
              <w:rPr>
                <w:i/>
                <w:sz w:val="22"/>
                <w:szCs w:val="22"/>
              </w:rPr>
              <w:t>angl.</w:t>
            </w:r>
            <w:r w:rsidRPr="0092561F">
              <w:rPr>
                <w:sz w:val="22"/>
                <w:szCs w:val="22"/>
                <w:lang w:val="en-US"/>
              </w:rPr>
              <w:t xml:space="preserve"> the EVA and MVA model</w:t>
            </w:r>
            <w:r w:rsidRPr="0092561F">
              <w:rPr>
                <w:sz w:val="22"/>
                <w:szCs w:val="22"/>
              </w:rPr>
              <w:t>) (</w:t>
            </w:r>
            <w:r w:rsidRPr="0092561F">
              <w:rPr>
                <w:i/>
                <w:sz w:val="22"/>
                <w:szCs w:val="22"/>
              </w:rPr>
              <w:t>Bontis ir kt., 1999</w:t>
            </w:r>
            <w:r w:rsidRPr="0092561F">
              <w:rPr>
                <w:sz w:val="22"/>
                <w:szCs w:val="22"/>
              </w:rPr>
              <w:t xml:space="preserve"> )</w:t>
            </w:r>
            <w:r w:rsidRPr="0092561F">
              <w:rPr>
                <w:sz w:val="22"/>
                <w:szCs w:val="22"/>
                <w:lang w:val="en-US"/>
              </w:rPr>
              <w:t>.</w:t>
            </w:r>
          </w:p>
          <w:p w:rsidR="00091449" w:rsidRPr="0092561F" w:rsidRDefault="00091449" w:rsidP="00091449">
            <w:pPr>
              <w:numPr>
                <w:ilvl w:val="0"/>
                <w:numId w:val="16"/>
              </w:numPr>
              <w:spacing w:line="360" w:lineRule="auto"/>
              <w:ind w:left="426"/>
              <w:jc w:val="both"/>
              <w:rPr>
                <w:sz w:val="22"/>
                <w:szCs w:val="22"/>
              </w:rPr>
            </w:pPr>
            <w:r w:rsidRPr="0092561F">
              <w:rPr>
                <w:sz w:val="22"/>
                <w:szCs w:val="22"/>
                <w:lang w:val="en-US"/>
              </w:rPr>
              <w:t>Tobin'o q metodas (</w:t>
            </w:r>
            <w:r w:rsidRPr="0092561F">
              <w:rPr>
                <w:i/>
                <w:sz w:val="22"/>
                <w:szCs w:val="22"/>
                <w:lang w:val="en-US"/>
              </w:rPr>
              <w:t>angl.</w:t>
            </w:r>
            <w:r w:rsidRPr="0092561F">
              <w:rPr>
                <w:sz w:val="22"/>
                <w:szCs w:val="22"/>
                <w:lang w:val="en-US"/>
              </w:rPr>
              <w:t xml:space="preserve"> Tobin’s q method) (</w:t>
            </w:r>
            <w:r w:rsidRPr="0092561F">
              <w:rPr>
                <w:i/>
                <w:sz w:val="22"/>
                <w:szCs w:val="22"/>
                <w:lang w:val="en-US"/>
              </w:rPr>
              <w:t>Luthy, 1998</w:t>
            </w:r>
            <w:r w:rsidRPr="0092561F">
              <w:rPr>
                <w:sz w:val="22"/>
                <w:szCs w:val="22"/>
                <w:lang w:val="en-US"/>
              </w:rPr>
              <w:t>);</w:t>
            </w:r>
          </w:p>
          <w:p w:rsidR="00091449" w:rsidRPr="0092561F" w:rsidRDefault="00624373" w:rsidP="00091449">
            <w:pPr>
              <w:numPr>
                <w:ilvl w:val="0"/>
                <w:numId w:val="16"/>
              </w:numPr>
              <w:spacing w:line="360" w:lineRule="auto"/>
              <w:ind w:left="426"/>
              <w:jc w:val="both"/>
              <w:rPr>
                <w:sz w:val="22"/>
                <w:szCs w:val="22"/>
              </w:rPr>
            </w:pPr>
            <w:r>
              <w:rPr>
                <w:sz w:val="22"/>
                <w:szCs w:val="22"/>
                <w:lang w:val="en-US"/>
              </w:rPr>
              <w:t>Rinkos-buhalterinės vertė</w:t>
            </w:r>
            <w:r w:rsidR="00091449" w:rsidRPr="0092561F">
              <w:rPr>
                <w:sz w:val="22"/>
                <w:szCs w:val="22"/>
                <w:lang w:val="en-US"/>
              </w:rPr>
              <w:t>s modelis (</w:t>
            </w:r>
            <w:r w:rsidR="00091449" w:rsidRPr="0092561F">
              <w:rPr>
                <w:i/>
                <w:sz w:val="22"/>
                <w:szCs w:val="22"/>
                <w:lang w:val="en-US"/>
              </w:rPr>
              <w:t>angl.</w:t>
            </w:r>
            <w:r w:rsidR="00091449" w:rsidRPr="0092561F">
              <w:rPr>
                <w:sz w:val="22"/>
                <w:szCs w:val="22"/>
                <w:lang w:val="en-US"/>
              </w:rPr>
              <w:t xml:space="preserve"> the</w:t>
            </w:r>
            <w:r>
              <w:rPr>
                <w:sz w:val="22"/>
                <w:szCs w:val="22"/>
                <w:lang w:val="en-US"/>
              </w:rPr>
              <w:t xml:space="preserve"> Market-to-Book Value model) (įvairū</w:t>
            </w:r>
            <w:r w:rsidR="00091449" w:rsidRPr="0092561F">
              <w:rPr>
                <w:sz w:val="22"/>
                <w:szCs w:val="22"/>
                <w:lang w:val="en-US"/>
              </w:rPr>
              <w:t>s autoriai);.</w:t>
            </w:r>
          </w:p>
          <w:p w:rsidR="00091449" w:rsidRPr="0092561F" w:rsidRDefault="00624373" w:rsidP="00091449">
            <w:pPr>
              <w:numPr>
                <w:ilvl w:val="0"/>
                <w:numId w:val="16"/>
              </w:numPr>
              <w:spacing w:line="360" w:lineRule="auto"/>
              <w:ind w:left="426"/>
              <w:jc w:val="both"/>
              <w:rPr>
                <w:sz w:val="22"/>
                <w:szCs w:val="22"/>
              </w:rPr>
            </w:pPr>
            <w:r>
              <w:rPr>
                <w:sz w:val="22"/>
                <w:szCs w:val="22"/>
                <w:lang w:val="en-US"/>
              </w:rPr>
              <w:t>Žinių kapitalo pajamų</w:t>
            </w:r>
            <w:r w:rsidR="00091449" w:rsidRPr="0092561F">
              <w:rPr>
                <w:sz w:val="22"/>
                <w:szCs w:val="22"/>
                <w:lang w:val="en-US"/>
              </w:rPr>
              <w:t xml:space="preserve"> modelis (</w:t>
            </w:r>
            <w:r w:rsidR="00091449" w:rsidRPr="0092561F">
              <w:rPr>
                <w:i/>
                <w:sz w:val="22"/>
                <w:szCs w:val="22"/>
                <w:lang w:val="en-US"/>
              </w:rPr>
              <w:t>angl</w:t>
            </w:r>
            <w:r w:rsidR="00091449" w:rsidRPr="0092561F">
              <w:rPr>
                <w:sz w:val="22"/>
                <w:szCs w:val="22"/>
                <w:lang w:val="en-US"/>
              </w:rPr>
              <w:t>. the Knowledge Capital Earnings model) (</w:t>
            </w:r>
            <w:r w:rsidR="00091449" w:rsidRPr="0092561F">
              <w:rPr>
                <w:i/>
                <w:sz w:val="22"/>
                <w:szCs w:val="22"/>
                <w:lang w:val="en-US"/>
              </w:rPr>
              <w:t>Lev ir Feng 2001</w:t>
            </w:r>
            <w:r w:rsidR="00091449" w:rsidRPr="0092561F">
              <w:rPr>
                <w:sz w:val="22"/>
                <w:szCs w:val="22"/>
                <w:lang w:val="en-US"/>
              </w:rPr>
              <w:t>);</w:t>
            </w:r>
          </w:p>
          <w:p w:rsidR="00091449" w:rsidRPr="0092561F" w:rsidRDefault="00091449" w:rsidP="00091449">
            <w:pPr>
              <w:numPr>
                <w:ilvl w:val="0"/>
                <w:numId w:val="16"/>
              </w:numPr>
              <w:spacing w:line="360" w:lineRule="auto"/>
              <w:ind w:left="426"/>
              <w:jc w:val="both"/>
              <w:rPr>
                <w:sz w:val="22"/>
                <w:szCs w:val="22"/>
              </w:rPr>
            </w:pPr>
            <w:r w:rsidRPr="0092561F">
              <w:rPr>
                <w:sz w:val="22"/>
                <w:szCs w:val="22"/>
                <w:lang w:val="en-US"/>
              </w:rPr>
              <w:t>VAIC</w:t>
            </w:r>
            <w:r w:rsidRPr="0092561F">
              <w:rPr>
                <w:sz w:val="22"/>
                <w:szCs w:val="22"/>
                <w:vertAlign w:val="superscript"/>
                <w:lang w:val="en-US"/>
              </w:rPr>
              <w:t>TM</w:t>
            </w:r>
            <w:r w:rsidRPr="0092561F">
              <w:rPr>
                <w:sz w:val="22"/>
                <w:szCs w:val="22"/>
                <w:lang w:val="en-US"/>
              </w:rPr>
              <w:t xml:space="preserve"> modelis (</w:t>
            </w:r>
            <w:r w:rsidRPr="0092561F">
              <w:rPr>
                <w:i/>
                <w:sz w:val="22"/>
                <w:szCs w:val="22"/>
                <w:lang w:val="en-US"/>
              </w:rPr>
              <w:t>angl.</w:t>
            </w:r>
            <w:r w:rsidRPr="0092561F">
              <w:rPr>
                <w:sz w:val="22"/>
                <w:szCs w:val="22"/>
                <w:lang w:val="en-US"/>
              </w:rPr>
              <w:t xml:space="preserve"> VAIC</w:t>
            </w:r>
            <w:r w:rsidRPr="0092561F">
              <w:rPr>
                <w:sz w:val="22"/>
                <w:szCs w:val="22"/>
                <w:vertAlign w:val="superscript"/>
                <w:lang w:val="en-US"/>
              </w:rPr>
              <w:t xml:space="preserve">TM </w:t>
            </w:r>
            <w:r w:rsidRPr="0092561F">
              <w:rPr>
                <w:sz w:val="22"/>
                <w:szCs w:val="22"/>
                <w:lang w:val="en-US"/>
              </w:rPr>
              <w:t>Model) (</w:t>
            </w:r>
            <w:r w:rsidRPr="0092561F">
              <w:rPr>
                <w:i/>
                <w:sz w:val="22"/>
                <w:szCs w:val="22"/>
                <w:lang w:val="en-US"/>
              </w:rPr>
              <w:t>Pulic, 1998, 2000</w:t>
            </w:r>
            <w:r w:rsidRPr="0092561F">
              <w:rPr>
                <w:sz w:val="22"/>
                <w:szCs w:val="22"/>
                <w:lang w:val="en-US"/>
              </w:rPr>
              <w:t>);</w:t>
            </w:r>
          </w:p>
          <w:p w:rsidR="00091449" w:rsidRPr="0092561F" w:rsidRDefault="00091449" w:rsidP="00091449">
            <w:pPr>
              <w:numPr>
                <w:ilvl w:val="0"/>
                <w:numId w:val="16"/>
              </w:numPr>
              <w:spacing w:line="360" w:lineRule="auto"/>
              <w:ind w:left="426"/>
              <w:jc w:val="both"/>
              <w:rPr>
                <w:sz w:val="22"/>
                <w:szCs w:val="22"/>
              </w:rPr>
            </w:pPr>
            <w:r w:rsidRPr="0092561F">
              <w:rPr>
                <w:sz w:val="22"/>
                <w:szCs w:val="22"/>
                <w:lang w:val="en-US"/>
              </w:rPr>
              <w:t>Skaičiuojamoji nematerialioji vertė (</w:t>
            </w:r>
            <w:r w:rsidRPr="0092561F">
              <w:rPr>
                <w:i/>
                <w:sz w:val="22"/>
                <w:szCs w:val="22"/>
                <w:lang w:val="en-US"/>
              </w:rPr>
              <w:t>angl</w:t>
            </w:r>
            <w:r w:rsidRPr="0092561F">
              <w:rPr>
                <w:sz w:val="22"/>
                <w:szCs w:val="22"/>
                <w:lang w:val="en-US"/>
              </w:rPr>
              <w:t>. Calculated intangible value) (</w:t>
            </w:r>
            <w:r w:rsidRPr="0092561F">
              <w:rPr>
                <w:i/>
                <w:sz w:val="22"/>
                <w:szCs w:val="22"/>
                <w:lang w:val="en-US"/>
              </w:rPr>
              <w:t>Dzinkowski, 2000</w:t>
            </w:r>
            <w:r w:rsidRPr="0092561F">
              <w:rPr>
                <w:sz w:val="22"/>
                <w:szCs w:val="22"/>
                <w:lang w:val="en-US"/>
              </w:rPr>
              <w:t xml:space="preserve">); </w:t>
            </w:r>
          </w:p>
          <w:p w:rsidR="00091449" w:rsidRPr="0092561F" w:rsidRDefault="00091449" w:rsidP="00091449">
            <w:pPr>
              <w:numPr>
                <w:ilvl w:val="0"/>
                <w:numId w:val="16"/>
              </w:numPr>
              <w:spacing w:line="360" w:lineRule="auto"/>
              <w:ind w:left="426"/>
              <w:jc w:val="both"/>
              <w:rPr>
                <w:sz w:val="22"/>
                <w:szCs w:val="22"/>
              </w:rPr>
            </w:pPr>
            <w:r w:rsidRPr="0092561F">
              <w:rPr>
                <w:sz w:val="22"/>
                <w:szCs w:val="22"/>
              </w:rPr>
              <w:t>Intelektinio kapitalo vertinimas (</w:t>
            </w:r>
            <w:r w:rsidRPr="0092561F">
              <w:rPr>
                <w:i/>
                <w:sz w:val="22"/>
                <w:szCs w:val="22"/>
              </w:rPr>
              <w:t xml:space="preserve">angl. </w:t>
            </w:r>
            <w:r w:rsidRPr="0092561F">
              <w:rPr>
                <w:sz w:val="22"/>
                <w:szCs w:val="22"/>
              </w:rPr>
              <w:t xml:space="preserve"> IC valuation, Sullivan, 2000);</w:t>
            </w:r>
          </w:p>
          <w:p w:rsidR="00091449" w:rsidRPr="0092561F" w:rsidRDefault="00091449" w:rsidP="00091449">
            <w:pPr>
              <w:numPr>
                <w:ilvl w:val="0"/>
                <w:numId w:val="16"/>
              </w:numPr>
              <w:spacing w:line="360" w:lineRule="auto"/>
              <w:ind w:left="426"/>
              <w:jc w:val="both"/>
              <w:rPr>
                <w:sz w:val="22"/>
                <w:szCs w:val="22"/>
              </w:rPr>
            </w:pPr>
            <w:r w:rsidRPr="0092561F">
              <w:rPr>
                <w:sz w:val="22"/>
                <w:szCs w:val="22"/>
              </w:rPr>
              <w:t>Intelektinio kapitalo rinkos vertinimas (</w:t>
            </w:r>
            <w:r w:rsidRPr="0092561F">
              <w:rPr>
                <w:i/>
                <w:sz w:val="22"/>
                <w:szCs w:val="22"/>
              </w:rPr>
              <w:t xml:space="preserve">angl. </w:t>
            </w:r>
            <w:r w:rsidRPr="0092561F">
              <w:rPr>
                <w:sz w:val="22"/>
                <w:szCs w:val="22"/>
              </w:rPr>
              <w:t>IC market valuation, Rodov ir Leliaert, 2002).</w:t>
            </w:r>
          </w:p>
        </w:tc>
        <w:tc>
          <w:tcPr>
            <w:tcW w:w="5245" w:type="dxa"/>
            <w:shd w:val="clear" w:color="auto" w:fill="auto"/>
          </w:tcPr>
          <w:p w:rsidR="00091449" w:rsidRPr="0092561F" w:rsidRDefault="00624373" w:rsidP="00091449">
            <w:pPr>
              <w:numPr>
                <w:ilvl w:val="0"/>
                <w:numId w:val="15"/>
              </w:numPr>
              <w:tabs>
                <w:tab w:val="left" w:pos="743"/>
                <w:tab w:val="left" w:pos="1451"/>
              </w:tabs>
              <w:spacing w:line="360" w:lineRule="auto"/>
              <w:ind w:left="459"/>
              <w:jc w:val="both"/>
              <w:rPr>
                <w:sz w:val="22"/>
                <w:szCs w:val="22"/>
              </w:rPr>
            </w:pPr>
            <w:r>
              <w:rPr>
                <w:sz w:val="22"/>
                <w:szCs w:val="22"/>
                <w:lang w:val="en-US"/>
              </w:rPr>
              <w:t>Balansinių taškų</w:t>
            </w:r>
            <w:r w:rsidR="00091449" w:rsidRPr="0092561F">
              <w:rPr>
                <w:sz w:val="22"/>
                <w:szCs w:val="22"/>
                <w:lang w:val="en-US"/>
              </w:rPr>
              <w:t xml:space="preserve"> korta (</w:t>
            </w:r>
            <w:r w:rsidR="00091449" w:rsidRPr="0092561F">
              <w:rPr>
                <w:i/>
                <w:sz w:val="22"/>
                <w:szCs w:val="22"/>
                <w:lang w:val="en-US"/>
              </w:rPr>
              <w:t>angl.</w:t>
            </w:r>
            <w:r w:rsidR="00091449" w:rsidRPr="0092561F">
              <w:rPr>
                <w:sz w:val="22"/>
                <w:szCs w:val="22"/>
                <w:lang w:val="en-US"/>
              </w:rPr>
              <w:t xml:space="preserve"> Balance Scorecard) (</w:t>
            </w:r>
            <w:r w:rsidR="00091449" w:rsidRPr="0092561F">
              <w:rPr>
                <w:i/>
                <w:sz w:val="22"/>
                <w:szCs w:val="22"/>
                <w:lang w:val="en-US"/>
              </w:rPr>
              <w:t>Kaplan ir Norton, 1992</w:t>
            </w:r>
            <w:r w:rsidR="00091449" w:rsidRPr="0092561F">
              <w:rPr>
                <w:sz w:val="22"/>
                <w:szCs w:val="22"/>
                <w:lang w:val="en-US"/>
              </w:rPr>
              <w:t>);</w:t>
            </w:r>
          </w:p>
          <w:p w:rsidR="00091449" w:rsidRPr="0092561F" w:rsidRDefault="00624373" w:rsidP="00091449">
            <w:pPr>
              <w:numPr>
                <w:ilvl w:val="0"/>
                <w:numId w:val="15"/>
              </w:numPr>
              <w:tabs>
                <w:tab w:val="left" w:pos="743"/>
                <w:tab w:val="left" w:pos="1451"/>
              </w:tabs>
              <w:spacing w:line="360" w:lineRule="auto"/>
              <w:ind w:left="459"/>
              <w:jc w:val="both"/>
              <w:rPr>
                <w:sz w:val="22"/>
                <w:szCs w:val="22"/>
              </w:rPr>
            </w:pPr>
            <w:r>
              <w:rPr>
                <w:sz w:val="22"/>
                <w:szCs w:val="22"/>
                <w:lang w:val="en-US"/>
              </w:rPr>
              <w:t>Technologinio į</w:t>
            </w:r>
            <w:r w:rsidR="00091449" w:rsidRPr="0092561F">
              <w:rPr>
                <w:sz w:val="22"/>
                <w:szCs w:val="22"/>
                <w:lang w:val="en-US"/>
              </w:rPr>
              <w:t>kainavimo metodas (</w:t>
            </w:r>
            <w:r w:rsidR="00091449" w:rsidRPr="0092561F">
              <w:rPr>
                <w:i/>
                <w:sz w:val="22"/>
                <w:szCs w:val="22"/>
                <w:lang w:val="en-US"/>
              </w:rPr>
              <w:t>angl.</w:t>
            </w:r>
            <w:r w:rsidR="00091449" w:rsidRPr="0092561F">
              <w:rPr>
                <w:sz w:val="22"/>
                <w:szCs w:val="22"/>
                <w:lang w:val="en-US"/>
              </w:rPr>
              <w:t xml:space="preserve"> Technology Broker method) (</w:t>
            </w:r>
            <w:r w:rsidR="00091449" w:rsidRPr="0092561F">
              <w:rPr>
                <w:i/>
                <w:sz w:val="22"/>
                <w:szCs w:val="22"/>
                <w:lang w:val="en-US"/>
              </w:rPr>
              <w:t>Brooking, 1996</w:t>
            </w:r>
            <w:r w:rsidR="00091449" w:rsidRPr="0092561F">
              <w:rPr>
                <w:sz w:val="22"/>
                <w:szCs w:val="22"/>
                <w:lang w:val="en-US"/>
              </w:rPr>
              <w:t>);</w:t>
            </w:r>
          </w:p>
          <w:p w:rsidR="00091449" w:rsidRPr="0092561F" w:rsidRDefault="00091449" w:rsidP="00091449">
            <w:pPr>
              <w:numPr>
                <w:ilvl w:val="0"/>
                <w:numId w:val="15"/>
              </w:numPr>
              <w:tabs>
                <w:tab w:val="left" w:pos="743"/>
                <w:tab w:val="left" w:pos="1451"/>
              </w:tabs>
              <w:spacing w:line="360" w:lineRule="auto"/>
              <w:ind w:left="459"/>
              <w:jc w:val="both"/>
              <w:rPr>
                <w:sz w:val="22"/>
                <w:szCs w:val="22"/>
              </w:rPr>
            </w:pPr>
            <w:r w:rsidRPr="0092561F">
              <w:rPr>
                <w:sz w:val="22"/>
                <w:szCs w:val="22"/>
                <w:lang w:val="en-US"/>
              </w:rPr>
              <w:t>Skandia Intelektinio kapitalo raportavimo metodas (</w:t>
            </w:r>
            <w:r w:rsidRPr="0092561F">
              <w:rPr>
                <w:i/>
                <w:sz w:val="22"/>
                <w:szCs w:val="22"/>
                <w:lang w:val="en-US"/>
              </w:rPr>
              <w:t>angl.</w:t>
            </w:r>
            <w:r w:rsidRPr="0092561F">
              <w:rPr>
                <w:sz w:val="22"/>
                <w:szCs w:val="22"/>
                <w:lang w:val="en-US"/>
              </w:rPr>
              <w:t xml:space="preserve"> Skandia IC Report method) (</w:t>
            </w:r>
            <w:r w:rsidRPr="0092561F">
              <w:rPr>
                <w:i/>
                <w:sz w:val="22"/>
                <w:szCs w:val="22"/>
                <w:lang w:val="en-US"/>
              </w:rPr>
              <w:t>Edvinsson ir Malone, 1997</w:t>
            </w:r>
            <w:r w:rsidRPr="0092561F">
              <w:rPr>
                <w:sz w:val="22"/>
                <w:szCs w:val="22"/>
                <w:lang w:val="en-US"/>
              </w:rPr>
              <w:t xml:space="preserve">); </w:t>
            </w:r>
          </w:p>
          <w:p w:rsidR="00091449" w:rsidRPr="0092561F" w:rsidRDefault="00624373" w:rsidP="00091449">
            <w:pPr>
              <w:numPr>
                <w:ilvl w:val="0"/>
                <w:numId w:val="15"/>
              </w:numPr>
              <w:tabs>
                <w:tab w:val="left" w:pos="743"/>
                <w:tab w:val="left" w:pos="1451"/>
              </w:tabs>
              <w:spacing w:line="360" w:lineRule="auto"/>
              <w:ind w:left="459"/>
              <w:jc w:val="both"/>
              <w:rPr>
                <w:sz w:val="22"/>
                <w:szCs w:val="22"/>
              </w:rPr>
            </w:pPr>
            <w:r>
              <w:rPr>
                <w:sz w:val="22"/>
                <w:szCs w:val="22"/>
                <w:lang w:val="en-US"/>
              </w:rPr>
              <w:t>Nematerialiųjų išteklių</w:t>
            </w:r>
            <w:r w:rsidR="00091449" w:rsidRPr="0092561F">
              <w:rPr>
                <w:sz w:val="22"/>
                <w:szCs w:val="22"/>
                <w:lang w:val="en-US"/>
              </w:rPr>
              <w:t xml:space="preserve"> monitoringas (</w:t>
            </w:r>
            <w:r w:rsidR="00091449" w:rsidRPr="0092561F">
              <w:rPr>
                <w:i/>
                <w:sz w:val="22"/>
                <w:szCs w:val="22"/>
                <w:lang w:val="en-US"/>
              </w:rPr>
              <w:t>angl.</w:t>
            </w:r>
            <w:r w:rsidR="00091449" w:rsidRPr="0092561F">
              <w:rPr>
                <w:sz w:val="22"/>
                <w:szCs w:val="22"/>
                <w:lang w:val="en-US"/>
              </w:rPr>
              <w:t xml:space="preserve"> Intangible Asset Monitor approach) (</w:t>
            </w:r>
            <w:r w:rsidR="00091449" w:rsidRPr="0092561F">
              <w:rPr>
                <w:i/>
                <w:sz w:val="22"/>
                <w:szCs w:val="22"/>
                <w:lang w:val="en-US"/>
              </w:rPr>
              <w:t>Sveiby, 1997</w:t>
            </w:r>
            <w:r w:rsidR="00091449" w:rsidRPr="0092561F">
              <w:rPr>
                <w:sz w:val="22"/>
                <w:szCs w:val="22"/>
                <w:lang w:val="en-US"/>
              </w:rPr>
              <w:t>);</w:t>
            </w:r>
          </w:p>
          <w:p w:rsidR="00091449" w:rsidRPr="0092561F" w:rsidRDefault="00091449" w:rsidP="00091449">
            <w:pPr>
              <w:numPr>
                <w:ilvl w:val="0"/>
                <w:numId w:val="15"/>
              </w:numPr>
              <w:tabs>
                <w:tab w:val="left" w:pos="743"/>
                <w:tab w:val="left" w:pos="1451"/>
              </w:tabs>
              <w:spacing w:line="360" w:lineRule="auto"/>
              <w:ind w:left="459"/>
              <w:jc w:val="both"/>
              <w:rPr>
                <w:sz w:val="22"/>
                <w:szCs w:val="22"/>
              </w:rPr>
            </w:pPr>
            <w:r w:rsidRPr="0092561F">
              <w:rPr>
                <w:sz w:val="22"/>
                <w:szCs w:val="22"/>
                <w:lang w:val="en-US"/>
              </w:rPr>
              <w:t>Intelektinio kapitalo indeksas (</w:t>
            </w:r>
            <w:r w:rsidRPr="0092561F">
              <w:rPr>
                <w:i/>
                <w:sz w:val="22"/>
                <w:szCs w:val="22"/>
                <w:lang w:val="en-US"/>
              </w:rPr>
              <w:t>angl.</w:t>
            </w:r>
            <w:r w:rsidRPr="0092561F">
              <w:rPr>
                <w:sz w:val="22"/>
                <w:szCs w:val="22"/>
                <w:lang w:val="en-US"/>
              </w:rPr>
              <w:t xml:space="preserve"> the IC-Index) (</w:t>
            </w:r>
            <w:r w:rsidRPr="0092561F">
              <w:rPr>
                <w:i/>
                <w:sz w:val="22"/>
                <w:szCs w:val="22"/>
                <w:lang w:val="en-US"/>
              </w:rPr>
              <w:t>Roos, 1997</w:t>
            </w:r>
            <w:r w:rsidRPr="0092561F">
              <w:rPr>
                <w:sz w:val="22"/>
                <w:szCs w:val="22"/>
                <w:lang w:val="en-US"/>
              </w:rPr>
              <w:t>); .</w:t>
            </w:r>
            <w:r w:rsidRPr="0092561F">
              <w:rPr>
                <w:sz w:val="22"/>
                <w:szCs w:val="22"/>
                <w:lang w:val="en-US"/>
              </w:rPr>
              <w:tab/>
            </w:r>
          </w:p>
          <w:p w:rsidR="00091449" w:rsidRPr="0092561F" w:rsidRDefault="00091449" w:rsidP="00091449">
            <w:pPr>
              <w:numPr>
                <w:ilvl w:val="0"/>
                <w:numId w:val="15"/>
              </w:numPr>
              <w:tabs>
                <w:tab w:val="left" w:pos="743"/>
                <w:tab w:val="left" w:pos="1451"/>
              </w:tabs>
              <w:spacing w:line="360" w:lineRule="auto"/>
              <w:ind w:left="459"/>
              <w:jc w:val="both"/>
              <w:rPr>
                <w:sz w:val="22"/>
                <w:szCs w:val="22"/>
              </w:rPr>
            </w:pPr>
            <w:r w:rsidRPr="0092561F">
              <w:rPr>
                <w:sz w:val="22"/>
                <w:szCs w:val="22"/>
                <w:lang w:val="en-US"/>
              </w:rPr>
              <w:t xml:space="preserve">Esminio </w:t>
            </w:r>
            <w:r w:rsidR="00624373">
              <w:rPr>
                <w:sz w:val="22"/>
                <w:szCs w:val="22"/>
                <w:lang w:val="en-US"/>
              </w:rPr>
              <w:t>ženklo taškų</w:t>
            </w:r>
            <w:r w:rsidRPr="0092561F">
              <w:rPr>
                <w:sz w:val="22"/>
                <w:szCs w:val="22"/>
                <w:lang w:val="en-US"/>
              </w:rPr>
              <w:t xml:space="preserve"> korta (</w:t>
            </w:r>
            <w:r w:rsidRPr="0092561F">
              <w:rPr>
                <w:i/>
                <w:sz w:val="22"/>
                <w:szCs w:val="22"/>
                <w:lang w:val="en-US"/>
              </w:rPr>
              <w:t>angl.</w:t>
            </w:r>
            <w:r w:rsidRPr="0092561F">
              <w:rPr>
                <w:sz w:val="22"/>
                <w:szCs w:val="22"/>
                <w:lang w:val="en-US"/>
              </w:rPr>
              <w:t xml:space="preserve"> Vital Sign Scorecard) (</w:t>
            </w:r>
            <w:r w:rsidRPr="0092561F">
              <w:rPr>
                <w:i/>
                <w:sz w:val="22"/>
                <w:szCs w:val="22"/>
                <w:lang w:val="en-US"/>
              </w:rPr>
              <w:t>Vanderkaay, 2000</w:t>
            </w:r>
            <w:r w:rsidRPr="0092561F">
              <w:rPr>
                <w:sz w:val="22"/>
                <w:szCs w:val="22"/>
                <w:lang w:val="en-US"/>
              </w:rPr>
              <w:t>);</w:t>
            </w:r>
          </w:p>
          <w:p w:rsidR="00091449" w:rsidRPr="0092561F" w:rsidRDefault="00091449" w:rsidP="00091449">
            <w:pPr>
              <w:numPr>
                <w:ilvl w:val="0"/>
                <w:numId w:val="15"/>
              </w:numPr>
              <w:tabs>
                <w:tab w:val="left" w:pos="743"/>
                <w:tab w:val="left" w:pos="1451"/>
              </w:tabs>
              <w:spacing w:line="360" w:lineRule="auto"/>
              <w:ind w:left="459"/>
              <w:jc w:val="both"/>
              <w:rPr>
                <w:sz w:val="22"/>
                <w:szCs w:val="22"/>
              </w:rPr>
            </w:pPr>
            <w:r w:rsidRPr="0092561F">
              <w:rPr>
                <w:sz w:val="22"/>
                <w:szCs w:val="22"/>
                <w:lang w:val="en-US"/>
              </w:rPr>
              <w:t>Ernst &amp; Young Modelis (</w:t>
            </w:r>
            <w:r w:rsidRPr="0092561F">
              <w:rPr>
                <w:i/>
                <w:sz w:val="22"/>
                <w:szCs w:val="22"/>
                <w:lang w:val="en-US"/>
              </w:rPr>
              <w:t>angl.</w:t>
            </w:r>
            <w:r w:rsidRPr="0092561F">
              <w:rPr>
                <w:sz w:val="22"/>
                <w:szCs w:val="22"/>
                <w:lang w:val="en-US"/>
              </w:rPr>
              <w:t xml:space="preserve"> the Ernst &amp; Young Model) (</w:t>
            </w:r>
            <w:r w:rsidRPr="0092561F">
              <w:rPr>
                <w:i/>
                <w:sz w:val="22"/>
                <w:szCs w:val="22"/>
                <w:lang w:val="en-US"/>
              </w:rPr>
              <w:t>Barsky ir Marchant 2000</w:t>
            </w:r>
            <w:r w:rsidRPr="0092561F">
              <w:rPr>
                <w:sz w:val="22"/>
                <w:szCs w:val="22"/>
                <w:lang w:val="en-US"/>
              </w:rPr>
              <w:t>);</w:t>
            </w:r>
          </w:p>
          <w:p w:rsidR="00091449" w:rsidRPr="0092561F" w:rsidRDefault="00624373" w:rsidP="00091449">
            <w:pPr>
              <w:numPr>
                <w:ilvl w:val="0"/>
                <w:numId w:val="15"/>
              </w:numPr>
              <w:tabs>
                <w:tab w:val="left" w:pos="743"/>
                <w:tab w:val="left" w:pos="1451"/>
              </w:tabs>
              <w:spacing w:line="360" w:lineRule="auto"/>
              <w:ind w:left="459"/>
              <w:jc w:val="both"/>
              <w:rPr>
                <w:sz w:val="22"/>
                <w:szCs w:val="22"/>
              </w:rPr>
            </w:pPr>
            <w:r>
              <w:rPr>
                <w:sz w:val="22"/>
                <w:szCs w:val="22"/>
                <w:lang w:val="en-US"/>
              </w:rPr>
              <w:t>Euristinis rė</w:t>
            </w:r>
            <w:r w:rsidR="00091449" w:rsidRPr="0092561F">
              <w:rPr>
                <w:sz w:val="22"/>
                <w:szCs w:val="22"/>
                <w:lang w:val="en-US"/>
              </w:rPr>
              <w:t>mas (</w:t>
            </w:r>
            <w:r w:rsidR="00091449" w:rsidRPr="0092561F">
              <w:rPr>
                <w:i/>
                <w:sz w:val="22"/>
                <w:szCs w:val="22"/>
                <w:lang w:val="en-US"/>
              </w:rPr>
              <w:t>angl.</w:t>
            </w:r>
            <w:r w:rsidR="00091449" w:rsidRPr="0092561F">
              <w:rPr>
                <w:sz w:val="22"/>
                <w:szCs w:val="22"/>
                <w:lang w:val="en-US"/>
              </w:rPr>
              <w:t xml:space="preserve"> Heuristic Frame) (</w:t>
            </w:r>
            <w:r w:rsidR="00091449" w:rsidRPr="0092561F">
              <w:rPr>
                <w:i/>
                <w:sz w:val="22"/>
                <w:szCs w:val="22"/>
                <w:lang w:val="en-US"/>
              </w:rPr>
              <w:t>Joia, 2000</w:t>
            </w:r>
            <w:r w:rsidR="00091449" w:rsidRPr="0092561F">
              <w:rPr>
                <w:sz w:val="22"/>
                <w:szCs w:val="22"/>
                <w:lang w:val="en-US"/>
              </w:rPr>
              <w:t>).</w:t>
            </w:r>
          </w:p>
          <w:p w:rsidR="00091449" w:rsidRPr="0092561F" w:rsidRDefault="00091449" w:rsidP="00091449">
            <w:pPr>
              <w:tabs>
                <w:tab w:val="left" w:pos="743"/>
                <w:tab w:val="left" w:pos="1451"/>
              </w:tabs>
              <w:spacing w:line="360" w:lineRule="auto"/>
              <w:ind w:left="459"/>
              <w:jc w:val="both"/>
              <w:rPr>
                <w:sz w:val="22"/>
                <w:szCs w:val="22"/>
              </w:rPr>
            </w:pPr>
          </w:p>
        </w:tc>
      </w:tr>
    </w:tbl>
    <w:p w:rsidR="00091449" w:rsidRPr="0092561F" w:rsidRDefault="00091449" w:rsidP="0009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val="en-US"/>
        </w:rPr>
      </w:pPr>
      <w:r w:rsidRPr="007419A0">
        <w:rPr>
          <w:b/>
          <w:sz w:val="20"/>
          <w:szCs w:val="20"/>
        </w:rPr>
        <w:t>Šaltinis:</w:t>
      </w:r>
      <w:r w:rsidRPr="0092561F">
        <w:rPr>
          <w:sz w:val="20"/>
          <w:szCs w:val="20"/>
        </w:rPr>
        <w:t xml:space="preserve"> Sudaryta autores pagal</w:t>
      </w:r>
      <w:r w:rsidRPr="0092561F">
        <w:rPr>
          <w:sz w:val="20"/>
          <w:szCs w:val="20"/>
          <w:lang w:val="en-US"/>
        </w:rPr>
        <w:t xml:space="preserve">: Hancock (2007), Young ir kt. (2009), </w:t>
      </w:r>
      <w:r w:rsidRPr="0092561F">
        <w:rPr>
          <w:rFonts w:ascii="Times" w:hAnsi="Times" w:cs="Times"/>
          <w:sz w:val="20"/>
          <w:szCs w:val="20"/>
          <w:lang w:val="en-US"/>
        </w:rPr>
        <w:t>Sveiby (2001), Roos ir kt. (2000)</w:t>
      </w:r>
      <w:r w:rsidRPr="0092561F">
        <w:rPr>
          <w:sz w:val="20"/>
          <w:szCs w:val="20"/>
          <w:lang w:val="en-US"/>
        </w:rPr>
        <w:t xml:space="preserve"> ir kt.</w:t>
      </w:r>
    </w:p>
    <w:p w:rsidR="00091449" w:rsidRPr="0092561F" w:rsidRDefault="00091449" w:rsidP="0009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p>
    <w:p w:rsidR="00091449" w:rsidRPr="0092561F" w:rsidRDefault="00116576" w:rsidP="0009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sidRPr="0092561F">
        <w:rPr>
          <w:lang w:val="en-US"/>
        </w:rPr>
        <w:tab/>
      </w:r>
      <w:r w:rsidR="00091449" w:rsidRPr="0092561F">
        <w:rPr>
          <w:lang w:val="en-US"/>
        </w:rPr>
        <w:t xml:space="preserve">Grupė metodų finansiniu vertinimo pagrindu skirta įvertinti intelektinį kapitalą ne tik pinigine išraiška, bet ir piniginius rezultatus pagal įvairių finansinių rodiklių panaudojimą </w:t>
      </w:r>
      <w:r w:rsidR="00BF3E79">
        <w:rPr>
          <w:i/>
          <w:lang w:val="en-US"/>
        </w:rPr>
        <w:t>(Hancock et al</w:t>
      </w:r>
      <w:r w:rsidR="00091449" w:rsidRPr="0092561F">
        <w:rPr>
          <w:i/>
          <w:lang w:val="en-US"/>
        </w:rPr>
        <w:t>., 2007)</w:t>
      </w:r>
      <w:r w:rsidR="00091449" w:rsidRPr="0092561F">
        <w:rPr>
          <w:lang w:val="en-US"/>
        </w:rPr>
        <w:t>. Palyginus turtine verte pagrįstus metodus, VAIC</w:t>
      </w:r>
      <w:r w:rsidRPr="0092561F">
        <w:rPr>
          <w:rFonts w:eastAsia="MS Mincho"/>
          <w:lang w:val="en-US"/>
        </w:rPr>
        <w:t>™</w:t>
      </w:r>
      <w:r w:rsidR="00091449" w:rsidRPr="0092561F">
        <w:rPr>
          <w:lang w:val="en-US"/>
        </w:rPr>
        <w:t xml:space="preserve"> rodiklis pagrįstas tuo, kad jį lengva suprasti ir naudoti vertinant intelektinį kapitalą (</w:t>
      </w:r>
      <w:r w:rsidR="00091449" w:rsidRPr="0092561F">
        <w:rPr>
          <w:i/>
          <w:lang w:val="en-US"/>
        </w:rPr>
        <w:t>Schneider, 1999</w:t>
      </w:r>
      <w:r w:rsidR="00091449" w:rsidRPr="0092561F">
        <w:rPr>
          <w:lang w:val="en-US"/>
        </w:rPr>
        <w:t>).</w:t>
      </w:r>
    </w:p>
    <w:p w:rsidR="00091449" w:rsidRPr="0092561F" w:rsidRDefault="00091449" w:rsidP="0009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lang w:val="en-US"/>
        </w:rPr>
      </w:pPr>
      <w:r w:rsidRPr="0092561F">
        <w:rPr>
          <w:rFonts w:eastAsia="MS Mincho"/>
          <w:lang w:val="en-US"/>
        </w:rPr>
        <w:tab/>
        <w:t>VAIC™ (</w:t>
      </w:r>
      <w:r w:rsidRPr="0092561F">
        <w:rPr>
          <w:rFonts w:eastAsia="MS Mincho"/>
          <w:i/>
          <w:lang w:val="en-US"/>
        </w:rPr>
        <w:t>angl.</w:t>
      </w:r>
      <w:r w:rsidRPr="0092561F">
        <w:rPr>
          <w:rFonts w:eastAsia="MS Mincho"/>
          <w:lang w:val="en-US"/>
        </w:rPr>
        <w:t xml:space="preserve"> Value Added Intellectual Coefficient, </w:t>
      </w:r>
      <w:r w:rsidRPr="0092561F">
        <w:rPr>
          <w:i/>
          <w:lang w:val="en-US"/>
        </w:rPr>
        <w:t>Pulic, 1998, 2000</w:t>
      </w:r>
      <w:r w:rsidRPr="0092561F">
        <w:rPr>
          <w:lang w:val="en-US"/>
        </w:rPr>
        <w:t>)</w:t>
      </w:r>
      <w:r w:rsidRPr="0092561F">
        <w:rPr>
          <w:rFonts w:eastAsia="MS Mincho"/>
          <w:lang w:val="en-US"/>
        </w:rPr>
        <w:t xml:space="preserve"> metodas matuoja ir prižiūri vertės sukūrimo efektyvumą kompanijoje, naudojant  duomenis iš finansinių ataskaitų</w:t>
      </w:r>
      <w:r w:rsidRPr="0092561F">
        <w:rPr>
          <w:lang w:val="en-US"/>
        </w:rPr>
        <w:t>. Autorius siekė nustatyti santykį tarp materialaus ir nematerialaus turto. Jis teigė, kad matuojant intelektinį kapitalą ir naudojant modelį VAIC</w:t>
      </w:r>
      <w:r w:rsidRPr="0092561F">
        <w:rPr>
          <w:rFonts w:eastAsia="MS Mincho"/>
          <w:lang w:val="en-US"/>
        </w:rPr>
        <w:t>™</w:t>
      </w:r>
      <w:r w:rsidRPr="0092561F">
        <w:rPr>
          <w:lang w:val="en-US"/>
        </w:rPr>
        <w:t>, įmonės gali sukurti geresnę apčiuopaimų ir neapčiuopamų resursų kontrolę. VAIC</w:t>
      </w:r>
      <w:r w:rsidRPr="0092561F">
        <w:rPr>
          <w:rFonts w:eastAsia="MS Mincho"/>
          <w:lang w:val="en-US"/>
        </w:rPr>
        <w:t>™</w:t>
      </w:r>
      <w:r w:rsidRPr="0092561F">
        <w:rPr>
          <w:lang w:val="en-US"/>
        </w:rPr>
        <w:t xml:space="preserve"> priemonė, kuri yra taikoma mikro ir makro lygiu analizuojant verslą (</w:t>
      </w:r>
      <w:r w:rsidRPr="0092561F">
        <w:rPr>
          <w:i/>
          <w:lang w:val="en-US"/>
        </w:rPr>
        <w:t>Bontis, 2001</w:t>
      </w:r>
      <w:r w:rsidRPr="0092561F">
        <w:rPr>
          <w:lang w:val="en-US"/>
        </w:rPr>
        <w:t xml:space="preserve">) O </w:t>
      </w:r>
      <w:r w:rsidRPr="0092561F">
        <w:rPr>
          <w:rFonts w:eastAsia="MS Mincho"/>
          <w:lang w:val="en-US"/>
        </w:rPr>
        <w:t xml:space="preserve">organizacijos sekmei svarbu mokėti įžvelgti neapčiuopiamus dalykus, nors jie ir neatsispindi finansinėse ataskaitose, tačiau jie vistik turi reikšmės įmonės rinkos vertei. </w:t>
      </w:r>
    </w:p>
    <w:p w:rsidR="00091449" w:rsidRPr="0092561F" w:rsidRDefault="00091449" w:rsidP="0009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sidRPr="0092561F">
        <w:rPr>
          <w:lang w:val="en-US"/>
        </w:rPr>
        <w:t xml:space="preserve">Be to, tai yra viena iš metodologijų, kuri yra ne tik dažniausiai naudojama ir efektyvi, bet paprasta ir </w:t>
      </w:r>
      <w:r w:rsidR="00BF3E79">
        <w:rPr>
          <w:lang w:val="en-US"/>
        </w:rPr>
        <w:t xml:space="preserve">naudojama </w:t>
      </w:r>
      <w:r w:rsidRPr="0092561F">
        <w:rPr>
          <w:lang w:val="en-US"/>
        </w:rPr>
        <w:t>be didelių kaštų (</w:t>
      </w:r>
      <w:r w:rsidRPr="0092561F">
        <w:rPr>
          <w:i/>
          <w:lang w:val="en-US"/>
        </w:rPr>
        <w:t>Pucar, 2012</w:t>
      </w:r>
      <w:r w:rsidRPr="0092561F">
        <w:rPr>
          <w:lang w:val="en-US"/>
        </w:rPr>
        <w:t xml:space="preserve">). </w:t>
      </w:r>
      <w:r w:rsidRPr="0092561F">
        <w:rPr>
          <w:i/>
          <w:lang w:val="en-US"/>
        </w:rPr>
        <w:t>Pulic (2000</w:t>
      </w:r>
      <w:r w:rsidRPr="0092561F">
        <w:rPr>
          <w:lang w:val="en-US"/>
        </w:rPr>
        <w:t xml:space="preserve">) buvo pirmasis, kuris šia metodologija pritaikė 250 biržoje kotiruojamų įmonių, ko pasekoje rezultatas parodė, jog yra glaudus ryšys tarp išteklių vertės kūrimo efektyvumo ir įmonių rinkos vertės. </w:t>
      </w:r>
    </w:p>
    <w:p w:rsidR="00091449" w:rsidRPr="0092561F" w:rsidRDefault="00091449" w:rsidP="00091449">
      <w:pPr>
        <w:widowControl w:val="0"/>
        <w:autoSpaceDE w:val="0"/>
        <w:autoSpaceDN w:val="0"/>
        <w:adjustRightInd w:val="0"/>
        <w:spacing w:line="360" w:lineRule="auto"/>
        <w:ind w:firstLine="360"/>
        <w:jc w:val="both"/>
        <w:rPr>
          <w:rFonts w:eastAsia="MS Mincho"/>
          <w:lang w:val="en-US"/>
        </w:rPr>
      </w:pPr>
      <w:r w:rsidRPr="0092561F">
        <w:rPr>
          <w:rFonts w:eastAsia="MS Mincho"/>
          <w:i/>
          <w:lang w:val="en-US"/>
        </w:rPr>
        <w:t>Kamath (2007</w:t>
      </w:r>
      <w:r w:rsidRPr="0092561F">
        <w:rPr>
          <w:rFonts w:eastAsia="MS Mincho"/>
          <w:lang w:val="en-US"/>
        </w:rPr>
        <w:t>) teigė, kad VAIC™ yra efektyvus metodas vertinant intelektinį kapitalą dėl tokių priežasčių :</w:t>
      </w:r>
    </w:p>
    <w:p w:rsidR="00091449" w:rsidRPr="0092561F" w:rsidRDefault="00091449" w:rsidP="00227B53">
      <w:pPr>
        <w:pStyle w:val="ListParagraph"/>
        <w:widowControl w:val="0"/>
        <w:numPr>
          <w:ilvl w:val="0"/>
          <w:numId w:val="17"/>
        </w:numPr>
        <w:autoSpaceDE w:val="0"/>
        <w:autoSpaceDN w:val="0"/>
        <w:adjustRightInd w:val="0"/>
        <w:spacing w:line="360" w:lineRule="auto"/>
        <w:ind w:left="0" w:firstLine="567"/>
        <w:jc w:val="both"/>
        <w:rPr>
          <w:rFonts w:ascii="Times New Roman" w:hAnsi="Times New Roman"/>
          <w:lang w:val="en-US"/>
        </w:rPr>
      </w:pPr>
      <w:r w:rsidRPr="0092561F">
        <w:rPr>
          <w:rFonts w:ascii="Times New Roman" w:hAnsi="Times New Roman"/>
          <w:lang w:val="en-US"/>
        </w:rPr>
        <w:t>Intelektinis potencialas yra svarbiausias verslo sėkmės šaltinis;</w:t>
      </w:r>
    </w:p>
    <w:p w:rsidR="00091449" w:rsidRPr="0092561F" w:rsidRDefault="00091449" w:rsidP="00227B53">
      <w:pPr>
        <w:pStyle w:val="ListParagraph"/>
        <w:widowControl w:val="0"/>
        <w:numPr>
          <w:ilvl w:val="0"/>
          <w:numId w:val="17"/>
        </w:numPr>
        <w:autoSpaceDE w:val="0"/>
        <w:autoSpaceDN w:val="0"/>
        <w:adjustRightInd w:val="0"/>
        <w:spacing w:line="360" w:lineRule="auto"/>
        <w:ind w:left="0" w:firstLine="567"/>
        <w:jc w:val="both"/>
        <w:rPr>
          <w:rFonts w:ascii="Times New Roman" w:hAnsi="Times New Roman"/>
          <w:lang w:val="en-US"/>
        </w:rPr>
      </w:pPr>
      <w:r w:rsidRPr="0092561F">
        <w:rPr>
          <w:rFonts w:ascii="Times New Roman" w:hAnsi="Times New Roman"/>
          <w:lang w:val="en-US"/>
        </w:rPr>
        <w:t>VAIC</w:t>
      </w:r>
      <w:r w:rsidR="009F62F1">
        <w:rPr>
          <w:rFonts w:ascii="Times New Roman" w:hAnsi="Times New Roman"/>
          <w:lang w:val="en-US"/>
        </w:rPr>
        <w:t>™</w:t>
      </w:r>
      <w:r w:rsidRPr="0092561F">
        <w:rPr>
          <w:rFonts w:ascii="Times New Roman" w:hAnsi="Times New Roman"/>
          <w:lang w:val="en-US"/>
        </w:rPr>
        <w:t xml:space="preserve"> metodas yra pasirinkimas, norint kelti intelektinio potencialo efektyvumą paprasčiausiu, pigiausiu ir saugiausiu būdu užtikrinti tvarią verslo sėkmę;</w:t>
      </w:r>
    </w:p>
    <w:p w:rsidR="00091449" w:rsidRPr="0092561F" w:rsidRDefault="00091449" w:rsidP="00227B53">
      <w:pPr>
        <w:pStyle w:val="ListParagraph"/>
        <w:widowControl w:val="0"/>
        <w:numPr>
          <w:ilvl w:val="0"/>
          <w:numId w:val="17"/>
        </w:numPr>
        <w:autoSpaceDE w:val="0"/>
        <w:autoSpaceDN w:val="0"/>
        <w:adjustRightInd w:val="0"/>
        <w:spacing w:line="360" w:lineRule="auto"/>
        <w:ind w:left="0" w:firstLine="567"/>
        <w:jc w:val="both"/>
        <w:rPr>
          <w:rFonts w:ascii="Times New Roman" w:hAnsi="Times New Roman"/>
          <w:lang w:val="en-US"/>
        </w:rPr>
      </w:pPr>
      <w:r w:rsidRPr="0092561F">
        <w:rPr>
          <w:rFonts w:ascii="Times New Roman" w:hAnsi="Times New Roman"/>
          <w:lang w:val="en-US"/>
        </w:rPr>
        <w:t>VAIC</w:t>
      </w:r>
      <w:r w:rsidR="009F62F1">
        <w:rPr>
          <w:rFonts w:ascii="Times New Roman" w:hAnsi="Times New Roman"/>
          <w:lang w:val="en-US"/>
        </w:rPr>
        <w:t>™</w:t>
      </w:r>
      <w:r w:rsidRPr="0092561F">
        <w:rPr>
          <w:rFonts w:ascii="Times New Roman" w:hAnsi="Times New Roman"/>
          <w:lang w:val="en-US"/>
        </w:rPr>
        <w:t xml:space="preserve"> įrodė sav</w:t>
      </w:r>
      <w:r w:rsidR="00BF3E79">
        <w:rPr>
          <w:rFonts w:ascii="Times New Roman" w:hAnsi="Times New Roman"/>
          <w:lang w:val="en-US"/>
        </w:rPr>
        <w:t>o</w:t>
      </w:r>
      <w:r w:rsidRPr="0092561F">
        <w:rPr>
          <w:rFonts w:ascii="Times New Roman" w:hAnsi="Times New Roman"/>
          <w:lang w:val="en-US"/>
        </w:rPr>
        <w:t xml:space="preserve"> tinkamumą, kaip intelektinio kapitalo matavimo priemonė;</w:t>
      </w:r>
    </w:p>
    <w:p w:rsidR="00091449" w:rsidRPr="0092561F" w:rsidRDefault="00091449" w:rsidP="00227B53">
      <w:pPr>
        <w:pStyle w:val="ListParagraph"/>
        <w:widowControl w:val="0"/>
        <w:numPr>
          <w:ilvl w:val="0"/>
          <w:numId w:val="17"/>
        </w:numPr>
        <w:autoSpaceDE w:val="0"/>
        <w:autoSpaceDN w:val="0"/>
        <w:adjustRightInd w:val="0"/>
        <w:spacing w:line="360" w:lineRule="auto"/>
        <w:ind w:left="0" w:firstLine="567"/>
        <w:jc w:val="both"/>
        <w:rPr>
          <w:rFonts w:ascii="Times New Roman" w:hAnsi="Times New Roman"/>
          <w:lang w:val="en-US"/>
        </w:rPr>
      </w:pPr>
      <w:r w:rsidRPr="0092561F">
        <w:rPr>
          <w:rFonts w:ascii="Times New Roman" w:hAnsi="Times New Roman"/>
          <w:lang w:val="en-US"/>
        </w:rPr>
        <w:t>Faktas, kad įmonės turi didesnes išlaidas dėl intelektinio kapitalo, nei dėl fizinio, o su VAIC™ rastas patikimas intelektinio kapitalo rodiklis, yra rimta</w:t>
      </w:r>
      <w:r w:rsidR="00BF3E79">
        <w:rPr>
          <w:rFonts w:ascii="Times New Roman" w:hAnsi="Times New Roman"/>
          <w:lang w:val="en-US"/>
        </w:rPr>
        <w:t xml:space="preserve"> priežastis atkreipti dėmesį į i</w:t>
      </w:r>
      <w:r w:rsidRPr="0092561F">
        <w:rPr>
          <w:rFonts w:ascii="Times New Roman" w:hAnsi="Times New Roman"/>
          <w:lang w:val="en-US"/>
        </w:rPr>
        <w:t>ntelektinį kapitalą.</w:t>
      </w:r>
    </w:p>
    <w:p w:rsidR="00091449" w:rsidRPr="0092561F" w:rsidRDefault="00091449" w:rsidP="0009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i/>
          <w:lang w:val="en-US"/>
        </w:rPr>
      </w:pPr>
      <w:r w:rsidRPr="0092561F">
        <w:rPr>
          <w:lang w:val="en-US"/>
        </w:rPr>
        <w:tab/>
        <w:t xml:space="preserve">Galiausiai, pasak </w:t>
      </w:r>
      <w:r w:rsidR="00BF3E79">
        <w:rPr>
          <w:i/>
          <w:lang w:val="en-US"/>
        </w:rPr>
        <w:t>Young et al</w:t>
      </w:r>
      <w:r w:rsidRPr="0092561F">
        <w:rPr>
          <w:lang w:val="en-US"/>
        </w:rPr>
        <w:t>. (2009), kuris taip pat teigė, jog VAIC</w:t>
      </w:r>
      <w:r w:rsidRPr="0092561F">
        <w:rPr>
          <w:rFonts w:eastAsia="MS Mincho"/>
          <w:lang w:val="en-US"/>
        </w:rPr>
        <w:t>™</w:t>
      </w:r>
      <w:r w:rsidRPr="0092561F">
        <w:rPr>
          <w:lang w:val="en-US"/>
        </w:rPr>
        <w:t xml:space="preserve"> metodas buvo pla</w:t>
      </w:r>
      <w:r w:rsidRPr="0092561F">
        <w:t xml:space="preserve">čiai naudojamas ne tik moksliniuose tyrimuose, bet ir verslo praktikoje. Šiuo modeliu naudojosi tokie mokslininkai kaip </w:t>
      </w:r>
      <w:r w:rsidRPr="0092561F">
        <w:rPr>
          <w:i/>
          <w:lang w:val="en-US"/>
        </w:rPr>
        <w:t>Young ir kt. (2009), El-Bannany (2008), Kamath (2007</w:t>
      </w:r>
      <w:r w:rsidR="00BF3E79">
        <w:rPr>
          <w:i/>
          <w:lang w:val="en-US"/>
        </w:rPr>
        <w:t>), Goh (2005), Pulic (2000, 1998</w:t>
      </w:r>
      <w:r w:rsidRPr="0092561F">
        <w:rPr>
          <w:i/>
          <w:lang w:val="en-US"/>
        </w:rPr>
        <w:t>) ir kt.</w:t>
      </w:r>
    </w:p>
    <w:p w:rsidR="00091449" w:rsidRPr="0092561F" w:rsidRDefault="00091449" w:rsidP="00091449">
      <w:pPr>
        <w:spacing w:line="360" w:lineRule="auto"/>
        <w:ind w:firstLine="567"/>
        <w:jc w:val="both"/>
      </w:pPr>
      <w:r w:rsidRPr="0092561F">
        <w:t xml:space="preserve">Naudojantis intelektinio kapitalo vertinimo indikatoriais, galima kiekybiškai pamatuoti atskirų intelektinio kapitalo dalių lygį įmonėje. </w:t>
      </w:r>
      <w:r w:rsidR="0092561F" w:rsidRPr="0092561F">
        <w:t>5</w:t>
      </w:r>
      <w:r w:rsidRPr="0092561F">
        <w:t xml:space="preserve"> priede pateikti vertinimo rodikliai, tiksliau indeksai, kurie gali būti taikomi atskirų intelektinio kapitalo dalių vertinimui. </w:t>
      </w:r>
      <w:r w:rsidRPr="0092561F">
        <w:rPr>
          <w:lang w:val="en-US"/>
        </w:rPr>
        <w:t>Indeksais pagrįstų metodų privalumas, tiek finansiniu ir nefinasiniu požiūriu, naudojamas išorinei atskaitomybei, gali būti pritaikytas specialiai atskirų tipų organizacijoms (įskaitant pelno siekiančias, ir nepelno organizacijos, valstybei priklausančias įmones, bei atskiriems organizacijų padaliniams) bei skirtingiems organizacijų tikslams (</w:t>
      </w:r>
      <w:r w:rsidRPr="0092561F">
        <w:rPr>
          <w:i/>
          <w:lang w:val="en-US"/>
        </w:rPr>
        <w:t>Young ir kt., 2009</w:t>
      </w:r>
      <w:r w:rsidRPr="0092561F">
        <w:rPr>
          <w:lang w:val="en-US"/>
        </w:rPr>
        <w:t>).</w:t>
      </w:r>
    </w:p>
    <w:p w:rsidR="00091449" w:rsidRPr="0092561F" w:rsidRDefault="00091449" w:rsidP="0009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sidRPr="0092561F">
        <w:rPr>
          <w:lang w:val="en-US"/>
        </w:rPr>
        <w:t>Užsienio šalyse</w:t>
      </w:r>
      <w:r w:rsidR="00D36902">
        <w:rPr>
          <w:lang w:val="en-US"/>
        </w:rPr>
        <w:t xml:space="preserve"> atlikti tyrimai parodo pavyzdį</w:t>
      </w:r>
      <w:r w:rsidRPr="0092561F">
        <w:rPr>
          <w:lang w:val="en-US"/>
        </w:rPr>
        <w:t>, kaip nefinansiniai rodikliai gali tapti</w:t>
      </w:r>
      <w:r w:rsidRPr="00B1464F">
        <w:rPr>
          <w:color w:val="000090"/>
          <w:lang w:val="en-US"/>
        </w:rPr>
        <w:t xml:space="preserve"> </w:t>
      </w:r>
      <w:r w:rsidRPr="0092561F">
        <w:rPr>
          <w:lang w:val="en-US"/>
        </w:rPr>
        <w:t xml:space="preserve">organizacijos atskaitomybės dalimi, nors Lietuvoje kol kas įstatyminės bazės ar standartinės metodologijos nėra, kurią būtų galima taikyti vertinant Lietuvos įmonių intelektinį kapitalą </w:t>
      </w:r>
      <w:r w:rsidR="00C76C8F">
        <w:rPr>
          <w:i/>
          <w:lang w:val="en-US"/>
        </w:rPr>
        <w:t>(Mačerinskienė, Bartuševičienė</w:t>
      </w:r>
      <w:r w:rsidRPr="0092561F">
        <w:rPr>
          <w:i/>
          <w:lang w:val="en-US"/>
        </w:rPr>
        <w:t>, 2012).</w:t>
      </w:r>
      <w:r w:rsidRPr="0092561F">
        <w:rPr>
          <w:lang w:val="en-US"/>
        </w:rPr>
        <w:t xml:space="preserve"> Todėl reikėtų tik įmonių vadovų susidomėjimo intelektinio kapitalo galimybėmis, ir nefinansinių rodiklių skaičiavimas būtų įtrauktas į finansines ataskaitas ir laisvai pateikiamas suinteresuotoms šalims. O jeigu ir būtų skaičiuojami tokie rodikliai neatskleidžiami organizacijos klientams, tai būtų vertinga vidinė įmonės informacija. Intelektinio kapitalo ma</w:t>
      </w:r>
      <w:r w:rsidR="00BF3E79">
        <w:rPr>
          <w:lang w:val="en-US"/>
        </w:rPr>
        <w:t>tavimo technikos vis dar vystomos ir plėtojamos</w:t>
      </w:r>
      <w:r w:rsidRPr="0092561F">
        <w:rPr>
          <w:lang w:val="en-US"/>
        </w:rPr>
        <w:t>, ir mokslininkai bando pritaikyti konkurencinio pranašumo sąvoką (</w:t>
      </w:r>
      <w:r w:rsidRPr="0092561F">
        <w:rPr>
          <w:i/>
          <w:lang w:val="en-US"/>
        </w:rPr>
        <w:t>Hancock ir kt., 2007</w:t>
      </w:r>
      <w:r w:rsidRPr="0092561F">
        <w:rPr>
          <w:lang w:val="en-US"/>
        </w:rPr>
        <w:t>).</w:t>
      </w:r>
    </w:p>
    <w:p w:rsidR="00091449" w:rsidRPr="0092561F" w:rsidRDefault="00091449" w:rsidP="00091449">
      <w:pPr>
        <w:spacing w:line="360" w:lineRule="auto"/>
        <w:ind w:firstLine="567"/>
        <w:contextualSpacing/>
        <w:jc w:val="both"/>
      </w:pPr>
      <w:r w:rsidRPr="00D36902">
        <w:t>Apibendrinus, galima sakyti, kad š</w:t>
      </w:r>
      <w:r w:rsidRPr="00D36902">
        <w:rPr>
          <w:lang w:val="en-US"/>
        </w:rPr>
        <w:t xml:space="preserve">iandien priskaičiuojama daugiau kaip trisdešimt </w:t>
      </w:r>
      <w:r w:rsidRPr="00D36902">
        <w:rPr>
          <w:bCs/>
          <w:lang w:val="en-US"/>
        </w:rPr>
        <w:t>intelektualaus kapitalo vertinimo metod</w:t>
      </w:r>
      <w:r w:rsidR="00D36902" w:rsidRPr="00D36902">
        <w:rPr>
          <w:lang w:val="en-US"/>
        </w:rPr>
        <w:t>ų</w:t>
      </w:r>
      <w:r w:rsidRPr="00D36902">
        <w:t>, jie yra tiek kiekybiniai, tiek ir kokybiniai, tarpusavyje skiriasi ne tik skaičiavimo metodais, sudėtingumu, bet ir įvertinamais elementais, detalumu, interpretacijos galimybėmis, gautų</w:t>
      </w:r>
      <w:r w:rsidRPr="0092561F">
        <w:t xml:space="preserve"> rezultatų paskirtimi, reikalingos informacijos vertinimui prieinamumu, o vertinimą apsunkina reikiamos informacijos prieinamumas ir komplikuotas dedamųjų dalių identifikavimas. </w:t>
      </w:r>
      <w:r w:rsidRPr="0092561F">
        <w:rPr>
          <w:lang w:val="en-US"/>
        </w:rPr>
        <w:t>Pagrindinė problema yra ne naujų rodiklių kūrimas, bet jau turimų jų interpretavimas, rezultatų vertinimas. Tuo tarpu, VAIC</w:t>
      </w:r>
      <w:r w:rsidRPr="0092561F">
        <w:rPr>
          <w:rFonts w:eastAsia="MS Mincho"/>
          <w:lang w:val="en-US"/>
        </w:rPr>
        <w:t>™</w:t>
      </w:r>
      <w:r w:rsidRPr="0092561F">
        <w:rPr>
          <w:lang w:val="en-US"/>
        </w:rPr>
        <w:t xml:space="preserve"> metodas tapo svarbiu, paprastu ir efektyviu mokslininkų naudojamu rodikliu, matuojant intelektinio kapitalo apraiškas versle. </w:t>
      </w:r>
    </w:p>
    <w:p w:rsidR="00B57F31" w:rsidRPr="00DD7E0E" w:rsidRDefault="00B57F31" w:rsidP="0070574A">
      <w:pPr>
        <w:spacing w:line="360" w:lineRule="auto"/>
        <w:jc w:val="both"/>
        <w:rPr>
          <w:b/>
          <w:sz w:val="28"/>
          <w:szCs w:val="28"/>
          <w:lang w:val="en-US"/>
        </w:rPr>
      </w:pPr>
    </w:p>
    <w:p w:rsidR="0070574A" w:rsidRPr="007419A0" w:rsidRDefault="0070574A" w:rsidP="007419A0">
      <w:pPr>
        <w:pStyle w:val="ListParagraph"/>
        <w:numPr>
          <w:ilvl w:val="1"/>
          <w:numId w:val="6"/>
        </w:numPr>
        <w:spacing w:line="360" w:lineRule="auto"/>
        <w:ind w:left="0" w:firstLine="0"/>
        <w:jc w:val="center"/>
        <w:rPr>
          <w:rFonts w:ascii="Times New Roman" w:hAnsi="Times New Roman"/>
          <w:b/>
          <w:sz w:val="28"/>
          <w:szCs w:val="28"/>
        </w:rPr>
      </w:pPr>
      <w:r w:rsidRPr="007419A0">
        <w:rPr>
          <w:rFonts w:ascii="Times New Roman" w:hAnsi="Times New Roman"/>
          <w:b/>
          <w:sz w:val="28"/>
          <w:szCs w:val="28"/>
        </w:rPr>
        <w:t>Intelektinio kapitalo valdymo ypatumai</w:t>
      </w:r>
      <w:r w:rsidR="006D57F3" w:rsidRPr="007419A0">
        <w:rPr>
          <w:rFonts w:ascii="Times New Roman" w:hAnsi="Times New Roman"/>
          <w:b/>
          <w:sz w:val="28"/>
          <w:szCs w:val="28"/>
        </w:rPr>
        <w:t xml:space="preserve"> ir</w:t>
      </w:r>
      <w:r w:rsidRPr="007419A0">
        <w:rPr>
          <w:rFonts w:ascii="Times New Roman" w:hAnsi="Times New Roman"/>
          <w:b/>
          <w:sz w:val="28"/>
          <w:szCs w:val="28"/>
        </w:rPr>
        <w:t xml:space="preserve"> svarba šiuolaikinėje organizacijoje</w:t>
      </w:r>
    </w:p>
    <w:p w:rsidR="00734A9D" w:rsidRPr="006C4CB9" w:rsidRDefault="00734A9D" w:rsidP="007419A0">
      <w:pPr>
        <w:pStyle w:val="ListParagraph"/>
        <w:spacing w:line="360" w:lineRule="auto"/>
        <w:ind w:left="0"/>
        <w:jc w:val="both"/>
        <w:rPr>
          <w:rFonts w:ascii="Times New Roman" w:hAnsi="Times New Roman"/>
          <w:lang w:val="lt-LT"/>
        </w:rPr>
      </w:pPr>
    </w:p>
    <w:p w:rsidR="007419A0" w:rsidRPr="007419A0" w:rsidRDefault="00734A9D" w:rsidP="00741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contextualSpacing/>
        <w:jc w:val="both"/>
        <w:rPr>
          <w:lang w:val="en-US"/>
        </w:rPr>
      </w:pPr>
      <w:r w:rsidRPr="007419A0">
        <w:rPr>
          <w:lang w:val="en-US"/>
        </w:rPr>
        <w:t>Intelektinis kapi</w:t>
      </w:r>
      <w:r w:rsidR="00D36902">
        <w:rPr>
          <w:lang w:val="en-US"/>
        </w:rPr>
        <w:t>talas yra pagrindinis inovacijų</w:t>
      </w:r>
      <w:r w:rsidRPr="007419A0">
        <w:rPr>
          <w:lang w:val="en-US"/>
        </w:rPr>
        <w:t xml:space="preserve"> variklis, suteikiantis </w:t>
      </w:r>
      <w:r w:rsidR="00D36902">
        <w:t>įmonė</w:t>
      </w:r>
      <w:r w:rsidRPr="007419A0">
        <w:t>ms</w:t>
      </w:r>
      <w:r w:rsidR="00D36902">
        <w:rPr>
          <w:lang w:val="en-US"/>
        </w:rPr>
        <w:t xml:space="preserve"> konkurencinį pranašumą šiandieninėje žiniomis pagrįstoje ekonomikoje. Tradicinė</w:t>
      </w:r>
      <w:r w:rsidRPr="007419A0">
        <w:rPr>
          <w:lang w:val="en-US"/>
        </w:rPr>
        <w:t xml:space="preserve"> apskaita, kuri dažniausiai yra paremta finansine apskaita</w:t>
      </w:r>
      <w:r w:rsidR="00D36902">
        <w:rPr>
          <w:lang w:val="en-US"/>
        </w:rPr>
        <w:t>, yra pritaikyta tik materialių išteklių, kurie gali bū</w:t>
      </w:r>
      <w:r w:rsidRPr="007419A0">
        <w:rPr>
          <w:lang w:val="en-US"/>
        </w:rPr>
        <w:t>ti išreikšti piniginiais vienetais, apskaitai. Šiu</w:t>
      </w:r>
      <w:r w:rsidR="00D36902">
        <w:rPr>
          <w:lang w:val="en-US"/>
        </w:rPr>
        <w:t>olaikiniam verslui reikia naujų priemonių, kurios padėtų</w:t>
      </w:r>
      <w:r w:rsidRPr="007419A0">
        <w:rPr>
          <w:lang w:val="en-US"/>
        </w:rPr>
        <w:t xml:space="preserve"> apskaityti ir valdyti nematerialius organiz</w:t>
      </w:r>
      <w:r w:rsidR="00D36902">
        <w:rPr>
          <w:lang w:val="en-US"/>
        </w:rPr>
        <w:t>acijos išteklius – intelektualųjį kapitalą</w:t>
      </w:r>
      <w:r w:rsidRPr="007419A0">
        <w:rPr>
          <w:lang w:val="en-US"/>
        </w:rPr>
        <w:t>.</w:t>
      </w:r>
    </w:p>
    <w:p w:rsidR="00734A9D" w:rsidRPr="007419A0" w:rsidRDefault="00227B53" w:rsidP="00741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contextualSpacing/>
        <w:jc w:val="both"/>
        <w:rPr>
          <w:lang w:val="en-US"/>
        </w:rPr>
      </w:pPr>
      <w:r>
        <w:t>Dažnai mokslineje literatū</w:t>
      </w:r>
      <w:r w:rsidR="00BF3E79">
        <w:t>roje, nagrinė</w:t>
      </w:r>
      <w:r w:rsidR="00734A9D" w:rsidRPr="007419A0">
        <w:t>jant įvairius su kapitalu susijusius aspektus, akcentuojamas kapitalo valdymas. Analizuojant intelektinio kapitalo valdymo sąvoką, paaiškėjo, kad daugelis autorių formuoja nuostatą, jog intelektinio kapitalo plėtojimas, vystymas ir skatinimas yra svarbus veiksnys kurti organizacijos gerovę (</w:t>
      </w:r>
      <w:r w:rsidR="00734A9D" w:rsidRPr="007419A0">
        <w:rPr>
          <w:i/>
        </w:rPr>
        <w:t>Znakovaite, Pabedinskaite, 2010</w:t>
      </w:r>
      <w:r w:rsidR="00D36902">
        <w:t>). Intelektinį kapitalą sudėtinga identifikuoti, tač</w:t>
      </w:r>
      <w:r w:rsidR="00734A9D" w:rsidRPr="007419A0">
        <w:t>iau valdomas inte</w:t>
      </w:r>
      <w:r w:rsidR="00D36902">
        <w:t>lektinis kapitalas tampa varomąja kompanijos jėga, vedančia į pirmas pozicijas konkurencinė</w:t>
      </w:r>
      <w:r w:rsidR="00734A9D" w:rsidRPr="007419A0">
        <w:t>je kov</w:t>
      </w:r>
      <w:r w:rsidR="00D36902">
        <w:t>oje. Intelektinio kapitalo vertė</w:t>
      </w:r>
      <w:r w:rsidR="00734A9D" w:rsidRPr="007419A0">
        <w:t xml:space="preserve"> nepastovi ir priklauso nuo to kaip jis </w:t>
      </w:r>
      <w:r w:rsidR="00D36902">
        <w:t>yra valdomas, nuo valdymo kokybė</w:t>
      </w:r>
      <w:r w:rsidR="00734A9D" w:rsidRPr="007419A0">
        <w:t xml:space="preserve">s ir profesionalumo. </w:t>
      </w:r>
    </w:p>
    <w:p w:rsidR="00734A9D" w:rsidRPr="007419A0" w:rsidRDefault="00734A9D" w:rsidP="00741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contextualSpacing/>
        <w:jc w:val="both"/>
        <w:rPr>
          <w:lang w:val="en-US"/>
        </w:rPr>
      </w:pPr>
      <w:r w:rsidRPr="007419A0">
        <w:rPr>
          <w:rFonts w:eastAsiaTheme="minorEastAsia"/>
          <w:lang w:val="en-US"/>
        </w:rPr>
        <w:t>Intelektinis kapitalas išskiri</w:t>
      </w:r>
      <w:r w:rsidR="00D36902">
        <w:rPr>
          <w:rFonts w:eastAsiaTheme="minorEastAsia"/>
          <w:lang w:val="en-US"/>
        </w:rPr>
        <w:t>amas kaip vienas iš svarbiausių veiksnių į</w:t>
      </w:r>
      <w:r w:rsidRPr="007419A0">
        <w:rPr>
          <w:rFonts w:eastAsiaTheme="minorEastAsia"/>
          <w:lang w:val="en-US"/>
        </w:rPr>
        <w:t>monės valdymo efektyvumui gerinti ir pajamoms didinti arba, kitaip tariant, įmonės pridėtinės vertės kūrimui (</w:t>
      </w:r>
      <w:r w:rsidRPr="007419A0">
        <w:rPr>
          <w:rFonts w:eastAsiaTheme="minorEastAsia"/>
          <w:i/>
          <w:lang w:val="en-US"/>
        </w:rPr>
        <w:t>Pabedinskaitė, Znakovaitė, 2010, Mačerinskienė, Survilaitė, 2011)</w:t>
      </w:r>
      <w:r w:rsidRPr="007419A0">
        <w:rPr>
          <w:rFonts w:eastAsiaTheme="minorEastAsia"/>
          <w:lang w:val="en-US"/>
        </w:rPr>
        <w:t xml:space="preserve">. Tam pritaria ir </w:t>
      </w:r>
      <w:r w:rsidR="00D36902">
        <w:rPr>
          <w:rFonts w:eastAsiaTheme="minorEastAsia"/>
          <w:i/>
          <w:lang w:val="en-US"/>
        </w:rPr>
        <w:t>Bagdonienė</w:t>
      </w:r>
      <w:r w:rsidR="00452B27">
        <w:rPr>
          <w:rFonts w:eastAsiaTheme="minorEastAsia"/>
          <w:i/>
          <w:lang w:val="en-US"/>
        </w:rPr>
        <w:t xml:space="preserve"> ir kt. (20</w:t>
      </w:r>
      <w:r w:rsidRPr="007419A0">
        <w:rPr>
          <w:rFonts w:eastAsiaTheme="minorEastAsia"/>
          <w:i/>
          <w:lang w:val="en-US"/>
        </w:rPr>
        <w:t>0</w:t>
      </w:r>
      <w:r w:rsidR="00452B27">
        <w:rPr>
          <w:rFonts w:eastAsiaTheme="minorEastAsia"/>
          <w:i/>
          <w:lang w:val="en-US"/>
        </w:rPr>
        <w:t>7</w:t>
      </w:r>
      <w:r w:rsidRPr="007419A0">
        <w:rPr>
          <w:rFonts w:eastAsiaTheme="minorEastAsia"/>
          <w:i/>
          <w:lang w:val="en-US"/>
        </w:rPr>
        <w:t xml:space="preserve">) </w:t>
      </w:r>
      <w:r w:rsidRPr="007419A0">
        <w:rPr>
          <w:rFonts w:eastAsiaTheme="minorEastAsia"/>
          <w:lang w:val="en-US"/>
        </w:rPr>
        <w:t xml:space="preserve">teigdami, kad organizacijos vadovybė turėtų suprasti, kad intelektinis kapitalas yra atsinaujinantis resursas </w:t>
      </w:r>
      <w:r w:rsidR="00977AB2">
        <w:rPr>
          <w:rFonts w:eastAsiaTheme="minorEastAsia"/>
          <w:lang w:val="en-US"/>
        </w:rPr>
        <w:t>ir strateginis pranašumas, todė</w:t>
      </w:r>
      <w:r w:rsidRPr="007419A0">
        <w:rPr>
          <w:rFonts w:eastAsiaTheme="minorEastAsia"/>
          <w:lang w:val="en-US"/>
        </w:rPr>
        <w:t>l pagrindin</w:t>
      </w:r>
      <w:r w:rsidR="00977AB2">
        <w:rPr>
          <w:rFonts w:eastAsiaTheme="minorEastAsia"/>
          <w:lang w:val="en-US"/>
        </w:rPr>
        <w:t>is tikslas yra plėtoti veiksmingas, žinių filosofija grį</w:t>
      </w:r>
      <w:r w:rsidRPr="007419A0">
        <w:rPr>
          <w:rFonts w:eastAsiaTheme="minorEastAsia"/>
          <w:lang w:val="en-US"/>
        </w:rPr>
        <w:t>stas strategijas, integru</w:t>
      </w:r>
      <w:r w:rsidR="00977AB2">
        <w:rPr>
          <w:rFonts w:eastAsiaTheme="minorEastAsia"/>
          <w:lang w:val="en-US"/>
        </w:rPr>
        <w:t>oti naujas pastangas, profesinę patirtį, įgūdžius, interaktyvius gebėjimus siekiant sukurti pridėtinę vertę įmonė</w:t>
      </w:r>
      <w:r w:rsidRPr="007419A0">
        <w:rPr>
          <w:rFonts w:eastAsiaTheme="minorEastAsia"/>
          <w:lang w:val="en-US"/>
        </w:rPr>
        <w:t>s konkurencingumui.</w:t>
      </w:r>
    </w:p>
    <w:p w:rsidR="00734A9D" w:rsidRPr="00727928" w:rsidRDefault="00734A9D" w:rsidP="00734A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color w:val="000000"/>
          <w:lang w:val="en-US"/>
        </w:rPr>
      </w:pPr>
    </w:p>
    <w:p w:rsidR="00734A9D" w:rsidRPr="00C14BB3" w:rsidRDefault="00734A9D" w:rsidP="00734A9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20"/>
        <w:jc w:val="center"/>
        <w:rPr>
          <w:rFonts w:ascii="Times New Roman" w:hAnsi="Times New Roman"/>
          <w:color w:val="000000"/>
          <w:sz w:val="22"/>
          <w:szCs w:val="22"/>
          <w:lang w:val="en-US"/>
        </w:rPr>
      </w:pPr>
      <w:r w:rsidRPr="00C14BB3">
        <w:rPr>
          <w:rFonts w:ascii="Times New Roman" w:hAnsi="Times New Roman"/>
          <w:noProof/>
          <w:color w:val="000000"/>
          <w:sz w:val="22"/>
          <w:szCs w:val="22"/>
          <w:lang w:val="en-US"/>
        </w:rPr>
        <w:drawing>
          <wp:inline distT="0" distB="0" distL="0" distR="0">
            <wp:extent cx="3122930" cy="2874010"/>
            <wp:effectExtent l="57150" t="0" r="58420" b="4064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734A9D" w:rsidRPr="00BF3E79" w:rsidRDefault="00734A9D" w:rsidP="00734A9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20"/>
        <w:jc w:val="both"/>
        <w:rPr>
          <w:rFonts w:ascii="Times New Roman" w:hAnsi="Times New Roman"/>
          <w:sz w:val="20"/>
          <w:szCs w:val="20"/>
          <w:lang w:val="en-US"/>
        </w:rPr>
      </w:pPr>
      <w:r w:rsidRPr="00BF3E79">
        <w:rPr>
          <w:rFonts w:ascii="Times New Roman" w:hAnsi="Times New Roman"/>
          <w:b/>
          <w:sz w:val="20"/>
          <w:szCs w:val="20"/>
          <w:lang w:val="en-US"/>
        </w:rPr>
        <w:t>Šaltinis:</w:t>
      </w:r>
      <w:r w:rsidRPr="00BF3E79">
        <w:rPr>
          <w:rFonts w:ascii="Times New Roman" w:hAnsi="Times New Roman"/>
          <w:sz w:val="20"/>
          <w:szCs w:val="20"/>
          <w:lang w:val="en-US"/>
        </w:rPr>
        <w:t xml:space="preserve"> Mačerinskienė, Survilaitė (2011)</w:t>
      </w:r>
    </w:p>
    <w:p w:rsidR="00734A9D" w:rsidRPr="007419A0" w:rsidRDefault="006C6547" w:rsidP="00734A9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20"/>
        <w:jc w:val="center"/>
        <w:rPr>
          <w:rFonts w:ascii="Times New Roman" w:hAnsi="Times New Roman"/>
          <w:b/>
          <w:lang w:val="en-US"/>
        </w:rPr>
      </w:pPr>
      <w:r>
        <w:rPr>
          <w:rFonts w:ascii="Times New Roman" w:hAnsi="Times New Roman"/>
          <w:lang w:val="en-US"/>
        </w:rPr>
        <w:t>2</w:t>
      </w:r>
      <w:r w:rsidR="00734A9D" w:rsidRPr="007419A0">
        <w:rPr>
          <w:rFonts w:ascii="Times New Roman" w:hAnsi="Times New Roman"/>
          <w:lang w:val="en-US"/>
        </w:rPr>
        <w:t xml:space="preserve"> pav. </w:t>
      </w:r>
      <w:r w:rsidR="00734A9D" w:rsidRPr="007419A0">
        <w:rPr>
          <w:rFonts w:ascii="Times New Roman" w:hAnsi="Times New Roman"/>
          <w:b/>
          <w:lang w:val="en-US"/>
        </w:rPr>
        <w:t>Intelektinio kapitalo įtaka įmonės vertės kūrimui</w:t>
      </w:r>
    </w:p>
    <w:p w:rsidR="007419A0" w:rsidRPr="007419A0" w:rsidRDefault="007419A0" w:rsidP="007419A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567"/>
        <w:jc w:val="both"/>
        <w:rPr>
          <w:rFonts w:ascii="Times New Roman" w:hAnsi="Times New Roman"/>
        </w:rPr>
      </w:pPr>
    </w:p>
    <w:p w:rsidR="007419A0" w:rsidRPr="007419A0" w:rsidRDefault="007419A0" w:rsidP="007419A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567"/>
        <w:jc w:val="both"/>
        <w:rPr>
          <w:rFonts w:ascii="Times New Roman" w:hAnsi="Times New Roman"/>
        </w:rPr>
      </w:pPr>
      <w:r w:rsidRPr="007419A0">
        <w:rPr>
          <w:rFonts w:ascii="Times New Roman" w:hAnsi="Times New Roman"/>
        </w:rPr>
        <w:t xml:space="preserve">Iš </w:t>
      </w:r>
      <w:r w:rsidR="006C6547">
        <w:rPr>
          <w:rFonts w:ascii="Times New Roman" w:hAnsi="Times New Roman"/>
        </w:rPr>
        <w:t xml:space="preserve">2 </w:t>
      </w:r>
      <w:r w:rsidRPr="007419A0">
        <w:rPr>
          <w:rFonts w:ascii="Times New Roman" w:hAnsi="Times New Roman"/>
        </w:rPr>
        <w:t>paveikslo galima spręsti, jog intelektinio kapitalo dedamosios (žmogiškasis, struktūrinis ir socialinis kapitalai), kuria neapčiuopiamą vertę, kuri generuoja įmonės darbuotojų žinias, gebėjimus ir įgūdžius. Ko pasekoje skatinamas tobulėjimas, įgyjama kompetencija, kuri virsta įmonės konkurenciniu pranašumu, o rezultatas to – pridėtinė vertė (</w:t>
      </w:r>
      <w:r w:rsidRPr="007419A0">
        <w:rPr>
          <w:rFonts w:ascii="Times New Roman" w:hAnsi="Times New Roman"/>
          <w:i/>
        </w:rPr>
        <w:t>Mačerinskienė, Survilaite, 2011</w:t>
      </w:r>
      <w:r w:rsidRPr="007419A0">
        <w:rPr>
          <w:rFonts w:ascii="Times New Roman" w:hAnsi="Times New Roman"/>
        </w:rPr>
        <w:t>).</w:t>
      </w:r>
    </w:p>
    <w:p w:rsidR="007419A0" w:rsidRPr="007419A0" w:rsidRDefault="007419A0" w:rsidP="007419A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567"/>
        <w:jc w:val="both"/>
        <w:rPr>
          <w:rFonts w:ascii="Times New Roman" w:hAnsi="Times New Roman"/>
          <w:b/>
          <w:lang w:val="en-US"/>
        </w:rPr>
      </w:pPr>
      <w:r w:rsidRPr="007419A0">
        <w:rPr>
          <w:rFonts w:ascii="Times New Roman" w:eastAsiaTheme="minorEastAsia" w:hAnsi="Times New Roman"/>
        </w:rPr>
        <w:t xml:space="preserve">Pasak </w:t>
      </w:r>
      <w:r w:rsidRPr="007419A0">
        <w:rPr>
          <w:rFonts w:ascii="Times New Roman" w:eastAsiaTheme="minorEastAsia" w:hAnsi="Times New Roman"/>
          <w:i/>
        </w:rPr>
        <w:t>Pabedinskaitės ir Znakovaitės (2010),</w:t>
      </w:r>
      <w:r w:rsidR="00977AB2">
        <w:rPr>
          <w:rFonts w:ascii="Times New Roman" w:eastAsiaTheme="minorEastAsia" w:hAnsi="Times New Roman"/>
        </w:rPr>
        <w:t xml:space="preserve"> įmonės, kurios neinvestuoja į intelektinį kapitalą, neišvengiamai atsilieka, todė</w:t>
      </w:r>
      <w:r w:rsidRPr="007419A0">
        <w:rPr>
          <w:rFonts w:ascii="Times New Roman" w:eastAsiaTheme="minorEastAsia" w:hAnsi="Times New Roman"/>
        </w:rPr>
        <w:t>l efektyvus intelekti</w:t>
      </w:r>
      <w:r w:rsidR="00977AB2">
        <w:rPr>
          <w:rFonts w:ascii="Times New Roman" w:eastAsiaTheme="minorEastAsia" w:hAnsi="Times New Roman"/>
        </w:rPr>
        <w:t>nio kapitalo valdymas gali padėti užtikrinti įmonės išlikimą ir klestėjimą</w:t>
      </w:r>
      <w:r w:rsidRPr="007419A0">
        <w:rPr>
          <w:rFonts w:ascii="Times New Roman" w:eastAsiaTheme="minorEastAsia" w:hAnsi="Times New Roman"/>
        </w:rPr>
        <w:t xml:space="preserve"> naujoje ekonomikoje. </w:t>
      </w:r>
      <w:r w:rsidRPr="007419A0">
        <w:rPr>
          <w:rFonts w:ascii="Times New Roman" w:hAnsi="Times New Roman"/>
          <w:i/>
        </w:rPr>
        <w:t>Stankevičienė, Liucvaitienė (2012)</w:t>
      </w:r>
      <w:r w:rsidRPr="007419A0">
        <w:rPr>
          <w:rFonts w:ascii="Times New Roman" w:hAnsi="Times New Roman"/>
        </w:rPr>
        <w:t xml:space="preserve"> išskiria šiuos </w:t>
      </w:r>
      <w:r w:rsidR="00977AB2">
        <w:rPr>
          <w:rFonts w:ascii="Times New Roman" w:hAnsi="Times New Roman"/>
        </w:rPr>
        <w:t>intelektinio kapitalo valdymo būdus: intelektinė</w:t>
      </w:r>
      <w:r w:rsidRPr="007419A0">
        <w:rPr>
          <w:rFonts w:ascii="Times New Roman" w:hAnsi="Times New Roman"/>
        </w:rPr>
        <w:t xml:space="preserve"> nauda gauna</w:t>
      </w:r>
      <w:r w:rsidR="00977AB2">
        <w:rPr>
          <w:rFonts w:ascii="Times New Roman" w:hAnsi="Times New Roman"/>
        </w:rPr>
        <w:t>ma naudojantis žmogiškaisiais iš</w:t>
      </w:r>
      <w:r w:rsidRPr="007419A0">
        <w:rPr>
          <w:rFonts w:ascii="Times New Roman" w:hAnsi="Times New Roman"/>
        </w:rPr>
        <w:t>tekliais arba pasitelkiant</w:t>
      </w:r>
      <w:r w:rsidR="00977AB2">
        <w:rPr>
          <w:rFonts w:ascii="Times New Roman" w:hAnsi="Times New Roman"/>
        </w:rPr>
        <w:t xml:space="preserve"> intelektinės nuosavybės valdymą, intelektinės naudos vadybą</w:t>
      </w:r>
      <w:r w:rsidRPr="007419A0">
        <w:rPr>
          <w:rFonts w:ascii="Times New Roman" w:hAnsi="Times New Roman"/>
        </w:rPr>
        <w:t xml:space="preserve"> b</w:t>
      </w:r>
      <w:r w:rsidR="00977AB2">
        <w:rPr>
          <w:rFonts w:ascii="Times New Roman" w:hAnsi="Times New Roman"/>
        </w:rPr>
        <w:t>ei intelektinio kapitalo valdymą</w:t>
      </w:r>
      <w:r w:rsidRPr="007419A0">
        <w:rPr>
          <w:rFonts w:ascii="Times New Roman" w:hAnsi="Times New Roman"/>
        </w:rPr>
        <w:t xml:space="preserve">. </w:t>
      </w:r>
    </w:p>
    <w:p w:rsidR="00734A9D" w:rsidRPr="007419A0" w:rsidRDefault="00734A9D" w:rsidP="007419A0">
      <w:pPr>
        <w:spacing w:line="360" w:lineRule="auto"/>
        <w:ind w:firstLine="567"/>
        <w:jc w:val="both"/>
      </w:pPr>
      <w:r w:rsidRPr="007419A0">
        <w:rPr>
          <w:rFonts w:eastAsiaTheme="minorEastAsia"/>
          <w:lang w:val="en-US"/>
        </w:rPr>
        <w:t xml:space="preserve">Vienas svarbiausių intelektinio kapitalo valdymo komponentų – </w:t>
      </w:r>
      <w:r w:rsidR="00977AB2">
        <w:rPr>
          <w:rFonts w:eastAsiaTheme="minorEastAsia"/>
          <w:lang w:val="en-US"/>
        </w:rPr>
        <w:t>žmogiškasis kapitalas. Žmogiškųjų išteklių valdymo sistema turėtų būti nukreipta į intelektinį kapitalą kaip pagrindinis indėlis į organizacijos darnų vystymą</w:t>
      </w:r>
      <w:r w:rsidRPr="007419A0">
        <w:rPr>
          <w:rFonts w:eastAsiaTheme="minorEastAsia"/>
          <w:lang w:val="en-US"/>
        </w:rPr>
        <w:t>si (</w:t>
      </w:r>
      <w:r w:rsidRPr="007419A0">
        <w:rPr>
          <w:rFonts w:eastAsiaTheme="minorEastAsia"/>
          <w:i/>
          <w:lang w:val="en-US"/>
        </w:rPr>
        <w:t>Barkauskas, 2009</w:t>
      </w:r>
      <w:r w:rsidRPr="007419A0">
        <w:rPr>
          <w:rFonts w:eastAsiaTheme="minorEastAsia"/>
          <w:lang w:val="en-US"/>
        </w:rPr>
        <w:t xml:space="preserve">). Nors žmogiškojo kapitalo nauda organizacijoje </w:t>
      </w:r>
      <w:r w:rsidR="00977AB2">
        <w:rPr>
          <w:rFonts w:eastAsiaTheme="minorEastAsia"/>
          <w:lang w:val="en-US"/>
        </w:rPr>
        <w:t>pripažinta seniai, tik jo vertės nustatymui nė</w:t>
      </w:r>
      <w:r w:rsidRPr="007419A0">
        <w:rPr>
          <w:rFonts w:eastAsiaTheme="minorEastAsia"/>
          <w:lang w:val="en-US"/>
        </w:rPr>
        <w:t>ra vieningos metodikos (</w:t>
      </w:r>
      <w:r w:rsidRPr="007419A0">
        <w:rPr>
          <w:rFonts w:eastAsiaTheme="minorEastAsia"/>
          <w:i/>
          <w:lang w:val="en-US"/>
        </w:rPr>
        <w:t>Rudytė, Bužinskienė, 2012)</w:t>
      </w:r>
      <w:r w:rsidRPr="007419A0">
        <w:t xml:space="preserve">. Pasak, </w:t>
      </w:r>
      <w:r w:rsidRPr="007419A0">
        <w:rPr>
          <w:i/>
        </w:rPr>
        <w:t>Pulic (1998)</w:t>
      </w:r>
      <w:r w:rsidRPr="007419A0">
        <w:t xml:space="preserve">, </w:t>
      </w:r>
      <w:r w:rsidR="00977AB2">
        <w:rPr>
          <w:lang w:val="en-US"/>
        </w:rPr>
        <w:t>visa kompanijos darbuotojų struktū</w:t>
      </w:r>
      <w:r w:rsidRPr="007419A0">
        <w:rPr>
          <w:lang w:val="en-US"/>
        </w:rPr>
        <w:t xml:space="preserve">ra yra atsakinga </w:t>
      </w:r>
      <w:r w:rsidR="00977AB2">
        <w:rPr>
          <w:lang w:val="en-US"/>
        </w:rPr>
        <w:t>už jos intelektinio kapitalo kūrimą, ir į tai turi bū</w:t>
      </w:r>
      <w:r w:rsidRPr="007419A0">
        <w:rPr>
          <w:lang w:val="en-US"/>
        </w:rPr>
        <w:t>ti atsižvelgta.</w:t>
      </w:r>
      <w:r w:rsidR="00C418E7">
        <w:rPr>
          <w:lang w:val="en-US"/>
        </w:rPr>
        <w:t xml:space="preserve"> Didžioji dalis įmonės darbo jė</w:t>
      </w:r>
      <w:r w:rsidRPr="007419A0">
        <w:rPr>
          <w:lang w:val="en-US"/>
        </w:rPr>
        <w:t xml:space="preserve">gos yra susijusi su „informacija ir tai </w:t>
      </w:r>
      <w:r w:rsidR="00C418E7">
        <w:rPr>
          <w:lang w:val="en-US"/>
        </w:rPr>
        <w:t>yra galimybė</w:t>
      </w:r>
      <w:r w:rsidRPr="007419A0">
        <w:rPr>
          <w:lang w:val="en-US"/>
        </w:rPr>
        <w:t xml:space="preserve"> t</w:t>
      </w:r>
      <w:r w:rsidR="00C418E7">
        <w:rPr>
          <w:lang w:val="en-US"/>
        </w:rPr>
        <w:t>okiems darbuotojams pakeisti ją į pelningą veiklą</w:t>
      </w:r>
      <w:r w:rsidRPr="007419A0">
        <w:rPr>
          <w:lang w:val="en-US"/>
        </w:rPr>
        <w:t xml:space="preserve">“ </w:t>
      </w:r>
      <w:r w:rsidR="00A873A5">
        <w:rPr>
          <w:i/>
          <w:lang w:val="en-US"/>
        </w:rPr>
        <w:t>(Pulic, Bornemann, 2001</w:t>
      </w:r>
      <w:r w:rsidRPr="007419A0">
        <w:rPr>
          <w:i/>
          <w:lang w:val="en-US"/>
        </w:rPr>
        <w:t>)</w:t>
      </w:r>
      <w:r w:rsidRPr="007419A0">
        <w:rPr>
          <w:lang w:val="en-US"/>
        </w:rPr>
        <w:t xml:space="preserve">. Galima daryti </w:t>
      </w:r>
      <w:r w:rsidR="00C418E7">
        <w:t>išvadą</w:t>
      </w:r>
      <w:r w:rsidRPr="007419A0">
        <w:t>, kad</w:t>
      </w:r>
      <w:r w:rsidR="00C418E7">
        <w:rPr>
          <w:lang w:val="en-US"/>
        </w:rPr>
        <w:t xml:space="preserve"> dėl pasiekimų</w:t>
      </w:r>
      <w:r w:rsidRPr="007419A0">
        <w:rPr>
          <w:lang w:val="en-US"/>
        </w:rPr>
        <w:t xml:space="preserve"> rinkoje yra atsakingi organizacijos darbuo</w:t>
      </w:r>
      <w:r w:rsidR="00C418E7">
        <w:rPr>
          <w:lang w:val="en-US"/>
        </w:rPr>
        <w:t>tojai. Todėl reikalinga skaičiavimo metodika, kuri pamatuotų intelektinį kapitalą įmonėje ir būtų atsižvelgta į darbuotojų vaidmenį</w:t>
      </w:r>
      <w:r w:rsidRPr="007419A0">
        <w:rPr>
          <w:lang w:val="en-US"/>
        </w:rPr>
        <w:t xml:space="preserve"> joje.</w:t>
      </w:r>
    </w:p>
    <w:p w:rsidR="00734A9D" w:rsidRPr="007419A0" w:rsidRDefault="00734A9D" w:rsidP="00741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sidRPr="007419A0">
        <w:rPr>
          <w:lang w:val="en-US"/>
        </w:rPr>
        <w:t>Populiarus posakis, kad “ką galima įvertinti, tą reikia valdyti” (</w:t>
      </w:r>
      <w:r w:rsidRPr="007419A0">
        <w:rPr>
          <w:i/>
          <w:lang w:val="en-US"/>
        </w:rPr>
        <w:t xml:space="preserve">angl. </w:t>
      </w:r>
      <w:r w:rsidRPr="007419A0">
        <w:rPr>
          <w:lang w:val="en-US"/>
        </w:rPr>
        <w:t xml:space="preserve">“What gets measured gets managed”), kaip jau vadyboje priimtina žinoti, kad verslas gali kurti ir plėtoti intelektinį kapitalą, žinodamas kokių veiksmų derėtų imtis, siekiant išlikti konkurencingam. O apskaita kaip tik gali padėti valdyti šioje srityje. Intelektinio kapitalo ataskaitų nauda apibūdinama kaip: skaidrumo padidinimas, ko pasekoje dėl mažesnių kapitalo sąnaudų kyla akcijų kaina, be to tai padeda įkvėpti tikėjimo jausmą tarp darbuotojų ir kitų suinteresuotųjų šalių, palaiko ilgalaikę bendravimo viziją, ir tai pat gali būti naudojama kaip rinkodaros įrankis </w:t>
      </w:r>
      <w:r w:rsidRPr="007419A0">
        <w:rPr>
          <w:i/>
          <w:lang w:val="en-US"/>
        </w:rPr>
        <w:t>(</w:t>
      </w:r>
      <w:r w:rsidRPr="007419A0">
        <w:rPr>
          <w:i/>
        </w:rPr>
        <w:t>Seetharaman ir kt., 2002</w:t>
      </w:r>
      <w:r w:rsidRPr="007419A0">
        <w:rPr>
          <w:i/>
          <w:lang w:val="en-US"/>
        </w:rPr>
        <w:t>).</w:t>
      </w:r>
      <w:r w:rsidR="00C418E7">
        <w:rPr>
          <w:lang w:val="en-US"/>
        </w:rPr>
        <w:t xml:space="preserve"> Susidomė</w:t>
      </w:r>
      <w:r w:rsidRPr="007419A0">
        <w:rPr>
          <w:lang w:val="en-US"/>
        </w:rPr>
        <w:t>jimas intelektinio kapitalo apskaita didėja – vis daugiau įmonių pasaulyje rengia intelektinio kapitalo ataskaitas, kuriami ir tobulinami intelektinio kapitalo apskaitos modeliai ir metodai. Intelektinio</w:t>
      </w:r>
      <w:r w:rsidR="00C418E7">
        <w:rPr>
          <w:lang w:val="en-US"/>
        </w:rPr>
        <w:t xml:space="preserve"> kapitalo apskaita ir ataskaitų rengimas gali bū</w:t>
      </w:r>
      <w:r w:rsidRPr="007419A0">
        <w:rPr>
          <w:lang w:val="en-US"/>
        </w:rPr>
        <w:t xml:space="preserve">ti dvejopas: </w:t>
      </w:r>
    </w:p>
    <w:p w:rsidR="00734A9D" w:rsidRPr="007419A0" w:rsidRDefault="00C418E7" w:rsidP="007419A0">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567"/>
        <w:jc w:val="both"/>
        <w:rPr>
          <w:rFonts w:ascii="Times New Roman" w:hAnsi="Times New Roman"/>
          <w:lang w:val="en-US"/>
        </w:rPr>
      </w:pPr>
      <w:r>
        <w:rPr>
          <w:rFonts w:ascii="Times New Roman" w:hAnsi="Times New Roman"/>
          <w:lang w:val="en-US"/>
        </w:rPr>
        <w:t>vidinė</w:t>
      </w:r>
      <w:r w:rsidR="00734A9D" w:rsidRPr="007419A0">
        <w:rPr>
          <w:rFonts w:ascii="Times New Roman" w:hAnsi="Times New Roman"/>
          <w:lang w:val="en-US"/>
        </w:rPr>
        <w:t xml:space="preserve"> informacija įmonės valdymui;</w:t>
      </w:r>
    </w:p>
    <w:p w:rsidR="00734A9D" w:rsidRPr="007419A0" w:rsidRDefault="00C418E7" w:rsidP="007419A0">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567"/>
        <w:jc w:val="both"/>
        <w:rPr>
          <w:rFonts w:ascii="Times New Roman" w:hAnsi="Times New Roman"/>
          <w:lang w:val="en-US"/>
        </w:rPr>
      </w:pPr>
      <w:r>
        <w:rPr>
          <w:rFonts w:ascii="Times New Roman" w:hAnsi="Times New Roman"/>
          <w:lang w:val="en-US"/>
        </w:rPr>
        <w:t>išorinė</w:t>
      </w:r>
      <w:r w:rsidR="00734A9D" w:rsidRPr="007419A0">
        <w:rPr>
          <w:rFonts w:ascii="Times New Roman" w:hAnsi="Times New Roman"/>
          <w:lang w:val="en-US"/>
        </w:rPr>
        <w:t xml:space="preserve"> informacija investuotojams, partneriams, klientams.</w:t>
      </w:r>
    </w:p>
    <w:p w:rsidR="00734A9D" w:rsidRPr="007419A0" w:rsidRDefault="00734A9D" w:rsidP="00741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sidRPr="007419A0">
        <w:rPr>
          <w:lang w:val="en-US"/>
        </w:rPr>
        <w:t xml:space="preserve">Tokiu atveju įmonės partneriai, klientai ir investuotojai mato ne tik finansinius veiklos rodiklius, </w:t>
      </w:r>
      <w:r w:rsidR="00C418E7">
        <w:rPr>
          <w:lang w:val="en-US"/>
        </w:rPr>
        <w:t>bet ir organizacijos potencialą</w:t>
      </w:r>
      <w:r w:rsidRPr="007419A0">
        <w:rPr>
          <w:lang w:val="en-US"/>
        </w:rPr>
        <w:t xml:space="preserve">, kuris slypi organizacijos darbuotojuose, ryšiuose su </w:t>
      </w:r>
      <w:r w:rsidR="00C418E7">
        <w:rPr>
          <w:lang w:val="en-US"/>
        </w:rPr>
        <w:t>klientais, partneriais, kaip sė</w:t>
      </w:r>
      <w:r w:rsidRPr="007419A0">
        <w:rPr>
          <w:lang w:val="en-US"/>
        </w:rPr>
        <w:t>kmingai yra organizuojamas darbas organizacijos viduje. Tokia papildoma informacija, šalia įprastų finansinių ataskaitų, įmonę daro p</w:t>
      </w:r>
      <w:r w:rsidR="00C418E7">
        <w:rPr>
          <w:lang w:val="en-US"/>
        </w:rPr>
        <w:t>atrauklesne investuotojams, būs</w:t>
      </w:r>
      <w:r w:rsidRPr="007419A0">
        <w:rPr>
          <w:lang w:val="en-US"/>
        </w:rPr>
        <w:t>imiems partneriams, klientams ir darbuotojams.</w:t>
      </w:r>
    </w:p>
    <w:p w:rsidR="00734A9D" w:rsidRPr="007419A0" w:rsidRDefault="00734A9D" w:rsidP="00741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rFonts w:eastAsiaTheme="minorEastAsia"/>
          <w:lang w:val="en-US"/>
        </w:rPr>
      </w:pPr>
      <w:r w:rsidRPr="007419A0">
        <w:rPr>
          <w:rFonts w:eastAsiaTheme="minorEastAsia"/>
          <w:i/>
          <w:lang w:val="en-US"/>
        </w:rPr>
        <w:t>Užienė (2009)</w:t>
      </w:r>
      <w:r w:rsidRPr="007419A0">
        <w:rPr>
          <w:rFonts w:eastAsiaTheme="minorEastAsia"/>
          <w:lang w:val="en-US"/>
        </w:rPr>
        <w:t xml:space="preserve"> teigė reikalingas intelektinio kapitalo tiek vidaus, tiek išorės auditas, kurio tiksla</w:t>
      </w:r>
      <w:r w:rsidR="00C418E7">
        <w:rPr>
          <w:rFonts w:eastAsiaTheme="minorEastAsia"/>
          <w:lang w:val="en-US"/>
        </w:rPr>
        <w:t>s praturtinti valdymo sprendimų priėmimo procesą</w:t>
      </w:r>
      <w:r w:rsidRPr="007419A0">
        <w:rPr>
          <w:rFonts w:eastAsiaTheme="minorEastAsia"/>
          <w:lang w:val="en-US"/>
        </w:rPr>
        <w:t xml:space="preserve"> ir patikrinti viešo</w:t>
      </w:r>
      <w:r w:rsidR="00C418E7">
        <w:rPr>
          <w:rFonts w:eastAsiaTheme="minorEastAsia"/>
          <w:lang w:val="en-US"/>
        </w:rPr>
        <w:t>s informacijos apie intelektinį kapitalą objektyvumą</w:t>
      </w:r>
      <w:r w:rsidRPr="007419A0">
        <w:rPr>
          <w:rFonts w:eastAsiaTheme="minorEastAsia"/>
          <w:lang w:val="en-US"/>
        </w:rPr>
        <w:t>.</w:t>
      </w:r>
    </w:p>
    <w:p w:rsidR="00734A9D" w:rsidRPr="007419A0" w:rsidRDefault="00C418E7" w:rsidP="007419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Pr>
          <w:lang w:val="en-US"/>
        </w:rPr>
        <w:t>Įprasti finansiniai skaič</w:t>
      </w:r>
      <w:r w:rsidR="00734A9D" w:rsidRPr="007419A0">
        <w:rPr>
          <w:lang w:val="en-US"/>
        </w:rPr>
        <w:t>iavimai pa</w:t>
      </w:r>
      <w:r>
        <w:rPr>
          <w:lang w:val="en-US"/>
        </w:rPr>
        <w:t>teikia tik buvusią informaciją apie įmonę</w:t>
      </w:r>
      <w:r w:rsidR="00734A9D" w:rsidRPr="007419A0">
        <w:rPr>
          <w:lang w:val="en-US"/>
        </w:rPr>
        <w:t>. Papildo</w:t>
      </w:r>
      <w:r>
        <w:rPr>
          <w:lang w:val="en-US"/>
        </w:rPr>
        <w:t>ma informacija apie intelektinį kapitalą reikalinga tam, kad būtų suprastos ir dabartinė</w:t>
      </w:r>
      <w:r w:rsidR="00734A9D" w:rsidRPr="007419A0">
        <w:rPr>
          <w:lang w:val="en-US"/>
        </w:rPr>
        <w:t xml:space="preserve">s, ir ateities </w:t>
      </w:r>
      <w:r>
        <w:t>galimybė</w:t>
      </w:r>
      <w:r w:rsidR="00734A9D" w:rsidRPr="007419A0">
        <w:t>s (</w:t>
      </w:r>
      <w:r w:rsidR="00734A9D" w:rsidRPr="007419A0">
        <w:rPr>
          <w:i/>
        </w:rPr>
        <w:t>Edvinsson, Malone, 1997</w:t>
      </w:r>
      <w:r w:rsidR="00734A9D" w:rsidRPr="007419A0">
        <w:t>). Svarbu,</w:t>
      </w:r>
      <w:r>
        <w:t xml:space="preserve"> kad intelektiniai ištekliai būtų</w:t>
      </w:r>
      <w:r w:rsidR="00734A9D" w:rsidRPr="007419A0">
        <w:t xml:space="preserve"> tin</w:t>
      </w:r>
      <w:r>
        <w:t>kamai suprasti ir valdomi, jei įmonė tikisi sėkmingai konkuruoti šiuolaikinė</w:t>
      </w:r>
      <w:r w:rsidR="00734A9D" w:rsidRPr="007419A0">
        <w:t>je ekonomikoje.</w:t>
      </w:r>
    </w:p>
    <w:p w:rsidR="0070574A" w:rsidRPr="007419A0" w:rsidRDefault="00734A9D" w:rsidP="007419A0">
      <w:pPr>
        <w:spacing w:line="360" w:lineRule="auto"/>
        <w:ind w:firstLine="567"/>
        <w:jc w:val="both"/>
        <w:rPr>
          <w:rFonts w:eastAsiaTheme="minorEastAsia"/>
          <w:lang w:val="en-US"/>
        </w:rPr>
      </w:pPr>
      <w:r w:rsidRPr="007419A0">
        <w:rPr>
          <w:lang w:val="en-US"/>
        </w:rPr>
        <w:t>Apibendrinant, galima teigti, jog intelektualaus kapitalo koncepcija, tai</w:t>
      </w:r>
      <w:r w:rsidR="00C418E7">
        <w:rPr>
          <w:lang w:val="en-US"/>
        </w:rPr>
        <w:t xml:space="preserve"> naujas požiūris į verslą, kuris turi bū</w:t>
      </w:r>
      <w:r w:rsidRPr="007419A0">
        <w:rPr>
          <w:lang w:val="en-US"/>
        </w:rPr>
        <w:t xml:space="preserve">ti pritaikytas organizacijos valdymo sistemose. </w:t>
      </w:r>
      <w:r w:rsidRPr="007419A0">
        <w:t>Intelektinio kapitalo valdyma</w:t>
      </w:r>
      <w:r w:rsidR="00C418E7">
        <w:t>s betarpiškai susietas su įmonės vidinių procesų gerinimu ir žmogiškųjų resursų tobulinimu. Didelė</w:t>
      </w:r>
      <w:r w:rsidRPr="007419A0">
        <w:t xml:space="preserve"> intelektinio kapitalo dalis yr</w:t>
      </w:r>
      <w:r w:rsidR="00C418E7">
        <w:t>a už įmonės ribų ir įmonė gali sąlygoti savo vertę</w:t>
      </w:r>
      <w:r w:rsidRPr="007419A0">
        <w:t xml:space="preserve"> komunikuodama s</w:t>
      </w:r>
      <w:r w:rsidR="00C418E7">
        <w:t>u savo klientais, vertindama jų</w:t>
      </w:r>
      <w:r w:rsidRPr="007419A0">
        <w:t xml:space="preserve"> poreikius. </w:t>
      </w:r>
      <w:r w:rsidRPr="007419A0">
        <w:rPr>
          <w:rFonts w:eastAsiaTheme="minorEastAsia"/>
          <w:lang w:val="en-US"/>
        </w:rPr>
        <w:t>Intelektualus kapitalas, kuris sukauptas organizacijos mokymosi pagalba, organizacijai yra reikaling</w:t>
      </w:r>
      <w:r w:rsidR="00C418E7">
        <w:rPr>
          <w:rFonts w:eastAsiaTheme="minorEastAsia"/>
          <w:lang w:val="en-US"/>
        </w:rPr>
        <w:t>as, norint sukurti konkurencinį pranašumą</w:t>
      </w:r>
      <w:r w:rsidRPr="007419A0">
        <w:rPr>
          <w:rFonts w:eastAsiaTheme="minorEastAsia"/>
          <w:lang w:val="en-US"/>
        </w:rPr>
        <w:t xml:space="preserve">. </w:t>
      </w:r>
      <w:r w:rsidRPr="007419A0">
        <w:rPr>
          <w:lang w:val="en-US"/>
        </w:rPr>
        <w:t>Apsk</w:t>
      </w:r>
      <w:r w:rsidR="005E782D">
        <w:rPr>
          <w:lang w:val="en-US"/>
        </w:rPr>
        <w:t>aitoje i</w:t>
      </w:r>
      <w:r w:rsidR="00C418E7">
        <w:rPr>
          <w:lang w:val="en-US"/>
        </w:rPr>
        <w:t>ntelektinio kapitalo są</w:t>
      </w:r>
      <w:r w:rsidRPr="007419A0">
        <w:rPr>
          <w:lang w:val="en-US"/>
        </w:rPr>
        <w:t>voka yra vartojama kaip nematerialaus turto, tuo tarpu vadybos</w:t>
      </w:r>
      <w:r w:rsidR="005E782D">
        <w:rPr>
          <w:lang w:val="en-US"/>
        </w:rPr>
        <w:t xml:space="preserve"> teorijoje koncentruojamasi į ž</w:t>
      </w:r>
      <w:r w:rsidRPr="007419A0">
        <w:rPr>
          <w:lang w:val="en-US"/>
        </w:rPr>
        <w:t xml:space="preserve">inias, </w:t>
      </w:r>
      <w:r w:rsidR="005E782D">
        <w:rPr>
          <w:lang w:val="en-US"/>
        </w:rPr>
        <w:t>gebė</w:t>
      </w:r>
      <w:r w:rsidRPr="007419A0">
        <w:rPr>
          <w:lang w:val="en-US"/>
        </w:rPr>
        <w:t>jimus ir kompeten</w:t>
      </w:r>
      <w:r w:rsidR="005E782D">
        <w:rPr>
          <w:lang w:val="en-US"/>
        </w:rPr>
        <w:t>cijas. Intelektinio kapitalo sąvoka apibū</w:t>
      </w:r>
      <w:r w:rsidRPr="007419A0">
        <w:rPr>
          <w:lang w:val="en-US"/>
        </w:rPr>
        <w:t>dinami ino</w:t>
      </w:r>
      <w:r w:rsidR="005E782D">
        <w:rPr>
          <w:lang w:val="en-US"/>
        </w:rPr>
        <w:t>vacijas skatinantys nematerialūs iš</w:t>
      </w:r>
      <w:r w:rsidRPr="007419A0">
        <w:rPr>
          <w:lang w:val="en-US"/>
        </w:rPr>
        <w:t>tekliai.</w:t>
      </w:r>
    </w:p>
    <w:p w:rsidR="00BE2A22" w:rsidRDefault="00DD7E0E" w:rsidP="00BE2A22">
      <w:pPr>
        <w:jc w:val="center"/>
        <w:rPr>
          <w:b/>
        </w:rPr>
      </w:pPr>
      <w:r w:rsidRPr="007419A0">
        <w:rPr>
          <w:b/>
        </w:rPr>
        <w:br w:type="column"/>
      </w:r>
    </w:p>
    <w:p w:rsidR="00BE2A22" w:rsidRPr="00BE2A22" w:rsidRDefault="00BE2A22" w:rsidP="00BE2A22">
      <w:pPr>
        <w:jc w:val="center"/>
        <w:rPr>
          <w:b/>
        </w:rPr>
      </w:pPr>
      <w:r w:rsidRPr="00BE2A22">
        <w:rPr>
          <w:b/>
        </w:rPr>
        <w:t>2</w:t>
      </w:r>
      <w:r w:rsidRPr="00BE2A22">
        <w:rPr>
          <w:b/>
          <w:lang w:val="en-US"/>
        </w:rPr>
        <w:t xml:space="preserve">. INTELEKTINIO KAPITALO VERTINIMO </w:t>
      </w:r>
      <w:r w:rsidRPr="00BE2A22">
        <w:rPr>
          <w:b/>
        </w:rPr>
        <w:t>METODOLOGIJA</w:t>
      </w:r>
    </w:p>
    <w:p w:rsidR="00BE2A22" w:rsidRPr="00BE2A22" w:rsidRDefault="00BE2A22" w:rsidP="00BE2A22">
      <w:pPr>
        <w:jc w:val="center"/>
        <w:rPr>
          <w:b/>
        </w:rPr>
      </w:pPr>
    </w:p>
    <w:p w:rsidR="00BE2A22" w:rsidRPr="00BE2A22" w:rsidRDefault="00BE2A22" w:rsidP="00BE2A22">
      <w:pPr>
        <w:jc w:val="center"/>
        <w:rPr>
          <w:b/>
        </w:rPr>
      </w:pPr>
    </w:p>
    <w:p w:rsidR="00BE2A22" w:rsidRPr="00BE2A22" w:rsidRDefault="00BE2A22" w:rsidP="00BE2A22">
      <w:pPr>
        <w:jc w:val="center"/>
        <w:rPr>
          <w:b/>
        </w:rPr>
      </w:pPr>
      <w:r w:rsidRPr="00BE2A22">
        <w:rPr>
          <w:b/>
        </w:rPr>
        <w:t>2.1. Įmonės intelektinio kapitalo vertinimo būtinumas ir procesas</w:t>
      </w:r>
    </w:p>
    <w:p w:rsidR="00BE2A22" w:rsidRPr="00BE2A22" w:rsidRDefault="00BE2A22" w:rsidP="00BE2A22">
      <w:pPr>
        <w:jc w:val="center"/>
        <w:rPr>
          <w:b/>
        </w:rPr>
      </w:pPr>
    </w:p>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p>
    <w:p w:rsidR="00BE2A22" w:rsidRDefault="003A676E" w:rsidP="00BE2A22">
      <w:pPr>
        <w:spacing w:line="360" w:lineRule="auto"/>
        <w:ind w:firstLine="567"/>
        <w:jc w:val="both"/>
      </w:pPr>
      <w:r>
        <w:rPr>
          <w:lang w:val="en-US"/>
        </w:rPr>
        <w:t>Sė</w:t>
      </w:r>
      <w:r w:rsidR="00BE2A22" w:rsidRPr="00BE2A22">
        <w:rPr>
          <w:lang w:val="en-US"/>
        </w:rPr>
        <w:t xml:space="preserve">kmingai dirba tos organizacijos, kurios nuolat atnaujina savo išteklius, remiasi naujomis technologijomis, vertina savo </w:t>
      </w:r>
      <w:r>
        <w:rPr>
          <w:lang w:val="en-US"/>
        </w:rPr>
        <w:t>darbuotojų žinias ir įgūdžius, investuoja į</w:t>
      </w:r>
      <w:r w:rsidR="00BE2A22" w:rsidRPr="00BE2A22">
        <w:rPr>
          <w:lang w:val="en-US"/>
        </w:rPr>
        <w:t xml:space="preserve"> žinias (</w:t>
      </w:r>
      <w:r w:rsidR="00BE2A22" w:rsidRPr="00BE2A22">
        <w:rPr>
          <w:i/>
          <w:lang w:val="en-US"/>
        </w:rPr>
        <w:t>Užienė, 2010</w:t>
      </w:r>
      <w:r w:rsidR="00BE2A22" w:rsidRPr="00BE2A22">
        <w:rPr>
          <w:lang w:val="en-US"/>
        </w:rPr>
        <w:t>).</w:t>
      </w:r>
      <w:r w:rsidR="00BE2A22" w:rsidRPr="00BE2A22">
        <w:t xml:space="preserve"> Intelektinio kapitalo vertinimas neatsiejama sėkmingos ir konkurencingos verslo a</w:t>
      </w:r>
      <w:r w:rsidR="006C6547">
        <w:t>plinkos dalis, tai matosi ir 3</w:t>
      </w:r>
      <w:r w:rsidR="00BE2A22" w:rsidRPr="00BE2A22">
        <w:t xml:space="preserve"> paveiksle.  Siekiant įgyvendinti konkurencingos įmonės tikslus bei tapti intelektine organizacija atsiranda būtinybė matuoti ir įvertinti organizacijos intelektinį kapitalą.</w:t>
      </w:r>
    </w:p>
    <w:p w:rsidR="003E7CAC" w:rsidRPr="00BE2A22" w:rsidRDefault="003E7CAC" w:rsidP="00BE2A22">
      <w:pPr>
        <w:spacing w:line="360" w:lineRule="auto"/>
        <w:ind w:firstLine="567"/>
        <w:jc w:val="both"/>
      </w:pPr>
    </w:p>
    <w:p w:rsidR="00BE2A22" w:rsidRPr="00BE2A22" w:rsidRDefault="00E263D0" w:rsidP="00BE2A22">
      <w:pPr>
        <w:jc w:val="center"/>
      </w:pPr>
      <w:r>
        <w:rPr>
          <w:noProof/>
          <w:lang w:val="en-US" w:eastAsia="en-US"/>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 o:spid="_x0000_s1026" type="#_x0000_t69" style="position:absolute;left:0;text-align:left;margin-left:189pt;margin-top:6.3pt;width:206.25pt;height:38.7pt;z-index:251664384;visibility:visible;v-text-anchor:middle" wrapcoords="15631 -415 5969 -415 2042 1662 2042 6231 -79 10385 -79 10800 943 12877 5420 21185 16102 21185 21679 11215 21521 9969 15945 -415 15631 -4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" adj="5784" fillcolor="#c6d9f1" strokecolor="#4a7ebb">
            <v:shadow on="t" opacity="22936f" origin=",.5" offset="0,.63889mm"/>
            <v:textbox>
              <w:txbxContent>
                <w:p w:rsidR="00863B4D" w:rsidRPr="00AA6FAA" w:rsidRDefault="00863B4D" w:rsidP="00BE2A22">
                  <w:pPr>
                    <w:jc w:val="center"/>
                    <w:rPr>
                      <w:sz w:val="20"/>
                      <w:szCs w:val="20"/>
                    </w:rPr>
                  </w:pPr>
                  <w:r w:rsidRPr="00AA6FAA">
                    <w:rPr>
                      <w:sz w:val="20"/>
                      <w:szCs w:val="20"/>
                    </w:rPr>
                    <w:t>Intelektinis kapitalas</w:t>
                  </w:r>
                </w:p>
              </w:txbxContent>
            </v:textbox>
            <w10:wrap type="through"/>
          </v:shape>
        </w:pict>
      </w:r>
    </w:p>
    <w:p w:rsidR="00BE2A22" w:rsidRPr="00BE2A22" w:rsidRDefault="00BE2A22" w:rsidP="00BE2A22">
      <w:pPr>
        <w:jc w:val="center"/>
      </w:pPr>
    </w:p>
    <w:p w:rsidR="00BE2A22" w:rsidRPr="00BE2A22" w:rsidRDefault="00BE2A22" w:rsidP="00BE2A22">
      <w:pPr>
        <w:jc w:val="center"/>
      </w:pPr>
      <w:r w:rsidRPr="00BE2A22">
        <w:rPr>
          <w:noProof/>
          <w:lang w:val="en-US" w:eastAsia="en-US"/>
        </w:rPr>
        <w:drawing>
          <wp:anchor distT="0" distB="0" distL="114300" distR="114300" simplePos="0" relativeHeight="251659264" behindDoc="0" locked="0" layoutInCell="1" allowOverlap="1">
            <wp:simplePos x="0" y="0"/>
            <wp:positionH relativeFrom="column">
              <wp:posOffset>457200</wp:posOffset>
            </wp:positionH>
            <wp:positionV relativeFrom="paragraph">
              <wp:posOffset>133350</wp:posOffset>
            </wp:positionV>
            <wp:extent cx="5829300" cy="2583180"/>
            <wp:effectExtent l="0" t="0" r="0" b="0"/>
            <wp:wrapThrough wrapText="bothSides">
              <wp:wrapPolygon edited="0">
                <wp:start x="6353" y="1274"/>
                <wp:lineTo x="5224" y="3823"/>
                <wp:lineTo x="4518" y="6212"/>
                <wp:lineTo x="4447" y="11469"/>
                <wp:lineTo x="5012" y="14018"/>
                <wp:lineTo x="5859" y="15929"/>
                <wp:lineTo x="5929" y="15929"/>
                <wp:lineTo x="16941" y="15929"/>
                <wp:lineTo x="17647" y="15929"/>
                <wp:lineTo x="19271" y="14655"/>
                <wp:lineTo x="19271" y="14018"/>
                <wp:lineTo x="19765" y="11628"/>
                <wp:lineTo x="19765" y="8920"/>
                <wp:lineTo x="19553" y="6531"/>
                <wp:lineTo x="19624" y="6212"/>
                <wp:lineTo x="18776" y="4460"/>
                <wp:lineTo x="18282" y="3823"/>
                <wp:lineTo x="18424" y="1593"/>
                <wp:lineTo x="17435" y="1274"/>
                <wp:lineTo x="12071" y="1274"/>
                <wp:lineTo x="6353" y="1274"/>
              </wp:wrapPolygon>
            </wp:wrapThrough>
            <wp:docPr id="35"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p>
    <w:p w:rsidR="00BE2A22" w:rsidRPr="00BE2A22" w:rsidRDefault="00BE2A22" w:rsidP="00BE2A22">
      <w:pPr>
        <w:spacing w:line="360" w:lineRule="auto"/>
        <w:ind w:left="-1418"/>
        <w:jc w:val="center"/>
      </w:pPr>
    </w:p>
    <w:p w:rsidR="00BE2A22" w:rsidRPr="00BE2A22" w:rsidRDefault="00E263D0" w:rsidP="00BE2A22">
      <w:pPr>
        <w:spacing w:line="360" w:lineRule="auto"/>
        <w:ind w:left="-426"/>
        <w:jc w:val="center"/>
      </w:pPr>
      <w:r>
        <w:rPr>
          <w:noProof/>
          <w:lang w:val="en-US" w:eastAsia="en-US"/>
        </w:rPr>
        <w:pict>
          <v:rect id="Rectangle 17" o:spid="_x0000_s1027" style="position:absolute;left:0;text-align:left;margin-left:441pt;margin-top:43.2pt;width:53.6pt;height:47pt;z-index:251663360;visibility:visible;mso-width-relative:margin;mso-height-relative:margin;v-text-anchor:middle" wrapcoords="-304 -343 -304 21257 21904 21257 21904 -343 -304 -34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" fillcolor="#c6d9f1" strokecolor="#4a7ebb">
            <v:shadow on="t" opacity="22936f" origin=",.5" offset="0,.63889mm"/>
            <v:textbox>
              <w:txbxContent>
                <w:p w:rsidR="00863B4D" w:rsidRPr="00B52DCE" w:rsidRDefault="00863B4D" w:rsidP="00BE2A22">
                  <w:pPr>
                    <w:jc w:val="center"/>
                    <w:rPr>
                      <w:color w:val="000000"/>
                    </w:rPr>
                  </w:pPr>
                  <w:r w:rsidRPr="00B52DCE">
                    <w:rPr>
                      <w:color w:val="000000"/>
                    </w:rPr>
                    <w:t>Verslo sėkmė</w:t>
                  </w:r>
                </w:p>
              </w:txbxContent>
            </v:textbox>
            <w10:wrap type="through"/>
          </v:rect>
        </w:pict>
      </w:r>
      <w:r>
        <w:rPr>
          <w:noProof/>
          <w:lang w:val="en-US" w:eastAsia="en-US"/>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6" o:spid="_x0000_s1028" type="#_x0000_t15" style="position:absolute;left:0;text-align:left;margin-left:-17.95pt;margin-top:34.2pt;width:45pt;height:63pt;z-index:251662336;visibility:visible;mso-width-relative:margin;mso-height-relative:margin;v-text-anchor:middle" wrapcoords="-360 -257 -360 21343 16920 21343 17280 21343 19440 16200 21960 12086 21600 9771 16920 -257 -360 -2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" adj="16392" fillcolor="#c6d9f1" strokecolor="#4a7ebb">
            <v:shadow on="t" opacity="22936f" origin=",.5" offset="0,.63889mm"/>
            <v:textbox>
              <w:txbxContent>
                <w:p w:rsidR="00863B4D" w:rsidRPr="00B52DCE" w:rsidRDefault="00863B4D" w:rsidP="00BE2A22">
                  <w:pPr>
                    <w:jc w:val="center"/>
                    <w:rPr>
                      <w:b/>
                      <w:color w:val="000000"/>
                    </w:rPr>
                  </w:pPr>
                  <w:r w:rsidRPr="00B52DCE">
                    <w:rPr>
                      <w:b/>
                      <w:color w:val="000000"/>
                      <w:sz w:val="18"/>
                      <w:szCs w:val="18"/>
                    </w:rPr>
                    <w:t>Vizija</w:t>
                  </w:r>
                </w:p>
              </w:txbxContent>
            </v:textbox>
            <w10:wrap type="through"/>
          </v:shape>
        </w:pict>
      </w:r>
      <w:r>
        <w:rPr>
          <w:noProof/>
          <w:lang w:val="en-US" w:eastAsia="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4" o:spid="_x0000_s1029" type="#_x0000_t55" style="position:absolute;left:0;text-align:left;margin-left:18pt;margin-top:34.2pt;width:75.1pt;height:63pt;z-index:251660288;visibility:visible;mso-width-relative:margin;mso-height-relative:margin;v-text-anchor:middle" wrapcoords="-432 -257 1728 7971 864 16200 -432 21343 18792 21343 19008 21343 20304 16200 21816 12086 21600 9771 18792 -257 -432 -2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" adj="18523" fillcolor="#c6d9f1" strokecolor="#4a7ebb">
            <v:shadow on="t" opacity="22936f" origin=",.5" offset="0,.63889mm"/>
            <v:textbox>
              <w:txbxContent>
                <w:p w:rsidR="00863B4D" w:rsidRDefault="00863B4D" w:rsidP="00BE2A22">
                  <w:pPr>
                    <w:jc w:val="center"/>
                    <w:rPr>
                      <w:color w:val="000000"/>
                      <w:sz w:val="18"/>
                      <w:szCs w:val="18"/>
                    </w:rPr>
                  </w:pPr>
                </w:p>
                <w:p w:rsidR="00863B4D" w:rsidRPr="00DE1DD4" w:rsidRDefault="00863B4D" w:rsidP="00BE2A22">
                  <w:pPr>
                    <w:jc w:val="center"/>
                  </w:pPr>
                  <w:r w:rsidRPr="00B52DCE">
                    <w:rPr>
                      <w:color w:val="000000"/>
                      <w:sz w:val="18"/>
                      <w:szCs w:val="18"/>
                    </w:rPr>
                    <w:t>IK ataskaita, verslo strategija</w:t>
                  </w:r>
                </w:p>
              </w:txbxContent>
            </v:textbox>
            <w10:wrap type="through"/>
          </v:shape>
        </w:pict>
      </w:r>
      <w:r>
        <w:rPr>
          <w:noProof/>
          <w:lang w:val="en-US" w:eastAsia="en-US"/>
        </w:rPr>
        <w:pict>
          <v:shape id="Chevron 15" o:spid="_x0000_s1030" type="#_x0000_t55" style="position:absolute;left:0;text-align:left;margin-left:81pt;margin-top:34.2pt;width:1in;height:63pt;z-index:251661312;visibility:visible;mso-width-relative:margin;mso-height-relative:margin;v-text-anchor:middle" wrapcoords="-450 -257 225 3857 1125 7971 1350 12086 -450 20314 -450 21343 19800 21343 20925 16200 21600 12086 21600 8743 21375 7971 20475 3857 19800 -257 -450 -2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" adj="19476" fillcolor="#c6d9f1" strokecolor="#4a7ebb">
            <v:shadow on="t" opacity="22936f" origin=",.5" offset="0,.63889mm"/>
            <v:textbox>
              <w:txbxContent>
                <w:p w:rsidR="00863B4D" w:rsidRDefault="00863B4D" w:rsidP="00BE2A22">
                  <w:pPr>
                    <w:jc w:val="center"/>
                    <w:rPr>
                      <w:color w:val="000000"/>
                      <w:sz w:val="18"/>
                      <w:szCs w:val="18"/>
                    </w:rPr>
                  </w:pPr>
                </w:p>
                <w:p w:rsidR="00863B4D" w:rsidRPr="00B52DCE" w:rsidRDefault="00863B4D" w:rsidP="00BE2A22">
                  <w:pPr>
                    <w:jc w:val="center"/>
                    <w:rPr>
                      <w:color w:val="000000"/>
                      <w:sz w:val="18"/>
                      <w:szCs w:val="18"/>
                    </w:rPr>
                  </w:pPr>
                  <w:r w:rsidRPr="00B52DCE">
                    <w:rPr>
                      <w:color w:val="000000"/>
                      <w:sz w:val="18"/>
                      <w:szCs w:val="18"/>
                    </w:rPr>
                    <w:t>IK matavimai</w:t>
                  </w:r>
                </w:p>
              </w:txbxContent>
            </v:textbox>
            <w10:wrap type="through"/>
          </v:shape>
        </w:pict>
      </w:r>
    </w:p>
    <w:p w:rsidR="00BE2A22" w:rsidRPr="00BE2A22" w:rsidRDefault="00BE2A22" w:rsidP="00BE2A22">
      <w:pPr>
        <w:spacing w:line="360" w:lineRule="auto"/>
        <w:jc w:val="center"/>
      </w:pPr>
    </w:p>
    <w:p w:rsidR="00BE2A22" w:rsidRPr="00BE2A22" w:rsidRDefault="00BE2A22" w:rsidP="00BE2A22">
      <w:pPr>
        <w:jc w:val="both"/>
      </w:pPr>
    </w:p>
    <w:p w:rsidR="00BE2A22" w:rsidRPr="00BE2A22" w:rsidRDefault="00BE2A22" w:rsidP="00BE2A22">
      <w:pPr>
        <w:jc w:val="center"/>
        <w:rPr>
          <w:b/>
        </w:rPr>
      </w:pPr>
    </w:p>
    <w:p w:rsidR="00BE2A22" w:rsidRPr="00BE2A22" w:rsidRDefault="00BE2A22" w:rsidP="00BE2A22">
      <w:pPr>
        <w:jc w:val="center"/>
        <w:rPr>
          <w:b/>
        </w:rPr>
      </w:pPr>
    </w:p>
    <w:p w:rsidR="00BF3E79" w:rsidRDefault="00BF3E79" w:rsidP="00BE2A22">
      <w:pPr>
        <w:jc w:val="center"/>
      </w:pPr>
    </w:p>
    <w:p w:rsidR="00BE2A22" w:rsidRPr="00BE2A22" w:rsidRDefault="006C6547" w:rsidP="00BE2A22">
      <w:pPr>
        <w:jc w:val="center"/>
        <w:rPr>
          <w:b/>
        </w:rPr>
      </w:pPr>
      <w:r>
        <w:t>3</w:t>
      </w:r>
      <w:r w:rsidR="00BE2A22" w:rsidRPr="00BE2A22">
        <w:t xml:space="preserve"> pav. </w:t>
      </w:r>
      <w:r w:rsidR="00BE2A22" w:rsidRPr="00BE2A22">
        <w:rPr>
          <w:b/>
        </w:rPr>
        <w:t>Intelektinio kapitalo dalyvavimas organizacijoje</w:t>
      </w:r>
    </w:p>
    <w:p w:rsidR="00BE2A22" w:rsidRPr="00BE2A22" w:rsidRDefault="00BE2A22" w:rsidP="00BE2A22">
      <w:pPr>
        <w:jc w:val="center"/>
        <w:rPr>
          <w:b/>
        </w:rPr>
      </w:pPr>
    </w:p>
    <w:p w:rsidR="00BE2A22" w:rsidRPr="00BE2A22" w:rsidRDefault="00BE2A22" w:rsidP="00BE2A22">
      <w:pPr>
        <w:jc w:val="center"/>
        <w:rPr>
          <w:b/>
        </w:rPr>
      </w:pPr>
    </w:p>
    <w:p w:rsidR="00BE2A22" w:rsidRPr="00BE2A22" w:rsidRDefault="00BE2A22" w:rsidP="00BE2A22">
      <w:pPr>
        <w:spacing w:line="360" w:lineRule="auto"/>
        <w:ind w:firstLine="567"/>
        <w:jc w:val="both"/>
      </w:pPr>
      <w:r w:rsidRPr="00BE2A22">
        <w:t>Svarbu ne tik turėti intelektinį kapitalą, bet ir tinkamai ir efektyviai jį valdyti, į valdymo procesą įtraukiant ir intelektinio k</w:t>
      </w:r>
      <w:r w:rsidR="00BF3E79">
        <w:t>ap</w:t>
      </w:r>
      <w:r w:rsidRPr="00BE2A22">
        <w:t>italo matavimus. Intelektinio kapitalo elementai yra svarbūs veiksniai sienkiant sėkmingos organizacijos veiklos nepaisant rinkos pokyčių, konkurencinio intensyvumo ir technologijų išsivystymo lygio (</w:t>
      </w:r>
      <w:r w:rsidR="008037E7">
        <w:rPr>
          <w:i/>
        </w:rPr>
        <w:t>Tamošiūnaitė ir kt.</w:t>
      </w:r>
      <w:r w:rsidRPr="00BE2A22">
        <w:rPr>
          <w:i/>
        </w:rPr>
        <w:t>, 2012</w:t>
      </w:r>
      <w:r w:rsidRPr="00BE2A22">
        <w:t>). Pasak autorių, intelektinio k</w:t>
      </w:r>
      <w:r w:rsidR="00BF3E79">
        <w:t>api</w:t>
      </w:r>
      <w:r w:rsidRPr="00BE2A22">
        <w:t>t</w:t>
      </w:r>
      <w:r w:rsidR="00BF3E79">
        <w:t>a</w:t>
      </w:r>
      <w:r w:rsidRPr="00BE2A22">
        <w:t xml:space="preserve">lo vertinimas įgauna vis didesnę reikšmę – perkelti organizacinius gebėjimus į naujas aplinkas, įvertinti intelektinį potencialą ir jo panaudojimo galimybes. </w:t>
      </w:r>
    </w:p>
    <w:p w:rsidR="00BE2A22" w:rsidRPr="00BE2A22" w:rsidRDefault="00BE2A22" w:rsidP="00BE2A22">
      <w:pPr>
        <w:spacing w:line="360" w:lineRule="auto"/>
        <w:ind w:firstLine="567"/>
        <w:jc w:val="both"/>
      </w:pPr>
      <w:r w:rsidRPr="00BE2A22">
        <w:rPr>
          <w:i/>
          <w:lang w:val="en-US"/>
        </w:rPr>
        <w:t>Demartini, Paolini (2013)</w:t>
      </w:r>
      <w:r w:rsidRPr="00BE2A22">
        <w:rPr>
          <w:lang w:val="en-US"/>
        </w:rPr>
        <w:t xml:space="preserve"> intelektinio kapitalo matavimas ir vertinimas įtraukiamas į visa intelektinio kapitalo dalyvavimo procesą organizacijoje. Tai neatsiejama verslo proceso dalis, tarp strateginio planavimo ir ka</w:t>
      </w:r>
      <w:r w:rsidR="006C6547">
        <w:rPr>
          <w:lang w:val="en-US"/>
        </w:rPr>
        <w:t>pitalizacijos tikrinimo (žr. 4</w:t>
      </w:r>
      <w:r w:rsidRPr="00BE2A22">
        <w:rPr>
          <w:lang w:val="en-US"/>
        </w:rPr>
        <w:t xml:space="preserve"> pav.).</w:t>
      </w:r>
    </w:p>
    <w:p w:rsidR="00BE2A22" w:rsidRPr="00BE2A22" w:rsidRDefault="00BE2A22" w:rsidP="00BE2A22">
      <w:pPr>
        <w:spacing w:line="360" w:lineRule="auto"/>
        <w:jc w:val="both"/>
      </w:pPr>
    </w:p>
    <w:p w:rsidR="00BE2A22" w:rsidRPr="00BE2A22" w:rsidRDefault="00BE2A22" w:rsidP="00BE2A22">
      <w:pPr>
        <w:spacing w:line="360" w:lineRule="auto"/>
        <w:jc w:val="center"/>
      </w:pPr>
      <w:r w:rsidRPr="00BF3E79">
        <w:rPr>
          <w:noProof/>
          <w:sz w:val="22"/>
          <w:szCs w:val="22"/>
          <w:lang w:val="en-US" w:eastAsia="en-US"/>
        </w:rPr>
        <w:drawing>
          <wp:inline distT="0" distB="0" distL="0" distR="0">
            <wp:extent cx="5532301" cy="2351405"/>
            <wp:effectExtent l="0" t="0" r="0" b="0"/>
            <wp:docPr id="5" name="Diagram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BE2A22" w:rsidRPr="00BE2A22" w:rsidRDefault="006C6547" w:rsidP="00BE2A22">
      <w:pPr>
        <w:spacing w:line="360" w:lineRule="auto"/>
        <w:jc w:val="center"/>
        <w:rPr>
          <w:b/>
          <w:lang w:val="en-US"/>
        </w:rPr>
      </w:pPr>
      <w:r>
        <w:rPr>
          <w:lang w:val="en-US"/>
        </w:rPr>
        <w:t>4</w:t>
      </w:r>
      <w:r w:rsidR="00BE2A22" w:rsidRPr="00BE2A22">
        <w:rPr>
          <w:lang w:val="en-US"/>
        </w:rPr>
        <w:t xml:space="preserve"> pav. </w:t>
      </w:r>
      <w:r w:rsidR="00BE2A22" w:rsidRPr="00BE2A22">
        <w:rPr>
          <w:b/>
          <w:lang w:val="en-US"/>
        </w:rPr>
        <w:t>Intelektinio kapitalo procesas</w:t>
      </w:r>
    </w:p>
    <w:p w:rsidR="00BE2A22" w:rsidRPr="00BE2A22" w:rsidRDefault="00BE2A22" w:rsidP="00BE2A22">
      <w:pPr>
        <w:spacing w:line="360" w:lineRule="auto"/>
        <w:jc w:val="center"/>
        <w:rPr>
          <w:b/>
          <w:lang w:val="en-US"/>
        </w:rPr>
      </w:pPr>
    </w:p>
    <w:p w:rsidR="00BE2A22" w:rsidRPr="00BE2A22" w:rsidRDefault="00BE2A22" w:rsidP="00BE2A22">
      <w:pPr>
        <w:spacing w:line="360" w:lineRule="auto"/>
        <w:ind w:firstLine="567"/>
        <w:jc w:val="both"/>
      </w:pPr>
      <w:r w:rsidRPr="00BE2A22">
        <w:t xml:space="preserve">Intelektinio kapitalo matavimas yra impulsas intelektinio kapitalo valdymui. Pasak </w:t>
      </w:r>
      <w:r w:rsidRPr="00BE2A22">
        <w:rPr>
          <w:i/>
        </w:rPr>
        <w:t>Marr ir kt. (2003)</w:t>
      </w:r>
      <w:r w:rsidRPr="00BE2A22">
        <w:t xml:space="preserve">, yra 5 pagrindinės priežastys įmonėms matuoti intelektinį kapitalą: tai padeda įmonei formuoti savo strategiją, įvertinti strategijos įgyvendinimą, padeda priimant spendimus dėl resursų plėtimosi ir skirtymo, pasinaudoti tuo kaip kompensacija ir tai yra svarbi bendravimo priemonė su suinteresuotomis išorės šalimis, kaip akcininkai, partneriai, būsimi investuotojai. </w:t>
      </w:r>
    </w:p>
    <w:p w:rsidR="00BE2A22" w:rsidRPr="00BE2A22" w:rsidRDefault="00BE2A22" w:rsidP="00BE2A22">
      <w:pPr>
        <w:spacing w:line="360" w:lineRule="auto"/>
        <w:ind w:firstLine="567"/>
        <w:jc w:val="both"/>
      </w:pPr>
      <w:r w:rsidRPr="00BE2A22">
        <w:t xml:space="preserve">Pats intelektinio kapitalo vertinimo procesas taip pat skirstomas į tam tikrus etapus. </w:t>
      </w:r>
      <w:r w:rsidRPr="00BE2A22">
        <w:rPr>
          <w:lang w:val="en-US"/>
        </w:rPr>
        <w:t xml:space="preserve">Pasak, </w:t>
      </w:r>
      <w:r w:rsidRPr="00BE2A22">
        <w:rPr>
          <w:i/>
          <w:lang w:val="en-US"/>
        </w:rPr>
        <w:t>Znakovaitės, Pabedinskaitės</w:t>
      </w:r>
      <w:r w:rsidRPr="00BE2A22">
        <w:rPr>
          <w:lang w:val="en-US"/>
        </w:rPr>
        <w:t xml:space="preserve"> (2010) intelekt</w:t>
      </w:r>
      <w:r w:rsidR="00405798">
        <w:rPr>
          <w:lang w:val="en-US"/>
        </w:rPr>
        <w:t>inio kapitalo vertinimo procesą</w:t>
      </w:r>
      <w:r w:rsidRPr="00BE2A22">
        <w:rPr>
          <w:lang w:val="en-US"/>
        </w:rPr>
        <w:t xml:space="preserve"> sudaro 7 etapai (žr. </w:t>
      </w:r>
      <w:r w:rsidR="006C6547">
        <w:rPr>
          <w:lang w:val="en-US"/>
        </w:rPr>
        <w:t>3</w:t>
      </w:r>
      <w:r w:rsidRPr="00BE2A22">
        <w:rPr>
          <w:lang w:val="en-US"/>
        </w:rPr>
        <w:t xml:space="preserve"> lentelę): </w:t>
      </w:r>
    </w:p>
    <w:p w:rsidR="00BE2A22" w:rsidRDefault="006C6547" w:rsidP="006C65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b/>
          <w:lang w:val="en-US"/>
        </w:rPr>
      </w:pPr>
      <w:r w:rsidRPr="006C6547">
        <w:rPr>
          <w:b/>
          <w:lang w:val="en-US"/>
        </w:rPr>
        <w:t xml:space="preserve">3 lentelė. </w:t>
      </w:r>
      <w:r w:rsidR="00BE2A22" w:rsidRPr="006C6547">
        <w:rPr>
          <w:b/>
          <w:lang w:val="en-US"/>
        </w:rPr>
        <w:t>Intelektinio</w:t>
      </w:r>
      <w:r w:rsidR="00BE2A22" w:rsidRPr="00BE2A22">
        <w:rPr>
          <w:b/>
          <w:lang w:val="en-US"/>
        </w:rPr>
        <w:t xml:space="preserve"> kapitalo vertinimo proceso etapai</w:t>
      </w:r>
    </w:p>
    <w:p w:rsidR="006C6547" w:rsidRPr="006C6547" w:rsidRDefault="006C6547" w:rsidP="006C65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887"/>
        <w:gridCol w:w="6610"/>
      </w:tblGrid>
      <w:tr w:rsidR="00BE2A22" w:rsidRPr="00BE2A22" w:rsidTr="00BE2A22">
        <w:tc>
          <w:tcPr>
            <w:tcW w:w="534"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
                <w:i/>
                <w:sz w:val="22"/>
                <w:szCs w:val="22"/>
                <w:lang w:val="en-US"/>
              </w:rPr>
            </w:pPr>
          </w:p>
        </w:tc>
        <w:tc>
          <w:tcPr>
            <w:tcW w:w="2887"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
                <w:i/>
                <w:sz w:val="22"/>
                <w:szCs w:val="22"/>
                <w:lang w:val="en-US"/>
              </w:rPr>
            </w:pPr>
            <w:r w:rsidRPr="00BE2A22">
              <w:rPr>
                <w:b/>
                <w:i/>
                <w:sz w:val="22"/>
                <w:szCs w:val="22"/>
                <w:lang w:val="en-US"/>
              </w:rPr>
              <w:t>Intelektinio kapitalo vertinimo etapai</w:t>
            </w:r>
          </w:p>
        </w:tc>
        <w:tc>
          <w:tcPr>
            <w:tcW w:w="6610"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
                <w:i/>
                <w:sz w:val="22"/>
                <w:szCs w:val="22"/>
                <w:lang w:val="en-US"/>
              </w:rPr>
            </w:pPr>
            <w:r w:rsidRPr="00BE2A22">
              <w:rPr>
                <w:b/>
                <w:i/>
                <w:sz w:val="22"/>
                <w:szCs w:val="22"/>
                <w:lang w:val="en-US"/>
              </w:rPr>
              <w:t>Etapų aprašymas</w:t>
            </w:r>
          </w:p>
        </w:tc>
      </w:tr>
      <w:tr w:rsidR="00BE2A22" w:rsidRPr="00BE2A22" w:rsidTr="00BE2A22">
        <w:tc>
          <w:tcPr>
            <w:tcW w:w="534"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sz w:val="22"/>
                <w:szCs w:val="22"/>
                <w:lang w:val="en-US"/>
              </w:rPr>
            </w:pPr>
            <w:r w:rsidRPr="00BE2A22">
              <w:rPr>
                <w:i/>
                <w:sz w:val="22"/>
                <w:szCs w:val="22"/>
                <w:lang w:val="en-US"/>
              </w:rPr>
              <w:t>1.</w:t>
            </w:r>
          </w:p>
        </w:tc>
        <w:tc>
          <w:tcPr>
            <w:tcW w:w="2887" w:type="dxa"/>
            <w:shd w:val="clear" w:color="auto" w:fill="auto"/>
          </w:tcPr>
          <w:p w:rsidR="00BE2A22" w:rsidRPr="00BE2A22" w:rsidRDefault="00405798"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sz w:val="22"/>
                <w:szCs w:val="22"/>
                <w:lang w:val="en-US"/>
              </w:rPr>
            </w:pPr>
            <w:r>
              <w:rPr>
                <w:i/>
                <w:sz w:val="22"/>
                <w:szCs w:val="22"/>
                <w:lang w:val="en-US"/>
              </w:rPr>
              <w:t>Pirminė analizė</w:t>
            </w:r>
          </w:p>
        </w:tc>
        <w:tc>
          <w:tcPr>
            <w:tcW w:w="6610" w:type="dxa"/>
            <w:shd w:val="clear" w:color="auto" w:fill="auto"/>
          </w:tcPr>
          <w:p w:rsidR="00BE2A22" w:rsidRPr="00BE2A22" w:rsidRDefault="00405798"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sz w:val="22"/>
                <w:szCs w:val="22"/>
                <w:lang w:val="en-US"/>
              </w:rPr>
            </w:pPr>
            <w:r>
              <w:rPr>
                <w:sz w:val="22"/>
                <w:szCs w:val="22"/>
                <w:lang w:val="en-US"/>
              </w:rPr>
              <w:t>Susipažinimas su įmonė</w:t>
            </w:r>
            <w:r w:rsidR="00BE2A22" w:rsidRPr="00BE2A22">
              <w:rPr>
                <w:sz w:val="22"/>
                <w:szCs w:val="22"/>
                <w:lang w:val="en-US"/>
              </w:rPr>
              <w:t>s veiklos specifika, poreik</w:t>
            </w:r>
            <w:r>
              <w:rPr>
                <w:sz w:val="22"/>
                <w:szCs w:val="22"/>
                <w:lang w:val="en-US"/>
              </w:rPr>
              <w:t>io išsiaiškinimas, aptariama bū</w:t>
            </w:r>
            <w:r w:rsidR="00BE2A22" w:rsidRPr="00BE2A22">
              <w:rPr>
                <w:sz w:val="22"/>
                <w:szCs w:val="22"/>
                <w:lang w:val="en-US"/>
              </w:rPr>
              <w:t>sima veikla ir uždaviniai.</w:t>
            </w:r>
          </w:p>
        </w:tc>
      </w:tr>
      <w:tr w:rsidR="00BE2A22" w:rsidRPr="00BE2A22" w:rsidTr="00BE2A22">
        <w:tc>
          <w:tcPr>
            <w:tcW w:w="534"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sz w:val="22"/>
                <w:szCs w:val="22"/>
                <w:lang w:val="en-US"/>
              </w:rPr>
            </w:pPr>
            <w:r w:rsidRPr="00BE2A22">
              <w:rPr>
                <w:i/>
                <w:sz w:val="22"/>
                <w:szCs w:val="22"/>
                <w:lang w:val="en-US"/>
              </w:rPr>
              <w:t>2.</w:t>
            </w:r>
          </w:p>
        </w:tc>
        <w:tc>
          <w:tcPr>
            <w:tcW w:w="2887" w:type="dxa"/>
            <w:shd w:val="clear" w:color="auto" w:fill="auto"/>
          </w:tcPr>
          <w:p w:rsidR="00BE2A22" w:rsidRPr="00BE2A22" w:rsidRDefault="00405798"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sz w:val="22"/>
                <w:szCs w:val="22"/>
                <w:lang w:val="en-US"/>
              </w:rPr>
            </w:pPr>
            <w:r>
              <w:rPr>
                <w:i/>
                <w:sz w:val="22"/>
                <w:szCs w:val="22"/>
                <w:lang w:val="en-US"/>
              </w:rPr>
              <w:t>Rodiklių</w:t>
            </w:r>
            <w:r w:rsidR="00BE2A22" w:rsidRPr="00BE2A22">
              <w:rPr>
                <w:i/>
                <w:sz w:val="22"/>
                <w:szCs w:val="22"/>
                <w:lang w:val="en-US"/>
              </w:rPr>
              <w:t xml:space="preserve"> parinkimas</w:t>
            </w:r>
          </w:p>
        </w:tc>
        <w:tc>
          <w:tcPr>
            <w:tcW w:w="6610"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sz w:val="22"/>
                <w:szCs w:val="22"/>
                <w:lang w:val="en-US"/>
              </w:rPr>
            </w:pPr>
            <w:r w:rsidRPr="00BE2A22">
              <w:rPr>
                <w:sz w:val="22"/>
                <w:szCs w:val="22"/>
                <w:lang w:val="en-US"/>
              </w:rPr>
              <w:t>Remiantis pirmine analize parenkamas intelektinio kapitalo vertinimo modeli</w:t>
            </w:r>
            <w:r w:rsidR="00405798">
              <w:rPr>
                <w:sz w:val="22"/>
                <w:szCs w:val="22"/>
                <w:lang w:val="en-US"/>
              </w:rPr>
              <w:t>s ir rodikliai, atsižvelgiant į</w:t>
            </w:r>
            <w:r w:rsidRPr="00BE2A22">
              <w:rPr>
                <w:sz w:val="22"/>
                <w:szCs w:val="22"/>
                <w:lang w:val="en-US"/>
              </w:rPr>
              <w:t xml:space="preserve"> informacijos </w:t>
            </w:r>
            <w:r w:rsidR="00405798">
              <w:rPr>
                <w:sz w:val="22"/>
                <w:szCs w:val="22"/>
                <w:lang w:val="en-US"/>
              </w:rPr>
              <w:t>prieinamumą</w:t>
            </w:r>
            <w:r w:rsidRPr="00BE2A22">
              <w:rPr>
                <w:sz w:val="22"/>
                <w:szCs w:val="22"/>
                <w:lang w:val="en-US"/>
              </w:rPr>
              <w:t xml:space="preserve"> ir jos surinkimo galimybes.</w:t>
            </w:r>
          </w:p>
        </w:tc>
      </w:tr>
      <w:tr w:rsidR="00BE2A22" w:rsidRPr="00BE2A22" w:rsidTr="00BE2A22">
        <w:tc>
          <w:tcPr>
            <w:tcW w:w="534"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sz w:val="22"/>
                <w:szCs w:val="22"/>
                <w:lang w:val="en-US"/>
              </w:rPr>
            </w:pPr>
            <w:r w:rsidRPr="00BE2A22">
              <w:rPr>
                <w:i/>
                <w:sz w:val="22"/>
                <w:szCs w:val="22"/>
                <w:lang w:val="en-US"/>
              </w:rPr>
              <w:t>3.</w:t>
            </w:r>
          </w:p>
        </w:tc>
        <w:tc>
          <w:tcPr>
            <w:tcW w:w="2887"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sz w:val="22"/>
                <w:szCs w:val="22"/>
                <w:lang w:val="en-US"/>
              </w:rPr>
            </w:pPr>
            <w:r w:rsidRPr="00BE2A22">
              <w:rPr>
                <w:i/>
                <w:sz w:val="22"/>
                <w:szCs w:val="22"/>
                <w:lang w:val="en-US"/>
              </w:rPr>
              <w:t>Informacijos rinkimas</w:t>
            </w:r>
          </w:p>
        </w:tc>
        <w:tc>
          <w:tcPr>
            <w:tcW w:w="6610"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sz w:val="22"/>
                <w:szCs w:val="22"/>
                <w:lang w:val="en-US"/>
              </w:rPr>
            </w:pPr>
            <w:r w:rsidRPr="00BE2A22">
              <w:rPr>
                <w:sz w:val="22"/>
                <w:szCs w:val="22"/>
                <w:lang w:val="en-US"/>
              </w:rPr>
              <w:t xml:space="preserve">Sukuriamos ir klientui perduodamas </w:t>
            </w:r>
            <w:r w:rsidR="00405798">
              <w:rPr>
                <w:sz w:val="22"/>
                <w:szCs w:val="22"/>
                <w:lang w:val="en-US"/>
              </w:rPr>
              <w:t>informacijos surinkimo priemonės (darbuotojų klausimynai, klausimų są</w:t>
            </w:r>
            <w:r w:rsidRPr="00BE2A22">
              <w:rPr>
                <w:sz w:val="22"/>
                <w:szCs w:val="22"/>
                <w:lang w:val="en-US"/>
              </w:rPr>
              <w:t>rašai ir kt.), atliekamas informacijos rinkimas.</w:t>
            </w:r>
          </w:p>
        </w:tc>
      </w:tr>
      <w:tr w:rsidR="00BE2A22" w:rsidRPr="00BE2A22" w:rsidTr="00BE2A22">
        <w:tc>
          <w:tcPr>
            <w:tcW w:w="534"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sz w:val="22"/>
                <w:szCs w:val="22"/>
                <w:lang w:val="en-US"/>
              </w:rPr>
            </w:pPr>
            <w:r w:rsidRPr="00BE2A22">
              <w:rPr>
                <w:i/>
                <w:sz w:val="22"/>
                <w:szCs w:val="22"/>
                <w:lang w:val="en-US"/>
              </w:rPr>
              <w:t>4.</w:t>
            </w:r>
          </w:p>
        </w:tc>
        <w:tc>
          <w:tcPr>
            <w:tcW w:w="2887" w:type="dxa"/>
            <w:shd w:val="clear" w:color="auto" w:fill="auto"/>
          </w:tcPr>
          <w:p w:rsidR="00BE2A22" w:rsidRPr="00BE2A22" w:rsidRDefault="00405798"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sz w:val="22"/>
                <w:szCs w:val="22"/>
                <w:lang w:val="en-US"/>
              </w:rPr>
            </w:pPr>
            <w:r>
              <w:rPr>
                <w:i/>
                <w:sz w:val="22"/>
                <w:szCs w:val="22"/>
                <w:lang w:val="en-US"/>
              </w:rPr>
              <w:t>Informacijos analizė</w:t>
            </w:r>
          </w:p>
        </w:tc>
        <w:tc>
          <w:tcPr>
            <w:tcW w:w="6610"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sz w:val="22"/>
                <w:szCs w:val="22"/>
                <w:lang w:val="en-US"/>
              </w:rPr>
            </w:pPr>
            <w:r w:rsidRPr="00BE2A22">
              <w:rPr>
                <w:sz w:val="22"/>
                <w:szCs w:val="22"/>
                <w:lang w:val="en-US"/>
              </w:rPr>
              <w:t>Kliento infor</w:t>
            </w:r>
            <w:r w:rsidR="00405798">
              <w:rPr>
                <w:sz w:val="22"/>
                <w:szCs w:val="22"/>
                <w:lang w:val="en-US"/>
              </w:rPr>
              <w:t>macijos apibendrinimas, analizė, rodiklių apskaič</w:t>
            </w:r>
            <w:r w:rsidRPr="00BE2A22">
              <w:rPr>
                <w:sz w:val="22"/>
                <w:szCs w:val="22"/>
                <w:lang w:val="en-US"/>
              </w:rPr>
              <w:t>iavim</w:t>
            </w:r>
            <w:r w:rsidR="00405798">
              <w:rPr>
                <w:sz w:val="22"/>
                <w:szCs w:val="22"/>
                <w:lang w:val="en-US"/>
              </w:rPr>
              <w:t>as, identifikuojamos probleminė</w:t>
            </w:r>
            <w:r w:rsidRPr="00BE2A22">
              <w:rPr>
                <w:sz w:val="22"/>
                <w:szCs w:val="22"/>
                <w:lang w:val="en-US"/>
              </w:rPr>
              <w:t>s sritys.</w:t>
            </w:r>
          </w:p>
        </w:tc>
      </w:tr>
      <w:tr w:rsidR="00BE2A22" w:rsidRPr="00BE2A22" w:rsidTr="00BE2A22">
        <w:tc>
          <w:tcPr>
            <w:tcW w:w="534"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sz w:val="22"/>
                <w:szCs w:val="22"/>
                <w:lang w:val="en-US"/>
              </w:rPr>
            </w:pPr>
            <w:r w:rsidRPr="00BE2A22">
              <w:rPr>
                <w:i/>
                <w:sz w:val="22"/>
                <w:szCs w:val="22"/>
                <w:lang w:val="en-US"/>
              </w:rPr>
              <w:t>5.</w:t>
            </w:r>
          </w:p>
        </w:tc>
        <w:tc>
          <w:tcPr>
            <w:tcW w:w="2887"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sz w:val="22"/>
                <w:szCs w:val="22"/>
                <w:lang w:val="en-US"/>
              </w:rPr>
            </w:pPr>
            <w:r w:rsidRPr="00BE2A22">
              <w:rPr>
                <w:i/>
                <w:sz w:val="22"/>
                <w:szCs w:val="22"/>
                <w:lang w:val="en-US"/>
              </w:rPr>
              <w:t>Ataskaitos rengimas</w:t>
            </w:r>
          </w:p>
        </w:tc>
        <w:tc>
          <w:tcPr>
            <w:tcW w:w="6610"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sz w:val="22"/>
                <w:szCs w:val="22"/>
                <w:lang w:val="en-US"/>
              </w:rPr>
            </w:pPr>
            <w:r w:rsidRPr="00BE2A22">
              <w:rPr>
                <w:sz w:val="22"/>
                <w:szCs w:val="22"/>
                <w:lang w:val="en-US"/>
              </w:rPr>
              <w:t>Remiantis surinkta informacija rengiama kliento intelektinio kapitalo ataskaita.</w:t>
            </w:r>
          </w:p>
        </w:tc>
      </w:tr>
      <w:tr w:rsidR="00BE2A22" w:rsidRPr="00BE2A22" w:rsidTr="00BE2A22">
        <w:tc>
          <w:tcPr>
            <w:tcW w:w="534"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sz w:val="22"/>
                <w:szCs w:val="22"/>
                <w:lang w:val="en-US"/>
              </w:rPr>
            </w:pPr>
            <w:r w:rsidRPr="00BE2A22">
              <w:rPr>
                <w:i/>
                <w:sz w:val="22"/>
                <w:szCs w:val="22"/>
                <w:lang w:val="en-US"/>
              </w:rPr>
              <w:t>6.</w:t>
            </w:r>
          </w:p>
        </w:tc>
        <w:tc>
          <w:tcPr>
            <w:tcW w:w="2887" w:type="dxa"/>
            <w:shd w:val="clear" w:color="auto" w:fill="auto"/>
          </w:tcPr>
          <w:p w:rsidR="00BE2A22" w:rsidRPr="00BE2A22" w:rsidRDefault="00405798"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sz w:val="22"/>
                <w:szCs w:val="22"/>
                <w:lang w:val="en-US"/>
              </w:rPr>
            </w:pPr>
            <w:r>
              <w:rPr>
                <w:i/>
                <w:sz w:val="22"/>
                <w:szCs w:val="22"/>
                <w:lang w:val="en-US"/>
              </w:rPr>
              <w:t>Apskaitos tęstinumo priemonių</w:t>
            </w:r>
            <w:r w:rsidR="00BE2A22" w:rsidRPr="00BE2A22">
              <w:rPr>
                <w:i/>
                <w:sz w:val="22"/>
                <w:szCs w:val="22"/>
                <w:lang w:val="en-US"/>
              </w:rPr>
              <w:t xml:space="preserve"> rengimas</w:t>
            </w:r>
          </w:p>
        </w:tc>
        <w:tc>
          <w:tcPr>
            <w:tcW w:w="6610" w:type="dxa"/>
            <w:shd w:val="clear" w:color="auto" w:fill="auto"/>
          </w:tcPr>
          <w:p w:rsidR="00BE2A22" w:rsidRPr="00BE2A22" w:rsidRDefault="00405798"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sz w:val="22"/>
                <w:szCs w:val="22"/>
                <w:lang w:val="en-US"/>
              </w:rPr>
            </w:pPr>
            <w:r>
              <w:rPr>
                <w:sz w:val="22"/>
                <w:szCs w:val="22"/>
                <w:lang w:val="en-US"/>
              </w:rPr>
              <w:t>Rengiama tęstinė</w:t>
            </w:r>
            <w:r w:rsidR="00BE2A22" w:rsidRPr="00BE2A22">
              <w:rPr>
                <w:sz w:val="22"/>
                <w:szCs w:val="22"/>
                <w:lang w:val="en-US"/>
              </w:rPr>
              <w:t>s apskaitos metodika (gairės).</w:t>
            </w:r>
          </w:p>
        </w:tc>
      </w:tr>
      <w:tr w:rsidR="00BE2A22" w:rsidRPr="00BE2A22" w:rsidTr="00BE2A22">
        <w:tc>
          <w:tcPr>
            <w:tcW w:w="534"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sz w:val="22"/>
                <w:szCs w:val="22"/>
                <w:lang w:val="en-US"/>
              </w:rPr>
            </w:pPr>
            <w:r w:rsidRPr="00BE2A22">
              <w:rPr>
                <w:i/>
                <w:sz w:val="22"/>
                <w:szCs w:val="22"/>
                <w:lang w:val="en-US"/>
              </w:rPr>
              <w:t>7.</w:t>
            </w:r>
          </w:p>
        </w:tc>
        <w:tc>
          <w:tcPr>
            <w:tcW w:w="2887" w:type="dxa"/>
            <w:shd w:val="clear" w:color="auto" w:fill="auto"/>
          </w:tcPr>
          <w:p w:rsidR="00BE2A22" w:rsidRPr="00BE2A22"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i/>
                <w:sz w:val="22"/>
                <w:szCs w:val="22"/>
                <w:lang w:val="en-US"/>
              </w:rPr>
            </w:pPr>
            <w:r w:rsidRPr="00BE2A22">
              <w:rPr>
                <w:i/>
                <w:sz w:val="22"/>
                <w:szCs w:val="22"/>
                <w:lang w:val="en-US"/>
              </w:rPr>
              <w:t>Konsultacijos ir sprendimai</w:t>
            </w:r>
          </w:p>
        </w:tc>
        <w:tc>
          <w:tcPr>
            <w:tcW w:w="6610" w:type="dxa"/>
            <w:shd w:val="clear" w:color="auto" w:fill="auto"/>
          </w:tcPr>
          <w:p w:rsidR="00BE2A22" w:rsidRPr="00BE2A22" w:rsidRDefault="00405798" w:rsidP="00BE2A22">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sz w:val="22"/>
                <w:szCs w:val="22"/>
                <w:lang w:val="en-US"/>
              </w:rPr>
            </w:pPr>
            <w:r>
              <w:rPr>
                <w:sz w:val="22"/>
                <w:szCs w:val="22"/>
                <w:lang w:val="en-US"/>
              </w:rPr>
              <w:t>Atsižvelgiant į</w:t>
            </w:r>
            <w:r w:rsidR="00BE2A22" w:rsidRPr="00BE2A22">
              <w:rPr>
                <w:sz w:val="22"/>
                <w:szCs w:val="22"/>
                <w:lang w:val="en-US"/>
              </w:rPr>
              <w:t xml:space="preserve"> proble</w:t>
            </w:r>
            <w:r>
              <w:rPr>
                <w:sz w:val="22"/>
                <w:szCs w:val="22"/>
                <w:lang w:val="en-US"/>
              </w:rPr>
              <w:t>mines sritis, parenkamos ir siū</w:t>
            </w:r>
            <w:r w:rsidR="00BE2A22" w:rsidRPr="00BE2A22">
              <w:rPr>
                <w:sz w:val="22"/>
                <w:szCs w:val="22"/>
                <w:lang w:val="en-US"/>
              </w:rPr>
              <w:t>lomos aktualios konsultacijos ir sprendimai.</w:t>
            </w:r>
          </w:p>
        </w:tc>
      </w:tr>
    </w:tbl>
    <w:p w:rsidR="00BE2A22" w:rsidRPr="00BF3E79"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sz w:val="20"/>
          <w:szCs w:val="20"/>
          <w:lang w:val="en-US"/>
        </w:rPr>
      </w:pPr>
      <w:r w:rsidRPr="00BF3E79">
        <w:rPr>
          <w:b/>
          <w:sz w:val="20"/>
          <w:szCs w:val="20"/>
          <w:lang w:val="en-US"/>
        </w:rPr>
        <w:t xml:space="preserve">Šaltinis: </w:t>
      </w:r>
      <w:r w:rsidRPr="00BF3E79">
        <w:rPr>
          <w:sz w:val="20"/>
          <w:szCs w:val="20"/>
          <w:lang w:val="en-US"/>
        </w:rPr>
        <w:t>sudaryta autorės pagal</w:t>
      </w:r>
      <w:r w:rsidRPr="00BF3E79">
        <w:rPr>
          <w:b/>
          <w:sz w:val="20"/>
          <w:szCs w:val="20"/>
          <w:lang w:val="en-US"/>
        </w:rPr>
        <w:t xml:space="preserve"> </w:t>
      </w:r>
      <w:r w:rsidRPr="00BF3E79">
        <w:rPr>
          <w:i/>
          <w:sz w:val="20"/>
          <w:szCs w:val="20"/>
          <w:lang w:val="en-US"/>
        </w:rPr>
        <w:t>Znakovaitė, Pabedinskaitė (2010</w:t>
      </w:r>
      <w:r w:rsidRPr="00BF3E79">
        <w:rPr>
          <w:sz w:val="20"/>
          <w:szCs w:val="20"/>
          <w:lang w:val="en-US"/>
        </w:rPr>
        <w:t>)</w:t>
      </w:r>
      <w:r w:rsidR="00BF3E79" w:rsidRPr="00BF3E79">
        <w:rPr>
          <w:sz w:val="20"/>
          <w:szCs w:val="20"/>
          <w:lang w:val="en-US"/>
        </w:rPr>
        <w:t>.</w:t>
      </w:r>
    </w:p>
    <w:p w:rsidR="00BE2A22" w:rsidRPr="00BE2A22" w:rsidRDefault="00BE2A22" w:rsidP="00BE2A22">
      <w:pPr>
        <w:spacing w:line="360" w:lineRule="auto"/>
      </w:pPr>
      <w:r w:rsidRPr="00BE2A22">
        <w:t xml:space="preserve">Tuo tarpu </w:t>
      </w:r>
      <w:r w:rsidRPr="00BE2A22">
        <w:rPr>
          <w:i/>
        </w:rPr>
        <w:t>Užienė (2010)</w:t>
      </w:r>
      <w:r w:rsidRPr="00BE2A22">
        <w:t xml:space="preserve"> išskiria tokius organizacijos intelektinio kapitalo vertinimo etapus: </w:t>
      </w:r>
    </w:p>
    <w:p w:rsidR="00BE2A22" w:rsidRPr="00BE2A22" w:rsidRDefault="00BE2A22" w:rsidP="00BE2A22">
      <w:pPr>
        <w:widowControl w:val="0"/>
        <w:numPr>
          <w:ilvl w:val="0"/>
          <w:numId w:val="22"/>
        </w:numPr>
        <w:spacing w:line="360" w:lineRule="auto"/>
        <w:jc w:val="both"/>
      </w:pPr>
      <w:r w:rsidRPr="00BE2A22">
        <w:t xml:space="preserve">Situacijos analizė; </w:t>
      </w:r>
    </w:p>
    <w:p w:rsidR="00BE2A22" w:rsidRPr="00BE2A22" w:rsidRDefault="00BE2A22" w:rsidP="00BE2A22">
      <w:pPr>
        <w:widowControl w:val="0"/>
        <w:numPr>
          <w:ilvl w:val="0"/>
          <w:numId w:val="22"/>
        </w:numPr>
        <w:spacing w:line="360" w:lineRule="auto"/>
        <w:jc w:val="both"/>
      </w:pPr>
      <w:r w:rsidRPr="00BE2A22">
        <w:t xml:space="preserve">Tikslų formulavimas; </w:t>
      </w:r>
    </w:p>
    <w:p w:rsidR="00BE2A22" w:rsidRPr="00BE2A22" w:rsidRDefault="00BE2A22" w:rsidP="00BE2A22">
      <w:pPr>
        <w:widowControl w:val="0"/>
        <w:numPr>
          <w:ilvl w:val="0"/>
          <w:numId w:val="22"/>
        </w:numPr>
        <w:spacing w:line="360" w:lineRule="auto"/>
        <w:jc w:val="both"/>
      </w:pPr>
      <w:r w:rsidRPr="00BE2A22">
        <w:t xml:space="preserve">Vertinimo galimybių nustatymas; </w:t>
      </w:r>
    </w:p>
    <w:p w:rsidR="00BE2A22" w:rsidRPr="00BE2A22" w:rsidRDefault="00BE2A22" w:rsidP="00BE2A22">
      <w:pPr>
        <w:widowControl w:val="0"/>
        <w:numPr>
          <w:ilvl w:val="0"/>
          <w:numId w:val="22"/>
        </w:numPr>
        <w:spacing w:line="360" w:lineRule="auto"/>
        <w:jc w:val="both"/>
      </w:pPr>
      <w:r w:rsidRPr="00BE2A22">
        <w:t xml:space="preserve">Vertinimo priemonių parinkimas; </w:t>
      </w:r>
    </w:p>
    <w:p w:rsidR="00BE2A22" w:rsidRPr="00BE2A22" w:rsidRDefault="00BE2A22" w:rsidP="00BE2A22">
      <w:pPr>
        <w:widowControl w:val="0"/>
        <w:numPr>
          <w:ilvl w:val="0"/>
          <w:numId w:val="22"/>
        </w:numPr>
        <w:spacing w:line="360" w:lineRule="auto"/>
        <w:jc w:val="both"/>
      </w:pPr>
      <w:r w:rsidRPr="00BE2A22">
        <w:t xml:space="preserve">Vertinimo proceso organizavimas; </w:t>
      </w:r>
    </w:p>
    <w:p w:rsidR="00BE2A22" w:rsidRPr="00BE2A22" w:rsidRDefault="00BE2A22" w:rsidP="00BE2A22">
      <w:pPr>
        <w:widowControl w:val="0"/>
        <w:numPr>
          <w:ilvl w:val="0"/>
          <w:numId w:val="22"/>
        </w:numPr>
        <w:spacing w:line="360" w:lineRule="auto"/>
        <w:jc w:val="both"/>
      </w:pPr>
      <w:r w:rsidRPr="00BE2A22">
        <w:t>Sprendimų priėmimas.</w:t>
      </w:r>
    </w:p>
    <w:p w:rsidR="00BE2A22" w:rsidRPr="00BE2A22" w:rsidRDefault="00BE2A22" w:rsidP="00BE2A22">
      <w:pPr>
        <w:spacing w:line="360" w:lineRule="auto"/>
        <w:ind w:firstLine="567"/>
        <w:jc w:val="both"/>
        <w:rPr>
          <w:lang w:val="en-US"/>
        </w:rPr>
      </w:pPr>
      <w:r w:rsidRPr="00BE2A22">
        <w:rPr>
          <w:lang w:val="en-US"/>
        </w:rPr>
        <w:t>Intelektinio kapitalo matavimo procesas leidžia suprasti sisteminį požiūrį, apie su intelektinio kapitalo matavimu kylančius klausimus, padeda juos išspręsti bei pasirinkti tinkamus bei racionalius metodus atsižvelgiant į intelektinio kapitalo vertinimo procesą.</w:t>
      </w:r>
    </w:p>
    <w:p w:rsidR="00BE2A22" w:rsidRPr="00BE2A22" w:rsidRDefault="00BE2A22" w:rsidP="00BE2A22">
      <w:pPr>
        <w:spacing w:line="360" w:lineRule="auto"/>
        <w:ind w:firstLine="567"/>
        <w:jc w:val="both"/>
        <w:rPr>
          <w:lang w:val="en-US"/>
        </w:rPr>
      </w:pPr>
      <w:r w:rsidRPr="00BE2A22">
        <w:rPr>
          <w:lang w:val="en-US"/>
        </w:rPr>
        <w:t xml:space="preserve">Apibendrinant įvairių šalių mokslininkų naudojamus verslo organizacijų intelektinio kapitalo vertinimo modelius, bei jų matavimo procesus, atlikta jų analizė ir identifikuotos svarbiausios verslo veiklos vertinimo sritys. Šiame darbe atliekamas įmonių intelektinio kapitalo vertinimo procesas pasižymi įvairiais procedūriniais aspektais, kylančiais iš pačios įmonių veiklos specifikos, todėl pats vertinimas gali turėti įvairių specifinių tikslų. Siekiant nustatyti intelektinio kapitalo vertinimo galimybes vertybinių popierių biržoje listinguojamose įmonėse, </w:t>
      </w:r>
      <w:r w:rsidR="00227B53">
        <w:rPr>
          <w:lang w:val="en-US"/>
        </w:rPr>
        <w:t xml:space="preserve">šiame darbe </w:t>
      </w:r>
      <w:r w:rsidRPr="00BE2A22">
        <w:rPr>
          <w:lang w:val="en-US"/>
        </w:rPr>
        <w:t xml:space="preserve">atliekamas tyrimas. </w:t>
      </w:r>
      <w:r w:rsidRPr="00BE2A22">
        <w:t xml:space="preserve">Išnagrinėjus mokslinę literatūrą intelektinio kapitalo sandaros, metodų tematika, atsižvelgus į </w:t>
      </w:r>
      <w:r w:rsidRPr="00BE2A22">
        <w:rPr>
          <w:lang w:val="en-US"/>
        </w:rPr>
        <w:t xml:space="preserve"> </w:t>
      </w:r>
      <w:r w:rsidRPr="00BE2A22">
        <w:t xml:space="preserve">mokslininkų rekomendacijas </w:t>
      </w:r>
      <w:r w:rsidRPr="00BE2A22">
        <w:rPr>
          <w:lang w:val="en-US"/>
        </w:rPr>
        <w:t>jis buvo vykdomas išskiriant 5 etapus, taip sudarant teorinį intelektinio ka</w:t>
      </w:r>
      <w:r w:rsidR="006B5D1A">
        <w:rPr>
          <w:lang w:val="en-US"/>
        </w:rPr>
        <w:t>pitalo vertinimo modelį (žr. 5</w:t>
      </w:r>
      <w:r w:rsidRPr="00BE2A22">
        <w:rPr>
          <w:lang w:val="en-US"/>
        </w:rPr>
        <w:t xml:space="preserve"> pav.)</w:t>
      </w:r>
      <w:r w:rsidRPr="00BE2A22">
        <w:t>.</w:t>
      </w:r>
    </w:p>
    <w:p w:rsidR="00BE2A22" w:rsidRPr="004426B7" w:rsidRDefault="00BE2A22" w:rsidP="00BE2A22">
      <w:pPr>
        <w:jc w:val="center"/>
        <w:rPr>
          <w:color w:val="000090"/>
        </w:rPr>
      </w:pPr>
    </w:p>
    <w:p w:rsidR="00BE2A22" w:rsidRPr="001F7DAE" w:rsidRDefault="00BE2A22" w:rsidP="00BE2A22">
      <w:pPr>
        <w:jc w:val="center"/>
      </w:pPr>
      <w:r w:rsidRPr="001F7DAE">
        <w:rPr>
          <w:noProof/>
          <w:lang w:val="en-US" w:eastAsia="en-US"/>
        </w:rPr>
        <w:drawing>
          <wp:inline distT="0" distB="0" distL="0" distR="0">
            <wp:extent cx="6073140" cy="3522980"/>
            <wp:effectExtent l="57150" t="0" r="22860" b="39370"/>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BE2A22" w:rsidRPr="003E7CAC" w:rsidRDefault="006B5D1A" w:rsidP="00BE2A22">
      <w:pPr>
        <w:spacing w:line="360" w:lineRule="auto"/>
        <w:jc w:val="center"/>
        <w:rPr>
          <w:b/>
        </w:rPr>
      </w:pPr>
      <w:r>
        <w:t>5</w:t>
      </w:r>
      <w:r w:rsidR="00BE2A22" w:rsidRPr="003E7CAC">
        <w:t xml:space="preserve"> pav. </w:t>
      </w:r>
      <w:r w:rsidR="00BE2A22" w:rsidRPr="003E7CAC">
        <w:rPr>
          <w:b/>
        </w:rPr>
        <w:t>Intelekti</w:t>
      </w:r>
      <w:r w:rsidR="006669D4">
        <w:rPr>
          <w:b/>
        </w:rPr>
        <w:t xml:space="preserve">nio kapitalo vertinimo </w:t>
      </w:r>
      <w:r w:rsidR="00BE2A22" w:rsidRPr="003E7CAC">
        <w:rPr>
          <w:b/>
        </w:rPr>
        <w:t>modelis</w:t>
      </w:r>
    </w:p>
    <w:p w:rsidR="00BE2A22" w:rsidRPr="003E7CAC" w:rsidRDefault="00BE2A22" w:rsidP="00BE2A22">
      <w:pPr>
        <w:spacing w:line="360" w:lineRule="auto"/>
        <w:jc w:val="center"/>
        <w:rPr>
          <w:b/>
        </w:rPr>
      </w:pPr>
    </w:p>
    <w:p w:rsidR="00BE2A22" w:rsidRPr="003E7CAC" w:rsidRDefault="006B5D1A" w:rsidP="00BE2A22">
      <w:pPr>
        <w:spacing w:line="360" w:lineRule="auto"/>
        <w:ind w:firstLine="567"/>
        <w:jc w:val="both"/>
        <w:rPr>
          <w:lang w:val="en-US"/>
        </w:rPr>
      </w:pPr>
      <w:r>
        <w:t>Šiuos etapai, nurodyti 5</w:t>
      </w:r>
      <w:r w:rsidR="00BE2A22" w:rsidRPr="003E7CAC">
        <w:t xml:space="preserve"> paveiksle, atitinka </w:t>
      </w:r>
      <w:r w:rsidR="00BE2A22" w:rsidRPr="003E7CAC">
        <w:rPr>
          <w:lang w:val="en-US"/>
        </w:rPr>
        <w:t xml:space="preserve">ir analitinio tyrimo etapus, kurie išaisškinti toliau. </w:t>
      </w:r>
    </w:p>
    <w:p w:rsidR="00BE2A22" w:rsidRDefault="00BE2A22" w:rsidP="00BE2A22">
      <w:pPr>
        <w:spacing w:line="360" w:lineRule="auto"/>
        <w:ind w:firstLine="567"/>
        <w:jc w:val="both"/>
        <w:rPr>
          <w:color w:val="E36C0A"/>
        </w:rPr>
      </w:pPr>
      <w:r w:rsidRPr="003E7CAC">
        <w:rPr>
          <w:lang w:val="en-US"/>
        </w:rPr>
        <w:t>Pirmajame</w:t>
      </w:r>
      <w:r w:rsidRPr="003E7CAC">
        <w:t xml:space="preserve"> etape bus apibrėžiamas tyrimo tikslas, nustatoma tyrimo hipotezė, sudaromas koncepcijų žemėlapis (2.2. poskyris). Antrajame etape bus suformuota rodiklių sistema įmonės intelektinio kapitalo</w:t>
      </w:r>
      <w:r w:rsidR="00BF3E79">
        <w:t xml:space="preserve"> vertinimui, parinkti dar keli</w:t>
      </w:r>
      <w:r w:rsidRPr="003E7CAC">
        <w:t xml:space="preserve"> kitų autorių intelektinio kapitalo vertinimo metodai, aprašytos jų metodologijos, identifikuota kokia informacija reikalinga rodiklių skaičiavimui (2.2. poskyris). Trečiajame etape bus atrenkamos vertinimui tinkamos įmonės, renkami rodiklių skaičiavimui reikalingi duomenys (2.3. poskyris).</w:t>
      </w:r>
      <w:r w:rsidRPr="004426B7">
        <w:rPr>
          <w:color w:val="E36C0A"/>
        </w:rPr>
        <w:t xml:space="preserve"> </w:t>
      </w:r>
      <w:r w:rsidRPr="006669D4">
        <w:t xml:space="preserve">Ketvirtajame etape remiantis antrojo etapo metodų aprašymu, trečiajame etape surinktais duomenimis bus skaičiuojamas atrinktų įmonių intelektinis </w:t>
      </w:r>
      <w:r w:rsidRPr="009155AF">
        <w:t xml:space="preserve">kapitalas, analizuojami gauti rezultatai (3.1. poskyris). Penktajame etape tiriamas intelektinio </w:t>
      </w:r>
      <w:r w:rsidRPr="00597ECF">
        <w:t xml:space="preserve">kapitalo lygio </w:t>
      </w:r>
      <w:r w:rsidR="00597ECF">
        <w:t xml:space="preserve">pagal pasirinktus vertinimo rodiklius </w:t>
      </w:r>
      <w:r w:rsidRPr="00597ECF">
        <w:t>ir įmonės finansinių rodiklių ryšys</w:t>
      </w:r>
      <w:r w:rsidR="009155AF" w:rsidRPr="00597ECF">
        <w:t>, tiksliau šių rodiklių tarpusavio koreliaciniai ryšiai</w:t>
      </w:r>
      <w:r w:rsidRPr="00597ECF">
        <w:t xml:space="preserve"> (3.2. poskyris), </w:t>
      </w:r>
      <w:r w:rsidR="009155AF" w:rsidRPr="00597ECF">
        <w:t xml:space="preserve">taip pat gauti rezultatai sugretinami ir lyginami su </w:t>
      </w:r>
      <w:r w:rsidR="00597ECF">
        <w:t>užsienio šalyje</w:t>
      </w:r>
      <w:r w:rsidR="00597ECF" w:rsidRPr="00597ECF">
        <w:t xml:space="preserve"> listinguojamų įmonių apskaičiuotais rezultatais (3.3. poskyris).</w:t>
      </w:r>
      <w:r w:rsidRPr="004426B7">
        <w:rPr>
          <w:color w:val="E36C0A"/>
        </w:rPr>
        <w:t xml:space="preserve"> </w:t>
      </w:r>
    </w:p>
    <w:p w:rsidR="00BE2A22" w:rsidRPr="004426B7" w:rsidRDefault="00BE2A22" w:rsidP="00597ECF">
      <w:pPr>
        <w:spacing w:line="360" w:lineRule="auto"/>
        <w:jc w:val="both"/>
        <w:rPr>
          <w:color w:val="E36C0A"/>
        </w:rPr>
      </w:pPr>
    </w:p>
    <w:p w:rsidR="00BE2A22" w:rsidRPr="003E7CAC" w:rsidRDefault="00BE2A22" w:rsidP="00BE2A22">
      <w:pPr>
        <w:spacing w:line="360" w:lineRule="auto"/>
        <w:jc w:val="center"/>
        <w:rPr>
          <w:b/>
        </w:rPr>
      </w:pPr>
      <w:r w:rsidRPr="003E7CAC">
        <w:rPr>
          <w:b/>
        </w:rPr>
        <w:t xml:space="preserve">2.2. </w:t>
      </w:r>
      <w:r w:rsidR="003413E9">
        <w:rPr>
          <w:b/>
        </w:rPr>
        <w:t>Įmonių i</w:t>
      </w:r>
      <w:r w:rsidRPr="003E7CAC">
        <w:rPr>
          <w:b/>
        </w:rPr>
        <w:t>ntelektinio kapitalo vertinimo metodika ir jos pagrindimas</w:t>
      </w:r>
    </w:p>
    <w:p w:rsidR="00BE2A22" w:rsidRPr="003E7CAC" w:rsidRDefault="00BE2A22" w:rsidP="00BE2A22">
      <w:pPr>
        <w:spacing w:line="360" w:lineRule="auto"/>
        <w:jc w:val="both"/>
        <w:rPr>
          <w:b/>
        </w:rPr>
      </w:pPr>
    </w:p>
    <w:p w:rsidR="00BE2A22" w:rsidRPr="003E7CAC" w:rsidRDefault="00BE2A22" w:rsidP="00BE2A22">
      <w:pPr>
        <w:spacing w:line="360" w:lineRule="auto"/>
        <w:ind w:firstLine="567"/>
        <w:jc w:val="both"/>
        <w:rPr>
          <w:lang w:val="en-US"/>
        </w:rPr>
      </w:pPr>
      <w:r w:rsidRPr="003E7CAC">
        <w:rPr>
          <w:lang w:val="en-US"/>
        </w:rPr>
        <w:t xml:space="preserve">Kaip </w:t>
      </w:r>
      <w:r w:rsidRPr="003E7CAC">
        <w:rPr>
          <w:i/>
          <w:lang w:val="en-US"/>
        </w:rPr>
        <w:t>Robson (2000</w:t>
      </w:r>
      <w:r w:rsidRPr="003E7CAC">
        <w:rPr>
          <w:lang w:val="en-US"/>
        </w:rPr>
        <w:t>) pasakė, kad “intelektinio kapitalo vertinimas yra labiau menas, nei mokslas”. Moksliniuose darbuose yra pateikiama daug intelektinio kapitalo vertinimo metodų, tačiau nusistovėjusio ir visuotinai tinkamo metodo dar nėra pripažinto. Tai iš dalies paaiškina ir nevienodas intelektinio kapitalo vertinimas skirtinguose sektoriuose. Vis dėlto daugelis intelektinio kapitalo vertinimo metodų pagrįsti pasitelkiant finansinius įmonių rodiklius, skiriasi tik intelektinio kapitalo vertinimo tikslai, struktūros interpretavimas, nagrinėjamų finansinių rodiklių  pasirinimas.</w:t>
      </w:r>
    </w:p>
    <w:p w:rsidR="005A1EE3" w:rsidRDefault="00BE2A22" w:rsidP="005A1EE3">
      <w:pPr>
        <w:spacing w:line="360" w:lineRule="auto"/>
        <w:ind w:firstLine="567"/>
        <w:jc w:val="both"/>
        <w:rPr>
          <w:lang w:val="en-US"/>
        </w:rPr>
      </w:pPr>
      <w:r w:rsidRPr="003E7CAC">
        <w:rPr>
          <w:lang w:val="en-US"/>
        </w:rPr>
        <w:t>Egzistuoja daug intelektinio kapitalo vertinimo sistemų, kurios pagrįstos apskaito</w:t>
      </w:r>
      <w:r w:rsidR="003878A9">
        <w:rPr>
          <w:lang w:val="en-US"/>
        </w:rPr>
        <w:t>s, žmogiškųjų išteklių</w:t>
      </w:r>
      <w:r w:rsidRPr="003E7CAC">
        <w:rPr>
          <w:lang w:val="en-US"/>
        </w:rPr>
        <w:t xml:space="preserve"> aps</w:t>
      </w:r>
      <w:r w:rsidR="003878A9">
        <w:rPr>
          <w:lang w:val="en-US"/>
        </w:rPr>
        <w:t>kaitos, ekonomikos, intelektinės nuosavybė</w:t>
      </w:r>
      <w:r w:rsidRPr="003E7CAC">
        <w:rPr>
          <w:lang w:val="en-US"/>
        </w:rPr>
        <w:t>s ir kitais tyrimais bei praktika, tačiau atsižvelgiant į šiame tyrime vykdomą intelektinio kapitalo vertinimo sistemą, nefinansiniai matavimo vienetai papildyti finansiniais, siekiant atlikti ir jų palyginamąją analyzę. Tyrime akcentuojama, kad</w:t>
      </w:r>
      <w:r w:rsidRPr="004426B7">
        <w:rPr>
          <w:color w:val="000090"/>
          <w:lang w:val="en-US"/>
        </w:rPr>
        <w:t xml:space="preserve"> </w:t>
      </w:r>
      <w:r w:rsidRPr="003E7CAC">
        <w:rPr>
          <w:lang w:val="en-US"/>
        </w:rPr>
        <w:t xml:space="preserve">pasirinkti vertinimo metodai </w:t>
      </w:r>
      <w:r w:rsidRPr="00EA0BB9">
        <w:rPr>
          <w:lang w:val="en-US"/>
        </w:rPr>
        <w:t>yra iš turto grąžos kategorijai priskiriamų intelektinio kapitalo vertinimo metodų, o reikalinga informacija apie finansinius rodiklius paimta iš antrinių</w:t>
      </w:r>
      <w:r w:rsidRPr="003E7CAC">
        <w:rPr>
          <w:lang w:val="en-US"/>
        </w:rPr>
        <w:t xml:space="preserve"> šaltinių (finansinių veiklos ataskaitų) pagal viešai skelbiamą </w:t>
      </w:r>
      <w:r w:rsidR="00600E4F">
        <w:rPr>
          <w:lang w:val="en-US"/>
        </w:rPr>
        <w:t xml:space="preserve">vertybinių popierių </w:t>
      </w:r>
      <w:r w:rsidRPr="003E7CAC">
        <w:rPr>
          <w:lang w:val="en-US"/>
        </w:rPr>
        <w:t xml:space="preserve">biržoje linstinguojamų įmonių pateiktus finansinius duomenis. Nors </w:t>
      </w:r>
      <w:r w:rsidRPr="003E7CAC">
        <w:rPr>
          <w:i/>
          <w:lang w:val="en-US"/>
        </w:rPr>
        <w:t>Mačerinskienė ir Bartuševičienė (2012)</w:t>
      </w:r>
      <w:r w:rsidRPr="003E7CAC">
        <w:rPr>
          <w:lang w:val="en-US"/>
        </w:rPr>
        <w:t xml:space="preserve"> siūlo intelektinio kapitalo vertinimo modelio tobulinimui atlikti tyrimą,</w:t>
      </w:r>
      <w:r w:rsidRPr="00176881">
        <w:rPr>
          <w:color w:val="000090"/>
          <w:lang w:val="en-US"/>
        </w:rPr>
        <w:t xml:space="preserve"> </w:t>
      </w:r>
      <w:r w:rsidRPr="006669D4">
        <w:rPr>
          <w:lang w:val="en-US"/>
        </w:rPr>
        <w:t xml:space="preserve">naudojantis tiek kiekybiniais, tiek kokybiniais metodais. </w:t>
      </w:r>
    </w:p>
    <w:p w:rsidR="005A1EE3" w:rsidRPr="006669D4" w:rsidRDefault="005A1EE3" w:rsidP="005A1EE3">
      <w:pPr>
        <w:spacing w:line="360" w:lineRule="auto"/>
        <w:ind w:firstLine="567"/>
        <w:jc w:val="both"/>
        <w:rPr>
          <w:lang w:val="en-US"/>
        </w:rPr>
      </w:pPr>
      <w:r>
        <w:rPr>
          <w:lang w:val="en-US"/>
        </w:rPr>
        <w:t>Toliau nustatomi įmonių intelektinio kapitalo vertinimo tikslai, uždaviniai ir hipote</w:t>
      </w:r>
      <w:r w:rsidR="00BF3E79">
        <w:rPr>
          <w:lang w:val="en-US"/>
        </w:rPr>
        <w:t>zės. Sudaromas įmonės sugebėjim</w:t>
      </w:r>
      <w:r>
        <w:rPr>
          <w:lang w:val="en-US"/>
        </w:rPr>
        <w:t>o</w:t>
      </w:r>
      <w:r w:rsidR="00BF3E79">
        <w:rPr>
          <w:lang w:val="en-US"/>
        </w:rPr>
        <w:t xml:space="preserve"> pritraukti</w:t>
      </w:r>
      <w:r>
        <w:rPr>
          <w:lang w:val="en-US"/>
        </w:rPr>
        <w:t xml:space="preserve"> įnv</w:t>
      </w:r>
      <w:r w:rsidR="00BF3E79">
        <w:rPr>
          <w:lang w:val="en-US"/>
        </w:rPr>
        <w:t>estuotoju</w:t>
      </w:r>
      <w:r>
        <w:rPr>
          <w:lang w:val="en-US"/>
        </w:rPr>
        <w:t>s koncepcijų žemėlapis. Aprašomi intelektinio kapitalo vertinimo metodai.</w:t>
      </w:r>
    </w:p>
    <w:p w:rsidR="00BE2A22" w:rsidRPr="004426B7" w:rsidRDefault="00BE2A22" w:rsidP="005A1EE3">
      <w:pPr>
        <w:spacing w:line="360" w:lineRule="auto"/>
        <w:jc w:val="both"/>
        <w:rPr>
          <w:color w:val="000090"/>
          <w:lang w:val="en-US"/>
        </w:rPr>
      </w:pPr>
    </w:p>
    <w:p w:rsidR="00BB12FB" w:rsidRDefault="00BB12FB" w:rsidP="00BE2A22">
      <w:pPr>
        <w:spacing w:line="360" w:lineRule="auto"/>
        <w:ind w:firstLine="567"/>
        <w:jc w:val="both"/>
        <w:rPr>
          <w:b/>
        </w:rPr>
      </w:pPr>
    </w:p>
    <w:p w:rsidR="00BE2A22" w:rsidRPr="003E7CAC" w:rsidRDefault="00BE2A22" w:rsidP="00BE2A22">
      <w:pPr>
        <w:spacing w:line="360" w:lineRule="auto"/>
        <w:ind w:firstLine="567"/>
        <w:jc w:val="both"/>
        <w:rPr>
          <w:b/>
        </w:rPr>
      </w:pPr>
      <w:r w:rsidRPr="003E7CAC">
        <w:rPr>
          <w:b/>
        </w:rPr>
        <w:t>Įmonės intelektinio kapitalo vertinimo tikslų ir hipotezių nustatymas</w:t>
      </w:r>
    </w:p>
    <w:p w:rsidR="00BE2A22" w:rsidRPr="003E7CAC" w:rsidRDefault="00BE2A22" w:rsidP="00BE2A22">
      <w:pPr>
        <w:spacing w:line="360" w:lineRule="auto"/>
        <w:jc w:val="both"/>
      </w:pPr>
    </w:p>
    <w:p w:rsidR="00BE2A22" w:rsidRPr="003E7CAC" w:rsidRDefault="00BE2A22" w:rsidP="00BE2A22">
      <w:pPr>
        <w:spacing w:line="360" w:lineRule="auto"/>
        <w:ind w:firstLine="567"/>
        <w:jc w:val="both"/>
      </w:pPr>
      <w:r w:rsidRPr="003E7CAC">
        <w:rPr>
          <w:b/>
        </w:rPr>
        <w:t xml:space="preserve">Tyrimo tikslas: </w:t>
      </w:r>
      <w:r w:rsidRPr="003E7CAC">
        <w:t>Empiriškai išnagrinėti</w:t>
      </w:r>
      <w:r w:rsidRPr="004426B7">
        <w:rPr>
          <w:color w:val="000090"/>
        </w:rPr>
        <w:t xml:space="preserve"> </w:t>
      </w:r>
      <w:r w:rsidR="006601C4" w:rsidRPr="00EA0BB9">
        <w:t>ryšius</w:t>
      </w:r>
      <w:r w:rsidRPr="00EA0BB9">
        <w:t xml:space="preserve"> finansinių</w:t>
      </w:r>
      <w:r w:rsidRPr="003E7CAC">
        <w:t xml:space="preserve"> veiklos rezultatų ir pasirinktų intelektinio kapitalo vertinimo metodų pasirinktose įmonėse listinguojamose </w:t>
      </w:r>
      <w:r w:rsidR="003358D1">
        <w:t>OMX Vilnius vertybinių popierių biržoj</w:t>
      </w:r>
      <w:r w:rsidRPr="003E7CAC">
        <w:t xml:space="preserve">e </w:t>
      </w:r>
      <w:r w:rsidR="00BE062F">
        <w:t>bei palyginti juos su užsienio šalies patirtimi</w:t>
      </w:r>
      <w:r w:rsidRPr="003E7CAC">
        <w:t>.</w:t>
      </w:r>
    </w:p>
    <w:p w:rsidR="00BE2A22" w:rsidRPr="003E7CAC" w:rsidRDefault="00BE2A22" w:rsidP="00BE2A22">
      <w:pPr>
        <w:spacing w:line="360" w:lineRule="auto"/>
        <w:ind w:firstLine="567"/>
        <w:jc w:val="both"/>
      </w:pPr>
      <w:r w:rsidRPr="003E7CAC">
        <w:t>Prisimenant pirmąjame skyriuje išnagrinėtą mokslinę literatūrą bei sudarant vertinamų įmonių</w:t>
      </w:r>
      <w:r>
        <w:rPr>
          <w:color w:val="000090"/>
        </w:rPr>
        <w:t xml:space="preserve"> </w:t>
      </w:r>
      <w:r w:rsidRPr="006669D4">
        <w:t>praktinį intelektinio</w:t>
      </w:r>
      <w:r w:rsidRPr="003E7CAC">
        <w:t xml:space="preserve"> kapitalo vertinimo modelį, intelektinis kapitalas bus aiškinamas kaip įmonės nematerialiųjų išteklių, t.y. informacijos, darbuotojų žinių visuma, kuriuos galima skirstyti į žmogiškąjį, struktūrinį ir socialinį kapitalus, ir kurie įmonei suteikia naudos, kaip pelnas, pridėtinė vertė, konkurencingumas ir pan. Taip įmonė efektyviai valdydama intelektinį kapitalą tampa patrauklesne išoriniams informacijos vartotojams, tokiems, kaip </w:t>
      </w:r>
      <w:r w:rsidR="00BF3E79">
        <w:t xml:space="preserve">partneriai, </w:t>
      </w:r>
      <w:r w:rsidRPr="003E7CAC">
        <w:t>investuotoj</w:t>
      </w:r>
      <w:r w:rsidR="006B5D1A">
        <w:t>ai. Remiantis šiuo požiūriu, 6</w:t>
      </w:r>
      <w:r w:rsidRPr="003E7CAC">
        <w:t xml:space="preserve"> paveiksle vaizduojamas ryšys tarp įmonės intelektinio kapitalo ir įmonės patrauklumo </w:t>
      </w:r>
      <w:r w:rsidR="008F7127">
        <w:t>suinteresuotoms šalims</w:t>
      </w:r>
      <w:r w:rsidRPr="003E7CAC">
        <w:t xml:space="preserve">, šiuo atveju investuotojams ryšio koncepcija.  </w:t>
      </w:r>
    </w:p>
    <w:p w:rsidR="00BE2A22" w:rsidRPr="003E7CAC" w:rsidRDefault="00BE2A22" w:rsidP="00BE2A22">
      <w:pPr>
        <w:spacing w:line="360" w:lineRule="auto"/>
        <w:ind w:firstLine="567"/>
        <w:jc w:val="both"/>
      </w:pPr>
    </w:p>
    <w:p w:rsidR="00BE2A22" w:rsidRDefault="00E263D0" w:rsidP="00BE2A22">
      <w:pPr>
        <w:spacing w:line="360" w:lineRule="auto"/>
        <w:ind w:left="-567"/>
        <w:jc w:val="both"/>
        <w:rPr>
          <w:color w:val="000090"/>
        </w:rPr>
      </w:pPr>
      <w:r w:rsidRPr="00E263D0">
        <w:rPr>
          <w:noProof/>
          <w:lang w:val="en-US" w:eastAsia="en-US"/>
        </w:rPr>
      </w:r>
      <w:r w:rsidRPr="00E263D0">
        <w:rPr>
          <w:noProof/>
          <w:lang w:val="en-US" w:eastAsia="en-US"/>
        </w:rPr>
        <w:pict>
          <v:group id="Canvas 35" o:spid="_x0000_s1031" style="width:567.6pt;height:260.8pt;mso-position-horizontal-relative:char;mso-position-vertical-relative:line" coordorigin="-540344,121521" coordsize="6978994,348590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">
            <v:rect id="_x0000_s1032" style="position:absolute;left:-540344;top:121521;width:6978994;height:348590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DjAgwwAA&#10;ANwAAAAPAAAAZHJzL2Rvd25yZXYueG1sRE9Na4NAEL0X8h+WCeRSmjU5hGKyCUUIkVII1cTz4E5V&#10;6s6qu1X777uFQm/zeJ9zOM2mFSMNrrGsYLOOQBCXVjdcKbjl56dnEM4ja2wtk4JvcnA6Lh4OGGs7&#10;8TuNma9ECGEXo4La+y6W0pU1GXRr2xEH7sMOBn2AQyX1gFMIN63cRtFOGmw4NNTYUVJT+Zl9GQVT&#10;eR2L/O0ir49FarlP+yS7vyq1Ws4vexCeZv8v/nOnOszf7OD3mXCBPP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LDjAgwwAAANwAAAAPAAAAAAAAAAAAAAAAAJcCAABkcnMvZG93&#10;bnJldi54bWxQSwUGAAAAAAQABAD1AAAAhwMAAAAA&#10;" filled="f" stroked="f">
              <o:lock v:ext="edit" aspectratio="t"/>
            </v:rect>
            <v:rect id="Rectangle 247" o:spid="_x0000_s1033" style="position:absolute;left:4458618;top:2164457;width:749581;height:32380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OK6ZwgAA&#10;ANwAAAAPAAAAZHJzL2Rvd25yZXYueG1sRE9Ni8IwEL0v7H8Is+BNE1ftajWKCIKgHlYFr0MztsVm&#10;0m2idv/9RhD2No/3ObNFaytxp8aXjjX0ewoEceZMybmG03HdHYPwAdlg5Zg0/JKHxfz9bYapcQ/+&#10;pvsh5CKGsE9RQxFCnUrps4Is+p6riSN3cY3FEGGTS9PgI4bbSn4qlUiLJceGAmtaFZRdDzerAZOh&#10;+dlfBrvj9pbgJG/VenRWWnc+2uUURKA2/Itf7o2J8/tf8HwmXiDn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k4rpnCAAAA3AAAAA8AAAAAAAAAAAAAAAAAlwIAAGRycy9kb3du&#10;cmV2LnhtbFBLBQYAAAAABAAEAPUAAACGAwAAAAA=&#10;" stroked="f">
              <v:textbox>
                <w:txbxContent>
                  <w:p w:rsidR="00863B4D" w:rsidRPr="00780ED1" w:rsidRDefault="00863B4D" w:rsidP="00BE2A22">
                    <w:pPr>
                      <w:rPr>
                        <w:sz w:val="20"/>
                        <w:szCs w:val="20"/>
                      </w:rPr>
                    </w:pPr>
                    <w:r w:rsidRPr="00780ED1">
                      <w:rPr>
                        <w:sz w:val="20"/>
                        <w:szCs w:val="20"/>
                      </w:rPr>
                      <w:t>didina</w:t>
                    </w:r>
                  </w:p>
                </w:txbxContent>
              </v:textbox>
            </v:rect>
            <v:rect id="Rectangle 239" o:spid="_x0000_s1034" style="position:absolute;left:4580217;top:1337586;width:729592;height:24319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pzrrxQAA&#10;ANwAAAAPAAAAZHJzL2Rvd25yZXYueG1sRI9Pa8JAEMXvhX6HZQq91V1bGzS6ihSEgu3BP+B1yI5J&#10;MDsbs6um375zELzN8N6895vZoveNulIX68AWhgMDirgIrubSwn63ehuDignZYROYLPxRhMX8+WmG&#10;uQs33tB1m0olIRxztFCl1OZax6Iij3EQWmLRjqHzmGTtSu06vEm4b/S7MZn2WLM0VNjSV0XFaXvx&#10;FjAbufPv8eNnt75kOCl7s/o8GGtfX/rlFFSiPj3M9+tvJ/hDoZVnZAI9/w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inOuvFAAAA3AAAAA8AAAAAAAAAAAAAAAAAlwIAAGRycy9k&#10;b3ducmV2LnhtbFBLBQYAAAAABAAEAPUAAACJAwAAAAA=&#10;" stroked="f">
              <v:textbox>
                <w:txbxContent>
                  <w:p w:rsidR="00863B4D" w:rsidRPr="00780ED1" w:rsidRDefault="00863B4D" w:rsidP="00BE2A22">
                    <w:pPr>
                      <w:rPr>
                        <w:sz w:val="20"/>
                        <w:szCs w:val="20"/>
                      </w:rPr>
                    </w:pPr>
                    <w:r w:rsidRPr="00780ED1">
                      <w:rPr>
                        <w:sz w:val="20"/>
                        <w:szCs w:val="20"/>
                      </w:rPr>
                      <w:t>gerina</w:t>
                    </w:r>
                  </w:p>
                </w:txbxContent>
              </v:textbox>
            </v:rect>
            <v:rect id="Rectangle 247" o:spid="_x0000_s1035" style="position:absolute;left:3162327;top:2155230;width:688296;height:31843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659wwQAA&#10;ANwAAAAPAAAAZHJzL2Rvd25yZXYueG1sRE9Li8IwEL4v+B/CCHtbE3fdotUosiAIugcf4HVoxrbY&#10;TGoTtf57Iwje5uN7zmTW2kpcqfGlYw39ngJBnDlTcq5hv1t8DUH4gGywckwa7uRhNu18TDA17sYb&#10;um5DLmII+xQ1FCHUqZQ+K8ii77maOHJH11gMETa5NA3eYrit5LdSibRYcmwosKa/grLT9mI1YDIw&#10;5//jz3q3uiQ4ylu1+D0orT+77XwMIlAb3uKXe2ni/P4Ins/EC+T0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Z+ufcMEAAADcAAAADwAAAAAAAAAAAAAAAACXAgAAZHJzL2Rvd25y&#10;ZXYueG1sUEsFBgAAAAAEAAQA9QAAAIUDAAAAAA==&#10;" stroked="f">
              <v:textbox>
                <w:txbxContent>
                  <w:p w:rsidR="00863B4D" w:rsidRPr="00780ED1" w:rsidRDefault="00863B4D" w:rsidP="00BE2A22">
                    <w:pPr>
                      <w:rPr>
                        <w:sz w:val="20"/>
                        <w:szCs w:val="20"/>
                      </w:rPr>
                    </w:pPr>
                    <w:r w:rsidRPr="00780ED1">
                      <w:rPr>
                        <w:sz w:val="20"/>
                        <w:szCs w:val="20"/>
                      </w:rPr>
                      <w:t>didina</w:t>
                    </w:r>
                  </w:p>
                </w:txbxContent>
              </v:textbox>
            </v:rect>
            <v:rect id="Rectangle 246" o:spid="_x0000_s1036" style="position:absolute;left:2081969;top:2221744;width:763258;height:38193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vfxQxQAA&#10;ANwAAAAPAAAAZHJzL2Rvd25yZXYueG1sRI9Ba8JAEIXvBf/DMkJvdVdrQ42uUgpCwfagFrwO2TEJ&#10;ZmdjdtX033cOgrcZ3pv3vlmset+oK3WxDmxhPDKgiIvgai4t/O7XL++gYkJ22AQmC38UYbUcPC0w&#10;d+HGW7ruUqkkhGOOFqqU2lzrWFTkMY5CSyzaMXQek6xdqV2HNwn3jZ4Yk2mPNUtDhS19VlScdhdv&#10;AbOpO/8cX7/3m0uGs7I367eDsfZ52H/MQSXq08N8v/5ygj8RfHlGJtDL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i9/FDFAAAA3AAAAA8AAAAAAAAAAAAAAAAAlwIAAGRycy9k&#10;b3ducmV2LnhtbFBLBQYAAAAABAAEAPUAAACJAwAAAAA=&#10;" stroked="f">
              <v:textbox>
                <w:txbxContent>
                  <w:p w:rsidR="00863B4D" w:rsidRPr="00780ED1" w:rsidRDefault="00863B4D" w:rsidP="00BE2A22">
                    <w:pPr>
                      <w:rPr>
                        <w:sz w:val="20"/>
                        <w:szCs w:val="20"/>
                      </w:rPr>
                    </w:pPr>
                    <w:r w:rsidRPr="00780ED1">
                      <w:rPr>
                        <w:sz w:val="20"/>
                        <w:szCs w:val="20"/>
                      </w:rPr>
                      <w:t>didina</w:t>
                    </w:r>
                  </w:p>
                </w:txbxContent>
              </v:textbox>
            </v:rect>
            <v:rect id="Rectangle 245" o:spid="_x0000_s1037" style="position:absolute;left:1053855;top:2164457;width:729592;height:30920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8VnLwwAA&#10;ANwAAAAPAAAAZHJzL2Rvd25yZXYueG1sRE9Na8JAEL0X/A/LFLzVXbUNNbpKKQSEtgcTodchOyah&#10;2dmYXWP8991Cwds83udsdqNtxUC9bxxrmM8UCOLSmYYrDccie3oF4QOywdYxabiRh9128rDB1Lgr&#10;H2jIQyViCPsUNdQhdKmUvqzJop+5jjhyJ9dbDBH2lTQ9XmO4beVCqURabDg21NjRe03lT36xGjB5&#10;Nuev0/Kz+LgkuKpGlb18K62nj+PbGkSgMdzF/+69ifMXc/h7Jl4gt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8VnLwwAAANwAAAAPAAAAAAAAAAAAAAAAAJcCAABkcnMvZG93&#10;bnJldi54bWxQSwUGAAAAAAQABAD1AAAAhwMAAAAA&#10;" stroked="f">
              <v:textbox>
                <w:txbxContent>
                  <w:p w:rsidR="00863B4D" w:rsidRPr="00780ED1" w:rsidRDefault="00863B4D" w:rsidP="00BE2A22">
                    <w:pPr>
                      <w:rPr>
                        <w:sz w:val="20"/>
                        <w:szCs w:val="20"/>
                      </w:rPr>
                    </w:pPr>
                    <w:r w:rsidRPr="00780ED1">
                      <w:rPr>
                        <w:sz w:val="20"/>
                        <w:szCs w:val="20"/>
                      </w:rPr>
                      <w:t>didina</w:t>
                    </w:r>
                  </w:p>
                </w:txbxContent>
              </v:textbox>
            </v:rect>
            <v:rect id="Rectangle 240" o:spid="_x0000_s1038" style="position:absolute;left:3121033;top:1337586;width:729592;height:36479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I8e8wgAA&#10;ANwAAAAPAAAAZHJzL2Rvd25yZXYueG1sRE9Na8JAEL0L/odlBG+6a6yhpq5SCoLQejAWvA7ZMQnN&#10;zsbsqvHfdwsFb/N4n7Pa9LYRN+p87VjDbKpAEBfO1Fxq+D5uJ68gfEA22DgmDQ/ysFkPByvMjLvz&#10;gW55KEUMYZ+hhiqENpPSFxVZ9FPXEkfu7DqLIcKulKbDewy3jUyUSqXFmmNDhS19VFT85FerAdMX&#10;c9mf51/Hz2uKy7JX28VJaT0e9e9vIAL14Sn+d+9MnJ8k8PdMvECuf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cjx7zCAAAA3AAAAA8AAAAAAAAAAAAAAAAAlwIAAGRycy9kb3du&#10;cmV2LnhtbFBLBQYAAAAABAAEAPUAAACGAwAAAAA=&#10;" stroked="f">
              <v:textbox>
                <w:txbxContent>
                  <w:p w:rsidR="00863B4D" w:rsidRPr="00780ED1" w:rsidRDefault="00863B4D" w:rsidP="00BE2A22">
                    <w:pPr>
                      <w:rPr>
                        <w:sz w:val="20"/>
                        <w:szCs w:val="20"/>
                      </w:rPr>
                    </w:pPr>
                    <w:r w:rsidRPr="00780ED1">
                      <w:rPr>
                        <w:sz w:val="20"/>
                        <w:szCs w:val="20"/>
                      </w:rPr>
                      <w:t>didina</w:t>
                    </w:r>
                  </w:p>
                </w:txbxContent>
              </v:textbox>
            </v:rect>
            <v:rect id="Rectangle 239" o:spid="_x0000_s1039" style="position:absolute;left:2269842;top:1337586;width:729592;height:36479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b2InwwAA&#10;ANwAAAAPAAAAZHJzL2Rvd25yZXYueG1sRE9Na8JAEL0L/Q/LFLzpbo2GGl2lCIGC9VAt9DpkxyQ0&#10;O5tmNzH9991Cwds83uds96NtxECdrx1reJorEMSFMzWXGj4u+ewZhA/IBhvHpOGHPOx3D5MtZsbd&#10;+J2GcyhFDGGfoYYqhDaT0hcVWfRz1xJH7uo6iyHCrpSmw1sMt41cKJVKizXHhgpbOlRUfJ17qwHT&#10;pfk+XZO3y7FPcV2OKl99Kq2nj+PLBkSgMdzF/+5XE+cvEvh7Jl4gd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b2InwwAAANwAAAAPAAAAAAAAAAAAAAAAAJcCAABkcnMvZG93&#10;bnJldi54bWxQSwUGAAAAAAQABAD1AAAAhwMAAAAA&#10;" stroked="f">
              <v:textbox>
                <w:txbxContent>
                  <w:p w:rsidR="00863B4D" w:rsidRPr="00780ED1" w:rsidRDefault="00863B4D" w:rsidP="00BE2A22">
                    <w:pPr>
                      <w:rPr>
                        <w:sz w:val="20"/>
                        <w:szCs w:val="20"/>
                      </w:rPr>
                    </w:pPr>
                    <w:r w:rsidRPr="00780ED1">
                      <w:rPr>
                        <w:sz w:val="20"/>
                        <w:szCs w:val="20"/>
                      </w:rPr>
                      <w:t>didina</w:t>
                    </w:r>
                  </w:p>
                </w:txbxContent>
              </v:textbox>
            </v:rect>
            <v:rect id="Rectangle 238" o:spid="_x0000_s1040" style="position:absolute;left:445862;top:1339902;width:712755;height:25142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hvpTwwAA&#10;ANwAAAAPAAAAZHJzL2Rvd25yZXYueG1sRE9La8JAEL4X/A/LCN7qblMbanQNpSAItgcf0OuQHZPQ&#10;7GyaXZP477uFgrf5+J6zzkfbiJ46XzvW8DRXIIgLZ2ouNZxP28dXED4gG2wck4Ybecg3k4c1ZsYN&#10;fKD+GEoRQ9hnqKEKoc2k9EVFFv3ctcSRu7jOYoiwK6XpcIjhtpGJUqm0WHNsqLCl94qK7+PVasB0&#10;YX4+L88fp/01xWU5qu3Ll9J6Nh3fViACjeEu/nfvTJyfLODvmXiB3Pw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HhvpTwwAAANwAAAAPAAAAAAAAAAAAAAAAAJcCAABkcnMvZG93&#10;bnJldi54bWxQSwUGAAAAAAQABAD1AAAAhwMAAAAA&#10;" stroked="f">
              <v:textbox>
                <w:txbxContent>
                  <w:p w:rsidR="00863B4D" w:rsidRPr="00780ED1" w:rsidRDefault="00863B4D" w:rsidP="00BE2A22">
                    <w:pPr>
                      <w:rPr>
                        <w:sz w:val="20"/>
                        <w:szCs w:val="20"/>
                      </w:rPr>
                    </w:pPr>
                    <w:r w:rsidRPr="00780ED1">
                      <w:rPr>
                        <w:sz w:val="20"/>
                        <w:szCs w:val="20"/>
                      </w:rPr>
                      <w:t>didina</w:t>
                    </w:r>
                  </w:p>
                </w:txbxContent>
              </v:textbox>
            </v:rect>
            <v:rect id="Rectangle 234" o:spid="_x0000_s1041" style="position:absolute;left:4458618;top:721486;width:749381;height:29841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yl/IwQAA&#10;ANwAAAAPAAAAZHJzL2Rvd25yZXYueG1sRE9Li8IwEL4L+x/CLOxNE19Fq1EWQVhQD6sLXodmbIvN&#10;pNtErf/eCIK3+fieM1+2thJXanzpWEO/p0AQZ86UnGv4O6y7ExA+IBusHJOGO3lYLj46c0yNu/Ev&#10;XfchFzGEfYoaihDqVEqfFWTR91xNHLmTayyGCJtcmgZvMdxWcqBUIi2WHBsKrGlVUHbeX6wGTEbm&#10;f3cabg+bS4LTvFXr8VFp/fXZfs9ABGrDW/xy/5g4fzCG5zPxArl4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MpfyMEAAADcAAAADwAAAAAAAAAAAAAAAACXAgAAZHJzL2Rvd25y&#10;ZXYueG1sUEsFBgAAAAAEAAQA9QAAAIUDAAAAAA==&#10;" stroked="f">
              <v:textbox>
                <w:txbxContent>
                  <w:p w:rsidR="00863B4D" w:rsidRPr="00780ED1" w:rsidRDefault="00863B4D" w:rsidP="00BE2A22">
                    <w:pPr>
                      <w:rPr>
                        <w:sz w:val="20"/>
                        <w:szCs w:val="20"/>
                      </w:rPr>
                    </w:pPr>
                    <w:r w:rsidRPr="00780ED1">
                      <w:rPr>
                        <w:sz w:val="20"/>
                        <w:szCs w:val="20"/>
                      </w:rPr>
                      <w:t>kuria</w:t>
                    </w:r>
                  </w:p>
                </w:txbxContent>
              </v:textbox>
            </v:rect>
            <v:rect id="Rectangle 233" o:spid="_x0000_s1042" style="position:absolute;left:2888134;top:721661;width:672811;height:24254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GMG/wQAA&#10;ANwAAAAPAAAAZHJzL2Rvd25yZXYueG1sRE9Li8IwEL4L/ocwgjdNfGxxu0ZZFgRB9+AD9jo0Y1u2&#10;mdQmav33RhC8zcf3nPmytZW4UuNLxxpGQwWCOHOm5FzD8bAazED4gGywckwa7uRhueh25pgad+Md&#10;XfchFzGEfYoaihDqVEqfFWTRD11NHLmTayyGCJtcmgZvMdxWcqxUIi2WHBsKrOmnoOx/f7EaMJma&#10;8+9psj1sLgl+5q1affwprfu99vsLRKA2vMUv99rE+eMEns/EC+Ti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2BjBv8EAAADcAAAADwAAAAAAAAAAAAAAAACXAgAAZHJzL2Rvd25y&#10;ZXYueG1sUEsFBgAAAAAEAAQA9QAAAIUDAAAAAA==&#10;" stroked="f">
              <v:textbox>
                <w:txbxContent>
                  <w:p w:rsidR="00863B4D" w:rsidRPr="00780ED1" w:rsidRDefault="00863B4D" w:rsidP="00BE2A22">
                    <w:pPr>
                      <w:rPr>
                        <w:sz w:val="20"/>
                        <w:szCs w:val="20"/>
                      </w:rPr>
                    </w:pPr>
                    <w:r w:rsidRPr="00780ED1">
                      <w:rPr>
                        <w:sz w:val="20"/>
                        <w:szCs w:val="20"/>
                      </w:rPr>
                      <w:t>kuria</w:t>
                    </w:r>
                  </w:p>
                </w:txbxContent>
              </v:textbox>
            </v:rect>
            <v:rect id="Rectangle 232" o:spid="_x0000_s1043" style="position:absolute;left:567460;top:721486;width:756131;height:25021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VGQkwwAA&#10;ANwAAAAPAAAAZHJzL2Rvd25yZXYueG1sRE9LawIxEL4L/Q9hhN5qom1X3W4UEYSC9eBa6HXYzD7o&#10;ZrLdRN3++0YoeJuP7znZerCtuFDvG8caphMFgrhwpuFKw+dp97QA4QOywdYxafglD+vVwyjD1Lgr&#10;H+mSh0rEEPYpaqhD6FIpfVGTRT9xHXHkStdbDBH2lTQ9XmO4beVMqURabDg21NjRtqbiOz9bDZi8&#10;mJ9D+fxx2p8TXFaD2r1+Ka0fx8PmDUSgIdzF/+53E+fP5nB7Jl4gV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3VGQkwwAAANwAAAAPAAAAAAAAAAAAAAAAAJcCAABkcnMvZG93&#10;bnJldi54bWxQSwUGAAAAAAQABAD1AAAAhwMAAAAA&#10;" stroked="f">
              <v:textbox>
                <w:txbxContent>
                  <w:p w:rsidR="00863B4D" w:rsidRPr="00780ED1" w:rsidRDefault="00863B4D" w:rsidP="00BE2A22">
                    <w:pPr>
                      <w:rPr>
                        <w:sz w:val="20"/>
                        <w:szCs w:val="20"/>
                      </w:rPr>
                    </w:pPr>
                    <w:r w:rsidRPr="00780ED1">
                      <w:rPr>
                        <w:sz w:val="20"/>
                        <w:szCs w:val="20"/>
                      </w:rPr>
                      <w:t>kuria</w:t>
                    </w:r>
                  </w:p>
                </w:txbxContent>
              </v:textbox>
            </v:rect>
            <v:roundrect id="AutoShape 219" o:spid="_x0000_s1044" style="position:absolute;left:-40533;top:206139;width:1600814;height:495360;visibility:visib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QeOcxQAA&#10;ANwAAAAPAAAAZHJzL2Rvd25yZXYueG1sRI9Pa8JAEMXvQr/DMgVvuqmHImlWaQulVhD8U2h6G7LT&#10;bGh2NmRXjd/eOQje3jBvfvNesRx8q07UxyawgadpBoq4Crbh2sD34WMyBxUTssU2MBm4UITl4mFU&#10;YG7DmXd02qdaCYRjjgZcSl2udawceYzT0BHL7i/0HpOMfa1tj2eB+1bPsuxZe2xYPjjs6N1R9b8/&#10;eqHYn6pcex8ubv4b38rPbfO1qY0ZPw6vL6ASDeluvl2vrMSfSVopIwr04go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hB45zFAAAA3AAAAA8AAAAAAAAAAAAAAAAAlwIAAGRycy9k&#10;b3ducmV2LnhtbFBLBQYAAAAABAAEAPUAAACJAwAAAAA=&#10;" fillcolor="#ebf1de" strokecolor="#98b954">
              <v:shadow on="t" opacity="24903f" origin=",.5" offset="0,.55556mm"/>
              <v:textbox>
                <w:txbxContent>
                  <w:p w:rsidR="00863B4D" w:rsidRPr="000D792D" w:rsidRDefault="00863B4D" w:rsidP="00BE2A22">
                    <w:pPr>
                      <w:jc w:val="center"/>
                      <w:rPr>
                        <w:sz w:val="22"/>
                      </w:rPr>
                    </w:pPr>
                    <w:r w:rsidRPr="000D792D">
                      <w:rPr>
                        <w:sz w:val="22"/>
                      </w:rPr>
                      <w:t>Žmogiškasis kapitalas</w:t>
                    </w:r>
                  </w:p>
                </w:txbxContent>
              </v:textbox>
            </v:roundrect>
            <v:roundrect id="AutoShape 220" o:spid="_x0000_s1045" style="position:absolute;left:1783447;top:206139;width:1599514;height:495360;visibility:visib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exPkwAAA&#10;ANwAAAAPAAAAZHJzL2Rvd25yZXYueG1sRE89b8IwEN0r8R+sQ2IrDhkQTTEIkJAQW9Nmv8ZHHIjP&#10;wTYQ/n1dqVK3e3qft1wPthN38qF1rGA2zUAQ10633Cj4+ty/LkCEiKyxc0wKnhRgvRq9LLHQ7sEf&#10;dC9jI1IIhwIVmBj7QspQG7IYpq4nTtzJeYsxQd9I7fGRwm0n8yybS4stpwaDPe0M1ZfyZhXsFmaG&#10;8ey/b0dZltU27642q5SajIfNO4hIQ/wX/7kPOs3P3+D3mXSBXP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lexPkwAAAANwAAAAPAAAAAAAAAAAAAAAAAJcCAABkcnMvZG93bnJl&#10;di54bWxQSwUGAAAAAAQABAD1AAAAhAMAAAAA&#10;" fillcolor="#fdeada" strokecolor="#f69240">
              <v:shadow on="t" opacity="24903f" origin=",.5" offset="0,.55556mm"/>
              <v:textbox>
                <w:txbxContent>
                  <w:p w:rsidR="00863B4D" w:rsidRPr="000D792D" w:rsidRDefault="00863B4D" w:rsidP="00BE2A22">
                    <w:pPr>
                      <w:jc w:val="center"/>
                      <w:rPr>
                        <w:sz w:val="22"/>
                      </w:rPr>
                    </w:pPr>
                    <w:r w:rsidRPr="000D792D">
                      <w:rPr>
                        <w:sz w:val="22"/>
                      </w:rPr>
                      <w:t>Struktūrinis kapitalas</w:t>
                    </w:r>
                  </w:p>
                </w:txbxContent>
              </v:textbox>
            </v:roundrect>
            <v:roundrect id="AutoShape 222" o:spid="_x0000_s1046" style="position:absolute;left:903808;top:943414;width:3903435;height:370205;visibility:visib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2YbkwwAA&#10;ANwAAAAPAAAAZHJzL2Rvd25yZXYueG1sRI9Bb8IwDIXvk/gPkZG4jZShbagQEJpExRXYgaPVuE1F&#10;41RNgMKvx4dJu9l6z+99Xm0G36ob9bEJbGA2zUARl8E2XBv4Pe3eF6BiQrbYBiYDD4qwWY/eVpjb&#10;cOcD3Y6pVhLCMUcDLqUu1zqWjjzGaeiIRatC7zHJ2tfa9niXcN/qjyz70h4blgaHHf04Ki/HqzdA&#10;+nJqz7Foime1/SzOB+2+H5Uxk/GwXYJKNKR/89/13gr+XPDlGZlAr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i2YbkwwAAANwAAAAPAAAAAAAAAAAAAAAAAJcCAABkcnMvZG93&#10;bnJldi54bWxQSwUGAAAAAAQABAD1AAAAhwMAAAAA&#10;" fillcolor="#e6b9b8" strokecolor="#be4b48">
              <v:shadow on="t" opacity="24903f" origin=",.5" offset="0,.55556mm"/>
              <v:textbox>
                <w:txbxContent>
                  <w:p w:rsidR="00863B4D" w:rsidRPr="00176881" w:rsidRDefault="00863B4D" w:rsidP="00BE2A22">
                    <w:pPr>
                      <w:jc w:val="center"/>
                      <w:rPr>
                        <w:b/>
                      </w:rPr>
                    </w:pPr>
                    <w:r w:rsidRPr="00176881">
                      <w:rPr>
                        <w:b/>
                      </w:rPr>
                      <w:t>Įmonės intelektinis kapitalas</w:t>
                    </w:r>
                  </w:p>
                </w:txbxContent>
              </v:textbox>
            </v:roundrect>
            <v:roundrect id="AutoShape 221" o:spid="_x0000_s1047" style="position:absolute;left:3649333;top:193698;width:1903117;height:495360;visibility:visib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BKtIxQAA&#10;ANwAAAAPAAAAZHJzL2Rvd25yZXYueG1sRE9Na8JAEL0X/A/LCF6KboxtkdRVpJjQQxGroh6H7DQJ&#10;zc6G7Brjv+8WCr3N433OYtWbWnTUusqygukkAkGcW11xoeB4SMdzEM4ja6wtk4I7OVgtBw8LTLS9&#10;8Sd1e1+IEMIuQQWl900ipctLMugmtiEO3JdtDfoA20LqFm8h3NQyjqIXabDi0FBiQ28l5d/7q1GQ&#10;bebrND6d5YfZZZf79unxud6RUqNhv34F4an3/+I/97sO82dT+H0mXCCX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4Eq0jFAAAA3AAAAA8AAAAAAAAAAAAAAAAAlwIAAGRycy9k&#10;b3ducmV2LnhtbFBLBQYAAAAABAAEAPUAAACJAwAAAAA=&#10;" fillcolor="#e6e0ec" strokecolor="#7d60a0">
              <v:shadow on="t" opacity="24903f" origin=",.5" offset="0,.55556mm"/>
              <v:textbox>
                <w:txbxContent>
                  <w:p w:rsidR="00863B4D" w:rsidRPr="000D792D" w:rsidRDefault="00863B4D" w:rsidP="00BE2A22">
                    <w:pPr>
                      <w:jc w:val="center"/>
                      <w:rPr>
                        <w:sz w:val="22"/>
                      </w:rPr>
                    </w:pPr>
                    <w:r w:rsidRPr="000D792D">
                      <w:rPr>
                        <w:sz w:val="22"/>
                      </w:rPr>
                      <w:t>Socialinis kapitalas</w:t>
                    </w:r>
                  </w:p>
                </w:txbxContent>
              </v:textbox>
            </v:roundrect>
            <v:roundrect id="AutoShape 223" o:spid="_x0000_s1048" style="position:absolute;top:1676976;width:1138510;height:349670;visibility:visib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yiC2wwAA&#10;ANwAAAAPAAAAZHJzL2Rvd25yZXYueG1sRE9Na8JAEL0X/A/LCL3pRovaptmICEIPIjUttMchO2ZD&#10;s7Mxu43x37sFobd5vM/J1oNtRE+drx0rmE0TEMSl0zVXCj4/dpNnED4ga2wck4IreVjno4cMU+0u&#10;fKS+CJWIIexTVGBCaFMpfWnIop+6ljhyJ9dZDBF2ldQdXmK4beQ8SZbSYs2xwWBLW0PlT/FrFciv&#10;w9aE/rtavMv9Ac+rlyWetFKP42HzCiLQEP7Fd/ebjvOf5vD3TLxA5j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yiC2wwAAANwAAAAPAAAAAAAAAAAAAAAAAJcCAABkcnMvZG93&#10;bnJldi54bWxQSwUGAAAAAAQABAD1AAAAhwMAAAAA&#10;" fillcolor="#a3c4ff" strokecolor="#4a7ebb">
              <v:fill color2="#e5eeff" rotate="t" colors="0 #a3c4ff;22938f #bfd5ff;1 #e5eeff" type="gradient"/>
              <v:shadow on="t" opacity="24903f" origin=",.5" offset="0,.55556mm"/>
              <v:textbox>
                <w:txbxContent>
                  <w:p w:rsidR="00863B4D" w:rsidRPr="00780ED1" w:rsidRDefault="00863B4D" w:rsidP="00BE2A22">
                    <w:pPr>
                      <w:jc w:val="center"/>
                      <w:rPr>
                        <w:sz w:val="22"/>
                      </w:rPr>
                    </w:pPr>
                    <w:r w:rsidRPr="00780ED1">
                      <w:rPr>
                        <w:sz w:val="22"/>
                      </w:rPr>
                      <w:t>Pelnas</w:t>
                    </w:r>
                  </w:p>
                </w:txbxContent>
              </v:textbox>
            </v:roundrect>
            <v:roundrect id="AutoShape 224" o:spid="_x0000_s1049" style="position:absolute;left:1283542;top:1686427;width:1164380;height:340219;visibility:visib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hoUtwgAA&#10;ANwAAAAPAAAAZHJzL2Rvd25yZXYueG1sRE9Ni8IwEL0L/ocwgjdNXVlXq1FEEPawyK4KehyasSk2&#10;k26TrfXfmwXB2zze5yxWrS1FQ7UvHCsYDRMQxJnTBecKjoftYArCB2SNpWNScCcPq2W3s8BUuxv/&#10;ULMPuYgh7FNUYEKoUil9ZsiiH7qKOHIXV1sMEda51DXeYrgt5VuSTKTFgmODwYo2hrLr/s8qkKfd&#10;xoTmnL9/y68d/n7MJnjRSvV77XoOIlAbXuKn+1PH+eMx/D8TL5DL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GhS3CAAAA3AAAAA8AAAAAAAAAAAAAAAAAlwIAAGRycy9kb3du&#10;cmV2LnhtbFBLBQYAAAAABAAEAPUAAACGAwAAAAA=&#10;" fillcolor="#a3c4ff" strokecolor="#4a7ebb">
              <v:fill color2="#e5eeff" rotate="t" colors="0 #a3c4ff;22938f #bfd5ff;1 #e5eeff" type="gradient"/>
              <v:shadow on="t" opacity="24903f" origin=",.5" offset="0,.55556mm"/>
              <v:textbox>
                <w:txbxContent>
                  <w:p w:rsidR="00863B4D" w:rsidRPr="00780ED1" w:rsidRDefault="00863B4D" w:rsidP="00BE2A22">
                    <w:pPr>
                      <w:jc w:val="center"/>
                      <w:rPr>
                        <w:sz w:val="22"/>
                      </w:rPr>
                    </w:pPr>
                    <w:r w:rsidRPr="00780ED1">
                      <w:rPr>
                        <w:sz w:val="22"/>
                      </w:rPr>
                      <w:t>Pardavimai</w:t>
                    </w:r>
                  </w:p>
                </w:txbxContent>
              </v:textbox>
            </v:roundrect>
            <v:roundrect id="AutoShape 225" o:spid="_x0000_s1050" style="position:absolute;left:2544905;top:1684031;width:1588327;height:294004;visibility:visib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bx1ZwgAA&#10;ANwAAAAPAAAAZHJzL2Rvd25yZXYueG1sRE9NawIxEL0L/ocwgjfNqq2tq1GKIPQgUrVQj8Nm3Cxu&#10;JttNXNd/b4RCb/N4n7NYtbYUDdW+cKxgNExAEGdOF5wr+D5uBu8gfEDWWDomBXfysFp2OwtMtbvx&#10;nppDyEUMYZ+iAhNClUrpM0MW/dBVxJE7u9piiLDOpa7xFsNtKcdJMpUWC44NBitaG8ouh6tVIH92&#10;axOaU/76Jbc7/H2bTfGsler32o85iEBt+Bf/uT91nD95gecz8QK5f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BvHVnCAAAA3AAAAA8AAAAAAAAAAAAAAAAAlwIAAGRycy9kb3du&#10;cmV2LnhtbFBLBQYAAAAABAAEAPUAAACGAwAAAAA=&#10;" fillcolor="#a3c4ff" strokecolor="#4a7ebb">
              <v:fill color2="#e5eeff" rotate="t" colors="0 #a3c4ff;22938f #bfd5ff;1 #e5eeff" type="gradient"/>
              <v:shadow on="t" opacity="24903f" origin=",.5" offset="0,.55556mm"/>
              <v:textbox>
                <w:txbxContent>
                  <w:p w:rsidR="00863B4D" w:rsidRPr="00780ED1" w:rsidRDefault="00863B4D" w:rsidP="00BE2A22">
                    <w:pPr>
                      <w:jc w:val="center"/>
                      <w:rPr>
                        <w:sz w:val="22"/>
                      </w:rPr>
                    </w:pPr>
                    <w:r w:rsidRPr="00780ED1">
                      <w:rPr>
                        <w:sz w:val="22"/>
                      </w:rPr>
                      <w:t>Konkurencingumas</w:t>
                    </w:r>
                  </w:p>
                </w:txbxContent>
              </v:textbox>
            </v:roundrect>
            <v:roundrect id="AutoShape 227" o:spid="_x0000_s1051" style="position:absolute;left:429904;top:2691139;width:4864043;height:323205;visibility:visib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IewhwwAA&#10;ANwAAAAPAAAAZHJzL2Rvd25yZXYueG1sRE9LawIxEL4X+h/CFHrTbCtVWY1iBVspXnxc9jZsxs1i&#10;Mlk2qbv+eyMUepuP7znzZe+suFIbas8K3oYZCOLS65orBafjZjAFESKyRuuZFNwowHLx/DTHXPuO&#10;93Q9xEqkEA45KjAxNrmUoTTkMAx9Q5y4s28dxgTbSuoWuxTurHzPsrF0WHNqMNjQ2lB5Ofw6BV92&#10;u7oVu2I6+bHfOiv487zujFKvL/1qBiJSH//Ff+6tTvNHH/B4Jl0gF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ZIewhwwAAANwAAAAPAAAAAAAAAAAAAAAAAJcCAABkcnMvZG93&#10;bnJldi54bWxQSwUGAAAAAAQABAD1AAAAhwMAAAAA&#10;" fillcolor="#ddd9c3">
              <v:shadow on="t" opacity="24903f" origin=",.5" offset="0,.55556mm"/>
              <v:textbox>
                <w:txbxContent>
                  <w:p w:rsidR="00863B4D" w:rsidRPr="00176881" w:rsidRDefault="00863B4D" w:rsidP="00BE2A22">
                    <w:pPr>
                      <w:jc w:val="center"/>
                      <w:rPr>
                        <w:b/>
                      </w:rPr>
                    </w:pPr>
                    <w:r w:rsidRPr="00176881">
                      <w:rPr>
                        <w:b/>
                      </w:rPr>
                      <w:t>Į</w:t>
                    </w:r>
                    <w:r>
                      <w:rPr>
                        <w:b/>
                      </w:rPr>
                      <w:t>monės sugebėjimas pritraukti investuotojus</w:t>
                    </w:r>
                  </w:p>
                </w:txbxContent>
              </v:textbox>
            </v:roundrect>
            <v:shapetype id="_x0000_t32" coordsize="21600,21600" o:spt="32" o:oned="t" path="m,l21600,21600e" filled="f">
              <v:path arrowok="t" fillok="f" o:connecttype="none"/>
              <o:lock v:ext="edit" shapetype="t"/>
            </v:shapetype>
            <v:shape id="AutoShape 229" o:spid="_x0000_s1052" type="#_x0000_t32" style="position:absolute;left:1053855;top:721486;width:1094388;height:243197;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twN58MAAADcAAAADwAAAGRycy9kb3ducmV2LnhtbERPTWvCQBC9C/6HZQRvumkKotE1lFKh&#10;tvZQLcXjkJ1uQrOzMbtq2l/vCoK3ebzPWeSdrcWJWl85VvAwTkAQF05XbBR87VajKQgfkDXWjknB&#10;H3nIl/3eAjPtzvxJp20wIoawz1BBGUKTSemLkiz6sWuII/fjWoshwtZI3eI5httapkkykRYrjg0l&#10;NvRcUvG7PVoF5j9x735zeNnjt3k7rtMPrvVMqeGge5qDCNSFu/jmftVx/uMErs/EC+Ty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bcDefDAAAA3AAAAA8AAAAAAAAAAAAA&#10;AAAAoQIAAGRycy9kb3ducmV2LnhtbFBLBQYAAAAABAAEAPkAAACRAwAAAAA=&#10;" strokecolor="#4f81bd" strokeweight="2pt">
              <v:stroke endarrow="block"/>
              <v:shadow on="t" opacity="24903f" origin=",.5" offset="0,.55556mm"/>
            </v:shape>
            <v:shape id="AutoShape 230" o:spid="_x0000_s1053" type="#_x0000_t32" style="position:absolute;left:2856025;top:729592;width:21810;height:213821;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GYR28QAAADcAAAADwAAAGRycy9kb3ducmV2LnhtbERPS2vCQBC+F/wPyxR6Ed3Yio/oKiXQ&#10;0oM91HjQ25idZoPZ2ZDdxvTfdwWht/n4nrPe9rYWHbW+cqxgMk5AEBdOV1wqOORvowUIH5A11o5J&#10;wS952G4GD2tMtbvyF3X7UIoYwj5FBSaEJpXSF4Ys+rFriCP37VqLIcK2lLrFawy3tXxOkpm0WHFs&#10;MNhQZqi47H+sgvzybmj6mR39Ke+6LJz9brjcKfX02L+uQATqw7/47v7Qcf7LHG7PxAvk5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wZhHbxAAAANwAAAAPAAAAAAAAAAAA&#10;AAAAAKECAABkcnMvZG93bnJldi54bWxQSwUGAAAAAAQABAD5AAAAkgMAAAAA&#10;" strokecolor="#4f81bd" strokeweight="2pt">
              <v:stroke endarrow="block"/>
              <v:shadow on="t" opacity="24903f" origin=",.5" offset="0,.55556mm"/>
            </v:shape>
            <v:shape id="AutoShape 231" o:spid="_x0000_s1054" type="#_x0000_t32" style="position:absolute;left:3729027;top:689058;width:871865;height:283731;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fmFqccAAADcAAAADwAAAGRycy9kb3ducmV2LnhtbESPQU/DMAyF70j8h8iTuKAtHSDEyrIJ&#10;VRrisB1YOWw303hNtcapmtCVf48Pk7jZes/vfV6uR9+qgfrYBDYwn2WgiKtgG64NfJWb6QuomJAt&#10;toHJwC9FWK9ub5aY23DhTxr2qVYSwjFHAy6lLtc6Vo48xlnoiEU7hd5jkrWvte3xIuG+1Q9Z9qw9&#10;NiwNDjsqHFXn/Y83UJ7fHT3tikM8lsNQpO+4vV9sjbmbjG+voBKN6d98vf6wgv8otPKMTKBXf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B+YWpxwAAANwAAAAPAAAAAAAA&#10;AAAAAAAAAKECAABkcnMvZG93bnJldi54bWxQSwUGAAAAAAQABAD5AAAAlQMAAAAA&#10;" strokecolor="#4f81bd" strokeweight="2pt">
              <v:stroke endarrow="block"/>
              <v:shadow on="t" opacity="24903f" origin=",.5" offset="0,.55556mm"/>
            </v:shape>
            <v:shape id="AutoShape 235" o:spid="_x0000_s1055" type="#_x0000_t32" style="position:absolute;left:445862;top:1339902;width:1335791;height:33939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rUgMsQAAADcAAAADwAAAGRycy9kb3ducmV2LnhtbERPTWvCQBC9C/0PyxS8SN1URWrqKiVg&#10;6UEPJj20t2l2mg1mZ0N2jfHfdwuCt3m8z1lvB9uInjpfO1bwPE1AEJdO11wp+Cx2Ty8gfEDW2Dgm&#10;BVfysN08jNaYanfhI/V5qEQMYZ+iAhNCm0rpS0MW/dS1xJH7dZ3FEGFXSd3hJYbbRs6SZCkt1hwb&#10;DLaUGSpP+dkqKE7vhhaH7Mt/F32fhR+/n6z2So0fh7dXEIGGcBff3B86zp+v4P+ZeIHc/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utSAyxAAAANwAAAAPAAAAAAAAAAAA&#10;AAAAAKECAABkcnMvZG93bnJldi54bWxQSwUGAAAAAAQABAD5AAAAkgMAAAAA&#10;" strokecolor="#4f81bd" strokeweight="2pt">
              <v:stroke endarrow="block"/>
              <v:shadow on="t" opacity="24903f" origin=",.5" offset="0,.55556mm"/>
            </v:shape>
            <v:shape id="AutoShape 236" o:spid="_x0000_s1056" type="#_x0000_t32" style="position:absolute;left:1865732;top:1337586;width:647307;height:348841;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4n60sYAAADcAAAADwAAAGRycy9kb3ducmV2LnhtbESPQUvDQBCF7wX/wzJCL6XdWIpo7LZI&#10;QOmhHkw82NuYHbOh2dmQXdP03zsHwdsM781732z3k+/USENsAxu4W2WgiOtgW24MfFQvywdQMSFb&#10;7AKTgStF2O9uZlvMbbjwO41lapSEcMzRgEupz7WOtSOPcRV6YtG+w+AxyTo02g54kXDf6XWW3WuP&#10;LUuDw54KR/W5/PEGqvOro81b8RlP1TgW6SseF49HY+a30/MTqERT+jf/XR+s4G8EX56RCfTuF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KeJ+tLGAAAA3AAAAA8AAAAAAAAA&#10;AAAAAAAAoQIAAGRycy9kb3ducmV2LnhtbFBLBQYAAAAABAAEAPkAAACUAwAAAAA=&#10;" strokecolor="#4f81bd" strokeweight="2pt">
              <v:stroke endarrow="block"/>
              <v:shadow on="t" opacity="24903f" origin=",.5" offset="0,.55556mm"/>
            </v:shape>
            <v:shape id="AutoShape 237" o:spid="_x0000_s1057" type="#_x0000_t32" style="position:absolute;left:2855625;top:1313819;width:500304;height:402606;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TPm7sMAAADcAAAADwAAAGRycy9kb3ducmV2LnhtbERPTWvCQBC9F/oflhG86SYiRaNrkNJC&#10;tXpQS/E4ZKeb0Oxsml017a93BaG3ebzPmeedrcWZWl85VpAOExDEhdMVGwUfh9fBBIQPyBprx6Tg&#10;lzzki8eHOWbaXXhH530wIoawz1BBGUKTSemLkiz6oWuII/flWoshwtZI3eIlhttajpLkSVqsODaU&#10;2NBzScX3/mQVmL/EvfvNz8sRP836tBptudZTpfq9bjkDEagL/+K7+03H+eMUbs/EC+TiC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Ez5u7DAAAA3AAAAA8AAAAAAAAAAAAA&#10;AAAAoQIAAGRycy9kb3ducmV2LnhtbFBLBQYAAAAABAAEAPkAAACRAwAAAAA=&#10;" strokecolor="#4f81bd" strokeweight="2pt">
              <v:stroke endarrow="block"/>
              <v:shadow on="t" opacity="24903f" origin=",.5" offset="0,.55556mm"/>
            </v:shape>
            <v:shape id="AutoShape 241" o:spid="_x0000_s1058" type="#_x0000_t32" style="position:absolute;left:2861925;top:1978035;width:477144;height:713104;flip: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WvRSsMAAADcAAAADwAAAGRycy9kb3ducmV2LnhtbERPTWsCMRC9C/6HMII3TRQV2RpFBMVS&#10;sFQt7XHcjLuLm8myibr665tCobd5vM+ZLRpbihvVvnCsYdBXIIhTZwrONBwP694UhA/IBkvHpOFB&#10;HhbzdmuGiXF3/qDbPmQihrBPUEMeQpVI6dOcLPq+q4gjd3a1xRBhnUlT4z2G21IOlZpIiwXHhhwr&#10;WuWUXvZXq2GcfRbb8K52k7cvRcdX3Hw/Txutu51m+QIiUBP+xX/urYnzR0P4fSZeIO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Fr0UrDAAAA3AAAAA8AAAAAAAAAAAAA&#10;AAAAoQIAAGRycy9kb3ducmV2LnhtbFBLBQYAAAAABAAEAPkAAACRAwAAAAA=&#10;" strokecolor="#c0504d" strokeweight="2pt">
              <v:stroke startarrow="block" endarrow="block"/>
              <v:shadow on="t" opacity="24903f" origin=",.5" offset="0,.55556mm"/>
            </v:shape>
            <v:shape id="AutoShape 248" o:spid="_x0000_s1059" type="#_x0000_t32" style="position:absolute;left:445862;top:2061387;width:1335791;height:648525;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q3dAsQAAADcAAAADwAAAGRycy9kb3ducmV2LnhtbERPS2sCMRC+F/ofwgjealZbpN0aRcSC&#10;9XHoKqXHYTPNLt1M1k3U1V9vBKG3+fieM5q0thJHanzpWEG/l4Agzp0u2SjYbT+eXkH4gKyxckwK&#10;zuRhMn58GGGq3Ym/6JgFI2II+xQVFCHUqZQ+L8ii77maOHK/rrEYImyM1A2eYrit5CBJhtJiybGh&#10;wJpmBeV/2cEqMJfErfx6P//Bb7M8fA42XOk3pbqddvoOIlAb/sV390LH+S/PcHsmXiDH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urd0CxAAAANwAAAAPAAAAAAAAAAAA&#10;AAAAAKECAABkcnMvZG93bnJldi54bWxQSwUGAAAAAAQABAD5AAAAkgMAAAAA&#10;" strokecolor="#4f81bd" strokeweight="2pt">
              <v:stroke endarrow="block"/>
              <v:shadow on="t" opacity="24903f" origin=",.5" offset="0,.55556mm"/>
            </v:shape>
            <v:roundrect id="AutoShape 224" o:spid="_x0000_s1060" style="position:absolute;left:4283038;top:1735326;width:1635507;height:275004;visibility:visib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aW4kwgAA&#10;ANwAAAAPAAAAZHJzL2Rvd25yZXYueG1sRE9Ni8IwEL0L/ocwgjdNXVxXq1FEEPawyK4KehyasSk2&#10;k26TrfXfmwXB2zze5yxWrS1FQ7UvHCsYDRMQxJnTBecKjoftYArCB2SNpWNScCcPq2W3s8BUuxv/&#10;ULMPuYgh7FNUYEKoUil9ZsiiH7qKOHIXV1sMEda51DXeYrgt5VuSTKTFgmODwYo2hrLr/s8qkKfd&#10;xoTmnL9/y68d/n7MJnjRSvV77XoOIlAbXuKn+1PH+eMx/D8TL5DL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hpbiTCAAAA3AAAAA8AAAAAAAAAAAAAAAAAlwIAAGRycy9kb3du&#10;cmV2LnhtbFBLBQYAAAAABAAEAPUAAACGAwAAAAA=&#10;" fillcolor="#a3c4ff" strokecolor="#4a7ebb">
              <v:fill color2="#e5eeff" rotate="t" colors="0 #a3c4ff;22938f #bfd5ff;1 #e5eeff" type="gradient"/>
              <v:shadow on="t" opacity="24903f" origin=",.5" offset="0,.55556mm"/>
              <v:textbox>
                <w:txbxContent>
                  <w:p w:rsidR="00863B4D" w:rsidRPr="00780ED1" w:rsidRDefault="00863B4D" w:rsidP="00BE2A22">
                    <w:pPr>
                      <w:jc w:val="center"/>
                      <w:rPr>
                        <w:sz w:val="22"/>
                      </w:rPr>
                    </w:pPr>
                    <w:r>
                      <w:rPr>
                        <w:sz w:val="22"/>
                      </w:rPr>
                      <w:t>Įmonės t</w:t>
                    </w:r>
                    <w:r w:rsidRPr="00780ED1">
                      <w:rPr>
                        <w:sz w:val="22"/>
                      </w:rPr>
                      <w:t>urto valdymas</w:t>
                    </w:r>
                  </w:p>
                </w:txbxContent>
              </v:textbox>
            </v:roundrect>
            <v:shape id="AutoShape 237" o:spid="_x0000_s1061" type="#_x0000_t32" style="position:absolute;left:3850625;top:1337586;width:1094719;height:36674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gjg7cQAAADcAAAADwAAAGRycy9kb3ducmV2LnhtbERPS2sCMRC+F/ofwgjealZppd0aRcSC&#10;9XHoKqXHYTPNLt1M1k3U1V9vBKG3+fieM5q0thJHanzpWEG/l4Agzp0u2SjYbT+eXkH4gKyxckwK&#10;zuRhMn58GGGq3Ym/6JgFI2II+xQVFCHUqZQ+L8ii77maOHK/rrEYImyM1A2eYrit5CBJhtJiybGh&#10;wJpmBeV/2cEqMJfErfx6P//Bb7M8fA42XOk3pbqddvoOIlAb/sV390LH+c8vcHsmXiDH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OCODtxAAAANwAAAAPAAAAAAAAAAAA&#10;AAAAAKECAABkcnMvZG93bnJldi54bWxQSwUGAAAAAAQABAD5AAAAkgMAAAAA&#10;" strokecolor="#4f81bd" strokeweight="2pt">
              <v:stroke endarrow="block"/>
              <v:shadow on="t" opacity="24903f" origin=",.5" offset="0,.55556mm"/>
            </v:shape>
            <v:shape id="AutoShape 248" o:spid="_x0000_s1062" type="#_x0000_t32" style="position:absolute;left:3729026;top:1979328;width:1216321;height:695843;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yzHPcMAAADcAAAADwAAAGRycy9kb3ducmV2LnhtbERPTWvCQBC9C/6HZYReRDctIjW6Sgm0&#10;9KAHTQ/1NmbHbDA7G7LbGP+9Kwi9zeN9zmrT21p01PrKsYLXaQKCuHC64lLBT/45eQfhA7LG2jEp&#10;uJGHzXo4WGGq3ZX31B1CKWII+xQVmBCaVEpfGLLop64hjtzZtRZDhG0pdYvXGG5r+ZYkc2mx4thg&#10;sKHMUHE5/FkF+eXL0GyX/fpj3nVZOPnteLFV6mXUfyxBBOrDv/jp/tZx/mwOj2fiBXJ9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csxz3DAAAA3AAAAA8AAAAAAAAAAAAA&#10;AAAAoQIAAGRycy9kb3ducmV2LnhtbFBLBQYAAAAABAAEAPkAAACRAwAAAAA=&#10;" strokecolor="#4f81bd" strokeweight="2pt">
              <v:stroke endarrow="block"/>
              <v:shadow on="t" opacity="24903f" origin=",.5" offset="0,.55556mm"/>
            </v:shape>
            <v:shape id="AutoShape 248" o:spid="_x0000_s1063" type="#_x0000_t32" style="position:absolute;left:1865732;top:2026646;width:525708;height:648525;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AlPc8YAAADcAAAADwAAAGRycy9kb3ducmV2LnhtbESPQUvDQBCF74L/YRmhN7uxSNHYTRCx&#10;YFt7aBXxOGTHTTA7m2a3bdpf3zkI3mZ4b977ZlYOvlUH6mMT2MDdOANFXAXbsDPw+TG/fQAVE7LF&#10;NjAZOFGEsri+mmFuw5E3dNgmpySEY44G6pS6XOtY1eQxjkNHLNpP6D0mWXunbY9HCfetnmTZVHts&#10;WBpq7Oilpup3u/cG3DkLq/i+e/3GL7fcLyZrbu2jMaOb4fkJVKIh/Zv/rt+s4N8LrTwjE+jiAg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AJT3PGAAAA3AAAAA8AAAAAAAAA&#10;AAAAAAAAoQIAAGRycy9kb3ducmV2LnhtbFBLBQYAAAAABAAEAPkAAACUAwAAAAA=&#10;" strokecolor="#4f81bd" strokeweight="2pt">
              <v:stroke endarrow="block"/>
              <v:shadow on="t" opacity="24903f" origin=",.5" offset="0,.55556mm"/>
            </v:shape>
            <w10:wrap type="none"/>
            <w10:anchorlock/>
          </v:group>
        </w:pict>
      </w:r>
    </w:p>
    <w:p w:rsidR="00BE2A22" w:rsidRPr="003E7CAC" w:rsidRDefault="006B5D1A" w:rsidP="00083FE4">
      <w:pPr>
        <w:spacing w:line="360" w:lineRule="auto"/>
        <w:ind w:firstLine="567"/>
        <w:jc w:val="center"/>
      </w:pPr>
      <w:r>
        <w:t>6</w:t>
      </w:r>
      <w:r w:rsidR="00BE2A22" w:rsidRPr="003E7CAC">
        <w:t xml:space="preserve"> pav. </w:t>
      </w:r>
      <w:r w:rsidR="00BE2A22" w:rsidRPr="003E7CAC">
        <w:rPr>
          <w:b/>
        </w:rPr>
        <w:t xml:space="preserve">Intelektinio kapitalo ir įmonės </w:t>
      </w:r>
      <w:r w:rsidR="00083FE4">
        <w:rPr>
          <w:b/>
        </w:rPr>
        <w:t xml:space="preserve">sukuriamo </w:t>
      </w:r>
      <w:r w:rsidR="00BE2A22" w:rsidRPr="003E7CAC">
        <w:rPr>
          <w:b/>
        </w:rPr>
        <w:t>patrauklumo investuotojams ryšio koncepcija</w:t>
      </w:r>
    </w:p>
    <w:p w:rsidR="00BE2A22" w:rsidRPr="003E7CAC" w:rsidRDefault="00BE2A22" w:rsidP="00BE2A22">
      <w:pPr>
        <w:spacing w:line="360" w:lineRule="auto"/>
        <w:ind w:firstLine="567"/>
        <w:jc w:val="both"/>
      </w:pPr>
    </w:p>
    <w:p w:rsidR="00BE2A22" w:rsidRPr="003E7CAC" w:rsidRDefault="00BE2A22" w:rsidP="00BE2A22">
      <w:pPr>
        <w:spacing w:line="360" w:lineRule="auto"/>
        <w:ind w:firstLine="567"/>
        <w:jc w:val="both"/>
      </w:pPr>
      <w:r w:rsidRPr="003E7CAC">
        <w:t>Įmonių intelektinio kapitalo vertinimui planuojama sudaryti rodiklių sistemą, kuri atskirai įvertins žmogiškojo, struktūrinio ir socialinio kapi</w:t>
      </w:r>
      <w:r w:rsidR="003E7CAC">
        <w:t xml:space="preserve">talų lygius. </w:t>
      </w:r>
      <w:r w:rsidRPr="003E7CAC">
        <w:t xml:space="preserve">Tačiau, atkreipiant dėmesį į teorinius intelektinio kapitalo sandaros apibrėžimų skirtumus, bei į tai, jog nėra vieno visuotinai pripažinto intelektinio kapitalo įvertinimo metodo, palyginimui bus pasirinkti keli skirtingi intelektinio kapitalo vertinimo metodai.   </w:t>
      </w:r>
    </w:p>
    <w:p w:rsidR="00BE2A22" w:rsidRPr="003E7CAC" w:rsidRDefault="00BE2A22" w:rsidP="00BE2A22">
      <w:pPr>
        <w:spacing w:line="360" w:lineRule="auto"/>
        <w:ind w:firstLine="567"/>
        <w:jc w:val="both"/>
      </w:pPr>
      <w:r w:rsidRPr="003E7CAC">
        <w:t xml:space="preserve">Išanalizuoti įvairius intelektinio kapitalo komponentus bei įvertinti jų santykinį ryšį su finansiniais veiklos rezultatais šiose įmonėse padės </w:t>
      </w:r>
      <w:r w:rsidRPr="003E7CAC">
        <w:rPr>
          <w:lang w:val="en-US"/>
        </w:rPr>
        <w:t>pasirinktos tokios matavimo metodologijos:</w:t>
      </w:r>
    </w:p>
    <w:p w:rsidR="00BE2A22" w:rsidRPr="003E7CAC" w:rsidRDefault="00BE2A22" w:rsidP="00227B53">
      <w:pPr>
        <w:pStyle w:val="ListParagraph"/>
        <w:numPr>
          <w:ilvl w:val="0"/>
          <w:numId w:val="24"/>
        </w:numPr>
        <w:spacing w:line="360" w:lineRule="auto"/>
        <w:ind w:left="0" w:firstLine="567"/>
        <w:jc w:val="both"/>
        <w:rPr>
          <w:rFonts w:ascii="Times New Roman" w:hAnsi="Times New Roman"/>
          <w:lang w:val="en-US"/>
        </w:rPr>
      </w:pPr>
      <w:r w:rsidRPr="003E7CAC">
        <w:rPr>
          <w:rFonts w:ascii="Times New Roman" w:hAnsi="Times New Roman"/>
          <w:lang w:val="en-US"/>
        </w:rPr>
        <w:t>Finansiniai rodikliai: Turto grąžos rodiklis arba ROA (</w:t>
      </w:r>
      <w:r w:rsidRPr="003E7CAC">
        <w:rPr>
          <w:rFonts w:ascii="Times New Roman" w:hAnsi="Times New Roman"/>
          <w:i/>
          <w:lang w:val="en-US"/>
        </w:rPr>
        <w:t>angl.</w:t>
      </w:r>
      <w:r w:rsidRPr="003E7CAC">
        <w:rPr>
          <w:rFonts w:ascii="Times New Roman" w:hAnsi="Times New Roman"/>
          <w:lang w:val="en-US"/>
        </w:rPr>
        <w:t xml:space="preserve"> Return on Assets), Kapitalo grąžos rodiklis arba ROE (</w:t>
      </w:r>
      <w:r w:rsidRPr="003E7CAC">
        <w:rPr>
          <w:rFonts w:ascii="Times New Roman" w:hAnsi="Times New Roman"/>
          <w:i/>
          <w:lang w:val="en-US"/>
        </w:rPr>
        <w:t>angl.</w:t>
      </w:r>
      <w:r w:rsidR="00227B53">
        <w:rPr>
          <w:rFonts w:ascii="Times New Roman" w:hAnsi="Times New Roman"/>
          <w:lang w:val="en-US"/>
        </w:rPr>
        <w:t xml:space="preserve"> Return on Equity);</w:t>
      </w:r>
    </w:p>
    <w:p w:rsidR="005E68CB" w:rsidRDefault="00BE2A22" w:rsidP="00227B53">
      <w:pPr>
        <w:pStyle w:val="ListParagraph"/>
        <w:numPr>
          <w:ilvl w:val="0"/>
          <w:numId w:val="24"/>
        </w:numPr>
        <w:spacing w:line="360" w:lineRule="auto"/>
        <w:ind w:left="0" w:firstLine="567"/>
        <w:jc w:val="both"/>
        <w:rPr>
          <w:rFonts w:ascii="Times New Roman" w:hAnsi="Times New Roman"/>
          <w:lang w:val="en-US"/>
        </w:rPr>
      </w:pPr>
      <w:r w:rsidRPr="003E7CAC">
        <w:rPr>
          <w:rFonts w:ascii="Times New Roman" w:hAnsi="Times New Roman"/>
          <w:lang w:val="en-US"/>
        </w:rPr>
        <w:t>VAIC</w:t>
      </w:r>
      <w:r w:rsidR="009F62F1">
        <w:rPr>
          <w:rFonts w:ascii="Times New Roman" w:hAnsi="Times New Roman"/>
          <w:lang w:val="en-US"/>
        </w:rPr>
        <w:t>™</w:t>
      </w:r>
      <w:r w:rsidR="005E68CB">
        <w:rPr>
          <w:rFonts w:ascii="Times New Roman" w:hAnsi="Times New Roman"/>
          <w:lang w:val="en-US"/>
        </w:rPr>
        <w:t xml:space="preserve"> - Pridėtinės vertės intelektualusis koeficientas (</w:t>
      </w:r>
      <w:r w:rsidR="005E68CB" w:rsidRPr="005E68CB">
        <w:rPr>
          <w:rFonts w:ascii="Times New Roman" w:hAnsi="Times New Roman"/>
          <w:i/>
          <w:lang w:val="en-US"/>
        </w:rPr>
        <w:t>angl.</w:t>
      </w:r>
      <w:r w:rsidR="005E68CB">
        <w:rPr>
          <w:rFonts w:ascii="Times New Roman" w:hAnsi="Times New Roman"/>
          <w:lang w:val="en-US"/>
        </w:rPr>
        <w:t xml:space="preserve"> </w:t>
      </w:r>
      <w:r w:rsidR="005E68CB" w:rsidRPr="005E68CB">
        <w:rPr>
          <w:rFonts w:ascii="Times New Roman" w:hAnsi="Times New Roman"/>
          <w:lang w:val="en-US"/>
        </w:rPr>
        <w:t xml:space="preserve">Value </w:t>
      </w:r>
      <w:r w:rsidR="00227B53">
        <w:rPr>
          <w:rFonts w:ascii="Times New Roman" w:hAnsi="Times New Roman"/>
          <w:lang w:val="en-US"/>
        </w:rPr>
        <w:t>Added Intellectual Coefficient);</w:t>
      </w:r>
    </w:p>
    <w:p w:rsidR="00624C7A" w:rsidRDefault="00624C7A" w:rsidP="00227B53">
      <w:pPr>
        <w:pStyle w:val="ListParagraph"/>
        <w:numPr>
          <w:ilvl w:val="0"/>
          <w:numId w:val="24"/>
        </w:numPr>
        <w:spacing w:line="360" w:lineRule="auto"/>
        <w:ind w:left="0" w:firstLine="567"/>
        <w:jc w:val="both"/>
        <w:rPr>
          <w:rFonts w:ascii="Times New Roman" w:hAnsi="Times New Roman"/>
          <w:lang w:val="en-US"/>
        </w:rPr>
      </w:pPr>
      <w:r>
        <w:rPr>
          <w:rFonts w:ascii="Times New Roman" w:hAnsi="Times New Roman"/>
          <w:lang w:val="en-US"/>
        </w:rPr>
        <w:t>ICE – Intelektinio kapitalo efektyvumo koeficientas (angl.</w:t>
      </w:r>
      <w:r w:rsidR="00C746A6">
        <w:rPr>
          <w:rFonts w:ascii="Times New Roman" w:hAnsi="Times New Roman"/>
          <w:lang w:val="en-US"/>
        </w:rPr>
        <w:t xml:space="preserve"> Intellectual Capital Efficiency</w:t>
      </w:r>
      <w:r>
        <w:rPr>
          <w:rFonts w:ascii="Times New Roman" w:hAnsi="Times New Roman"/>
          <w:lang w:val="en-US"/>
        </w:rPr>
        <w:t>)</w:t>
      </w:r>
      <w:r w:rsidR="00227B53">
        <w:rPr>
          <w:rFonts w:ascii="Times New Roman" w:hAnsi="Times New Roman"/>
          <w:lang w:val="en-US"/>
        </w:rPr>
        <w:t>;</w:t>
      </w:r>
    </w:p>
    <w:p w:rsidR="005E68CB" w:rsidRPr="00F638B9" w:rsidRDefault="00BE2A22" w:rsidP="00227B53">
      <w:pPr>
        <w:pStyle w:val="ListParagraph"/>
        <w:numPr>
          <w:ilvl w:val="0"/>
          <w:numId w:val="24"/>
        </w:numPr>
        <w:spacing w:line="360" w:lineRule="auto"/>
        <w:ind w:left="0" w:firstLine="567"/>
        <w:jc w:val="both"/>
        <w:rPr>
          <w:rFonts w:ascii="Times New Roman" w:hAnsi="Times New Roman"/>
          <w:lang w:val="en-US"/>
        </w:rPr>
      </w:pPr>
      <w:r w:rsidRPr="00F638B9">
        <w:rPr>
          <w:rFonts w:ascii="Times New Roman" w:hAnsi="Times New Roman"/>
          <w:lang w:val="en-US"/>
        </w:rPr>
        <w:t>CIV</w:t>
      </w:r>
      <w:r w:rsidR="005E68CB" w:rsidRPr="00F638B9">
        <w:rPr>
          <w:rFonts w:ascii="Times New Roman" w:hAnsi="Times New Roman"/>
          <w:lang w:val="en-US"/>
        </w:rPr>
        <w:t xml:space="preserve"> -  </w:t>
      </w:r>
      <w:r w:rsidR="005E68CB" w:rsidRPr="00F638B9">
        <w:rPr>
          <w:rFonts w:ascii="Times New Roman" w:hAnsi="Times New Roman"/>
        </w:rPr>
        <w:t>apskaičiuojamoji nematerialioji vertė (</w:t>
      </w:r>
      <w:r w:rsidR="005E68CB" w:rsidRPr="00F638B9">
        <w:rPr>
          <w:rFonts w:ascii="Times New Roman" w:hAnsi="Times New Roman"/>
          <w:i/>
        </w:rPr>
        <w:t>angl.</w:t>
      </w:r>
      <w:r w:rsidR="00227B53">
        <w:rPr>
          <w:rFonts w:ascii="Times New Roman" w:hAnsi="Times New Roman"/>
        </w:rPr>
        <w:t xml:space="preserve"> Calculated Intangible Value).</w:t>
      </w:r>
    </w:p>
    <w:p w:rsidR="00F638B9" w:rsidRDefault="00F638B9" w:rsidP="005E68CB">
      <w:pPr>
        <w:pStyle w:val="ListParagraph"/>
        <w:spacing w:line="360" w:lineRule="auto"/>
        <w:jc w:val="both"/>
        <w:rPr>
          <w:rFonts w:ascii="Times New Roman" w:hAnsi="Times New Roman"/>
          <w:color w:val="FF0000"/>
          <w:lang w:val="en-US"/>
        </w:rPr>
      </w:pPr>
    </w:p>
    <w:p w:rsidR="00BE2A22" w:rsidRPr="003D225B" w:rsidRDefault="00BE2A22" w:rsidP="005E68CB">
      <w:pPr>
        <w:pStyle w:val="ListParagraph"/>
        <w:spacing w:line="360" w:lineRule="auto"/>
        <w:jc w:val="both"/>
        <w:rPr>
          <w:rFonts w:ascii="Times New Roman" w:hAnsi="Times New Roman"/>
          <w:lang w:val="en-US"/>
        </w:rPr>
      </w:pPr>
      <w:r w:rsidRPr="003D225B">
        <w:rPr>
          <w:rFonts w:ascii="Times New Roman" w:hAnsi="Times New Roman"/>
          <w:b/>
        </w:rPr>
        <w:t>Tyrimo uždaviniai:</w:t>
      </w:r>
    </w:p>
    <w:p w:rsidR="0090675F" w:rsidRPr="003D225B" w:rsidRDefault="0090675F" w:rsidP="00227B53">
      <w:pPr>
        <w:pStyle w:val="ListParagraph"/>
        <w:widowControl w:val="0"/>
        <w:numPr>
          <w:ilvl w:val="0"/>
          <w:numId w:val="23"/>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567"/>
        <w:jc w:val="both"/>
        <w:rPr>
          <w:rFonts w:ascii="Times New Roman" w:hAnsi="Times New Roman"/>
          <w:lang w:val="lt-LT"/>
        </w:rPr>
      </w:pPr>
      <w:r w:rsidRPr="003D225B">
        <w:rPr>
          <w:rFonts w:ascii="Times New Roman" w:hAnsi="Times New Roman"/>
          <w:lang w:val="lt-LT"/>
        </w:rPr>
        <w:t>Apskaičiuoti intelektinio kapitalo lygį pagal pasirinktus vertinimo metodus atrinkose įmonėse.</w:t>
      </w:r>
    </w:p>
    <w:p w:rsidR="00BE2A22" w:rsidRPr="003D225B" w:rsidRDefault="00BE2A22" w:rsidP="00227B53">
      <w:pPr>
        <w:pStyle w:val="ListParagraph"/>
        <w:widowControl w:val="0"/>
        <w:numPr>
          <w:ilvl w:val="0"/>
          <w:numId w:val="23"/>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567"/>
        <w:jc w:val="both"/>
        <w:rPr>
          <w:rFonts w:ascii="Times New Roman" w:hAnsi="Times New Roman"/>
          <w:lang w:val="lt-LT"/>
        </w:rPr>
      </w:pPr>
      <w:r w:rsidRPr="003D225B">
        <w:rPr>
          <w:rFonts w:ascii="Times New Roman" w:hAnsi="Times New Roman"/>
          <w:lang w:val="lt-LT"/>
        </w:rPr>
        <w:t xml:space="preserve">Empiriškai išnagrinėti </w:t>
      </w:r>
      <w:r w:rsidR="00D46E4A" w:rsidRPr="003D225B">
        <w:rPr>
          <w:rFonts w:ascii="Times New Roman" w:hAnsi="Times New Roman"/>
          <w:lang w:val="lt-LT"/>
        </w:rPr>
        <w:t>koreliacinius ryšius</w:t>
      </w:r>
      <w:r w:rsidRPr="003D225B">
        <w:rPr>
          <w:rFonts w:ascii="Times New Roman" w:hAnsi="Times New Roman"/>
          <w:lang w:val="lt-LT"/>
        </w:rPr>
        <w:t xml:space="preserve"> tarp tradicinių finansinių rodiklių kaip ROA, ROE ir intelektinio kapitalo matavim</w:t>
      </w:r>
      <w:r w:rsidR="00482E14" w:rsidRPr="003D225B">
        <w:rPr>
          <w:rFonts w:ascii="Times New Roman" w:hAnsi="Times New Roman"/>
          <w:lang w:val="lt-LT"/>
        </w:rPr>
        <w:t>o būdų</w:t>
      </w:r>
      <w:r w:rsidRPr="003D225B">
        <w:rPr>
          <w:rFonts w:ascii="Times New Roman" w:hAnsi="Times New Roman"/>
          <w:lang w:val="lt-LT"/>
        </w:rPr>
        <w:t xml:space="preserve"> VAIC</w:t>
      </w:r>
      <w:r w:rsidR="009F62F1" w:rsidRPr="003D225B">
        <w:rPr>
          <w:rFonts w:ascii="Times New Roman" w:hAnsi="Times New Roman"/>
          <w:lang w:val="lt-LT"/>
        </w:rPr>
        <w:t>™</w:t>
      </w:r>
      <w:r w:rsidR="00482E14" w:rsidRPr="003D225B">
        <w:rPr>
          <w:rFonts w:ascii="Times New Roman" w:hAnsi="Times New Roman"/>
          <w:lang w:val="lt-LT"/>
        </w:rPr>
        <w:t>, ICE, CIV</w:t>
      </w:r>
      <w:r w:rsidRPr="003D225B">
        <w:rPr>
          <w:rFonts w:ascii="Times New Roman" w:hAnsi="Times New Roman"/>
          <w:lang w:val="lt-LT"/>
        </w:rPr>
        <w:t xml:space="preserve">. </w:t>
      </w:r>
    </w:p>
    <w:p w:rsidR="00BE2A22" w:rsidRPr="003D225B" w:rsidRDefault="00D46E4A" w:rsidP="00227B53">
      <w:pPr>
        <w:pStyle w:val="ListParagraph"/>
        <w:widowControl w:val="0"/>
        <w:numPr>
          <w:ilvl w:val="0"/>
          <w:numId w:val="23"/>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567"/>
        <w:jc w:val="both"/>
        <w:rPr>
          <w:rFonts w:ascii="Times New Roman" w:hAnsi="Times New Roman"/>
          <w:lang w:val="lt-LT"/>
        </w:rPr>
      </w:pPr>
      <w:r w:rsidRPr="003D225B">
        <w:rPr>
          <w:rFonts w:ascii="Times New Roman" w:hAnsi="Times New Roman"/>
          <w:lang w:val="lt-LT"/>
        </w:rPr>
        <w:t xml:space="preserve"> Palyginti gautus rezulatatus su užsienio šalies įmonių rezultatais (šiuo atveju OMX Talinas vertybinių popierių biržoje listinguojamomis įmonėmis).</w:t>
      </w:r>
    </w:p>
    <w:p w:rsidR="00BE2A22" w:rsidRPr="003D225B" w:rsidRDefault="00F21852" w:rsidP="00F21852">
      <w:pPr>
        <w:spacing w:line="360" w:lineRule="auto"/>
        <w:ind w:firstLine="567"/>
        <w:jc w:val="both"/>
        <w:rPr>
          <w:lang w:val="en-US"/>
        </w:rPr>
      </w:pPr>
      <w:r w:rsidRPr="003D225B">
        <w:rPr>
          <w:lang w:val="en-US"/>
        </w:rPr>
        <w:t>7 paveiksle atvaizduotas hipotezių žemėlapis, kuriame norima sistemiškai parodyti tikėtinas ryšių tarp rodiklių reikšmes.</w:t>
      </w:r>
    </w:p>
    <w:p w:rsidR="00083FE4" w:rsidRDefault="00E263D0"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color w:val="FF0000"/>
          <w:lang w:val="en-US"/>
        </w:rPr>
      </w:pPr>
      <w:r w:rsidRPr="00E263D0">
        <w:rPr>
          <w:noProof/>
          <w:lang w:val="en-US" w:eastAsia="en-US"/>
        </w:rPr>
        <w:pict>
          <v:shapetype id="_x0000_t202" coordsize="21600,21600" o:spt="202" path="m,l,21600r21600,l21600,xe">
            <v:stroke joinstyle="miter"/>
            <v:path gradientshapeok="t" o:connecttype="rect"/>
          </v:shapetype>
          <v:shape id="Text Box 3" o:spid="_x0000_s1064" type="#_x0000_t202" style="position:absolute;left:0;text-align:left;margin-left:176.6pt;margin-top:82pt;width:81pt;height:45pt;rotation:-2264294fd;z-index:25167360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" filled="f" stroked="f">
            <v:path arrowok="t"/>
            <v:textbox>
              <w:txbxContent>
                <w:p w:rsidR="00863B4D" w:rsidRDefault="00863B4D" w:rsidP="00BE2A22">
                  <w:pPr>
                    <w:rPr>
                      <w:sz w:val="18"/>
                      <w:szCs w:val="18"/>
                    </w:rPr>
                  </w:pPr>
                  <w:r w:rsidRPr="00CD37CE">
                    <w:rPr>
                      <w:sz w:val="18"/>
                      <w:szCs w:val="18"/>
                    </w:rPr>
                    <w:t>T</w:t>
                  </w:r>
                  <w:r>
                    <w:rPr>
                      <w:sz w:val="18"/>
                      <w:szCs w:val="18"/>
                    </w:rPr>
                    <w:t>eigiamas ryšys</w:t>
                  </w:r>
                </w:p>
                <w:p w:rsidR="00863B4D" w:rsidRPr="00CD37CE" w:rsidRDefault="00863B4D" w:rsidP="00BE2A22">
                  <w:pPr>
                    <w:rPr>
                      <w:sz w:val="18"/>
                      <w:szCs w:val="18"/>
                    </w:rPr>
                  </w:pPr>
                </w:p>
              </w:txbxContent>
            </v:textbox>
          </v:shape>
        </w:pict>
      </w:r>
      <w:r w:rsidRPr="00E263D0">
        <w:rPr>
          <w:noProof/>
          <w:lang w:val="en-US" w:eastAsia="en-US"/>
        </w:rPr>
        <w:pict>
          <v:shape id="Text Box 2" o:spid="_x0000_s1065" type="#_x0000_t202" style="position:absolute;left:0;text-align:left;margin-left:269.4pt;margin-top:34.95pt;width:78.6pt;height:54.1pt;rotation:2140961fd;z-index:25167257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" filled="f" stroked="f">
            <v:path arrowok="t"/>
            <v:textbox>
              <w:txbxContent>
                <w:p w:rsidR="00863B4D" w:rsidRPr="00CD37CE" w:rsidRDefault="00863B4D" w:rsidP="00BE2A22">
                  <w:pPr>
                    <w:rPr>
                      <w:sz w:val="18"/>
                      <w:szCs w:val="18"/>
                    </w:rPr>
                  </w:pPr>
                  <w:r w:rsidRPr="00CD37CE">
                    <w:rPr>
                      <w:sz w:val="18"/>
                      <w:szCs w:val="18"/>
                    </w:rPr>
                    <w:t>Teigiama</w:t>
                  </w:r>
                  <w:r>
                    <w:rPr>
                      <w:sz w:val="18"/>
                      <w:szCs w:val="18"/>
                    </w:rPr>
                    <w:t>s ryšys</w:t>
                  </w:r>
                </w:p>
              </w:txbxContent>
            </v:textbox>
          </v:shape>
        </w:pict>
      </w:r>
      <w:r w:rsidRPr="00E263D0">
        <w:rPr>
          <w:noProof/>
          <w:lang w:val="en-US" w:eastAsia="en-US"/>
        </w:rPr>
        <w:pict>
          <v:shape id="Text Box 27" o:spid="_x0000_s1066" type="#_x0000_t202" style="position:absolute;left:0;text-align:left;margin-left:180pt;margin-top:2in;width:29.3pt;height:36pt;z-index:251670528;visibility:visible;mso-wrap-style:non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" filled="f" stroked="f">
            <v:path arrowok="t"/>
            <v:textbox>
              <w:txbxContent>
                <w:p w:rsidR="00863B4D" w:rsidRDefault="00863B4D" w:rsidP="00BE2A22">
                  <w:r>
                    <w:t>H1</w:t>
                  </w:r>
                </w:p>
              </w:txbxContent>
            </v:textbox>
          </v:shape>
        </w:pict>
      </w:r>
      <w:r w:rsidRPr="00E263D0">
        <w:rPr>
          <w:noProof/>
          <w:lang w:val="en-US" w:eastAsia="en-US"/>
        </w:rPr>
        <w:pict>
          <v:shape id="Text Box 40" o:spid="_x0000_s1067" type="#_x0000_t202" style="position:absolute;left:0;text-align:left;margin-left:4in;margin-top:2in;width:29.3pt;height:36pt;z-index:251693056;visibility:visible;mso-wrap-style:non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" filled="f" stroked="f">
            <v:path arrowok="t"/>
            <v:textbox>
              <w:txbxContent>
                <w:p w:rsidR="00863B4D" w:rsidRDefault="00863B4D" w:rsidP="00083FE4">
                  <w:r>
                    <w:t>H1</w:t>
                  </w:r>
                </w:p>
              </w:txbxContent>
            </v:textbox>
          </v:shape>
        </w:pict>
      </w:r>
      <w:r w:rsidRPr="00E263D0">
        <w:rPr>
          <w:noProof/>
          <w:lang w:val="en-US" w:eastAsia="en-US"/>
        </w:rPr>
        <w:pict>
          <v:shape id="Text Box 41" o:spid="_x0000_s1068" type="#_x0000_t202" style="position:absolute;left:0;text-align:left;margin-left:243pt;margin-top:63pt;width:29.3pt;height:36pt;z-index:251695104;visibility:visible;mso-wrap-style:non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" filled="f" stroked="f">
            <v:path arrowok="t"/>
            <v:textbox>
              <w:txbxContent>
                <w:p w:rsidR="00863B4D" w:rsidRDefault="00863B4D" w:rsidP="00083FE4">
                  <w:r>
                    <w:t>H1</w:t>
                  </w:r>
                </w:p>
              </w:txbxContent>
            </v:textbox>
          </v:shape>
        </w:pict>
      </w:r>
      <w:r w:rsidRPr="00E263D0">
        <w:rPr>
          <w:noProof/>
          <w:lang w:val="en-US" w:eastAsia="en-US"/>
        </w:rPr>
        <w:pict>
          <v:shape id="Text Box 28" o:spid="_x0000_s1069" type="#_x0000_t202" style="position:absolute;left:0;text-align:left;margin-left:333pt;margin-top:1in;width:29.3pt;height:36pt;z-index:251671552;visibility:visible;mso-wrap-style:non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" filled="f" stroked="f">
            <v:path arrowok="t"/>
            <v:textbox>
              <w:txbxContent>
                <w:p w:rsidR="00863B4D" w:rsidRDefault="00863B4D" w:rsidP="00BE2A22">
                  <w:r>
                    <w:t>H2</w:t>
                  </w:r>
                </w:p>
              </w:txbxContent>
            </v:textbox>
          </v:shape>
        </w:pict>
      </w:r>
      <w:r w:rsidRPr="00E263D0">
        <w:rPr>
          <w:noProof/>
          <w:lang w:val="en-US" w:eastAsia="en-US"/>
        </w:rPr>
        <w:pict>
          <v:shape id="Text Box 38" o:spid="_x0000_s1070" type="#_x0000_t202" style="position:absolute;left:0;text-align:left;margin-left:135pt;margin-top:63pt;width:29.3pt;height:36pt;z-index:251688960;visibility:visible;mso-wrap-style:non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" filled="f" stroked="f">
            <v:path arrowok="t"/>
            <v:textbox>
              <w:txbxContent>
                <w:p w:rsidR="00863B4D" w:rsidRDefault="00863B4D" w:rsidP="00083FE4">
                  <w:r>
                    <w:t>H2</w:t>
                  </w:r>
                </w:p>
              </w:txbxContent>
            </v:textbox>
          </v:shape>
        </w:pict>
      </w:r>
      <w:r w:rsidRPr="00E263D0">
        <w:rPr>
          <w:noProof/>
          <w:lang w:val="en-US" w:eastAsia="en-US"/>
        </w:rPr>
        <w:pict>
          <v:shape id="Text Box 39" o:spid="_x0000_s1071" type="#_x0000_t202" style="position:absolute;left:0;text-align:left;margin-left:234pt;margin-top:207pt;width:29.3pt;height:36pt;z-index:251691008;visibility:visible;mso-wrap-style:non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" filled="f" stroked="f">
            <v:path arrowok="t"/>
            <v:textbox>
              <w:txbxContent>
                <w:p w:rsidR="00863B4D" w:rsidRDefault="00863B4D" w:rsidP="00083FE4">
                  <w:r>
                    <w:t>H2</w:t>
                  </w:r>
                </w:p>
              </w:txbxContent>
            </v:textbox>
          </v:shape>
        </w:pict>
      </w:r>
      <w:r w:rsidRPr="00E263D0">
        <w:rPr>
          <w:noProof/>
          <w:lang w:val="en-US" w:eastAsia="en-US"/>
        </w:rPr>
        <w:pict>
          <v:shape id="Straight Arrow Connector 36" o:spid="_x0000_s1074" type="#_x0000_t32" style="position:absolute;left:0;text-align:left;margin-left:243pt;margin-top:63pt;width:0;height:36pt;z-index:2516848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" strokecolor="#4f81bd" strokeweight="2pt">
            <v:stroke endarrow="open"/>
            <v:shadow on="t" opacity="24903f" origin=",.5" offset="0,.55556mm"/>
            <o:lock v:ext="edit" shapetype="f"/>
          </v:shape>
        </w:pict>
      </w:r>
      <w:r w:rsidRPr="00E263D0">
        <w:rPr>
          <w:noProof/>
          <w:lang w:val="en-US" w:eastAsia="en-US"/>
        </w:rPr>
        <w:pict>
          <v:shape id="Straight Arrow Connector 37" o:spid="_x0000_s1073" type="#_x0000_t32" style="position:absolute;left:0;text-align:left;margin-left:4in;margin-top:162pt;width:27pt;height:18pt;flip:x y;z-index:2516869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" strokecolor="#4f81bd" strokeweight="2pt">
            <v:stroke endarrow="open"/>
            <v:shadow on="t" opacity="24903f" origin=",.5" offset="0,.55556mm"/>
            <o:lock v:ext="edit" shapetype="f"/>
          </v:shape>
        </w:pict>
      </w:r>
      <w:r w:rsidRPr="00E263D0">
        <w:rPr>
          <w:noProof/>
          <w:lang w:val="en-US" w:eastAsia="en-US"/>
        </w:rPr>
        <w:pict>
          <v:shape id="Straight Arrow Connector 24" o:spid="_x0000_s1072" type="#_x0000_t32" style="position:absolute;left:0;text-align:left;margin-left:180pt;margin-top:162pt;width:36pt;height:18pt;flip:y;z-index:2516828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" strokecolor="#4f81bd" strokeweight="2pt">
            <v:stroke endarrow="open"/>
            <v:shadow on="t" opacity="24903f" origin=",.5" offset="0,.55556mm"/>
            <o:lock v:ext="edit" shapetype="f"/>
          </v:shape>
        </w:pict>
      </w:r>
      <w:r w:rsidR="00083FE4" w:rsidRPr="00227B53">
        <w:rPr>
          <w:noProof/>
          <w:color w:val="FF0000"/>
          <w:sz w:val="28"/>
          <w:szCs w:val="28"/>
          <w:lang w:val="en-US" w:eastAsia="en-US"/>
        </w:rPr>
        <w:drawing>
          <wp:inline distT="0" distB="0" distL="0" distR="0">
            <wp:extent cx="5307330" cy="3056890"/>
            <wp:effectExtent l="0" t="0" r="0" b="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BE2A22" w:rsidRPr="00706973" w:rsidRDefault="006B5D1A"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b/>
          <w:lang w:val="en-US"/>
        </w:rPr>
      </w:pPr>
      <w:r w:rsidRPr="00706973">
        <w:rPr>
          <w:lang w:val="en-US"/>
        </w:rPr>
        <w:t>7</w:t>
      </w:r>
      <w:r w:rsidR="00BE2A22" w:rsidRPr="00706973">
        <w:rPr>
          <w:lang w:val="en-US"/>
        </w:rPr>
        <w:t xml:space="preserve"> pav. </w:t>
      </w:r>
      <w:r w:rsidR="00BE2A22" w:rsidRPr="00706973">
        <w:rPr>
          <w:b/>
          <w:lang w:val="en-US"/>
        </w:rPr>
        <w:t xml:space="preserve">Finansinių </w:t>
      </w:r>
      <w:r w:rsidR="00706973" w:rsidRPr="00706973">
        <w:rPr>
          <w:b/>
          <w:lang w:val="en-US"/>
        </w:rPr>
        <w:t xml:space="preserve">ir nefinansinių </w:t>
      </w:r>
      <w:r w:rsidR="00BE2A22" w:rsidRPr="00706973">
        <w:rPr>
          <w:b/>
          <w:lang w:val="en-US"/>
        </w:rPr>
        <w:t xml:space="preserve">rodiklių </w:t>
      </w:r>
      <w:r w:rsidR="001A265B" w:rsidRPr="00706973">
        <w:rPr>
          <w:b/>
          <w:lang w:val="en-US"/>
        </w:rPr>
        <w:t xml:space="preserve">ryšio koncepcijos </w:t>
      </w:r>
      <w:r w:rsidR="00D669D9">
        <w:rPr>
          <w:b/>
          <w:lang w:val="en-US"/>
        </w:rPr>
        <w:t>(</w:t>
      </w:r>
      <w:r w:rsidR="001A265B" w:rsidRPr="00706973">
        <w:rPr>
          <w:b/>
          <w:lang w:val="en-US"/>
        </w:rPr>
        <w:t>hipotezės</w:t>
      </w:r>
      <w:r w:rsidR="00D669D9">
        <w:rPr>
          <w:b/>
          <w:lang w:val="en-US"/>
        </w:rPr>
        <w:t>)</w:t>
      </w:r>
    </w:p>
    <w:p w:rsidR="00BE2A22" w:rsidRPr="003E7CAC"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p>
    <w:p w:rsidR="00F21852" w:rsidRPr="00D46E4A" w:rsidRDefault="00F21852" w:rsidP="00F21852">
      <w:pPr>
        <w:spacing w:line="360" w:lineRule="auto"/>
        <w:ind w:firstLine="720"/>
        <w:jc w:val="both"/>
        <w:rPr>
          <w:b/>
        </w:rPr>
      </w:pPr>
      <w:r w:rsidRPr="00D46E4A">
        <w:rPr>
          <w:b/>
        </w:rPr>
        <w:t xml:space="preserve">Tyrimo hipotezės: </w:t>
      </w:r>
    </w:p>
    <w:p w:rsidR="00F21852" w:rsidRPr="00D46E4A" w:rsidRDefault="00F21852" w:rsidP="00F21852">
      <w:pPr>
        <w:spacing w:line="360" w:lineRule="auto"/>
        <w:ind w:left="567"/>
        <w:jc w:val="both"/>
      </w:pPr>
      <w:r>
        <w:t xml:space="preserve">H1: </w:t>
      </w:r>
      <w:r w:rsidR="00511454">
        <w:t>Y</w:t>
      </w:r>
      <w:r w:rsidRPr="00D46E4A">
        <w:t>ra teigia</w:t>
      </w:r>
      <w:r w:rsidR="00D669D9">
        <w:t>mas ryšys tarp finansinių ir nef</w:t>
      </w:r>
      <w:r w:rsidRPr="00D46E4A">
        <w:t>inansinių rodiklių</w:t>
      </w:r>
      <w:r w:rsidR="00511454">
        <w:t>, vertinančių intelektinį kapitalą</w:t>
      </w:r>
      <w:r w:rsidRPr="00D46E4A">
        <w:t>.</w:t>
      </w:r>
    </w:p>
    <w:p w:rsidR="00F21852" w:rsidRPr="00D46E4A" w:rsidRDefault="00F21852" w:rsidP="00F21852">
      <w:pPr>
        <w:spacing w:line="360" w:lineRule="auto"/>
        <w:ind w:left="567"/>
        <w:jc w:val="both"/>
      </w:pPr>
      <w:r>
        <w:t>H2:</w:t>
      </w:r>
      <w:r w:rsidR="00511454">
        <w:t xml:space="preserve"> Y</w:t>
      </w:r>
      <w:r w:rsidRPr="00D46E4A">
        <w:t>ra teigiamas ryšys t</w:t>
      </w:r>
      <w:r w:rsidR="00511454">
        <w:t>arp nefinansinių</w:t>
      </w:r>
      <w:r w:rsidRPr="00D46E4A">
        <w:t xml:space="preserve"> rodiklių</w:t>
      </w:r>
      <w:r w:rsidR="00511454">
        <w:t>, vertinančių intelektinį kapitalą</w:t>
      </w:r>
      <w:r w:rsidRPr="00D46E4A">
        <w:t>.</w:t>
      </w:r>
    </w:p>
    <w:p w:rsidR="00F21852" w:rsidRDefault="00F21852" w:rsidP="00F218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Pr>
          <w:lang w:val="en-US"/>
        </w:rPr>
        <w:t>Pagrindinis</w:t>
      </w:r>
      <w:r w:rsidRPr="003E7CAC">
        <w:rPr>
          <w:lang w:val="en-US"/>
        </w:rPr>
        <w:t xml:space="preserve"> praktinis u</w:t>
      </w:r>
      <w:r w:rsidR="00913FDF">
        <w:rPr>
          <w:lang w:val="en-US"/>
        </w:rPr>
        <w:t>ždavinys – empiriškai išnagrinėti ryšį</w:t>
      </w:r>
      <w:r w:rsidRPr="003E7CAC">
        <w:rPr>
          <w:lang w:val="en-US"/>
        </w:rPr>
        <w:t xml:space="preserve"> tarp intelektinio kapita</w:t>
      </w:r>
      <w:r>
        <w:rPr>
          <w:lang w:val="en-US"/>
        </w:rPr>
        <w:t>lo</w:t>
      </w:r>
      <w:r w:rsidRPr="003E7CAC">
        <w:rPr>
          <w:lang w:val="en-US"/>
        </w:rPr>
        <w:t xml:space="preserve"> matavimo </w:t>
      </w:r>
      <w:r w:rsidR="00BF3E79">
        <w:rPr>
          <w:lang w:val="en-US"/>
        </w:rPr>
        <w:t>me</w:t>
      </w:r>
      <w:r w:rsidR="00913FDF">
        <w:rPr>
          <w:lang w:val="en-US"/>
        </w:rPr>
        <w:t>todų ir tradicinių finansinių rodiklių matavimo metodų, kurie apibū</w:t>
      </w:r>
      <w:r w:rsidRPr="003E7CAC">
        <w:rPr>
          <w:lang w:val="en-US"/>
        </w:rPr>
        <w:t>di</w:t>
      </w:r>
      <w:r w:rsidR="00913FDF">
        <w:rPr>
          <w:lang w:val="en-US"/>
        </w:rPr>
        <w:t>na įmonės darbuotojų, klientų, tiekėjų, akcininkų bendradarbiavimą</w:t>
      </w:r>
      <w:r w:rsidRPr="003E7CAC">
        <w:rPr>
          <w:lang w:val="en-US"/>
        </w:rPr>
        <w:t xml:space="preserve"> siekiant pel</w:t>
      </w:r>
      <w:r w:rsidR="00913FDF">
        <w:rPr>
          <w:lang w:val="en-US"/>
        </w:rPr>
        <w:t>ningo rezultato: ROA (turto grąžos) ir ROE (nuosavybės grą</w:t>
      </w:r>
      <w:r w:rsidRPr="003E7CAC">
        <w:rPr>
          <w:lang w:val="en-US"/>
        </w:rPr>
        <w:t>žos). Rezultatai gali būti n</w:t>
      </w:r>
      <w:r w:rsidR="00913FDF">
        <w:rPr>
          <w:lang w:val="en-US"/>
        </w:rPr>
        <w:t>audingi daugeliui suinteresuotų asmenų</w:t>
      </w:r>
      <w:r w:rsidRPr="003E7CAC">
        <w:rPr>
          <w:lang w:val="en-US"/>
        </w:rPr>
        <w:t>: akcininkams, investuotojams, politikams.</w:t>
      </w:r>
    </w:p>
    <w:p w:rsidR="00BE2A22" w:rsidRPr="003E7CAC" w:rsidRDefault="00913FDF" w:rsidP="00BE2A22">
      <w:pPr>
        <w:spacing w:line="360" w:lineRule="auto"/>
        <w:ind w:firstLine="567"/>
        <w:jc w:val="both"/>
        <w:rPr>
          <w:lang w:val="en-US"/>
        </w:rPr>
      </w:pPr>
      <w:r>
        <w:rPr>
          <w:lang w:val="en-US"/>
        </w:rPr>
        <w:t>Tradicinių finansinių rodiklių skaič</w:t>
      </w:r>
      <w:r w:rsidR="00BE2A22" w:rsidRPr="003E7CAC">
        <w:rPr>
          <w:lang w:val="en-US"/>
        </w:rPr>
        <w:t>iavimas:</w:t>
      </w:r>
    </w:p>
    <w:p w:rsidR="00BE2A22" w:rsidRPr="003E7CAC" w:rsidRDefault="00913FDF" w:rsidP="00BE2A22">
      <w:pPr>
        <w:pStyle w:val="ListParagraph"/>
        <w:numPr>
          <w:ilvl w:val="0"/>
          <w:numId w:val="25"/>
        </w:numPr>
        <w:spacing w:line="360" w:lineRule="auto"/>
        <w:jc w:val="both"/>
        <w:rPr>
          <w:rFonts w:ascii="Times New Roman" w:hAnsi="Times New Roman"/>
          <w:lang w:val="en-US"/>
        </w:rPr>
      </w:pPr>
      <w:r>
        <w:rPr>
          <w:rFonts w:ascii="Times New Roman" w:hAnsi="Times New Roman"/>
          <w:lang w:val="en-US"/>
        </w:rPr>
        <w:t>ROA arba turto pelningumas (grąža) - parodo kiek į</w:t>
      </w:r>
      <w:r w:rsidR="00BE2A22" w:rsidRPr="003E7CAC">
        <w:rPr>
          <w:rFonts w:ascii="Times New Roman" w:hAnsi="Times New Roman"/>
          <w:lang w:val="en-US"/>
        </w:rPr>
        <w:t xml:space="preserve">monės </w:t>
      </w:r>
      <w:r>
        <w:rPr>
          <w:rFonts w:ascii="Times New Roman" w:hAnsi="Times New Roman"/>
          <w:lang w:val="en-US"/>
        </w:rPr>
        <w:t>turtas efektyviai valdomas įmonės turtas. Didė</w:t>
      </w:r>
      <w:r w:rsidR="00BE2A22" w:rsidRPr="003E7CAC">
        <w:rPr>
          <w:rFonts w:ascii="Times New Roman" w:hAnsi="Times New Roman"/>
          <w:lang w:val="en-US"/>
        </w:rPr>
        <w:t>jantis</w:t>
      </w:r>
      <w:r>
        <w:rPr>
          <w:rFonts w:ascii="Times New Roman" w:hAnsi="Times New Roman"/>
          <w:lang w:val="en-US"/>
        </w:rPr>
        <w:t xml:space="preserve"> ROA rodiklis parodo efektyvesnį turto valdymą</w:t>
      </w:r>
      <w:r w:rsidR="00BE2A22" w:rsidRPr="003E7CAC">
        <w:rPr>
          <w:rFonts w:ascii="Times New Roman" w:hAnsi="Times New Roman"/>
          <w:lang w:val="en-US"/>
        </w:rPr>
        <w:t>, kas didi</w:t>
      </w:r>
      <w:r>
        <w:rPr>
          <w:rFonts w:ascii="Times New Roman" w:hAnsi="Times New Roman"/>
          <w:lang w:val="en-US"/>
        </w:rPr>
        <w:t>n</w:t>
      </w:r>
      <w:r w:rsidR="00BE2A22" w:rsidRPr="003E7CAC">
        <w:rPr>
          <w:rFonts w:ascii="Times New Roman" w:hAnsi="Times New Roman"/>
          <w:lang w:val="en-US"/>
        </w:rPr>
        <w:t xml:space="preserve">a intelektinio kapitalo </w:t>
      </w:r>
      <w:r>
        <w:rPr>
          <w:rFonts w:ascii="Times New Roman" w:hAnsi="Times New Roman"/>
          <w:lang w:val="en-US"/>
        </w:rPr>
        <w:t>vertę</w:t>
      </w:r>
      <w:r w:rsidR="00BE2A22" w:rsidRPr="003E7CAC">
        <w:rPr>
          <w:rFonts w:ascii="Times New Roman" w:hAnsi="Times New Roman"/>
          <w:lang w:val="en-US"/>
        </w:rPr>
        <w:t xml:space="preserve">. </w:t>
      </w:r>
    </w:p>
    <w:p w:rsidR="00BE2A22" w:rsidRPr="003E7CAC" w:rsidRDefault="00BE2A22" w:rsidP="00BE2A22">
      <w:pPr>
        <w:pStyle w:val="ListParagraph"/>
        <w:spacing w:line="360" w:lineRule="auto"/>
        <w:ind w:left="1407"/>
        <w:jc w:val="both"/>
        <w:rPr>
          <w:rFonts w:ascii="Times New Roman" w:hAnsi="Times New Roman"/>
          <w:lang w:val="en-US"/>
        </w:rPr>
      </w:pPr>
      <w:r w:rsidRPr="003E7CAC">
        <w:rPr>
          <w:rFonts w:ascii="Times New Roman" w:hAnsi="Times New Roman"/>
          <w:lang w:val="en-US"/>
        </w:rPr>
        <w:t xml:space="preserve">Apskaičiuojamas:  </w:t>
      </w:r>
    </w:p>
    <w:p w:rsidR="00BE2A22" w:rsidRPr="003E7CAC" w:rsidRDefault="00BE2A22" w:rsidP="00BE2A22">
      <w:pPr>
        <w:pStyle w:val="ListParagraph"/>
        <w:spacing w:line="360" w:lineRule="auto"/>
        <w:ind w:left="1407"/>
        <w:jc w:val="both"/>
        <w:rPr>
          <w:rFonts w:ascii="Times New Roman" w:hAnsi="Times New Roman"/>
          <w:lang w:val="en-US"/>
        </w:rPr>
      </w:pPr>
      <w:r w:rsidRPr="003E7CAC">
        <w:rPr>
          <w:rFonts w:ascii="Times New Roman" w:hAnsi="Times New Roman"/>
          <w:lang w:val="en-US"/>
        </w:rPr>
        <w:t xml:space="preserve"> </w:t>
      </w:r>
      <m:oMath>
        <m:r>
          <w:rPr>
            <w:rFonts w:ascii="Cambria Math" w:hAnsi="Cambria Math"/>
            <w:lang w:val="en-US"/>
          </w:rPr>
          <m:t>ROA=</m:t>
        </m:r>
        <m:f>
          <m:fPr>
            <m:ctrlPr>
              <w:rPr>
                <w:rFonts w:ascii="Cambria Math" w:hAnsi="Cambria Math"/>
                <w:i/>
                <w:lang w:val="en-US"/>
              </w:rPr>
            </m:ctrlPr>
          </m:fPr>
          <m:num>
            <m:r>
              <w:rPr>
                <w:rFonts w:ascii="Cambria Math" w:hAnsi="Cambria Math"/>
                <w:lang w:val="en-US"/>
              </w:rPr>
              <m:t>Grynasis pelnas</m:t>
            </m:r>
          </m:num>
          <m:den>
            <m:r>
              <w:rPr>
                <w:rFonts w:ascii="Cambria Math" w:hAnsi="Cambria Math"/>
                <w:lang w:val="en-US"/>
              </w:rPr>
              <m:t>Turtas</m:t>
            </m:r>
          </m:den>
        </m:f>
      </m:oMath>
      <w:r w:rsidRPr="003E7CAC">
        <w:rPr>
          <w:rFonts w:ascii="Times New Roman" w:hAnsi="Times New Roman"/>
          <w:lang w:val="en-US"/>
        </w:rPr>
        <w:t xml:space="preserve">        (1)</w:t>
      </w:r>
    </w:p>
    <w:p w:rsidR="00BE2A22" w:rsidRPr="003E7CAC" w:rsidRDefault="00BE2A22" w:rsidP="00BE2A22">
      <w:pPr>
        <w:pStyle w:val="ListParagraph"/>
        <w:numPr>
          <w:ilvl w:val="0"/>
          <w:numId w:val="25"/>
        </w:numPr>
        <w:spacing w:line="360" w:lineRule="auto"/>
        <w:jc w:val="both"/>
        <w:rPr>
          <w:rFonts w:ascii="Times New Roman" w:hAnsi="Times New Roman"/>
          <w:lang w:val="en-US"/>
        </w:rPr>
      </w:pPr>
      <w:r w:rsidRPr="003E7CAC">
        <w:rPr>
          <w:rFonts w:ascii="Times New Roman" w:hAnsi="Times New Roman"/>
          <w:lang w:val="en-US"/>
        </w:rPr>
        <w:t>ROE arba nu</w:t>
      </w:r>
      <w:r w:rsidR="00913FDF">
        <w:rPr>
          <w:rFonts w:ascii="Times New Roman" w:hAnsi="Times New Roman"/>
          <w:lang w:val="en-US"/>
        </w:rPr>
        <w:t>osavo kapitalo pelningumas (grą</w:t>
      </w:r>
      <w:r w:rsidRPr="003E7CAC">
        <w:rPr>
          <w:rFonts w:ascii="Times New Roman" w:hAnsi="Times New Roman"/>
          <w:lang w:val="en-US"/>
        </w:rPr>
        <w:t>ža) – parodo kiek efektyviai panaudojamas nuosavas įmon</w:t>
      </w:r>
      <w:r w:rsidRPr="003E7CAC">
        <w:rPr>
          <w:rFonts w:ascii="Times New Roman" w:hAnsi="Times New Roman"/>
          <w:lang w:val="lt-LT"/>
        </w:rPr>
        <w:t>ė</w:t>
      </w:r>
      <w:r w:rsidRPr="003E7CAC">
        <w:rPr>
          <w:rFonts w:ascii="Times New Roman" w:hAnsi="Times New Roman"/>
          <w:lang w:val="en-US"/>
        </w:rPr>
        <w:t xml:space="preserve">s kapitalas. </w:t>
      </w:r>
    </w:p>
    <w:p w:rsidR="00BE2A22" w:rsidRPr="003E7CAC" w:rsidRDefault="00BE2A22" w:rsidP="00BE2A22">
      <w:pPr>
        <w:pStyle w:val="ListParagraph"/>
        <w:spacing w:line="360" w:lineRule="auto"/>
        <w:ind w:left="1407"/>
        <w:jc w:val="both"/>
        <w:rPr>
          <w:rFonts w:ascii="Times New Roman" w:hAnsi="Times New Roman"/>
          <w:lang w:val="en-US"/>
        </w:rPr>
      </w:pPr>
      <m:oMath>
        <m:r>
          <w:rPr>
            <w:rFonts w:ascii="Cambria Math" w:hAnsi="Cambria Math"/>
            <w:lang w:val="en-US"/>
          </w:rPr>
          <m:t>R</m:t>
        </m:r>
        <m:r>
          <w:rPr>
            <w:rFonts w:ascii="Cambria Math" w:hAnsi="Cambria Math" w:cs="Cambria Math"/>
            <w:lang w:val="en-US"/>
          </w:rPr>
          <m:t>OE=</m:t>
        </m:r>
        <m:f>
          <m:fPr>
            <m:ctrlPr>
              <w:rPr>
                <w:rFonts w:ascii="Cambria Math" w:hAnsi="Cambria Math" w:cs="Cambria Math"/>
                <w:i/>
                <w:lang w:val="en-US"/>
              </w:rPr>
            </m:ctrlPr>
          </m:fPr>
          <m:num>
            <m:r>
              <w:rPr>
                <w:rFonts w:ascii="Cambria Math" w:hAnsi="Cambria Math" w:cs="Cambria Math"/>
                <w:lang w:val="en-US"/>
              </w:rPr>
              <m:t>Grynasis pelnas</m:t>
            </m:r>
          </m:num>
          <m:den>
            <m:r>
              <w:rPr>
                <w:rFonts w:ascii="Cambria Math" w:hAnsi="Cambria Math" w:cs="Cambria Math"/>
                <w:lang w:val="en-US"/>
              </w:rPr>
              <m:t>Nuosavas kapitalas</m:t>
            </m:r>
          </m:den>
        </m:f>
      </m:oMath>
      <w:r w:rsidRPr="003E7CAC">
        <w:rPr>
          <w:rFonts w:ascii="Times New Roman" w:hAnsi="Times New Roman"/>
          <w:i/>
          <w:lang w:val="en-US"/>
        </w:rPr>
        <w:t xml:space="preserve">  </w:t>
      </w:r>
      <w:r w:rsidRPr="003E7CAC">
        <w:rPr>
          <w:rFonts w:ascii="Times New Roman" w:hAnsi="Times New Roman"/>
          <w:lang w:val="en-US"/>
        </w:rPr>
        <w:t xml:space="preserve">  (2)</w:t>
      </w:r>
    </w:p>
    <w:p w:rsidR="00BE2A22" w:rsidRPr="003E7CAC" w:rsidRDefault="00BE2A22" w:rsidP="00BE2A22">
      <w:pPr>
        <w:spacing w:line="360" w:lineRule="auto"/>
        <w:ind w:firstLine="567"/>
        <w:jc w:val="both"/>
      </w:pPr>
      <w:r w:rsidRPr="003E7CAC">
        <w:t>Kuo didesnės šių rodiklių reikšmės, tuo atitinkamai turtas ar nuosavas kapitalas valdomas efektyviau. Dažniausiai šiame darbe vertinamų įmonių kategorija šiuos rodiklius jau apskaičiuotus pateikia finansinėse ataskaitose.</w:t>
      </w:r>
    </w:p>
    <w:p w:rsidR="00BE2A22" w:rsidRPr="003E7CAC" w:rsidRDefault="00BE2A22" w:rsidP="00BE2A22">
      <w:pPr>
        <w:spacing w:line="360" w:lineRule="auto"/>
        <w:ind w:firstLine="567"/>
        <w:jc w:val="both"/>
      </w:pPr>
      <w:r w:rsidRPr="003E7CAC">
        <w:rPr>
          <w:b/>
        </w:rPr>
        <w:t>VAIC</w:t>
      </w:r>
      <w:r w:rsidR="009F62F1">
        <w:rPr>
          <w:b/>
        </w:rPr>
        <w:t>™</w:t>
      </w:r>
      <w:r w:rsidRPr="003E7CAC">
        <w:rPr>
          <w:b/>
        </w:rPr>
        <w:t xml:space="preserve"> </w:t>
      </w:r>
      <w:r w:rsidRPr="003E7CAC">
        <w:t>(</w:t>
      </w:r>
      <w:r w:rsidRPr="003E7CAC">
        <w:rPr>
          <w:i/>
        </w:rPr>
        <w:t>angl.</w:t>
      </w:r>
      <w:r w:rsidRPr="003E7CAC">
        <w:t xml:space="preserve"> Value Added Intellectual Coeficient) – </w:t>
      </w:r>
      <w:r w:rsidRPr="003E7CAC">
        <w:rPr>
          <w:b/>
        </w:rPr>
        <w:t>pridėtinės vertės intelektinio kapitalo koeficientas</w:t>
      </w:r>
      <w:r w:rsidRPr="003E7CAC">
        <w:t>, pasiūlytas 1998 m. A. Pulic’o, vienas iš turto grąžos kategorijai priskiriamų metodų, be to plačiai naudojamas daugelyje mokslinių darbų. Tai metodas pagal kurį skaičiuojamas intelektinis kapitalas atsižvelgiant ir į darbuotojų vaidmenį organizacijoje. Dėl to metodui nebūdingas tradicinis intelektinio kapitalo skirstymas, o šis koeficientas susideda iš samdomojo kapitalo efektyvumo koeficiento, žmogiškojo kapitalo efektyvumo koeficiento ir struktūrinio kapitalo efektyvumo koeficiento. Be to rezultatai pateikiami ne pinigine išraiška (minėtų rodiklių suma parodo kiek naujos vertės sukuria investuo</w:t>
      </w:r>
      <w:r w:rsidR="00BF3E79">
        <w:t>tas piniginis vienetas), bet lei</w:t>
      </w:r>
      <w:r w:rsidRPr="003E7CAC">
        <w:t>džia palyginti įmonių intelektinio kapitalo lygį laike.</w:t>
      </w:r>
      <w:r w:rsidR="00443878">
        <w:t xml:space="preserve"> </w:t>
      </w:r>
    </w:p>
    <w:p w:rsidR="00BE2A22" w:rsidRPr="003E7CAC" w:rsidRDefault="00BE2A22" w:rsidP="00BE2A22">
      <w:pPr>
        <w:spacing w:line="360" w:lineRule="auto"/>
        <w:ind w:firstLine="567"/>
        <w:jc w:val="both"/>
      </w:pPr>
      <w:r w:rsidRPr="003E7CAC">
        <w:t>Pridėtinės vertės intelektinio kapitalo koeficientas, toliau – VAIC</w:t>
      </w:r>
      <w:r w:rsidR="009F62F1">
        <w:t>™</w:t>
      </w:r>
      <w:r w:rsidRPr="003E7CAC">
        <w:t xml:space="preserve"> skaičiuojamas:</w:t>
      </w:r>
    </w:p>
    <w:p w:rsidR="00BE2A22" w:rsidRPr="003E7CAC" w:rsidRDefault="00BE2A22" w:rsidP="00BE2A22">
      <w:pPr>
        <w:spacing w:line="360" w:lineRule="auto"/>
        <w:ind w:firstLine="567"/>
        <w:jc w:val="both"/>
      </w:pPr>
      <m:oMath>
        <m:r>
          <w:rPr>
            <w:rFonts w:ascii="Cambria Math" w:hAnsi="Cambria Math"/>
          </w:rPr>
          <m:t>V</m:t>
        </m:r>
        <m:r>
          <w:rPr>
            <w:rFonts w:ascii="Cambria Math" w:hAnsi="Cambria Math" w:cs="Cambria Math"/>
          </w:rPr>
          <m:t>AIC</m:t>
        </m:r>
        <m:r>
          <w:rPr>
            <w:rFonts w:ascii="Cambria Math" w:hAnsi="Cambria Math"/>
          </w:rPr>
          <m:t>™</m:t>
        </m:r>
        <m:r>
          <w:rPr>
            <w:rFonts w:ascii="Cambria Math" w:hAnsi="Cambria Math" w:cs="Cambria Math"/>
          </w:rPr>
          <m:t>=VACA+VAHU+STVA</m:t>
        </m:r>
      </m:oMath>
      <w:r w:rsidRPr="003E7CAC">
        <w:rPr>
          <w:i/>
        </w:rPr>
        <w:t xml:space="preserve"> </w:t>
      </w:r>
      <w:r w:rsidRPr="003E7CAC">
        <w:t xml:space="preserve">         (3)</w:t>
      </w:r>
    </w:p>
    <w:p w:rsidR="00BE2A22" w:rsidRPr="003E7CAC" w:rsidRDefault="00BE2A22" w:rsidP="00BE2A22">
      <w:pPr>
        <w:spacing w:line="360" w:lineRule="auto"/>
        <w:ind w:firstLine="567"/>
        <w:jc w:val="both"/>
      </w:pPr>
      <w:r w:rsidRPr="003E7CAC">
        <w:t>kur VAIC</w:t>
      </w:r>
      <w:r w:rsidR="009F62F1">
        <w:t>™</w:t>
      </w:r>
      <w:r w:rsidRPr="003E7CAC">
        <w:t xml:space="preserve"> – priedėtinės vertės intelektinio kapitalo koeficientas,</w:t>
      </w:r>
    </w:p>
    <w:p w:rsidR="00BE2A22" w:rsidRPr="003E7CAC" w:rsidRDefault="00BE2A22" w:rsidP="00BE2A22">
      <w:pPr>
        <w:spacing w:line="360" w:lineRule="auto"/>
        <w:ind w:firstLine="567"/>
        <w:jc w:val="both"/>
      </w:pPr>
      <w:r w:rsidRPr="003E7CAC">
        <w:t>VACA – samdomojo kapitalo efektyvumo koeficientas,</w:t>
      </w:r>
    </w:p>
    <w:p w:rsidR="00BE2A22" w:rsidRPr="003E7CAC" w:rsidRDefault="00BE2A22" w:rsidP="00BE2A22">
      <w:pPr>
        <w:spacing w:line="360" w:lineRule="auto"/>
        <w:ind w:firstLine="567"/>
        <w:jc w:val="both"/>
      </w:pPr>
      <w:r w:rsidRPr="003E7CAC">
        <w:t>VAHU – žmogiškojo kapitalo efektyvumo koeficientas,</w:t>
      </w:r>
    </w:p>
    <w:p w:rsidR="00BE2A22" w:rsidRDefault="00BE2A22" w:rsidP="00BE2A22">
      <w:pPr>
        <w:spacing w:line="360" w:lineRule="auto"/>
        <w:ind w:firstLine="567"/>
        <w:jc w:val="both"/>
      </w:pPr>
      <w:r w:rsidRPr="003E7CAC">
        <w:t>STVA – struktūrinio kapitalo efektyvumo koeficientas.</w:t>
      </w:r>
    </w:p>
    <w:p w:rsidR="00297E63" w:rsidRPr="003E7CAC" w:rsidRDefault="00297E63" w:rsidP="00297E63">
      <w:pPr>
        <w:spacing w:line="360" w:lineRule="auto"/>
        <w:ind w:firstLine="567"/>
        <w:jc w:val="both"/>
      </w:pPr>
      <w:r>
        <w:t>Pridėtinė vertė (</w:t>
      </w:r>
      <w:r>
        <w:rPr>
          <w:rFonts w:ascii="Times" w:eastAsia="SimSun" w:hAnsi="Times" w:cs="Times"/>
          <w:color w:val="000000"/>
          <w:lang w:val="en-US" w:eastAsia="en-US"/>
        </w:rPr>
        <w:t>VA</w:t>
      </w:r>
      <w:r>
        <w:rPr>
          <w:rFonts w:eastAsia="SimSun"/>
          <w:color w:val="000000"/>
          <w:lang w:val="en-US" w:eastAsia="en-US"/>
        </w:rPr>
        <w:t>)</w:t>
      </w:r>
      <w:r>
        <w:rPr>
          <w:rFonts w:ascii="Times" w:eastAsia="SimSun" w:hAnsi="Times" w:cs="Times"/>
          <w:color w:val="000000"/>
          <w:lang w:val="en-US" w:eastAsia="en-US"/>
        </w:rPr>
        <w:t xml:space="preserve"> gali būti skaičiuojama tik tada, kai kompanija nepatiria nuostolio, pajamos </w:t>
      </w:r>
      <w:r>
        <w:rPr>
          <w:rFonts w:eastAsia="SimSun"/>
          <w:color w:val="000000"/>
          <w:lang w:val="en-US" w:eastAsia="en-US"/>
        </w:rPr>
        <w:t>yra</w:t>
      </w:r>
      <w:r>
        <w:rPr>
          <w:rFonts w:ascii="Times" w:eastAsia="SimSun" w:hAnsi="Times" w:cs="Times"/>
          <w:color w:val="000000"/>
          <w:lang w:val="en-US" w:eastAsia="en-US"/>
        </w:rPr>
        <w:t xml:space="preserve"> didesnės už išlaidas (</w:t>
      </w:r>
      <w:r w:rsidRPr="00297E63">
        <w:rPr>
          <w:rFonts w:ascii="Times" w:eastAsia="SimSun" w:hAnsi="Times" w:cs="Times"/>
          <w:i/>
          <w:color w:val="000000"/>
          <w:lang w:val="en-US" w:eastAsia="en-US"/>
        </w:rPr>
        <w:t>Kujansivu, Lonnquist, 2007</w:t>
      </w:r>
      <w:r>
        <w:rPr>
          <w:rFonts w:ascii="Times" w:eastAsia="SimSun" w:hAnsi="Times" w:cs="Times"/>
          <w:color w:val="000000"/>
          <w:lang w:val="en-US" w:eastAsia="en-US"/>
        </w:rPr>
        <w:t>).</w:t>
      </w:r>
    </w:p>
    <w:p w:rsidR="00BE2A22" w:rsidRPr="003E7CAC" w:rsidRDefault="00BE2A22" w:rsidP="00BE2A22">
      <w:pPr>
        <w:spacing w:line="360" w:lineRule="auto"/>
        <w:ind w:firstLine="567"/>
        <w:jc w:val="both"/>
      </w:pPr>
      <w:r w:rsidRPr="003E7CAC">
        <w:t>Pridėtinė vertė (VA) skaičiuojama:</w:t>
      </w:r>
    </w:p>
    <w:p w:rsidR="00BE2A22" w:rsidRPr="003E7CAC" w:rsidRDefault="00BE2A22" w:rsidP="00BE2A22">
      <w:pPr>
        <w:spacing w:line="360" w:lineRule="auto"/>
        <w:ind w:firstLine="567"/>
        <w:jc w:val="both"/>
      </w:pPr>
      <m:oMath>
        <m:r>
          <w:rPr>
            <w:rFonts w:ascii="Cambria Math" w:hAnsi="Cambria Math"/>
          </w:rPr>
          <m:t>V</m:t>
        </m:r>
        <m:r>
          <w:rPr>
            <w:rFonts w:ascii="Cambria Math" w:hAnsi="Cambria Math" w:cs="Cambria Math"/>
          </w:rPr>
          <m:t>A=OUT-IN</m:t>
        </m:r>
      </m:oMath>
      <w:r w:rsidRPr="003E7CAC">
        <w:rPr>
          <w:i/>
        </w:rPr>
        <w:t xml:space="preserve"> </w:t>
      </w:r>
      <w:r w:rsidR="00297E63">
        <w:rPr>
          <w:i/>
        </w:rPr>
        <w:t xml:space="preserve">       </w:t>
      </w:r>
      <w:r w:rsidR="006B5D1A">
        <w:t>(4</w:t>
      </w:r>
      <w:r w:rsidR="00297E63" w:rsidRPr="00297E63">
        <w:t xml:space="preserve">)       </w:t>
      </w:r>
      <w:r w:rsidRPr="003E7CAC">
        <w:rPr>
          <w:i/>
        </w:rPr>
        <w:t xml:space="preserve">arba </w:t>
      </w:r>
      <m:oMath>
        <m:r>
          <w:rPr>
            <w:rFonts w:ascii="Cambria Math" w:hAnsi="Cambria Math"/>
          </w:rPr>
          <m:t>V</m:t>
        </m:r>
        <m:r>
          <w:rPr>
            <w:rFonts w:ascii="Cambria Math" w:hAnsi="Cambria Math" w:cs="Cambria Math"/>
          </w:rPr>
          <m:t>A=OP+EC+D+A</m:t>
        </m:r>
      </m:oMath>
      <w:r w:rsidRPr="003E7CAC">
        <w:rPr>
          <w:i/>
        </w:rPr>
        <w:t xml:space="preserve">      </w:t>
      </w:r>
      <w:r w:rsidR="006B5D1A">
        <w:t>(5</w:t>
      </w:r>
      <w:r w:rsidRPr="003E7CAC">
        <w:t>)</w:t>
      </w:r>
    </w:p>
    <w:p w:rsidR="00BE2A22" w:rsidRPr="003E7CAC" w:rsidRDefault="00BE2A22" w:rsidP="00BE2A22">
      <w:pPr>
        <w:spacing w:line="360" w:lineRule="auto"/>
        <w:ind w:firstLine="567"/>
        <w:jc w:val="both"/>
      </w:pPr>
      <w:r w:rsidRPr="003E7CAC">
        <w:t>kur VA – įmonės pridėtinė vertė,</w:t>
      </w:r>
    </w:p>
    <w:p w:rsidR="00BE2A22" w:rsidRPr="003E7CAC" w:rsidRDefault="00BE2A22" w:rsidP="00BE2A22">
      <w:pPr>
        <w:spacing w:line="360" w:lineRule="auto"/>
        <w:ind w:firstLine="567"/>
        <w:jc w:val="both"/>
      </w:pPr>
      <w:r w:rsidRPr="003E7CAC">
        <w:t>OUT – bendrieji pardavimai (pajamos),</w:t>
      </w:r>
    </w:p>
    <w:p w:rsidR="00BE2A22" w:rsidRPr="003E7CAC" w:rsidRDefault="00BE2A22" w:rsidP="00BE2A22">
      <w:pPr>
        <w:spacing w:line="360" w:lineRule="auto"/>
        <w:ind w:firstLine="567"/>
        <w:jc w:val="both"/>
      </w:pPr>
      <w:r w:rsidRPr="003E7CAC">
        <w:t>IN – išlaidos medžiagoms, paslaugoms ir kitiems pardavimo komponentams, išskyrus darbo užmokestį,</w:t>
      </w:r>
    </w:p>
    <w:p w:rsidR="00BE2A22" w:rsidRPr="003E7CAC" w:rsidRDefault="00BE2A22" w:rsidP="00BE2A22">
      <w:pPr>
        <w:spacing w:line="360" w:lineRule="auto"/>
        <w:ind w:firstLine="567"/>
        <w:jc w:val="both"/>
      </w:pPr>
      <w:r w:rsidRPr="003E7CAC">
        <w:t>OP – veiklos pelnas,</w:t>
      </w:r>
    </w:p>
    <w:p w:rsidR="00BE2A22" w:rsidRPr="003E7CAC" w:rsidRDefault="00BE2A22" w:rsidP="00BE2A22">
      <w:pPr>
        <w:spacing w:line="360" w:lineRule="auto"/>
        <w:ind w:firstLine="567"/>
        <w:jc w:val="both"/>
      </w:pPr>
      <w:r w:rsidRPr="003E7CAC">
        <w:t>EC – išlaidos darbuotojams,</w:t>
      </w:r>
    </w:p>
    <w:p w:rsidR="00BE2A22" w:rsidRPr="003E7CAC" w:rsidRDefault="00BE2A22" w:rsidP="00BE2A22">
      <w:pPr>
        <w:spacing w:line="360" w:lineRule="auto"/>
        <w:ind w:firstLine="567"/>
        <w:jc w:val="both"/>
      </w:pPr>
      <w:r w:rsidRPr="003E7CAC">
        <w:t>D – nusidėvėjimas,</w:t>
      </w:r>
    </w:p>
    <w:p w:rsidR="00BE2A22" w:rsidRDefault="00BE2A22" w:rsidP="00BE2A22">
      <w:pPr>
        <w:spacing w:line="360" w:lineRule="auto"/>
        <w:ind w:firstLine="567"/>
        <w:jc w:val="both"/>
      </w:pPr>
      <w:r w:rsidRPr="003E7CAC">
        <w:t>A – amortizacija.</w:t>
      </w:r>
    </w:p>
    <w:p w:rsidR="00297E63" w:rsidRDefault="00297E63" w:rsidP="00BE2A22">
      <w:pPr>
        <w:spacing w:line="360" w:lineRule="auto"/>
        <w:ind w:firstLine="567"/>
        <w:jc w:val="both"/>
      </w:pPr>
      <w:r>
        <w:t>Literatūroje galima rasti ir kitokių pridėtinės vertės skaičiavimo būdų</w:t>
      </w:r>
      <w:r w:rsidR="003526EA">
        <w:t xml:space="preserve"> (</w:t>
      </w:r>
      <w:r w:rsidR="003526EA" w:rsidRPr="003526EA">
        <w:rPr>
          <w:rFonts w:ascii="Times" w:eastAsia="SimSun" w:hAnsi="Times" w:cs="Times"/>
          <w:i/>
          <w:color w:val="000000"/>
          <w:lang w:val="en-US" w:eastAsia="en-US"/>
        </w:rPr>
        <w:t>Firer, Williams</w:t>
      </w:r>
      <w:r w:rsidR="003526EA" w:rsidRPr="003526EA">
        <w:rPr>
          <w:rFonts w:eastAsia="SimSun"/>
          <w:i/>
          <w:color w:val="000000"/>
          <w:lang w:val="en-US" w:eastAsia="en-US"/>
        </w:rPr>
        <w:t>,</w:t>
      </w:r>
      <w:r w:rsidR="003526EA" w:rsidRPr="003526EA">
        <w:rPr>
          <w:rFonts w:ascii="Times" w:eastAsia="SimSun" w:hAnsi="Times" w:cs="Times"/>
          <w:i/>
          <w:color w:val="000000"/>
          <w:lang w:val="en-US" w:eastAsia="en-US"/>
        </w:rPr>
        <w:t xml:space="preserve"> 2003</w:t>
      </w:r>
      <w:r w:rsidR="003526EA">
        <w:t>)</w:t>
      </w:r>
      <w:r>
        <w:t>, kaip:</w:t>
      </w:r>
    </w:p>
    <w:p w:rsidR="00297E63" w:rsidRDefault="00297E63" w:rsidP="00297E63">
      <w:pPr>
        <w:spacing w:line="360" w:lineRule="auto"/>
        <w:ind w:firstLine="567"/>
        <w:jc w:val="both"/>
      </w:pPr>
      <m:oMath>
        <m:r>
          <w:rPr>
            <w:rFonts w:ascii="Cambria Math" w:hAnsi="Cambria Math"/>
          </w:rPr>
          <m:t>V</m:t>
        </m:r>
        <m:r>
          <w:rPr>
            <w:rFonts w:ascii="Cambria Math" w:hAnsi="Cambria Math" w:cs="Cambria Math"/>
          </w:rPr>
          <m:t>A=I+DP+D+T+M+R</m:t>
        </m:r>
      </m:oMath>
      <w:r>
        <w:rPr>
          <w:i/>
        </w:rPr>
        <w:t xml:space="preserve">      </w:t>
      </w:r>
      <w:r w:rsidRPr="00297E63">
        <w:t xml:space="preserve">   (</w:t>
      </w:r>
      <w:r w:rsidR="006B5D1A">
        <w:t>6</w:t>
      </w:r>
      <w:r w:rsidRPr="00297E63">
        <w:t>)</w:t>
      </w:r>
    </w:p>
    <w:p w:rsidR="00297E63" w:rsidRPr="00297E63" w:rsidRDefault="00297E63" w:rsidP="00297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rPr>
          <w:rFonts w:eastAsia="SimSun"/>
          <w:color w:val="000000"/>
          <w:lang w:val="en-US" w:eastAsia="en-US"/>
        </w:rPr>
      </w:pPr>
      <w:r>
        <w:t xml:space="preserve">kur </w:t>
      </w:r>
      <w:r>
        <w:rPr>
          <w:rFonts w:ascii="Times" w:eastAsia="SimSun" w:hAnsi="Times" w:cs="Times"/>
          <w:color w:val="000000"/>
          <w:lang w:val="en-US" w:eastAsia="en-US"/>
        </w:rPr>
        <w:t>I</w:t>
      </w:r>
      <w:r>
        <w:rPr>
          <w:rFonts w:ascii="Times" w:eastAsia="SimSun" w:hAnsi="Times" w:cs="Times"/>
          <w:color w:val="000000"/>
          <w:sz w:val="16"/>
          <w:szCs w:val="16"/>
          <w:lang w:val="en-US" w:eastAsia="en-US"/>
        </w:rPr>
        <w:t xml:space="preserve"> </w:t>
      </w:r>
      <w:r>
        <w:rPr>
          <w:rFonts w:ascii="Times" w:eastAsia="SimSun" w:hAnsi="Times" w:cs="Times"/>
          <w:color w:val="000000"/>
          <w:lang w:val="en-US" w:eastAsia="en-US"/>
        </w:rPr>
        <w:t>– palūkanų sąnaudos,</w:t>
      </w:r>
    </w:p>
    <w:p w:rsidR="00297E63" w:rsidRPr="00297E63" w:rsidRDefault="00297E63" w:rsidP="00297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rPr>
          <w:rFonts w:eastAsia="SimSun"/>
          <w:color w:val="000000"/>
          <w:lang w:val="en-US" w:eastAsia="en-US"/>
        </w:rPr>
      </w:pPr>
      <w:r>
        <w:rPr>
          <w:rFonts w:ascii="Times" w:eastAsia="SimSun" w:hAnsi="Times" w:cs="Times"/>
          <w:color w:val="000000"/>
          <w:lang w:val="en-US" w:eastAsia="en-US"/>
        </w:rPr>
        <w:t>DP</w:t>
      </w:r>
      <w:r>
        <w:rPr>
          <w:rFonts w:ascii="Times" w:eastAsia="SimSun" w:hAnsi="Times" w:cs="Times"/>
          <w:color w:val="000000"/>
          <w:sz w:val="16"/>
          <w:szCs w:val="16"/>
          <w:lang w:val="en-US" w:eastAsia="en-US"/>
        </w:rPr>
        <w:t xml:space="preserve"> </w:t>
      </w:r>
      <w:r>
        <w:rPr>
          <w:rFonts w:ascii="Times" w:eastAsia="SimSun" w:hAnsi="Times" w:cs="Times"/>
          <w:color w:val="000000"/>
          <w:lang w:val="en-US" w:eastAsia="en-US"/>
        </w:rPr>
        <w:t>– nuvertė</w:t>
      </w:r>
      <w:r>
        <w:rPr>
          <w:rFonts w:eastAsia="SimSun"/>
          <w:color w:val="000000"/>
          <w:lang w:val="en-US" w:eastAsia="en-US"/>
        </w:rPr>
        <w:t>j</w:t>
      </w:r>
      <w:r>
        <w:rPr>
          <w:rFonts w:ascii="Times" w:eastAsia="SimSun" w:hAnsi="Times" w:cs="Times"/>
          <w:color w:val="000000"/>
          <w:lang w:val="en-US" w:eastAsia="en-US"/>
        </w:rPr>
        <w:t>imo išlaidos,</w:t>
      </w:r>
    </w:p>
    <w:p w:rsidR="00297E63" w:rsidRPr="00297E63" w:rsidRDefault="00297E63" w:rsidP="00297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rPr>
          <w:rFonts w:eastAsia="SimSun"/>
          <w:color w:val="000000"/>
          <w:lang w:val="en-US" w:eastAsia="en-US"/>
        </w:rPr>
      </w:pPr>
      <w:r>
        <w:rPr>
          <w:rFonts w:ascii="Times" w:eastAsia="SimSun" w:hAnsi="Times" w:cs="Times"/>
          <w:color w:val="000000"/>
          <w:lang w:val="en-US" w:eastAsia="en-US"/>
        </w:rPr>
        <w:t xml:space="preserve">D </w:t>
      </w:r>
      <w:r>
        <w:rPr>
          <w:rFonts w:ascii="Times" w:eastAsia="SimSun" w:hAnsi="Times" w:cs="Times"/>
          <w:color w:val="000000"/>
          <w:sz w:val="16"/>
          <w:szCs w:val="16"/>
          <w:lang w:val="en-US" w:eastAsia="en-US"/>
        </w:rPr>
        <w:t xml:space="preserve"> </w:t>
      </w:r>
      <w:r>
        <w:rPr>
          <w:rFonts w:ascii="Times" w:eastAsia="SimSun" w:hAnsi="Times" w:cs="Times"/>
          <w:color w:val="000000"/>
          <w:lang w:val="en-US" w:eastAsia="en-US"/>
        </w:rPr>
        <w:t>– dividendai,</w:t>
      </w:r>
    </w:p>
    <w:p w:rsidR="00297E63" w:rsidRPr="00297E63" w:rsidRDefault="00297E63" w:rsidP="00297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rPr>
          <w:rFonts w:eastAsia="SimSun"/>
          <w:color w:val="000000"/>
          <w:lang w:val="en-US" w:eastAsia="en-US"/>
        </w:rPr>
      </w:pPr>
      <w:r>
        <w:rPr>
          <w:rFonts w:ascii="Times" w:eastAsia="SimSun" w:hAnsi="Times" w:cs="Times"/>
          <w:color w:val="000000"/>
          <w:lang w:val="en-US" w:eastAsia="en-US"/>
        </w:rPr>
        <w:t>T</w:t>
      </w:r>
      <w:r>
        <w:rPr>
          <w:rFonts w:ascii="Times" w:eastAsia="SimSun" w:hAnsi="Times" w:cs="Times"/>
          <w:color w:val="000000"/>
          <w:sz w:val="16"/>
          <w:szCs w:val="16"/>
          <w:lang w:val="en-US" w:eastAsia="en-US"/>
        </w:rPr>
        <w:t xml:space="preserve"> </w:t>
      </w:r>
      <w:r>
        <w:rPr>
          <w:rFonts w:ascii="Times" w:eastAsia="SimSun" w:hAnsi="Times" w:cs="Times"/>
          <w:color w:val="000000"/>
          <w:lang w:val="en-US" w:eastAsia="en-US"/>
        </w:rPr>
        <w:t>– mokesčiai,</w:t>
      </w:r>
    </w:p>
    <w:p w:rsidR="00297E63" w:rsidRDefault="00297E63" w:rsidP="00297E63">
      <w:pPr>
        <w:spacing w:line="360" w:lineRule="auto"/>
        <w:ind w:firstLine="567"/>
        <w:jc w:val="both"/>
        <w:rPr>
          <w:rFonts w:eastAsia="SimSun"/>
          <w:color w:val="000000"/>
          <w:lang w:val="en-US" w:eastAsia="en-US"/>
        </w:rPr>
      </w:pPr>
      <w:r>
        <w:rPr>
          <w:rFonts w:ascii="Times" w:eastAsia="SimSun" w:hAnsi="Times" w:cs="Times"/>
          <w:color w:val="000000"/>
          <w:lang w:val="en-US" w:eastAsia="en-US"/>
        </w:rPr>
        <w:t>M</w:t>
      </w:r>
      <w:r>
        <w:rPr>
          <w:rFonts w:ascii="Times" w:eastAsia="SimSun" w:hAnsi="Times" w:cs="Times"/>
          <w:color w:val="000000"/>
          <w:sz w:val="16"/>
          <w:szCs w:val="16"/>
          <w:lang w:val="en-US" w:eastAsia="en-US"/>
        </w:rPr>
        <w:t xml:space="preserve"> </w:t>
      </w:r>
      <w:r w:rsidR="003526EA">
        <w:rPr>
          <w:rFonts w:ascii="Times" w:eastAsia="SimSun" w:hAnsi="Times" w:cs="Times"/>
          <w:color w:val="000000"/>
          <w:lang w:val="en-US" w:eastAsia="en-US"/>
        </w:rPr>
        <w:t>– mažumos akcininkų nuosavybė,</w:t>
      </w:r>
      <w:r>
        <w:rPr>
          <w:rFonts w:ascii="Times" w:eastAsia="SimSun" w:hAnsi="Times" w:cs="Times"/>
          <w:color w:val="000000"/>
          <w:lang w:val="en-US" w:eastAsia="en-US"/>
        </w:rPr>
        <w:t xml:space="preserve"> </w:t>
      </w:r>
    </w:p>
    <w:p w:rsidR="00297E63" w:rsidRDefault="00297E63" w:rsidP="00297E63">
      <w:pPr>
        <w:spacing w:line="360" w:lineRule="auto"/>
        <w:ind w:firstLine="567"/>
        <w:jc w:val="both"/>
        <w:rPr>
          <w:rFonts w:eastAsia="SimSun"/>
          <w:color w:val="000000"/>
          <w:lang w:val="en-US" w:eastAsia="en-US"/>
        </w:rPr>
      </w:pPr>
      <w:r>
        <w:rPr>
          <w:rFonts w:ascii="Times" w:eastAsia="SimSun" w:hAnsi="Times" w:cs="Times"/>
          <w:color w:val="000000"/>
          <w:lang w:val="en-US" w:eastAsia="en-US"/>
        </w:rPr>
        <w:t>R</w:t>
      </w:r>
      <w:r>
        <w:rPr>
          <w:rFonts w:ascii="Times" w:eastAsia="SimSun" w:hAnsi="Times" w:cs="Times"/>
          <w:color w:val="000000"/>
          <w:sz w:val="16"/>
          <w:szCs w:val="16"/>
          <w:lang w:val="en-US" w:eastAsia="en-US"/>
        </w:rPr>
        <w:t xml:space="preserve"> </w:t>
      </w:r>
      <w:r>
        <w:rPr>
          <w:rFonts w:ascii="Times" w:eastAsia="SimSun" w:hAnsi="Times" w:cs="Times"/>
          <w:color w:val="000000"/>
          <w:lang w:val="en-US" w:eastAsia="en-US"/>
        </w:rPr>
        <w:t>– per metus uždirbtas pelnas.</w:t>
      </w:r>
    </w:p>
    <w:p w:rsidR="003526EA" w:rsidRPr="003526EA" w:rsidRDefault="003526EA" w:rsidP="00297E63">
      <w:pPr>
        <w:spacing w:line="360" w:lineRule="auto"/>
        <w:ind w:firstLine="567"/>
        <w:jc w:val="both"/>
        <w:rPr>
          <w:i/>
        </w:rPr>
      </w:pPr>
      <w:r>
        <w:rPr>
          <w:rFonts w:eastAsia="SimSun"/>
          <w:color w:val="000000"/>
          <w:lang w:val="en-US" w:eastAsia="en-US"/>
        </w:rPr>
        <w:t>Nors ši formulė išsamesnė, tačiau nepasirinkta dėl tam tikrų dėmenų nebuvimo įmonių atskaitomybėje.</w:t>
      </w:r>
    </w:p>
    <w:p w:rsidR="00BE2A22" w:rsidRPr="003E7CAC" w:rsidRDefault="00BE2A22" w:rsidP="00297E63">
      <w:pPr>
        <w:spacing w:line="360" w:lineRule="auto"/>
        <w:ind w:firstLine="567"/>
        <w:jc w:val="both"/>
      </w:pPr>
      <w:r w:rsidRPr="003E7CAC">
        <w:t>Samdomojo kapitalo efektyvumo koeficientas skaičiuojamas:</w:t>
      </w:r>
    </w:p>
    <w:p w:rsidR="00BE2A22" w:rsidRPr="003E7CAC" w:rsidRDefault="00BE2A22" w:rsidP="00BE2A22">
      <w:pPr>
        <w:spacing w:line="360" w:lineRule="auto"/>
        <w:ind w:firstLine="567"/>
        <w:jc w:val="both"/>
        <w:rPr>
          <w:i/>
        </w:rPr>
      </w:pPr>
      <m:oMath>
        <m:r>
          <w:rPr>
            <w:rFonts w:ascii="Cambria Math" w:hAnsi="Cambria Math"/>
          </w:rPr>
          <m:t>V</m:t>
        </m:r>
        <m:r>
          <w:rPr>
            <w:rFonts w:ascii="Cambria Math" w:hAnsi="Cambria Math" w:cs="Cambria Math"/>
          </w:rPr>
          <m:t>ACA=</m:t>
        </m:r>
        <m:f>
          <m:fPr>
            <m:ctrlPr>
              <w:rPr>
                <w:rFonts w:ascii="Cambria Math" w:hAnsi="Cambria Math" w:cs="Cambria Math"/>
                <w:i/>
              </w:rPr>
            </m:ctrlPr>
          </m:fPr>
          <m:num>
            <m:r>
              <w:rPr>
                <w:rFonts w:ascii="Cambria Math" w:hAnsi="Cambria Math" w:cs="Cambria Math"/>
              </w:rPr>
              <m:t>VA</m:t>
            </m:r>
          </m:num>
          <m:den>
            <m:r>
              <w:rPr>
                <w:rFonts w:ascii="Cambria Math" w:hAnsi="Cambria Math" w:cs="Cambria Math"/>
              </w:rPr>
              <m:t>CA</m:t>
            </m:r>
          </m:den>
        </m:f>
      </m:oMath>
      <w:r w:rsidRPr="003E7CAC">
        <w:rPr>
          <w:i/>
        </w:rPr>
        <w:t xml:space="preserve"> </w:t>
      </w:r>
      <w:r w:rsidRPr="003E7CAC">
        <w:t xml:space="preserve">          (</w:t>
      </w:r>
      <w:r w:rsidR="006B5D1A">
        <w:t>7</w:t>
      </w:r>
      <w:r w:rsidRPr="003E7CAC">
        <w:t>)</w:t>
      </w:r>
    </w:p>
    <w:p w:rsidR="00BE2A22" w:rsidRPr="003E7CAC" w:rsidRDefault="00BE2A22" w:rsidP="00BE2A22">
      <w:pPr>
        <w:spacing w:line="360" w:lineRule="auto"/>
        <w:ind w:firstLine="567"/>
        <w:jc w:val="both"/>
      </w:pPr>
      <w:r w:rsidRPr="003E7CAC">
        <w:t>kur CA – Samdomas kapitalas (fizinis ir finansinis turtas)</w:t>
      </w:r>
    </w:p>
    <w:p w:rsidR="00BE2A22" w:rsidRPr="003E7CAC" w:rsidRDefault="00BE2A22" w:rsidP="00BE2A22">
      <w:pPr>
        <w:spacing w:line="360" w:lineRule="auto"/>
        <w:ind w:firstLine="567"/>
        <w:jc w:val="both"/>
        <w:rPr>
          <w:i/>
        </w:rPr>
      </w:pPr>
      <m:oMath>
        <m:r>
          <w:rPr>
            <w:rFonts w:ascii="Cambria Math" w:hAnsi="Cambria Math"/>
          </w:rPr>
          <m:t>C</m:t>
        </m:r>
        <m:r>
          <w:rPr>
            <w:rFonts w:ascii="Cambria Math" w:hAnsi="Cambria Math" w:cs="Cambria Math"/>
          </w:rPr>
          <m:t>A=Turtas-Nematerialus turtas</m:t>
        </m:r>
      </m:oMath>
      <w:r w:rsidRPr="003E7CAC">
        <w:rPr>
          <w:i/>
        </w:rPr>
        <w:t xml:space="preserve">   </w:t>
      </w:r>
      <w:r w:rsidRPr="003E7CAC">
        <w:t xml:space="preserve">  (</w:t>
      </w:r>
      <w:r w:rsidR="006B5D1A">
        <w:t>8</w:t>
      </w:r>
      <w:r w:rsidRPr="003E7CAC">
        <w:t>)</w:t>
      </w:r>
    </w:p>
    <w:p w:rsidR="00BE2A22" w:rsidRPr="003E7CAC" w:rsidRDefault="00BE2A22" w:rsidP="00BE2A22">
      <w:pPr>
        <w:spacing w:line="360" w:lineRule="auto"/>
        <w:ind w:firstLine="567"/>
        <w:jc w:val="both"/>
      </w:pPr>
      <w:r w:rsidRPr="003E7CAC">
        <w:t>Žmogiškojo kapitalo efektyvumo koeficientas skaičiuojamas:</w:t>
      </w:r>
    </w:p>
    <w:p w:rsidR="00BE2A22" w:rsidRPr="003E7CAC" w:rsidRDefault="00BE2A22" w:rsidP="00BE2A22">
      <w:pPr>
        <w:spacing w:line="360" w:lineRule="auto"/>
        <w:ind w:firstLine="567"/>
        <w:jc w:val="both"/>
      </w:pPr>
      <m:oMath>
        <m:r>
          <w:rPr>
            <w:rFonts w:ascii="Cambria Math" w:hAnsi="Cambria Math"/>
          </w:rPr>
          <m:t>V</m:t>
        </m:r>
        <m:r>
          <w:rPr>
            <w:rFonts w:ascii="Cambria Math" w:hAnsi="Cambria Math" w:cs="Cambria Math"/>
          </w:rPr>
          <m:t>AHU=</m:t>
        </m:r>
        <m:f>
          <m:fPr>
            <m:ctrlPr>
              <w:rPr>
                <w:rFonts w:ascii="Cambria Math" w:hAnsi="Cambria Math" w:cs="Cambria Math"/>
                <w:i/>
              </w:rPr>
            </m:ctrlPr>
          </m:fPr>
          <m:num>
            <m:r>
              <w:rPr>
                <w:rFonts w:ascii="Cambria Math" w:hAnsi="Cambria Math" w:cs="Cambria Math"/>
              </w:rPr>
              <m:t>VA</m:t>
            </m:r>
          </m:num>
          <m:den>
            <m:r>
              <w:rPr>
                <w:rFonts w:ascii="Cambria Math" w:hAnsi="Cambria Math" w:cs="Cambria Math"/>
              </w:rPr>
              <m:t>HC</m:t>
            </m:r>
          </m:den>
        </m:f>
      </m:oMath>
      <w:r w:rsidRPr="003E7CAC">
        <w:rPr>
          <w:i/>
        </w:rPr>
        <w:t xml:space="preserve">          </w:t>
      </w:r>
      <w:r w:rsidRPr="003E7CAC">
        <w:t>(</w:t>
      </w:r>
      <w:r w:rsidR="006B5D1A">
        <w:t>9</w:t>
      </w:r>
      <w:r w:rsidRPr="003E7CAC">
        <w:t>)</w:t>
      </w:r>
    </w:p>
    <w:p w:rsidR="00BE2A22" w:rsidRPr="003E7CAC" w:rsidRDefault="00BE2A22" w:rsidP="00BE2A22">
      <w:pPr>
        <w:spacing w:line="360" w:lineRule="auto"/>
        <w:ind w:firstLine="567"/>
        <w:jc w:val="both"/>
      </w:pPr>
      <w:r w:rsidRPr="003E7CAC">
        <w:t>kur HC – visas darbo užmokestis ir atlyginimai.</w:t>
      </w:r>
    </w:p>
    <w:p w:rsidR="00BE2A22" w:rsidRPr="003E7CAC" w:rsidRDefault="00BE2A22" w:rsidP="00BE2A22">
      <w:pPr>
        <w:spacing w:line="360" w:lineRule="auto"/>
        <w:ind w:firstLine="567"/>
        <w:jc w:val="both"/>
      </w:pPr>
      <w:r w:rsidRPr="003E7CAC">
        <w:t>Struktūrinio kapitalo efektyvumo koeficientas skaičiuojamas:</w:t>
      </w:r>
    </w:p>
    <w:p w:rsidR="00BE2A22" w:rsidRPr="003E7CAC" w:rsidRDefault="00BE2A22" w:rsidP="00BE2A22">
      <w:pPr>
        <w:spacing w:line="360" w:lineRule="auto"/>
        <w:ind w:firstLine="567"/>
        <w:jc w:val="both"/>
      </w:pPr>
      <m:oMath>
        <m:r>
          <w:rPr>
            <w:rFonts w:ascii="Cambria Math" w:hAnsi="Cambria Math"/>
          </w:rPr>
          <m:t>S</m:t>
        </m:r>
        <m:r>
          <w:rPr>
            <w:rFonts w:ascii="Cambria Math" w:hAnsi="Cambria Math" w:cs="Cambria Math"/>
          </w:rPr>
          <m:t>TVA=</m:t>
        </m:r>
        <m:f>
          <m:fPr>
            <m:ctrlPr>
              <w:rPr>
                <w:rFonts w:ascii="Cambria Math" w:hAnsi="Cambria Math" w:cs="Cambria Math"/>
                <w:i/>
              </w:rPr>
            </m:ctrlPr>
          </m:fPr>
          <m:num>
            <m:r>
              <w:rPr>
                <w:rFonts w:ascii="Cambria Math" w:hAnsi="Cambria Math" w:cs="Cambria Math"/>
              </w:rPr>
              <m:t>ST</m:t>
            </m:r>
          </m:num>
          <m:den>
            <m:r>
              <w:rPr>
                <w:rFonts w:ascii="Cambria Math" w:hAnsi="Cambria Math" w:cs="Cambria Math"/>
              </w:rPr>
              <m:t>VA</m:t>
            </m:r>
          </m:den>
        </m:f>
      </m:oMath>
      <w:r w:rsidRPr="003E7CAC">
        <w:rPr>
          <w:i/>
        </w:rPr>
        <w:t xml:space="preserve">          </w:t>
      </w:r>
      <w:r w:rsidRPr="003E7CAC">
        <w:t>(</w:t>
      </w:r>
      <w:r w:rsidR="006B5D1A">
        <w:t>10</w:t>
      </w:r>
      <w:r w:rsidRPr="003E7CAC">
        <w:t>)</w:t>
      </w:r>
    </w:p>
    <w:p w:rsidR="00BE2A22" w:rsidRPr="003E7CAC" w:rsidRDefault="00BE2A22" w:rsidP="00BE2A22">
      <w:pPr>
        <w:spacing w:line="360" w:lineRule="auto"/>
        <w:ind w:firstLine="567"/>
        <w:jc w:val="both"/>
      </w:pPr>
      <w:r w:rsidRPr="003E7CAC">
        <w:t>kur ST – struktūrinis kapitalas, o</w:t>
      </w:r>
    </w:p>
    <w:p w:rsidR="00BE2A22" w:rsidRDefault="00BE2A22" w:rsidP="00BE2A22">
      <w:pPr>
        <w:spacing w:line="360" w:lineRule="auto"/>
        <w:ind w:firstLine="567"/>
        <w:jc w:val="both"/>
      </w:pPr>
      <m:oMath>
        <m:r>
          <w:rPr>
            <w:rFonts w:ascii="Cambria Math" w:hAnsi="Cambria Math"/>
          </w:rPr>
          <m:t>S</m:t>
        </m:r>
        <m:r>
          <w:rPr>
            <w:rFonts w:ascii="Cambria Math" w:hAnsi="Cambria Math" w:cs="Cambria Math"/>
          </w:rPr>
          <m:t>T=VA-HC</m:t>
        </m:r>
      </m:oMath>
      <w:r w:rsidRPr="003E7CAC">
        <w:rPr>
          <w:i/>
        </w:rPr>
        <w:t xml:space="preserve">    </w:t>
      </w:r>
      <w:r w:rsidRPr="003E7CAC">
        <w:t xml:space="preserve">  (</w:t>
      </w:r>
      <w:r w:rsidR="006B5D1A">
        <w:t>11</w:t>
      </w:r>
      <w:r w:rsidRPr="003E7CAC">
        <w:t>)</w:t>
      </w:r>
    </w:p>
    <w:p w:rsidR="002650D8" w:rsidRDefault="007463C4" w:rsidP="00BE2A22">
      <w:pPr>
        <w:spacing w:line="360" w:lineRule="auto"/>
        <w:ind w:firstLine="567"/>
        <w:jc w:val="both"/>
      </w:pPr>
      <w:r>
        <w:t>VAIC</w:t>
      </w:r>
      <w:r w:rsidR="009F62F1">
        <w:t>™</w:t>
      </w:r>
      <w:r w:rsidR="006C607C">
        <w:t xml:space="preserve"> </w:t>
      </w:r>
      <w:r>
        <w:t xml:space="preserve">metodą plėtojanti koncepcija – </w:t>
      </w:r>
      <w:r w:rsidRPr="00536246">
        <w:rPr>
          <w:b/>
        </w:rPr>
        <w:t>intelektinio kapitalo efektyvumo rodiklis ICE</w:t>
      </w:r>
      <w:r>
        <w:t xml:space="preserve"> (</w:t>
      </w:r>
      <w:r w:rsidRPr="007463C4">
        <w:rPr>
          <w:i/>
        </w:rPr>
        <w:t>angl.</w:t>
      </w:r>
      <w:r>
        <w:t xml:space="preserve"> Intellectual Capital Efficiency)</w:t>
      </w:r>
      <w:r w:rsidR="0096609C">
        <w:t xml:space="preserve"> parodo intelektinio kapitalo efektyvumą įmonės atžvilgiu</w:t>
      </w:r>
      <w:r>
        <w:t xml:space="preserve">. </w:t>
      </w:r>
      <w:r w:rsidR="0096609C">
        <w:t>Metodas sukurtas remiantis prielaida, jog pridėtinė vertė kuriama tik iš dviejų pagrindinių šaltinių : fizinio kapitalo išteklių ir intelektinių kapitalo išteklių. Kuomet VAIC</w:t>
      </w:r>
      <w:r w:rsidR="009F62F1">
        <w:t>™</w:t>
      </w:r>
      <w:r w:rsidR="0096609C">
        <w:t xml:space="preserve"> parodo bendrą vertės kūrimo efektyvumą iš visų naudojamų išteklių , ICE atspindi intelektinio kapitalo vertės kūrimo efektyvumą. Pasak, </w:t>
      </w:r>
      <w:r w:rsidR="0096609C" w:rsidRPr="00BF3E79">
        <w:rPr>
          <w:i/>
        </w:rPr>
        <w:t>Pulic</w:t>
      </w:r>
      <w:r w:rsidR="0096609C">
        <w:t xml:space="preserve"> (2000), kuo geriau kompanijos ištekliai yra naudojami, tuo aukštesnis bus įmonės vertės kūrimo efektyvumas. </w:t>
      </w:r>
      <w:r>
        <w:t>Turint žmogiškojo kapitalo efektyvumo koeficientą VAHU ir struktūrinio kapitalo efektyvumo koeficientą STVA, skaičiuojamas įmonės intelektinio kapitalo efektyvumo koeficientas ICE:</w:t>
      </w:r>
    </w:p>
    <w:p w:rsidR="0096609C" w:rsidRDefault="007463C4" w:rsidP="00DB0EAC">
      <w:pPr>
        <w:spacing w:line="360" w:lineRule="auto"/>
        <w:ind w:firstLine="567"/>
        <w:jc w:val="both"/>
      </w:pPr>
      <w:r>
        <w:t xml:space="preserve"> </w:t>
      </w:r>
      <m:oMath>
        <m:r>
          <w:rPr>
            <w:rFonts w:ascii="Cambria Math" w:hAnsi="Cambria Math"/>
          </w:rPr>
          <m:t>I</m:t>
        </m:r>
        <m:r>
          <w:rPr>
            <w:rFonts w:ascii="Cambria Math" w:hAnsi="Cambria Math" w:cs="Cambria Math"/>
          </w:rPr>
          <m:t>CE=VAHU+STVA</m:t>
        </m:r>
      </m:oMath>
      <w:r w:rsidR="006B5D1A">
        <w:t xml:space="preserve">    (12</w:t>
      </w:r>
      <w:r>
        <w:t>)</w:t>
      </w:r>
    </w:p>
    <w:p w:rsidR="00DB0EAC" w:rsidRDefault="0096609C" w:rsidP="007463C4">
      <w:pPr>
        <w:spacing w:line="360" w:lineRule="auto"/>
        <w:ind w:firstLine="567"/>
        <w:jc w:val="both"/>
        <w:rPr>
          <w:lang w:eastAsia="ja-JP"/>
        </w:rPr>
      </w:pPr>
      <w:r>
        <w:rPr>
          <w:lang w:eastAsia="ja-JP"/>
        </w:rPr>
        <w:t>VAIC</w:t>
      </w:r>
      <w:r w:rsidR="009F62F1">
        <w:rPr>
          <w:lang w:eastAsia="ja-JP"/>
        </w:rPr>
        <w:t>™</w:t>
      </w:r>
      <w:r w:rsidR="00BE2A22" w:rsidRPr="003E7CAC">
        <w:rPr>
          <w:lang w:eastAsia="ja-JP"/>
        </w:rPr>
        <w:t xml:space="preserve"> metodu intelektinis kapitalas matuojamas pasitelkiant pridėtinės vertės rodiklius, o vienas iš pagrindinių komponentų yra žmogiškasis kapitalas, kuris atsispindi išlaidomis darbuotojams. </w:t>
      </w:r>
      <w:r w:rsidR="00DB0EAC">
        <w:rPr>
          <w:lang w:eastAsia="ja-JP"/>
        </w:rPr>
        <w:t>VAIC</w:t>
      </w:r>
      <w:r w:rsidR="009F62F1">
        <w:rPr>
          <w:lang w:eastAsia="ja-JP"/>
        </w:rPr>
        <w:t>™</w:t>
      </w:r>
      <w:r w:rsidR="00DB0EAC">
        <w:rPr>
          <w:lang w:eastAsia="ja-JP"/>
        </w:rPr>
        <w:t xml:space="preserve"> leidžia suprasti, koks yra galutinis intelektinio kapitalo efektyvumas ir intelektinės galimybės, nes šis metodas skaičiuoja, kiek naujos vertės buvo sukurta investuojant į kiekvieną iš šių išteklių. Kuo aukšesnė VAIC</w:t>
      </w:r>
      <w:r w:rsidR="009F62F1">
        <w:rPr>
          <w:lang w:eastAsia="ja-JP"/>
        </w:rPr>
        <w:t>™</w:t>
      </w:r>
      <w:r w:rsidR="00DB0EAC">
        <w:rPr>
          <w:lang w:eastAsia="ja-JP"/>
        </w:rPr>
        <w:t xml:space="preserve"> koeficiento reikšmė, tuo organizacija sukuria daugiau vertės, naudodamasi kompanijos ištekliais bei įmonės intelektiniu kapitalu.</w:t>
      </w:r>
    </w:p>
    <w:p w:rsidR="00BE2A22" w:rsidRPr="003E7CAC" w:rsidRDefault="00BE2A22" w:rsidP="007463C4">
      <w:pPr>
        <w:spacing w:line="360" w:lineRule="auto"/>
        <w:ind w:firstLine="567"/>
        <w:jc w:val="both"/>
        <w:rPr>
          <w:lang w:val="en-US"/>
        </w:rPr>
      </w:pPr>
      <w:r w:rsidRPr="003E7CAC">
        <w:rPr>
          <w:lang w:eastAsia="ja-JP"/>
        </w:rPr>
        <w:t xml:space="preserve">Metodas pasirinktas, dėl to, kad yra gana paprastas, skaičiavimui užtenka informacijos iš įmonių finansinių ataskaitų, dėl palyginamumo tarp įmonių ir laike savybės ir dėl to, kad yra dažnai sutinkamas mokslininkų darbuose. </w:t>
      </w:r>
      <w:r w:rsidR="00BF3E79">
        <w:rPr>
          <w:lang w:val="en-US"/>
        </w:rPr>
        <w:t>Kaip pats</w:t>
      </w:r>
      <w:r w:rsidRPr="00BF3E79">
        <w:rPr>
          <w:i/>
          <w:lang w:val="en-US"/>
        </w:rPr>
        <w:t xml:space="preserve"> Pulic </w:t>
      </w:r>
      <w:r w:rsidRPr="003E7CAC">
        <w:rPr>
          <w:lang w:val="en-US"/>
        </w:rPr>
        <w:t>teigė, VAIC</w:t>
      </w:r>
      <w:r w:rsidR="009F62F1">
        <w:rPr>
          <w:lang w:val="en-US"/>
        </w:rPr>
        <w:t>™</w:t>
      </w:r>
      <w:r w:rsidRPr="003E7CAC">
        <w:rPr>
          <w:lang w:val="en-US"/>
        </w:rPr>
        <w:t xml:space="preserve"> yra laikomas „universaliu rodikliu, kuris pa</w:t>
      </w:r>
      <w:r w:rsidR="005E782D">
        <w:rPr>
          <w:lang w:val="en-US"/>
        </w:rPr>
        <w:t>rodo kompanijos galimybes vertės kū</w:t>
      </w:r>
      <w:r w:rsidRPr="003E7CAC">
        <w:rPr>
          <w:lang w:val="en-US"/>
        </w:rPr>
        <w:t>rime ir ats</w:t>
      </w:r>
      <w:r w:rsidR="005E782D">
        <w:rPr>
          <w:lang w:val="en-US"/>
        </w:rPr>
        <w:t>tovauja verslo efektyvumo skaič</w:t>
      </w:r>
      <w:r w:rsidRPr="003E7CAC">
        <w:rPr>
          <w:lang w:val="en-US"/>
        </w:rPr>
        <w:t>iavimams žiniomis paremtoje ekonomikoje“ (</w:t>
      </w:r>
      <w:r w:rsidRPr="00BF3E79">
        <w:rPr>
          <w:i/>
          <w:lang w:val="en-US"/>
        </w:rPr>
        <w:t>Pulic, 1998</w:t>
      </w:r>
      <w:r w:rsidRPr="003E7CAC">
        <w:rPr>
          <w:lang w:val="en-US"/>
        </w:rPr>
        <w:t xml:space="preserve">). </w:t>
      </w:r>
    </w:p>
    <w:p w:rsidR="00BE2A22" w:rsidRPr="003E7CAC" w:rsidRDefault="00BE2A22" w:rsidP="00BE2A22">
      <w:pPr>
        <w:spacing w:line="360" w:lineRule="auto"/>
        <w:ind w:firstLine="567"/>
        <w:jc w:val="both"/>
        <w:rPr>
          <w:lang w:eastAsia="ja-JP"/>
        </w:rPr>
      </w:pPr>
      <w:r w:rsidRPr="003E7CAC">
        <w:rPr>
          <w:lang w:val="en-US"/>
        </w:rPr>
        <w:t>VAIC</w:t>
      </w:r>
      <w:r w:rsidR="009F62F1">
        <w:rPr>
          <w:lang w:val="en-US"/>
        </w:rPr>
        <w:t>™</w:t>
      </w:r>
      <w:r w:rsidRPr="003E7CAC">
        <w:rPr>
          <w:lang w:val="en-US"/>
        </w:rPr>
        <w:t xml:space="preserve"> priimtinas dėl paprastumo, lengvo duomenų rinkimo, pritaikomumo ir tęstinumo. Modelis remiasi finansinėmis įmonių ataskaitomis skaičiuojant efektyvumo koeficientus pagal tris intelektinio kapitalo elementus, gali būti naudojamas įmonės intelektinio kapitalo vertinimui ir kontrolei, taip pat </w:t>
      </w:r>
      <w:r w:rsidR="00BF3E79">
        <w:rPr>
          <w:lang w:val="en-US"/>
        </w:rPr>
        <w:t>norint plėtoti verslo strategiją</w:t>
      </w:r>
      <w:r w:rsidRPr="003E7CAC">
        <w:rPr>
          <w:lang w:val="en-US"/>
        </w:rPr>
        <w:t>, siekiant konkurencinio pranašumo. Šis m</w:t>
      </w:r>
      <w:r w:rsidR="005E782D">
        <w:rPr>
          <w:lang w:val="en-US"/>
        </w:rPr>
        <w:t>etodas parodo ne tik darbuotojų reikšmę, jį siūloma naudoti ir dėl tokių priežasčių</w:t>
      </w:r>
      <w:r w:rsidRPr="003E7CAC">
        <w:rPr>
          <w:lang w:val="en-US"/>
        </w:rPr>
        <w:t>, kaip mažos tyrimo išlaidos, kadangi informa</w:t>
      </w:r>
      <w:r w:rsidR="005E782D">
        <w:rPr>
          <w:lang w:val="en-US"/>
        </w:rPr>
        <w:t>cija jau yra pateikta finansinė</w:t>
      </w:r>
      <w:r w:rsidRPr="003E7CAC">
        <w:rPr>
          <w:lang w:val="en-US"/>
        </w:rPr>
        <w:t>se ataskaitose, be t</w:t>
      </w:r>
      <w:r w:rsidR="005E782D">
        <w:rPr>
          <w:lang w:val="en-US"/>
        </w:rPr>
        <w:t>o, informacija nė</w:t>
      </w:r>
      <w:r w:rsidRPr="003E7CAC">
        <w:rPr>
          <w:lang w:val="en-US"/>
        </w:rPr>
        <w:t>ra subjektyvi.</w:t>
      </w:r>
    </w:p>
    <w:p w:rsidR="00BE2A22" w:rsidRDefault="00BE2A22" w:rsidP="00BE2A22">
      <w:pPr>
        <w:spacing w:line="360" w:lineRule="auto"/>
        <w:ind w:firstLine="567"/>
        <w:jc w:val="both"/>
        <w:rPr>
          <w:color w:val="000090"/>
        </w:rPr>
      </w:pPr>
      <w:r w:rsidRPr="003E7CAC">
        <w:t xml:space="preserve">Gautinų rezultatų palygynimui bei apibendrinimui atrinkti ir kitas įmonės intelektinio kapitalo </w:t>
      </w:r>
      <w:r w:rsidRPr="00F638B9">
        <w:t>vertinimo metodas. Šis metodas skiriasi tiek rezultato forma, tiek intelektinio kapitalo traktavimu: CIV.</w:t>
      </w:r>
    </w:p>
    <w:p w:rsidR="00BE2A22" w:rsidRDefault="00BE2A22" w:rsidP="00BE2A22">
      <w:pPr>
        <w:spacing w:line="360" w:lineRule="auto"/>
        <w:ind w:firstLine="567"/>
        <w:jc w:val="both"/>
      </w:pPr>
      <w:r w:rsidRPr="006601C4">
        <w:rPr>
          <w:b/>
        </w:rPr>
        <w:t>CIV</w:t>
      </w:r>
      <w:r w:rsidRPr="006601C4">
        <w:t xml:space="preserve"> (</w:t>
      </w:r>
      <w:r w:rsidRPr="006601C4">
        <w:rPr>
          <w:i/>
        </w:rPr>
        <w:t>angl.</w:t>
      </w:r>
      <w:r w:rsidRPr="006601C4">
        <w:t xml:space="preserve"> Calculated Intangible Value) – </w:t>
      </w:r>
      <w:r w:rsidRPr="006601C4">
        <w:rPr>
          <w:b/>
        </w:rPr>
        <w:t>apskaičiuojamoji nematerialioji vertė</w:t>
      </w:r>
      <w:r w:rsidRPr="006601C4">
        <w:t xml:space="preserve">, </w:t>
      </w:r>
      <w:r w:rsidR="006601C4" w:rsidRPr="006601C4">
        <w:t>dar vienas iš turto grąžos kategorijos metodų</w:t>
      </w:r>
      <w:r w:rsidRPr="006601C4">
        <w:t xml:space="preserve">, </w:t>
      </w:r>
      <w:r w:rsidR="00BF3E79">
        <w:t>siūlytas</w:t>
      </w:r>
      <w:r w:rsidR="00471C53" w:rsidRPr="00BF3E79">
        <w:rPr>
          <w:i/>
        </w:rPr>
        <w:t xml:space="preserve"> Stewart</w:t>
      </w:r>
      <w:r w:rsidR="00471C53">
        <w:t xml:space="preserve"> (1997</w:t>
      </w:r>
      <w:r w:rsidR="006601C4" w:rsidRPr="006601C4">
        <w:t>). Šis metodas leidžia bendrai išreikšti intelektinį kapitalą pinigine verte, tač</w:t>
      </w:r>
      <w:r w:rsidR="006601C4">
        <w:t>iau priešingai nei VAIC</w:t>
      </w:r>
      <w:r w:rsidR="009F62F1">
        <w:t>™</w:t>
      </w:r>
      <w:r w:rsidR="006601C4">
        <w:t xml:space="preserve"> metodas</w:t>
      </w:r>
      <w:r w:rsidR="006601C4" w:rsidRPr="006601C4">
        <w:t xml:space="preserve"> atskirų intelektinio kapitalo dalių</w:t>
      </w:r>
      <w:r w:rsidR="006601C4">
        <w:t xml:space="preserve"> neatspindi, tačiau gauti įmonės </w:t>
      </w:r>
      <w:r w:rsidR="001A4E0E">
        <w:t>rezulatati lyginami su vidutiniu konkurentu, kuris turi panašius materialiuosius išteklius. Metodo apskaičiavimui reikalingi duomenys pateikiami įmonių finansinėse ataskaitose. Šio rodiklio reikšmė apskaičiuojama pagal formulę:</w:t>
      </w:r>
    </w:p>
    <w:p w:rsidR="001A4E0E" w:rsidRPr="001A4E0E" w:rsidRDefault="00E263D0" w:rsidP="00BE2A22">
      <w:pPr>
        <w:spacing w:line="360" w:lineRule="auto"/>
        <w:ind w:firstLine="567"/>
        <w:jc w:val="both"/>
      </w:pPr>
      <m:oMath>
        <m:f>
          <m:fPr>
            <m:ctrlPr>
              <w:rPr>
                <w:rFonts w:ascii="Cambria Math" w:hAnsi="Cambria Math"/>
                <w:i/>
                <w:sz w:val="32"/>
                <w:szCs w:val="32"/>
                <w:lang w:eastAsia="ja-JP"/>
              </w:rPr>
            </m:ctrlPr>
          </m:fPr>
          <m:num>
            <m:d>
              <m:dPr>
                <m:ctrlPr>
                  <w:rPr>
                    <w:rFonts w:ascii="Cambria Math" w:hAnsi="Cambria Math"/>
                    <w:i/>
                    <w:sz w:val="32"/>
                    <w:szCs w:val="32"/>
                    <w:lang w:eastAsia="ja-JP"/>
                  </w:rPr>
                </m:ctrlPr>
              </m:dPr>
              <m:e>
                <m:sSub>
                  <m:sSubPr>
                    <m:ctrlPr>
                      <w:rPr>
                        <w:rFonts w:ascii="Cambria Math" w:hAnsi="Cambria Math"/>
                        <w:i/>
                        <w:sz w:val="32"/>
                        <w:szCs w:val="32"/>
                        <w:lang w:eastAsia="ja-JP"/>
                      </w:rPr>
                    </m:ctrlPr>
                  </m:sSubPr>
                  <m:e>
                    <m:r>
                      <w:rPr>
                        <w:rFonts w:ascii="Cambria Math" w:hAnsi="Cambria Math"/>
                        <w:sz w:val="32"/>
                        <w:szCs w:val="32"/>
                        <w:lang w:eastAsia="ja-JP"/>
                      </w:rPr>
                      <m:t>P</m:t>
                    </m:r>
                  </m:e>
                  <m:sub>
                    <m:r>
                      <w:rPr>
                        <w:rFonts w:ascii="Cambria Math" w:hAnsi="Cambria Math"/>
                        <w:sz w:val="32"/>
                        <w:szCs w:val="32"/>
                        <w:lang w:eastAsia="ja-JP"/>
                      </w:rPr>
                      <m:t>Į</m:t>
                    </m:r>
                  </m:sub>
                </m:sSub>
                <m:r>
                  <w:rPr>
                    <w:rFonts w:ascii="Cambria Math" w:hAnsi="Cambria Math"/>
                    <w:sz w:val="32"/>
                    <w:szCs w:val="32"/>
                    <w:lang w:eastAsia="ja-JP"/>
                  </w:rPr>
                  <m:t>-</m:t>
                </m:r>
                <m:f>
                  <m:fPr>
                    <m:type m:val="skw"/>
                    <m:ctrlPr>
                      <w:rPr>
                        <w:rFonts w:ascii="Cambria Math" w:hAnsi="Cambria Math"/>
                        <w:i/>
                        <w:sz w:val="32"/>
                        <w:szCs w:val="32"/>
                        <w:lang w:eastAsia="ja-JP"/>
                      </w:rPr>
                    </m:ctrlPr>
                  </m:fPr>
                  <m:num>
                    <m:sSub>
                      <m:sSubPr>
                        <m:ctrlPr>
                          <w:rPr>
                            <w:rFonts w:ascii="Cambria Math" w:hAnsi="Cambria Math"/>
                            <w:i/>
                            <w:sz w:val="32"/>
                            <w:szCs w:val="32"/>
                            <w:lang w:eastAsia="ja-JP"/>
                          </w:rPr>
                        </m:ctrlPr>
                      </m:sSubPr>
                      <m:e>
                        <m:r>
                          <w:rPr>
                            <w:rFonts w:ascii="Cambria Math" w:hAnsi="Cambria Math"/>
                            <w:sz w:val="32"/>
                            <w:szCs w:val="32"/>
                            <w:lang w:eastAsia="ja-JP"/>
                          </w:rPr>
                          <m:t>P</m:t>
                        </m:r>
                      </m:e>
                      <m:sub>
                        <m:r>
                          <w:rPr>
                            <w:rFonts w:ascii="Cambria Math" w:hAnsi="Cambria Math"/>
                            <w:sz w:val="32"/>
                            <w:szCs w:val="32"/>
                            <w:lang w:eastAsia="ja-JP"/>
                          </w:rPr>
                          <m:t>Š</m:t>
                        </m:r>
                      </m:sub>
                    </m:sSub>
                  </m:num>
                  <m:den>
                    <m:d>
                      <m:dPr>
                        <m:ctrlPr>
                          <w:rPr>
                            <w:rFonts w:ascii="Cambria Math" w:hAnsi="Cambria Math"/>
                            <w:i/>
                            <w:sz w:val="32"/>
                            <w:szCs w:val="32"/>
                            <w:lang w:eastAsia="ja-JP"/>
                          </w:rPr>
                        </m:ctrlPr>
                      </m:dPr>
                      <m:e>
                        <m:sSub>
                          <m:sSubPr>
                            <m:ctrlPr>
                              <w:rPr>
                                <w:rFonts w:ascii="Cambria Math" w:hAnsi="Cambria Math"/>
                                <w:i/>
                                <w:sz w:val="32"/>
                                <w:szCs w:val="32"/>
                                <w:lang w:eastAsia="ja-JP"/>
                              </w:rPr>
                            </m:ctrlPr>
                          </m:sSubPr>
                          <m:e>
                            <m:r>
                              <w:rPr>
                                <w:rFonts w:ascii="Cambria Math" w:hAnsi="Cambria Math"/>
                                <w:sz w:val="32"/>
                                <w:szCs w:val="32"/>
                                <w:lang w:eastAsia="ja-JP"/>
                              </w:rPr>
                              <m:t>T</m:t>
                            </m:r>
                          </m:e>
                          <m:sub>
                            <m:r>
                              <w:rPr>
                                <w:rFonts w:ascii="Cambria Math" w:hAnsi="Cambria Math"/>
                                <w:sz w:val="32"/>
                                <w:szCs w:val="32"/>
                                <w:lang w:eastAsia="ja-JP"/>
                              </w:rPr>
                              <m:t>Š</m:t>
                            </m:r>
                          </m:sub>
                        </m:sSub>
                        <m:r>
                          <w:rPr>
                            <w:rFonts w:ascii="Cambria Math" w:hAnsi="Cambria Math"/>
                            <w:sz w:val="32"/>
                            <w:szCs w:val="32"/>
                            <w:lang w:eastAsia="ja-JP"/>
                          </w:rPr>
                          <m:t>-</m:t>
                        </m:r>
                        <m:sSub>
                          <m:sSubPr>
                            <m:ctrlPr>
                              <w:rPr>
                                <w:rFonts w:ascii="Cambria Math" w:hAnsi="Cambria Math"/>
                                <w:i/>
                                <w:sz w:val="32"/>
                                <w:szCs w:val="32"/>
                                <w:lang w:eastAsia="ja-JP"/>
                              </w:rPr>
                            </m:ctrlPr>
                          </m:sSubPr>
                          <m:e>
                            <m:r>
                              <w:rPr>
                                <w:rFonts w:ascii="Cambria Math" w:hAnsi="Cambria Math"/>
                                <w:sz w:val="32"/>
                                <w:szCs w:val="32"/>
                                <w:lang w:eastAsia="ja-JP"/>
                              </w:rPr>
                              <m:t>NT</m:t>
                            </m:r>
                          </m:e>
                          <m:sub>
                            <m:r>
                              <w:rPr>
                                <w:rFonts w:ascii="Cambria Math" w:hAnsi="Cambria Math"/>
                                <w:sz w:val="32"/>
                                <w:szCs w:val="32"/>
                                <w:lang w:eastAsia="ja-JP"/>
                              </w:rPr>
                              <m:t>Š</m:t>
                            </m:r>
                          </m:sub>
                        </m:sSub>
                      </m:e>
                    </m:d>
                  </m:den>
                </m:f>
                <m:r>
                  <w:rPr>
                    <w:rFonts w:ascii="Cambria Math" w:hAnsi="Cambria Math"/>
                    <w:sz w:val="32"/>
                    <w:szCs w:val="32"/>
                    <w:lang w:eastAsia="ja-JP"/>
                  </w:rPr>
                  <m:t>×</m:t>
                </m:r>
                <m:d>
                  <m:dPr>
                    <m:ctrlPr>
                      <w:rPr>
                        <w:rFonts w:ascii="Cambria Math" w:hAnsi="Cambria Math"/>
                        <w:i/>
                        <w:sz w:val="32"/>
                        <w:szCs w:val="32"/>
                        <w:lang w:eastAsia="ja-JP"/>
                      </w:rPr>
                    </m:ctrlPr>
                  </m:dPr>
                  <m:e>
                    <m:sSub>
                      <m:sSubPr>
                        <m:ctrlPr>
                          <w:rPr>
                            <w:rFonts w:ascii="Cambria Math" w:hAnsi="Cambria Math"/>
                            <w:i/>
                            <w:sz w:val="32"/>
                            <w:szCs w:val="32"/>
                            <w:lang w:eastAsia="ja-JP"/>
                          </w:rPr>
                        </m:ctrlPr>
                      </m:sSubPr>
                      <m:e>
                        <m:r>
                          <w:rPr>
                            <w:rFonts w:ascii="Cambria Math" w:hAnsi="Cambria Math"/>
                            <w:sz w:val="32"/>
                            <w:szCs w:val="32"/>
                            <w:lang w:eastAsia="ja-JP"/>
                          </w:rPr>
                          <m:t>T</m:t>
                        </m:r>
                      </m:e>
                      <m:sub>
                        <m:r>
                          <w:rPr>
                            <w:rFonts w:ascii="Cambria Math" w:hAnsi="Cambria Math"/>
                            <w:sz w:val="32"/>
                            <w:szCs w:val="32"/>
                            <w:lang w:eastAsia="ja-JP"/>
                          </w:rPr>
                          <m:t>Į</m:t>
                        </m:r>
                      </m:sub>
                    </m:sSub>
                    <m:r>
                      <w:rPr>
                        <w:rFonts w:ascii="Cambria Math" w:hAnsi="Cambria Math"/>
                        <w:sz w:val="32"/>
                        <w:szCs w:val="32"/>
                        <w:lang w:eastAsia="ja-JP"/>
                      </w:rPr>
                      <m:t>-</m:t>
                    </m:r>
                    <m:sSub>
                      <m:sSubPr>
                        <m:ctrlPr>
                          <w:rPr>
                            <w:rFonts w:ascii="Cambria Math" w:hAnsi="Cambria Math"/>
                            <w:i/>
                            <w:sz w:val="32"/>
                            <w:szCs w:val="32"/>
                            <w:lang w:eastAsia="ja-JP"/>
                          </w:rPr>
                        </m:ctrlPr>
                      </m:sSubPr>
                      <m:e>
                        <m:r>
                          <w:rPr>
                            <w:rFonts w:ascii="Cambria Math" w:hAnsi="Cambria Math"/>
                            <w:sz w:val="32"/>
                            <w:szCs w:val="32"/>
                            <w:lang w:eastAsia="ja-JP"/>
                          </w:rPr>
                          <m:t>NT</m:t>
                        </m:r>
                      </m:e>
                      <m:sub>
                        <m:r>
                          <w:rPr>
                            <w:rFonts w:ascii="Cambria Math" w:hAnsi="Cambria Math"/>
                            <w:sz w:val="32"/>
                            <w:szCs w:val="32"/>
                            <w:lang w:eastAsia="ja-JP"/>
                          </w:rPr>
                          <m:t>Į</m:t>
                        </m:r>
                      </m:sub>
                    </m:sSub>
                  </m:e>
                </m:d>
              </m:e>
            </m:d>
            <m:r>
              <w:rPr>
                <w:rFonts w:ascii="Cambria Math" w:hAnsi="Cambria Math"/>
                <w:sz w:val="32"/>
                <w:szCs w:val="32"/>
                <w:lang w:eastAsia="ja-JP"/>
              </w:rPr>
              <m:t>×</m:t>
            </m:r>
            <m:d>
              <m:dPr>
                <m:ctrlPr>
                  <w:rPr>
                    <w:rFonts w:ascii="Cambria Math" w:hAnsi="Cambria Math"/>
                    <w:i/>
                    <w:sz w:val="32"/>
                    <w:szCs w:val="32"/>
                    <w:lang w:eastAsia="ja-JP"/>
                  </w:rPr>
                </m:ctrlPr>
              </m:dPr>
              <m:e>
                <m:r>
                  <w:rPr>
                    <w:rFonts w:ascii="Cambria Math" w:hAnsi="Cambria Math"/>
                    <w:sz w:val="32"/>
                    <w:szCs w:val="32"/>
                    <w:lang w:eastAsia="ja-JP"/>
                  </w:rPr>
                  <m:t>1 -t</m:t>
                </m:r>
              </m:e>
            </m:d>
          </m:num>
          <m:den>
            <m:r>
              <w:rPr>
                <w:rFonts w:ascii="Cambria Math" w:hAnsi="Cambria Math"/>
                <w:sz w:val="32"/>
                <w:szCs w:val="32"/>
                <w:lang w:eastAsia="ja-JP"/>
              </w:rPr>
              <m:t>k</m:t>
            </m:r>
          </m:den>
        </m:f>
      </m:oMath>
      <w:r w:rsidR="001A4E0E">
        <w:rPr>
          <w:sz w:val="32"/>
          <w:szCs w:val="32"/>
          <w:lang w:eastAsia="ja-JP"/>
        </w:rPr>
        <w:t xml:space="preserve">     </w:t>
      </w:r>
      <w:r w:rsidR="006B5D1A">
        <w:rPr>
          <w:lang w:eastAsia="ja-JP"/>
        </w:rPr>
        <w:t>(13</w:t>
      </w:r>
      <w:r w:rsidR="001A4E0E" w:rsidRPr="001A4E0E">
        <w:rPr>
          <w:lang w:eastAsia="ja-JP"/>
        </w:rPr>
        <w:t>)</w:t>
      </w:r>
    </w:p>
    <w:p w:rsidR="001A4E0E" w:rsidRPr="001A4E0E" w:rsidRDefault="001A4E0E" w:rsidP="001A4E0E">
      <w:pPr>
        <w:spacing w:line="360" w:lineRule="auto"/>
        <w:rPr>
          <w:lang w:eastAsia="ja-JP"/>
        </w:rPr>
      </w:pPr>
      <w:r w:rsidRPr="001A4E0E">
        <w:rPr>
          <w:lang w:eastAsia="ja-JP"/>
        </w:rPr>
        <w:t>kur  P</w:t>
      </w:r>
      <w:r w:rsidRPr="001A4E0E">
        <w:rPr>
          <w:vertAlign w:val="subscript"/>
          <w:lang w:eastAsia="ja-JP"/>
        </w:rPr>
        <w:t>Į</w:t>
      </w:r>
      <w:r w:rsidRPr="001A4E0E">
        <w:rPr>
          <w:lang w:eastAsia="ja-JP"/>
        </w:rPr>
        <w:t xml:space="preserve"> – įmonės pelnas prieš mokesčius,</w:t>
      </w:r>
    </w:p>
    <w:p w:rsidR="001A4E0E" w:rsidRPr="001A4E0E" w:rsidRDefault="001A4E0E" w:rsidP="001A4E0E">
      <w:pPr>
        <w:spacing w:line="360" w:lineRule="auto"/>
        <w:rPr>
          <w:lang w:eastAsia="ja-JP"/>
        </w:rPr>
      </w:pPr>
      <w:r w:rsidRPr="001A4E0E">
        <w:rPr>
          <w:lang w:eastAsia="ja-JP"/>
        </w:rPr>
        <w:t xml:space="preserve">       P</w:t>
      </w:r>
      <w:r w:rsidRPr="001A4E0E">
        <w:rPr>
          <w:vertAlign w:val="subscript"/>
          <w:lang w:eastAsia="ja-JP"/>
        </w:rPr>
        <w:t xml:space="preserve">Š </w:t>
      </w:r>
      <w:r w:rsidRPr="001A4E0E">
        <w:rPr>
          <w:lang w:eastAsia="ja-JP"/>
        </w:rPr>
        <w:t>– šakos pelnas prieš mokesčius,</w:t>
      </w:r>
    </w:p>
    <w:p w:rsidR="001A4E0E" w:rsidRPr="001A4E0E" w:rsidRDefault="001A4E0E" w:rsidP="001A4E0E">
      <w:pPr>
        <w:spacing w:line="360" w:lineRule="auto"/>
        <w:rPr>
          <w:lang w:eastAsia="ja-JP"/>
        </w:rPr>
      </w:pPr>
      <w:r w:rsidRPr="001A4E0E">
        <w:rPr>
          <w:lang w:eastAsia="ja-JP"/>
        </w:rPr>
        <w:t xml:space="preserve">       T</w:t>
      </w:r>
      <w:r w:rsidRPr="001A4E0E">
        <w:rPr>
          <w:vertAlign w:val="subscript"/>
          <w:lang w:eastAsia="ja-JP"/>
        </w:rPr>
        <w:t>Į</w:t>
      </w:r>
      <w:r w:rsidRPr="001A4E0E">
        <w:rPr>
          <w:lang w:eastAsia="ja-JP"/>
        </w:rPr>
        <w:t xml:space="preserve"> – įmonės visas turtas,</w:t>
      </w:r>
    </w:p>
    <w:p w:rsidR="001A4E0E" w:rsidRPr="001A4E0E" w:rsidRDefault="001A4E0E" w:rsidP="001A4E0E">
      <w:pPr>
        <w:spacing w:line="360" w:lineRule="auto"/>
        <w:rPr>
          <w:lang w:eastAsia="ja-JP"/>
        </w:rPr>
      </w:pPr>
      <w:r w:rsidRPr="001A4E0E">
        <w:rPr>
          <w:lang w:eastAsia="ja-JP"/>
        </w:rPr>
        <w:t xml:space="preserve">       T</w:t>
      </w:r>
      <w:r w:rsidRPr="001A4E0E">
        <w:rPr>
          <w:vertAlign w:val="subscript"/>
          <w:lang w:eastAsia="ja-JP"/>
        </w:rPr>
        <w:t>Š</w:t>
      </w:r>
      <w:r w:rsidRPr="001A4E0E">
        <w:rPr>
          <w:lang w:eastAsia="ja-JP"/>
        </w:rPr>
        <w:t xml:space="preserve"> – šakos visas turtas,</w:t>
      </w:r>
    </w:p>
    <w:p w:rsidR="001A4E0E" w:rsidRPr="001A4E0E" w:rsidRDefault="001A4E0E" w:rsidP="001A4E0E">
      <w:pPr>
        <w:spacing w:line="360" w:lineRule="auto"/>
        <w:rPr>
          <w:lang w:eastAsia="ja-JP"/>
        </w:rPr>
      </w:pPr>
      <w:r w:rsidRPr="001A4E0E">
        <w:rPr>
          <w:lang w:eastAsia="ja-JP"/>
        </w:rPr>
        <w:t xml:space="preserve">       NT</w:t>
      </w:r>
      <w:r w:rsidRPr="001A4E0E">
        <w:rPr>
          <w:vertAlign w:val="subscript"/>
          <w:lang w:eastAsia="ja-JP"/>
        </w:rPr>
        <w:t>Į</w:t>
      </w:r>
      <w:r w:rsidRPr="001A4E0E">
        <w:rPr>
          <w:lang w:eastAsia="ja-JP"/>
        </w:rPr>
        <w:t xml:space="preserve"> – įmonės nematerialus turtas,</w:t>
      </w:r>
    </w:p>
    <w:p w:rsidR="001A4E0E" w:rsidRPr="001A4E0E" w:rsidRDefault="001A4E0E" w:rsidP="001A4E0E">
      <w:pPr>
        <w:spacing w:line="360" w:lineRule="auto"/>
        <w:rPr>
          <w:lang w:eastAsia="ja-JP"/>
        </w:rPr>
      </w:pPr>
      <w:r w:rsidRPr="001A4E0E">
        <w:rPr>
          <w:lang w:eastAsia="ja-JP"/>
        </w:rPr>
        <w:t xml:space="preserve">       NT</w:t>
      </w:r>
      <w:r w:rsidRPr="001A4E0E">
        <w:rPr>
          <w:vertAlign w:val="subscript"/>
          <w:lang w:eastAsia="ja-JP"/>
        </w:rPr>
        <w:t>Š</w:t>
      </w:r>
      <w:r w:rsidRPr="001A4E0E">
        <w:rPr>
          <w:lang w:eastAsia="ja-JP"/>
        </w:rPr>
        <w:t xml:space="preserve"> – šakos nematerialus turtas,</w:t>
      </w:r>
    </w:p>
    <w:p w:rsidR="001A4E0E" w:rsidRPr="001A4E0E" w:rsidRDefault="001A4E0E" w:rsidP="001A4E0E">
      <w:pPr>
        <w:spacing w:line="360" w:lineRule="auto"/>
        <w:rPr>
          <w:lang w:eastAsia="ja-JP"/>
        </w:rPr>
      </w:pPr>
      <w:r w:rsidRPr="001A4E0E">
        <w:rPr>
          <w:lang w:eastAsia="ja-JP"/>
        </w:rPr>
        <w:t xml:space="preserve">       t – įmonės pelno mokesčio tarifas,</w:t>
      </w:r>
    </w:p>
    <w:p w:rsidR="001A4E0E" w:rsidRDefault="001A4E0E" w:rsidP="00471C53">
      <w:pPr>
        <w:spacing w:line="360" w:lineRule="auto"/>
        <w:rPr>
          <w:lang w:eastAsia="ja-JP"/>
        </w:rPr>
      </w:pPr>
      <w:r w:rsidRPr="001A4E0E">
        <w:rPr>
          <w:lang w:eastAsia="ja-JP"/>
        </w:rPr>
        <w:t xml:space="preserve">       k – kapitalo kaina.</w:t>
      </w:r>
    </w:p>
    <w:p w:rsidR="00471C53" w:rsidRPr="006601C4" w:rsidRDefault="00471C53" w:rsidP="00471C53">
      <w:pPr>
        <w:spacing w:line="360" w:lineRule="auto"/>
        <w:rPr>
          <w:lang w:eastAsia="ja-JP"/>
        </w:rPr>
      </w:pPr>
    </w:p>
    <w:p w:rsidR="00DB0EAC" w:rsidRPr="008C39CD" w:rsidRDefault="00471C53" w:rsidP="00DB0EAC">
      <w:pPr>
        <w:spacing w:line="360" w:lineRule="auto"/>
        <w:rPr>
          <w:lang w:eastAsia="ja-JP"/>
        </w:rPr>
      </w:pPr>
      <w:r w:rsidRPr="008C39CD">
        <w:rPr>
          <w:lang w:eastAsia="ja-JP"/>
        </w:rPr>
        <w:t xml:space="preserve">Literatūroje pateikiami tokie </w:t>
      </w:r>
      <w:r w:rsidR="00E769A8" w:rsidRPr="008C39CD">
        <w:rPr>
          <w:lang w:eastAsia="ja-JP"/>
        </w:rPr>
        <w:t xml:space="preserve">7 </w:t>
      </w:r>
      <w:r w:rsidRPr="008C39CD">
        <w:rPr>
          <w:lang w:eastAsia="ja-JP"/>
        </w:rPr>
        <w:t>CIV metodo</w:t>
      </w:r>
      <w:r w:rsidR="00DB0EAC" w:rsidRPr="008C39CD">
        <w:rPr>
          <w:lang w:eastAsia="ja-JP"/>
        </w:rPr>
        <w:t xml:space="preserve"> apskaičiavimo etapai:</w:t>
      </w:r>
    </w:p>
    <w:p w:rsidR="00DB0EAC" w:rsidRPr="008C39CD" w:rsidRDefault="00471C53" w:rsidP="00DB0EAC">
      <w:pPr>
        <w:widowControl w:val="0"/>
        <w:numPr>
          <w:ilvl w:val="0"/>
          <w:numId w:val="26"/>
        </w:numPr>
        <w:spacing w:line="360" w:lineRule="auto"/>
        <w:jc w:val="both"/>
        <w:rPr>
          <w:lang w:eastAsia="ja-JP"/>
        </w:rPr>
      </w:pPr>
      <w:r w:rsidRPr="008C39CD">
        <w:rPr>
          <w:lang w:eastAsia="ja-JP"/>
        </w:rPr>
        <w:t>R</w:t>
      </w:r>
      <w:r w:rsidR="00DB0EAC" w:rsidRPr="008C39CD">
        <w:rPr>
          <w:lang w:eastAsia="ja-JP"/>
        </w:rPr>
        <w:t>andamas vidutinis 3 metų įmonės pelnas prieš mokesčius</w:t>
      </w:r>
      <w:r w:rsidR="00E769A8" w:rsidRPr="008C39CD">
        <w:rPr>
          <w:lang w:eastAsia="ja-JP"/>
        </w:rPr>
        <w:t xml:space="preserve"> (a)</w:t>
      </w:r>
      <w:r w:rsidR="00DB0EAC" w:rsidRPr="008C39CD">
        <w:rPr>
          <w:lang w:eastAsia="ja-JP"/>
        </w:rPr>
        <w:t>;</w:t>
      </w:r>
    </w:p>
    <w:p w:rsidR="00DB0EAC" w:rsidRPr="008C39CD" w:rsidRDefault="00471C53" w:rsidP="00DB0EAC">
      <w:pPr>
        <w:widowControl w:val="0"/>
        <w:numPr>
          <w:ilvl w:val="0"/>
          <w:numId w:val="26"/>
        </w:numPr>
        <w:spacing w:line="360" w:lineRule="auto"/>
        <w:jc w:val="both"/>
        <w:rPr>
          <w:lang w:eastAsia="ja-JP"/>
        </w:rPr>
      </w:pPr>
      <w:r w:rsidRPr="008C39CD">
        <w:rPr>
          <w:lang w:eastAsia="ja-JP"/>
        </w:rPr>
        <w:t>I</w:t>
      </w:r>
      <w:r w:rsidR="00DB0EAC" w:rsidRPr="008C39CD">
        <w:rPr>
          <w:lang w:eastAsia="ja-JP"/>
        </w:rPr>
        <w:t>mama vidutinė 3 metų įmonės materialiojo turto vertė</w:t>
      </w:r>
      <w:r w:rsidR="00E769A8" w:rsidRPr="008C39CD">
        <w:rPr>
          <w:lang w:eastAsia="ja-JP"/>
        </w:rPr>
        <w:t xml:space="preserve"> (b)</w:t>
      </w:r>
      <w:r w:rsidR="00DB0EAC" w:rsidRPr="008C39CD">
        <w:rPr>
          <w:lang w:eastAsia="ja-JP"/>
        </w:rPr>
        <w:t xml:space="preserve"> metų pabaigoje (visas turtas – nematerialius turtas);</w:t>
      </w:r>
    </w:p>
    <w:p w:rsidR="00DB0EAC" w:rsidRPr="008C39CD" w:rsidRDefault="00471C53" w:rsidP="00DB0EAC">
      <w:pPr>
        <w:widowControl w:val="0"/>
        <w:numPr>
          <w:ilvl w:val="0"/>
          <w:numId w:val="26"/>
        </w:numPr>
        <w:spacing w:line="360" w:lineRule="auto"/>
        <w:jc w:val="both"/>
        <w:rPr>
          <w:lang w:eastAsia="ja-JP"/>
        </w:rPr>
      </w:pPr>
      <w:r w:rsidRPr="008C39CD">
        <w:rPr>
          <w:lang w:eastAsia="ja-JP"/>
        </w:rPr>
        <w:t>A</w:t>
      </w:r>
      <w:r w:rsidR="00DB0EAC" w:rsidRPr="008C39CD">
        <w:rPr>
          <w:lang w:eastAsia="ja-JP"/>
        </w:rPr>
        <w:t>pskaičiuojamas vidutinis 3 metų įmonė</w:t>
      </w:r>
      <w:r w:rsidRPr="008C39CD">
        <w:rPr>
          <w:lang w:eastAsia="ja-JP"/>
        </w:rPr>
        <w:t>s turto grąžos koeficientas ROA</w:t>
      </w:r>
      <w:r w:rsidR="00E769A8" w:rsidRPr="008C39CD">
        <w:rPr>
          <w:lang w:eastAsia="ja-JP"/>
        </w:rPr>
        <w:t xml:space="preserve"> (c) (c=a/b)</w:t>
      </w:r>
      <w:r w:rsidRPr="008C39CD">
        <w:rPr>
          <w:lang w:eastAsia="ja-JP"/>
        </w:rPr>
        <w:t>;</w:t>
      </w:r>
      <w:r w:rsidR="00E769A8" w:rsidRPr="008C39CD">
        <w:rPr>
          <w:lang w:eastAsia="ja-JP"/>
        </w:rPr>
        <w:t xml:space="preserve"> </w:t>
      </w:r>
    </w:p>
    <w:p w:rsidR="00DB0EAC" w:rsidRPr="008C39CD" w:rsidRDefault="00E769A8" w:rsidP="00DB0EAC">
      <w:pPr>
        <w:widowControl w:val="0"/>
        <w:numPr>
          <w:ilvl w:val="0"/>
          <w:numId w:val="26"/>
        </w:numPr>
        <w:spacing w:line="360" w:lineRule="auto"/>
        <w:jc w:val="both"/>
        <w:rPr>
          <w:lang w:eastAsia="ja-JP"/>
        </w:rPr>
      </w:pPr>
      <w:r w:rsidRPr="008C39CD">
        <w:rPr>
          <w:lang w:eastAsia="ja-JP"/>
        </w:rPr>
        <w:t>A</w:t>
      </w:r>
      <w:r w:rsidR="00DB0EAC" w:rsidRPr="008C39CD">
        <w:rPr>
          <w:lang w:eastAsia="ja-JP"/>
        </w:rPr>
        <w:t>pskai</w:t>
      </w:r>
      <w:r w:rsidRPr="008C39CD">
        <w:rPr>
          <w:lang w:eastAsia="ja-JP"/>
        </w:rPr>
        <w:t>čiuojamas 3 metų vidutinis sektoriaus</w:t>
      </w:r>
      <w:r w:rsidR="00DB0EAC" w:rsidRPr="008C39CD">
        <w:rPr>
          <w:lang w:eastAsia="ja-JP"/>
        </w:rPr>
        <w:t xml:space="preserve"> ROA</w:t>
      </w:r>
      <w:r w:rsidRPr="008C39CD">
        <w:rPr>
          <w:lang w:eastAsia="ja-JP"/>
        </w:rPr>
        <w:t xml:space="preserve"> (d). Sąlyga – įmonės vidutinis 3 metų ROA turi būti didesnis nei sektoriaus 3 metų vidutinis ROA (c&gt;d)</w:t>
      </w:r>
      <w:r w:rsidR="00DB0EAC" w:rsidRPr="008C39CD">
        <w:rPr>
          <w:lang w:eastAsia="ja-JP"/>
        </w:rPr>
        <w:t>;</w:t>
      </w:r>
    </w:p>
    <w:p w:rsidR="00DB0EAC" w:rsidRPr="008C39CD" w:rsidRDefault="00E769A8" w:rsidP="00DB0EAC">
      <w:pPr>
        <w:widowControl w:val="0"/>
        <w:numPr>
          <w:ilvl w:val="0"/>
          <w:numId w:val="26"/>
        </w:numPr>
        <w:spacing w:line="360" w:lineRule="auto"/>
        <w:jc w:val="both"/>
        <w:rPr>
          <w:lang w:eastAsia="ja-JP"/>
        </w:rPr>
      </w:pPr>
      <w:r w:rsidRPr="008C39CD">
        <w:rPr>
          <w:lang w:eastAsia="ja-JP"/>
        </w:rPr>
        <w:t>S</w:t>
      </w:r>
      <w:r w:rsidR="00DB0EAC" w:rsidRPr="008C39CD">
        <w:rPr>
          <w:lang w:eastAsia="ja-JP"/>
        </w:rPr>
        <w:t>kaičiuojama perviršinė grąža</w:t>
      </w:r>
      <w:r w:rsidRPr="008C39CD">
        <w:rPr>
          <w:lang w:eastAsia="ja-JP"/>
        </w:rPr>
        <w:t xml:space="preserve"> (e)</w:t>
      </w:r>
      <w:r w:rsidR="00DB0EAC" w:rsidRPr="008C39CD">
        <w:rPr>
          <w:lang w:eastAsia="ja-JP"/>
        </w:rPr>
        <w:t xml:space="preserve">: dauginant </w:t>
      </w:r>
      <w:r w:rsidRPr="008C39CD">
        <w:rPr>
          <w:lang w:eastAsia="ja-JP"/>
        </w:rPr>
        <w:t>sektoriaus</w:t>
      </w:r>
      <w:r w:rsidR="00DB0EAC" w:rsidRPr="008C39CD">
        <w:rPr>
          <w:lang w:eastAsia="ja-JP"/>
        </w:rPr>
        <w:t xml:space="preserve"> vidutinį ROA</w:t>
      </w:r>
      <w:r w:rsidR="00F71E9D" w:rsidRPr="008C39CD">
        <w:rPr>
          <w:lang w:eastAsia="ja-JP"/>
        </w:rPr>
        <w:t xml:space="preserve"> (d)</w:t>
      </w:r>
      <w:r w:rsidR="00DB0EAC" w:rsidRPr="008C39CD">
        <w:rPr>
          <w:lang w:eastAsia="ja-JP"/>
        </w:rPr>
        <w:t xml:space="preserve"> iš vidutinės į</w:t>
      </w:r>
      <w:r w:rsidRPr="008C39CD">
        <w:rPr>
          <w:lang w:eastAsia="ja-JP"/>
        </w:rPr>
        <w:t>monės materialiojo turto vertės</w:t>
      </w:r>
      <w:r w:rsidR="00F71E9D" w:rsidRPr="008C39CD">
        <w:rPr>
          <w:lang w:eastAsia="ja-JP"/>
        </w:rPr>
        <w:t xml:space="preserve"> (b)</w:t>
      </w:r>
      <w:r w:rsidRPr="008C39CD">
        <w:rPr>
          <w:lang w:eastAsia="ja-JP"/>
        </w:rPr>
        <w:t xml:space="preserve">. </w:t>
      </w:r>
      <w:r w:rsidR="00DB0EAC" w:rsidRPr="008C39CD">
        <w:rPr>
          <w:lang w:eastAsia="ja-JP"/>
        </w:rPr>
        <w:t>Tada perviršinė grąža atimama iš įmonės vidutinio pelno prieš mokesčius (</w:t>
      </w:r>
      <w:r w:rsidR="00F71E9D" w:rsidRPr="008C39CD">
        <w:rPr>
          <w:lang w:eastAsia="ja-JP"/>
        </w:rPr>
        <w:t>a</w:t>
      </w:r>
      <w:r w:rsidR="00DB0EAC" w:rsidRPr="008C39CD">
        <w:rPr>
          <w:lang w:eastAsia="ja-JP"/>
        </w:rPr>
        <w:t>) – taip gaunamas vidutinis perviršinis pelnas (suma, kurią įmonė gauna daugiau nei vidutinis šakos dalyvis)</w:t>
      </w:r>
      <w:r w:rsidR="00F71E9D" w:rsidRPr="008C39CD">
        <w:rPr>
          <w:lang w:eastAsia="ja-JP"/>
        </w:rPr>
        <w:t xml:space="preserve"> (e=a-(d</w:t>
      </w:r>
      <w:r w:rsidR="00F71E9D" w:rsidRPr="008C39CD">
        <w:rPr>
          <w:lang w:val="en-US" w:eastAsia="ja-JP"/>
        </w:rPr>
        <w:t>*b</w:t>
      </w:r>
      <w:r w:rsidR="00F71E9D" w:rsidRPr="008C39CD">
        <w:rPr>
          <w:lang w:eastAsia="ja-JP"/>
        </w:rPr>
        <w:t>)).</w:t>
      </w:r>
    </w:p>
    <w:p w:rsidR="00DB0EAC" w:rsidRPr="008C39CD" w:rsidRDefault="00471C53" w:rsidP="00DB0EAC">
      <w:pPr>
        <w:widowControl w:val="0"/>
        <w:numPr>
          <w:ilvl w:val="0"/>
          <w:numId w:val="26"/>
        </w:numPr>
        <w:spacing w:line="360" w:lineRule="auto"/>
        <w:jc w:val="both"/>
        <w:rPr>
          <w:lang w:eastAsia="ja-JP"/>
        </w:rPr>
      </w:pPr>
      <w:r w:rsidRPr="008C39CD">
        <w:rPr>
          <w:lang w:eastAsia="ja-JP"/>
        </w:rPr>
        <w:t>R</w:t>
      </w:r>
      <w:r w:rsidR="00DB0EAC" w:rsidRPr="008C39CD">
        <w:rPr>
          <w:lang w:eastAsia="ja-JP"/>
        </w:rPr>
        <w:t xml:space="preserve">andamas trijų metų vidutinis įmonės pelno mokesčio tarifas, kuris dauginamas iš vidutinio perviršinio pelno (vidutinis mokesčių tarifas x </w:t>
      </w:r>
      <w:r w:rsidR="00F71E9D" w:rsidRPr="008C39CD">
        <w:rPr>
          <w:lang w:eastAsia="ja-JP"/>
        </w:rPr>
        <w:t>e</w:t>
      </w:r>
      <w:r w:rsidR="00DB0EAC" w:rsidRPr="008C39CD">
        <w:rPr>
          <w:lang w:eastAsia="ja-JP"/>
        </w:rPr>
        <w:t xml:space="preserve">). </w:t>
      </w:r>
      <w:r w:rsidR="00F71E9D" w:rsidRPr="008C39CD">
        <w:rPr>
          <w:lang w:eastAsia="ja-JP"/>
        </w:rPr>
        <w:t>G</w:t>
      </w:r>
      <w:r w:rsidR="00DB0EAC" w:rsidRPr="008C39CD">
        <w:rPr>
          <w:lang w:eastAsia="ja-JP"/>
        </w:rPr>
        <w:t>aunama nemateria</w:t>
      </w:r>
      <w:r w:rsidR="00F71E9D" w:rsidRPr="008C39CD">
        <w:rPr>
          <w:lang w:eastAsia="ja-JP"/>
        </w:rPr>
        <w:t>liojo turto premija po mokesčių</w:t>
      </w:r>
      <w:r w:rsidR="00F71E9D" w:rsidRPr="008C39CD">
        <w:rPr>
          <w:rFonts w:eastAsia="SimSun"/>
          <w:lang w:val="en-US" w:eastAsia="en-US"/>
        </w:rPr>
        <w:t>=(a–d*b)*(1−</w:t>
      </w:r>
      <w:r w:rsidR="00F71E9D" w:rsidRPr="008C39CD">
        <w:rPr>
          <w:lang w:eastAsia="ja-JP"/>
        </w:rPr>
        <w:t xml:space="preserve"> vidutinis įmonės pelno mokesčio tarifas</w:t>
      </w:r>
      <w:r w:rsidR="00F71E9D" w:rsidRPr="008C39CD">
        <w:rPr>
          <w:rFonts w:eastAsia="SimSun"/>
          <w:sz w:val="26"/>
          <w:szCs w:val="26"/>
          <w:lang w:val="en-US" w:eastAsia="en-US"/>
        </w:rPr>
        <w:t>)</w:t>
      </w:r>
      <w:r w:rsidR="008C39CD" w:rsidRPr="008C39CD">
        <w:rPr>
          <w:rFonts w:eastAsia="SimSun"/>
          <w:sz w:val="26"/>
          <w:szCs w:val="26"/>
          <w:lang w:val="en-US" w:eastAsia="en-US"/>
        </w:rPr>
        <w:t>.</w:t>
      </w:r>
    </w:p>
    <w:p w:rsidR="001A4E0E" w:rsidRPr="00EA0BB9" w:rsidRDefault="00DB0EAC" w:rsidP="00DB0EAC">
      <w:pPr>
        <w:widowControl w:val="0"/>
        <w:numPr>
          <w:ilvl w:val="0"/>
          <w:numId w:val="26"/>
        </w:numPr>
        <w:spacing w:line="360" w:lineRule="auto"/>
        <w:jc w:val="both"/>
        <w:rPr>
          <w:lang w:eastAsia="ja-JP"/>
        </w:rPr>
      </w:pPr>
      <w:r w:rsidRPr="008C39CD">
        <w:rPr>
          <w:lang w:eastAsia="ja-JP"/>
        </w:rPr>
        <w:t>Skaičiuojama grynoji dabartinė nematerialiojo turto premijos po mokesčių vertė (NPV), dalinant premiją iš tam tikro procento (</w:t>
      </w:r>
      <w:r w:rsidR="008C39CD" w:rsidRPr="008C39CD">
        <w:rPr>
          <w:lang w:eastAsia="ja-JP"/>
        </w:rPr>
        <w:t>kaip vienas tinkamo faktorių skaičiavimui naudojama kapitalo kaina</w:t>
      </w:r>
      <w:r w:rsidRPr="008C39CD">
        <w:rPr>
          <w:lang w:eastAsia="ja-JP"/>
        </w:rPr>
        <w:t xml:space="preserve">). </w:t>
      </w:r>
      <w:r w:rsidR="008C39CD" w:rsidRPr="008C39CD">
        <w:rPr>
          <w:lang w:eastAsia="ja-JP"/>
        </w:rPr>
        <w:t>Taip gaunama</w:t>
      </w:r>
      <w:r w:rsidRPr="008C39CD">
        <w:rPr>
          <w:lang w:eastAsia="ja-JP"/>
        </w:rPr>
        <w:t xml:space="preserve"> įmonės ne</w:t>
      </w:r>
      <w:r w:rsidR="008C39CD" w:rsidRPr="008C39CD">
        <w:rPr>
          <w:lang w:eastAsia="ja-JP"/>
        </w:rPr>
        <w:t>materialiojo turto (</w:t>
      </w:r>
      <w:r w:rsidRPr="008C39CD">
        <w:rPr>
          <w:lang w:eastAsia="ja-JP"/>
        </w:rPr>
        <w:t>intelektinio kapitalo) vertė.</w:t>
      </w:r>
    </w:p>
    <w:p w:rsidR="00EA0BB9" w:rsidRPr="00EA0BB9" w:rsidRDefault="00F60B71" w:rsidP="00EA0BB9">
      <w:pPr>
        <w:spacing w:line="360" w:lineRule="auto"/>
        <w:ind w:firstLine="567"/>
        <w:jc w:val="both"/>
        <w:rPr>
          <w:lang w:eastAsia="ja-JP"/>
        </w:rPr>
      </w:pPr>
      <w:r w:rsidRPr="00EA0BB9">
        <w:rPr>
          <w:lang w:eastAsia="ja-JP"/>
        </w:rPr>
        <w:t xml:space="preserve">Pasak </w:t>
      </w:r>
      <w:r w:rsidRPr="00EA0BB9">
        <w:rPr>
          <w:i/>
          <w:lang w:eastAsia="ja-JP"/>
        </w:rPr>
        <w:t>Aho</w:t>
      </w:r>
      <w:r w:rsidR="00F70691">
        <w:rPr>
          <w:i/>
          <w:lang w:eastAsia="ja-JP"/>
        </w:rPr>
        <w:t xml:space="preserve"> et al.</w:t>
      </w:r>
      <w:r w:rsidRPr="00EA0BB9">
        <w:rPr>
          <w:i/>
          <w:lang w:eastAsia="ja-JP"/>
        </w:rPr>
        <w:t xml:space="preserve"> (2011)</w:t>
      </w:r>
      <w:r w:rsidRPr="00EA0BB9">
        <w:rPr>
          <w:lang w:eastAsia="ja-JP"/>
        </w:rPr>
        <w:t xml:space="preserve"> g</w:t>
      </w:r>
      <w:r w:rsidR="00DB0EAC" w:rsidRPr="00EA0BB9">
        <w:rPr>
          <w:lang w:eastAsia="ja-JP"/>
        </w:rPr>
        <w:t>alutinis rezultatas nėra ta suma, kuri lieka atėmus materialiuosius ište</w:t>
      </w:r>
      <w:r w:rsidR="00EA0BB9" w:rsidRPr="00EA0BB9">
        <w:rPr>
          <w:lang w:eastAsia="ja-JP"/>
        </w:rPr>
        <w:t>klius iš įmonės rinkos vertės, t</w:t>
      </w:r>
      <w:r w:rsidR="00DB0EAC" w:rsidRPr="00EA0BB9">
        <w:rPr>
          <w:lang w:eastAsia="ja-JP"/>
        </w:rPr>
        <w:t xml:space="preserve">ai </w:t>
      </w:r>
      <w:r w:rsidR="00EA0BB9" w:rsidRPr="00EA0BB9">
        <w:rPr>
          <w:lang w:eastAsia="ja-JP"/>
        </w:rPr>
        <w:t xml:space="preserve">artimiau </w:t>
      </w:r>
      <w:r w:rsidR="00DB0EAC" w:rsidRPr="00EA0BB9">
        <w:rPr>
          <w:lang w:eastAsia="ja-JP"/>
        </w:rPr>
        <w:t>suma</w:t>
      </w:r>
      <w:r w:rsidR="00EA0BB9" w:rsidRPr="00EA0BB9">
        <w:rPr>
          <w:lang w:eastAsia="ja-JP"/>
        </w:rPr>
        <w:t>i</w:t>
      </w:r>
      <w:r w:rsidR="00DB0EAC" w:rsidRPr="00EA0BB9">
        <w:rPr>
          <w:lang w:eastAsia="ja-JP"/>
        </w:rPr>
        <w:t xml:space="preserve">, kuri parodo įmonės galimybę panaudoti savo nematerialius išteklius siekiant aplenkti kitas įmones šakoje. </w:t>
      </w:r>
      <w:r w:rsidR="00EA0BB9" w:rsidRPr="00EA0BB9">
        <w:rPr>
          <w:lang w:eastAsia="ja-JP"/>
        </w:rPr>
        <w:t>Didėjantis</w:t>
      </w:r>
      <w:r w:rsidR="00DB0EAC" w:rsidRPr="00EA0BB9">
        <w:rPr>
          <w:lang w:eastAsia="ja-JP"/>
        </w:rPr>
        <w:t xml:space="preserve"> CIV nurodo, kad verslo gamybiniai pajėgumai ateityje generuos naudą, net jei rinkoje to dar nesimato. Tuo tarpu mažėjantis CIV gali parodyti, kad įmonės investicijos į nematerialųjį turtą nepasiteisina, arba kad vis dar per daug investuojama į materialųjį turtą</w:t>
      </w:r>
      <w:r w:rsidR="00EA0BB9" w:rsidRPr="00EA0BB9">
        <w:rPr>
          <w:lang w:eastAsia="ja-JP"/>
        </w:rPr>
        <w:t xml:space="preserve"> </w:t>
      </w:r>
      <w:r w:rsidR="00903FEC">
        <w:rPr>
          <w:i/>
          <w:lang w:eastAsia="ja-JP"/>
        </w:rPr>
        <w:t>(Marr et al.</w:t>
      </w:r>
      <w:r w:rsidR="00EA0BB9" w:rsidRPr="00EA0BB9">
        <w:rPr>
          <w:i/>
          <w:lang w:eastAsia="ja-JP"/>
        </w:rPr>
        <w:t>, 2003)</w:t>
      </w:r>
      <w:r w:rsidR="00DB0EAC" w:rsidRPr="00EA0BB9">
        <w:rPr>
          <w:lang w:eastAsia="ja-JP"/>
        </w:rPr>
        <w:t xml:space="preserve">. </w:t>
      </w:r>
    </w:p>
    <w:p w:rsidR="00DB0EAC" w:rsidRPr="00287296" w:rsidRDefault="00EA0BB9" w:rsidP="000C528B">
      <w:pPr>
        <w:spacing w:line="360" w:lineRule="auto"/>
        <w:ind w:firstLine="567"/>
        <w:jc w:val="both"/>
        <w:rPr>
          <w:color w:val="FF0000"/>
          <w:lang w:eastAsia="ja-JP"/>
        </w:rPr>
      </w:pPr>
      <w:r w:rsidRPr="00EA0BB9">
        <w:rPr>
          <w:lang w:eastAsia="ja-JP"/>
        </w:rPr>
        <w:t>Šiame magistriniame darbe siekiama siekiama</w:t>
      </w:r>
      <w:r w:rsidR="00DB0EAC" w:rsidRPr="00EA0BB9">
        <w:rPr>
          <w:lang w:eastAsia="ja-JP"/>
        </w:rPr>
        <w:t xml:space="preserve"> pamatyti bendras įmonės intelektinio kapitalo tendencijas</w:t>
      </w:r>
      <w:r w:rsidRPr="00EA0BB9">
        <w:rPr>
          <w:lang w:eastAsia="ja-JP"/>
        </w:rPr>
        <w:t>, todėl rodikliai</w:t>
      </w:r>
      <w:r w:rsidR="00DB0EAC" w:rsidRPr="00EA0BB9">
        <w:rPr>
          <w:lang w:eastAsia="ja-JP"/>
        </w:rPr>
        <w:t xml:space="preserve"> </w:t>
      </w:r>
      <w:r w:rsidRPr="00EA0BB9">
        <w:rPr>
          <w:lang w:eastAsia="ja-JP"/>
        </w:rPr>
        <w:t>pagal CIV metodo skaičiavimo etapus skaičiuojami</w:t>
      </w:r>
      <w:r>
        <w:rPr>
          <w:lang w:eastAsia="ja-JP"/>
        </w:rPr>
        <w:t xml:space="preserve"> ne 3 metų vidurkiui, o </w:t>
      </w:r>
      <w:r w:rsidRPr="00EA0BB9">
        <w:rPr>
          <w:lang w:eastAsia="ja-JP"/>
        </w:rPr>
        <w:t>naudojant</w:t>
      </w:r>
      <w:r w:rsidR="00DB0EAC" w:rsidRPr="00EA0BB9">
        <w:rPr>
          <w:lang w:eastAsia="ja-JP"/>
        </w:rPr>
        <w:t xml:space="preserve"> metinius </w:t>
      </w:r>
      <w:r>
        <w:rPr>
          <w:lang w:eastAsia="ja-JP"/>
        </w:rPr>
        <w:t xml:space="preserve">įmonių </w:t>
      </w:r>
      <w:r w:rsidR="00DB0EAC" w:rsidRPr="00EA0BB9">
        <w:rPr>
          <w:lang w:eastAsia="ja-JP"/>
        </w:rPr>
        <w:t xml:space="preserve">duomenis. </w:t>
      </w:r>
      <w:r>
        <w:rPr>
          <w:lang w:eastAsia="ja-JP"/>
        </w:rPr>
        <w:t xml:space="preserve">CIV skaičiavimui taip pat reikalingi ir sektoriaus rodikliai, </w:t>
      </w:r>
      <w:r w:rsidRPr="00A64BF3">
        <w:rPr>
          <w:lang w:eastAsia="ja-JP"/>
        </w:rPr>
        <w:t xml:space="preserve">kuriems priskiriami </w:t>
      </w:r>
      <w:r w:rsidR="005A1EF1" w:rsidRPr="00A64BF3">
        <w:rPr>
          <w:lang w:eastAsia="ja-JP"/>
        </w:rPr>
        <w:t xml:space="preserve">Lietuvos Respublikos </w:t>
      </w:r>
      <w:r w:rsidRPr="00A64BF3">
        <w:rPr>
          <w:lang w:eastAsia="ja-JP"/>
        </w:rPr>
        <w:t>Statistikos departamento</w:t>
      </w:r>
      <w:r w:rsidR="00F27161">
        <w:rPr>
          <w:lang w:eastAsia="ja-JP"/>
        </w:rPr>
        <w:t xml:space="preserve"> (toliau – Statistikos departamentas)</w:t>
      </w:r>
      <w:r w:rsidRPr="00A64BF3">
        <w:rPr>
          <w:lang w:eastAsia="ja-JP"/>
        </w:rPr>
        <w:t xml:space="preserve"> </w:t>
      </w:r>
      <w:r w:rsidR="005A1EF1" w:rsidRPr="00A64BF3">
        <w:rPr>
          <w:lang w:eastAsia="ja-JP"/>
        </w:rPr>
        <w:t xml:space="preserve">skelbiamis </w:t>
      </w:r>
      <w:r w:rsidRPr="00A64BF3">
        <w:rPr>
          <w:lang w:eastAsia="ja-JP"/>
        </w:rPr>
        <w:t>ekonominės veiklos rūšies rodikliai.</w:t>
      </w:r>
      <w:r w:rsidR="00A64BF3" w:rsidRPr="00A64BF3">
        <w:rPr>
          <w:lang w:eastAsia="ja-JP"/>
        </w:rPr>
        <w:t xml:space="preserve"> Kokia šaka ir jos rodikliai priskiriami atskirai nagrinėjamai įmonei yra pažymėta 6 priede.</w:t>
      </w:r>
      <w:r w:rsidR="00A64BF3">
        <w:rPr>
          <w:color w:val="FF0000"/>
          <w:lang w:eastAsia="ja-JP"/>
        </w:rPr>
        <w:t xml:space="preserve"> </w:t>
      </w:r>
    </w:p>
    <w:p w:rsidR="00DB0EAC" w:rsidRDefault="002F5867" w:rsidP="00A64BF3">
      <w:pPr>
        <w:spacing w:line="360" w:lineRule="auto"/>
        <w:ind w:firstLine="567"/>
        <w:jc w:val="both"/>
        <w:rPr>
          <w:lang w:eastAsia="ja-JP"/>
        </w:rPr>
      </w:pPr>
      <w:r w:rsidRPr="00287296">
        <w:rPr>
          <w:lang w:eastAsia="ja-JP"/>
        </w:rPr>
        <w:t xml:space="preserve">Autorių rekomenduojamas rodiklis </w:t>
      </w:r>
      <w:r w:rsidR="00D76928">
        <w:rPr>
          <w:lang w:eastAsia="ja-JP"/>
        </w:rPr>
        <w:t xml:space="preserve">ir įvardintas kaip </w:t>
      </w:r>
      <w:r w:rsidRPr="00287296">
        <w:rPr>
          <w:i/>
          <w:lang w:eastAsia="ja-JP"/>
        </w:rPr>
        <w:t>kapitalo kaina</w:t>
      </w:r>
      <w:r w:rsidRPr="00287296">
        <w:rPr>
          <w:lang w:eastAsia="ja-JP"/>
        </w:rPr>
        <w:t>, išreikštas procentine išraiška, tačiau tikslus šio rodik</w:t>
      </w:r>
      <w:r w:rsidR="00BF3E79">
        <w:rPr>
          <w:lang w:eastAsia="ja-JP"/>
        </w:rPr>
        <w:t xml:space="preserve">lio skaičiavimas nenurodytas. </w:t>
      </w:r>
      <w:r w:rsidR="00287296">
        <w:rPr>
          <w:lang w:eastAsia="ja-JP"/>
        </w:rPr>
        <w:t>Todėl kapitalo grąžą, laikome pelningumu, o kapitalo grąžai nustatyti naudojamas kapitalo aktyvų įkainojimo modelis CAMP (</w:t>
      </w:r>
      <w:r w:rsidR="00287296" w:rsidRPr="00287296">
        <w:rPr>
          <w:i/>
          <w:lang w:eastAsia="ja-JP"/>
        </w:rPr>
        <w:t>angl.</w:t>
      </w:r>
      <w:r w:rsidR="00287296">
        <w:rPr>
          <w:lang w:eastAsia="ja-JP"/>
        </w:rPr>
        <w:t xml:space="preserve"> Capital assets pricing model), kuris apskaičiuojamas:</w:t>
      </w:r>
    </w:p>
    <w:p w:rsidR="002F5867" w:rsidRPr="000C528B" w:rsidRDefault="00287296" w:rsidP="00DB0EAC">
      <w:pPr>
        <w:spacing w:line="360" w:lineRule="auto"/>
        <w:rPr>
          <w:lang w:eastAsia="ja-JP"/>
        </w:rPr>
      </w:pPr>
      <m:oMath>
        <m:r>
          <w:rPr>
            <w:rFonts w:ascii="Cambria Math" w:hAnsi="Cambria Math"/>
            <w:lang w:eastAsia="ja-JP"/>
          </w:rPr>
          <m:t>C</m:t>
        </m:r>
        <m:r>
          <w:rPr>
            <w:rFonts w:ascii="Cambria Math" w:hAnsi="Cambria Math" w:cs="Cambria Math"/>
            <w:lang w:eastAsia="ja-JP"/>
          </w:rPr>
          <m:t>AMP=</m:t>
        </m:r>
        <m:sSub>
          <m:sSubPr>
            <m:ctrlPr>
              <w:rPr>
                <w:rFonts w:ascii="Cambria Math" w:hAnsi="Cambria Math" w:cs="Cambria Math"/>
                <w:i/>
                <w:lang w:eastAsia="ja-JP"/>
              </w:rPr>
            </m:ctrlPr>
          </m:sSubPr>
          <m:e>
            <m:r>
              <w:rPr>
                <w:rFonts w:ascii="Cambria Math" w:hAnsi="Cambria Math" w:cs="Cambria Math"/>
                <w:lang w:eastAsia="ja-JP"/>
              </w:rPr>
              <m:t>r</m:t>
            </m:r>
          </m:e>
          <m:sub>
            <m:r>
              <w:rPr>
                <w:rFonts w:ascii="Cambria Math" w:hAnsi="Cambria Math" w:cs="Cambria Math"/>
                <w:lang w:eastAsia="ja-JP"/>
              </w:rPr>
              <m:t>f</m:t>
            </m:r>
          </m:sub>
        </m:sSub>
        <m:r>
          <w:rPr>
            <w:rFonts w:ascii="Cambria Math" w:hAnsi="Cambria Math" w:cs="Cambria Math"/>
            <w:lang w:eastAsia="ja-JP"/>
          </w:rPr>
          <m:t>+β×</m:t>
        </m:r>
        <m:r>
          <w:rPr>
            <w:rFonts w:ascii="Cambria Math" w:hAnsi="Cambria Math"/>
            <w:lang w:eastAsia="ja-JP"/>
          </w:rPr>
          <m:t>(</m:t>
        </m:r>
        <m:sSub>
          <m:sSubPr>
            <m:ctrlPr>
              <w:rPr>
                <w:rFonts w:ascii="Cambria Math" w:hAnsi="Cambria Math" w:cs="Cambria Math"/>
                <w:i/>
                <w:lang w:eastAsia="ja-JP"/>
              </w:rPr>
            </m:ctrlPr>
          </m:sSubPr>
          <m:e>
            <m:r>
              <w:rPr>
                <w:rFonts w:ascii="Cambria Math" w:hAnsi="Cambria Math" w:cs="Cambria Math"/>
                <w:lang w:eastAsia="ja-JP"/>
              </w:rPr>
              <m:t>r</m:t>
            </m:r>
          </m:e>
          <m:sub>
            <m:r>
              <w:rPr>
                <w:rFonts w:ascii="Cambria Math" w:hAnsi="Cambria Math" w:cs="Cambria Math"/>
                <w:lang w:eastAsia="ja-JP"/>
              </w:rPr>
              <m:t>m</m:t>
            </m:r>
          </m:sub>
        </m:sSub>
        <m:r>
          <w:rPr>
            <w:rFonts w:ascii="Cambria Math" w:hAnsi="Cambria Math" w:cs="Cambria Math"/>
            <w:lang w:eastAsia="ja-JP"/>
          </w:rPr>
          <m:t>-</m:t>
        </m:r>
        <m:sSub>
          <m:sSubPr>
            <m:ctrlPr>
              <w:rPr>
                <w:rFonts w:ascii="Cambria Math" w:hAnsi="Cambria Math" w:cs="Cambria Math"/>
                <w:i/>
                <w:lang w:eastAsia="ja-JP"/>
              </w:rPr>
            </m:ctrlPr>
          </m:sSubPr>
          <m:e>
            <m:r>
              <w:rPr>
                <w:rFonts w:ascii="Cambria Math" w:hAnsi="Cambria Math" w:cs="Cambria Math"/>
                <w:lang w:eastAsia="ja-JP"/>
              </w:rPr>
              <m:t>r</m:t>
            </m:r>
          </m:e>
          <m:sub>
            <m:r>
              <w:rPr>
                <w:rFonts w:ascii="Cambria Math" w:hAnsi="Cambria Math" w:cs="Cambria Math"/>
                <w:lang w:eastAsia="ja-JP"/>
              </w:rPr>
              <m:t>f</m:t>
            </m:r>
          </m:sub>
        </m:sSub>
        <m:r>
          <w:rPr>
            <w:rFonts w:ascii="Cambria Math" w:hAnsi="Cambria Math"/>
            <w:lang w:eastAsia="ja-JP"/>
          </w:rPr>
          <m:t>)</m:t>
        </m:r>
      </m:oMath>
      <w:r w:rsidR="000C528B">
        <w:rPr>
          <w:i/>
          <w:lang w:eastAsia="ja-JP"/>
        </w:rPr>
        <w:t xml:space="preserve">       </w:t>
      </w:r>
      <w:r w:rsidR="006B5D1A">
        <w:rPr>
          <w:lang w:eastAsia="ja-JP"/>
        </w:rPr>
        <w:t xml:space="preserve">      (14</w:t>
      </w:r>
      <w:r w:rsidR="000C528B">
        <w:rPr>
          <w:lang w:eastAsia="ja-JP"/>
        </w:rPr>
        <w:t>)</w:t>
      </w:r>
    </w:p>
    <w:p w:rsidR="000C528B" w:rsidRDefault="000C528B" w:rsidP="00A64BF3">
      <w:pPr>
        <w:spacing w:line="360" w:lineRule="auto"/>
        <w:jc w:val="both"/>
      </w:pPr>
      <w:r w:rsidRPr="000C528B">
        <w:t>kur</w:t>
      </w:r>
      <w:r w:rsidR="00DB0EAC" w:rsidRPr="000C528B">
        <w:t xml:space="preserve">  </w:t>
      </w:r>
      <w:r w:rsidRPr="000C528B">
        <w:tab/>
        <w:t>r</w:t>
      </w:r>
      <w:r w:rsidR="00DB0EAC" w:rsidRPr="000C528B">
        <w:rPr>
          <w:vertAlign w:val="subscript"/>
        </w:rPr>
        <w:t xml:space="preserve">f </w:t>
      </w:r>
      <w:r w:rsidR="00DB0EAC" w:rsidRPr="000C528B">
        <w:t xml:space="preserve"> - tai nerizikinga palūkanų norma šalyje (ilgalaikių vyriausybės </w:t>
      </w:r>
      <w:r w:rsidRPr="000C528B">
        <w:t xml:space="preserve">obligacijų metinis pelningumas), </w:t>
      </w:r>
    </w:p>
    <w:p w:rsidR="00DB0EAC" w:rsidRPr="000C528B" w:rsidRDefault="000C528B" w:rsidP="00A64BF3">
      <w:pPr>
        <w:spacing w:line="360" w:lineRule="auto"/>
        <w:ind w:firstLine="567"/>
        <w:jc w:val="both"/>
      </w:pPr>
      <w:r w:rsidRPr="000C528B">
        <w:t>r</w:t>
      </w:r>
      <w:r w:rsidRPr="000C528B">
        <w:rPr>
          <w:vertAlign w:val="subscript"/>
        </w:rPr>
        <w:t>m</w:t>
      </w:r>
      <w:r w:rsidRPr="000C528B">
        <w:t xml:space="preserve"> – vidutinė metinė rinkos grąža</w:t>
      </w:r>
      <w:r>
        <w:t>,</w:t>
      </w:r>
    </w:p>
    <w:p w:rsidR="00DB0EAC" w:rsidRPr="000C528B" w:rsidRDefault="00DB0EAC" w:rsidP="00A64BF3">
      <w:pPr>
        <w:spacing w:line="360" w:lineRule="auto"/>
        <w:ind w:firstLine="567"/>
        <w:jc w:val="both"/>
      </w:pPr>
      <w:r w:rsidRPr="000C528B">
        <w:t>β – aktyvo rizikos matas (nusako nagrinėjamo aktyvo rizikos lygį ly</w:t>
      </w:r>
      <w:r w:rsidR="000C528B">
        <w:t xml:space="preserve">ginant su bendra rinkos rizika). </w:t>
      </w:r>
    </w:p>
    <w:p w:rsidR="00DB0EAC" w:rsidRPr="005A1EF1" w:rsidRDefault="00245240" w:rsidP="00A64BF3">
      <w:pPr>
        <w:spacing w:line="360" w:lineRule="auto"/>
        <w:ind w:firstLine="567"/>
        <w:jc w:val="both"/>
      </w:pPr>
      <w:r>
        <w:t xml:space="preserve">Tačiau vertinant kapitalo grąžą šiuo metodu reikalingi ilgo laikotarpio duomenys. </w:t>
      </w:r>
      <w:r w:rsidR="00BE062F">
        <w:t>OMX Vilnius</w:t>
      </w:r>
      <w:r>
        <w:t xml:space="preserve"> vertybinių </w:t>
      </w:r>
      <w:r w:rsidRPr="005A1EF1">
        <w:t xml:space="preserve">popierių biržoje vertybiniais popieriais pradėta prekiauti tik ekonomikos pakilimo metu, todėl norint rodiklį β įvertinti tinkamai esant </w:t>
      </w:r>
      <w:r w:rsidR="00AE4A57" w:rsidRPr="005A1EF1">
        <w:t>trumpam laikotarpiui, imtasi sk</w:t>
      </w:r>
      <w:r w:rsidR="00BF3E79">
        <w:t>aičiuoti laukiamą kapitalo grąžą</w:t>
      </w:r>
      <w:r w:rsidR="00AE4A57" w:rsidRPr="005A1EF1">
        <w:t xml:space="preserve"> visoms įmonėms kartu, kuri pri</w:t>
      </w:r>
      <w:r w:rsidR="00BE062F">
        <w:t>lyginta vidutinei metinei OMX Vilni</w:t>
      </w:r>
      <w:r w:rsidR="00AE4A57" w:rsidRPr="005A1EF1">
        <w:t>us vertybinių popierių biržos rinkos grąžai 2000 – 2012 metais. Rizikos matas prilyginamas – 1-ui. Tuo tarpu, CAMP įvertis lygus laukiamai kapitalo grąžai Vilniaus vertybinių popierių biržos rink</w:t>
      </w:r>
      <w:r w:rsidR="00D76928" w:rsidRPr="005A1EF1">
        <w:t>oje, kai 2000 metų pradžioje</w:t>
      </w:r>
      <w:r w:rsidR="00AE4A57" w:rsidRPr="005A1EF1">
        <w:t xml:space="preserve"> Vilniaus vertybinių popierių biržos indekso vertė buvo 100 bazinių punktų,  </w:t>
      </w:r>
      <w:r w:rsidRPr="005A1EF1">
        <w:t>o 2012 metų gruodžio 31 d. – 355,08</w:t>
      </w:r>
      <w:r w:rsidR="00DB0EAC" w:rsidRPr="005A1EF1">
        <w:t xml:space="preserve">. </w:t>
      </w:r>
      <w:r w:rsidR="00AE4A57" w:rsidRPr="005A1EF1">
        <w:t>Todėl v</w:t>
      </w:r>
      <w:r w:rsidR="00DB0EAC" w:rsidRPr="005A1EF1">
        <w:t xml:space="preserve">idutinė metinė kaupiamoji </w:t>
      </w:r>
      <w:r w:rsidR="00BE062F">
        <w:t>OMX Vilni</w:t>
      </w:r>
      <w:r w:rsidR="00AE4A57" w:rsidRPr="005A1EF1">
        <w:t xml:space="preserve">us vertybinių popierių biržos indekso </w:t>
      </w:r>
      <w:r w:rsidR="00DB0EAC" w:rsidRPr="005A1EF1">
        <w:t>grąža CAGR (</w:t>
      </w:r>
      <w:r w:rsidR="00DB0EAC" w:rsidRPr="005A1EF1">
        <w:rPr>
          <w:i/>
        </w:rPr>
        <w:t>angl</w:t>
      </w:r>
      <w:r w:rsidR="00AE4A57" w:rsidRPr="005A1EF1">
        <w:rPr>
          <w:i/>
        </w:rPr>
        <w:t>.</w:t>
      </w:r>
      <w:r w:rsidR="00AE4A57" w:rsidRPr="005A1EF1">
        <w:t xml:space="preserve"> C</w:t>
      </w:r>
      <w:r w:rsidR="00DB0EAC" w:rsidRPr="005A1EF1">
        <w:t>ompound annual growth rate) vertinamu laikotarpiu siekė:</w:t>
      </w:r>
    </w:p>
    <w:p w:rsidR="00DB0EAC" w:rsidRPr="00E1207F" w:rsidRDefault="00A64BF3" w:rsidP="00DB0EAC">
      <w:pPr>
        <w:spacing w:line="360" w:lineRule="auto"/>
      </w:pPr>
      <w:r>
        <w:t xml:space="preserve">                                          </w:t>
      </w:r>
      <w:r w:rsidR="00DB0EAC" w:rsidRPr="005A1EF1">
        <w:t xml:space="preserve"> </w:t>
      </w:r>
      <m:oMath>
        <m:r>
          <w:rPr>
            <w:rFonts w:ascii="Cambria Math" w:hAnsi="Cambria Math"/>
          </w:rPr>
          <m:t>CAGR=</m:t>
        </m:r>
        <m:d>
          <m:dPr>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355,08</m:t>
                        </m:r>
                      </m:num>
                      <m:den>
                        <m:r>
                          <w:rPr>
                            <w:rFonts w:ascii="Cambria Math" w:hAnsi="Cambria Math"/>
                          </w:rPr>
                          <m:t>100,00</m:t>
                        </m:r>
                      </m:den>
                    </m:f>
                  </m:e>
                </m:d>
              </m:e>
              <m:sup>
                <m:f>
                  <m:fPr>
                    <m:ctrlPr>
                      <w:rPr>
                        <w:rFonts w:ascii="Cambria Math" w:hAnsi="Cambria Math"/>
                        <w:i/>
                      </w:rPr>
                    </m:ctrlPr>
                  </m:fPr>
                  <m:num>
                    <m:r>
                      <w:rPr>
                        <w:rFonts w:ascii="Cambria Math" w:hAnsi="Cambria Math"/>
                      </w:rPr>
                      <m:t>1</m:t>
                    </m:r>
                  </m:num>
                  <m:den>
                    <m:r>
                      <w:rPr>
                        <w:rFonts w:ascii="Cambria Math" w:hAnsi="Cambria Math"/>
                      </w:rPr>
                      <m:t>13</m:t>
                    </m:r>
                  </m:den>
                </m:f>
              </m:sup>
            </m:sSup>
            <m:r>
              <w:rPr>
                <w:rFonts w:ascii="Cambria Math" w:hAnsi="Cambria Math"/>
              </w:rPr>
              <m:t>-1</m:t>
            </m:r>
          </m:e>
        </m:d>
        <m:r>
          <w:rPr>
            <w:rFonts w:ascii="Cambria Math" w:hAnsi="Cambria Math"/>
          </w:rPr>
          <m:t>×10</m:t>
        </m:r>
        <m:r>
          <m:rPr>
            <m:sty m:val="p"/>
          </m:rPr>
          <w:rPr>
            <w:rFonts w:ascii="Cambria Math" w:hAnsi="Cambria Math"/>
          </w:rPr>
          <m:t>0%=10,24%</m:t>
        </m:r>
        <m:r>
          <w:rPr>
            <w:rFonts w:ascii="Cambria Math" w:hAnsi="Cambria Math"/>
          </w:rPr>
          <m:t>.</m:t>
        </m:r>
      </m:oMath>
    </w:p>
    <w:p w:rsidR="00E1207F" w:rsidRDefault="00E1207F" w:rsidP="00DB0EAC">
      <w:pPr>
        <w:spacing w:line="360" w:lineRule="auto"/>
      </w:pPr>
      <w:r>
        <w:t xml:space="preserve">Analogiškai apskaičiuota ir </w:t>
      </w:r>
      <w:r w:rsidR="00BE062F">
        <w:t>OMX Talinas</w:t>
      </w:r>
      <w:r>
        <w:t xml:space="preserve"> vertybinių popierių biržos indekso grąža</w:t>
      </w:r>
      <w:r w:rsidR="00E10AC8">
        <w:t xml:space="preserve"> minėtu laikotarpiu</w:t>
      </w:r>
      <w:r>
        <w:t>:</w:t>
      </w:r>
    </w:p>
    <w:p w:rsidR="00E1207F" w:rsidRPr="00E10AC8" w:rsidRDefault="00E1207F" w:rsidP="00DB0EAC">
      <w:pPr>
        <w:spacing w:line="360" w:lineRule="auto"/>
      </w:pPr>
      <m:oMathPara>
        <m:oMathParaPr>
          <m:jc m:val="center"/>
        </m:oMathParaPr>
        <m:oMath>
          <m:r>
            <w:rPr>
              <w:rFonts w:ascii="Cambria Math" w:hAnsi="Cambria Math"/>
            </w:rPr>
            <m:t>CAGR</m:t>
          </m:r>
          <m:r>
            <w:rPr>
              <w:rFonts w:ascii="Cambria Math"/>
            </w:rPr>
            <m:t>=</m:t>
          </m:r>
          <m:d>
            <m:dPr>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rPr>
                            <m:t>734,20</m:t>
                          </m:r>
                        </m:num>
                        <m:den>
                          <m:r>
                            <w:rPr>
                              <w:rFonts w:ascii="Cambria Math"/>
                            </w:rPr>
                            <m:t>125,51</m:t>
                          </m:r>
                        </m:den>
                      </m:f>
                    </m:e>
                  </m:d>
                </m:e>
                <m:sup>
                  <m:f>
                    <m:fPr>
                      <m:ctrlPr>
                        <w:rPr>
                          <w:rFonts w:ascii="Cambria Math" w:hAnsi="Cambria Math"/>
                          <w:i/>
                        </w:rPr>
                      </m:ctrlPr>
                    </m:fPr>
                    <m:num>
                      <m:r>
                        <w:rPr>
                          <w:rFonts w:ascii="Cambria Math"/>
                        </w:rPr>
                        <m:t>1</m:t>
                      </m:r>
                    </m:num>
                    <m:den>
                      <m:r>
                        <w:rPr>
                          <w:rFonts w:ascii="Cambria Math"/>
                        </w:rPr>
                        <m:t>13</m:t>
                      </m:r>
                    </m:den>
                  </m:f>
                </m:sup>
              </m:sSup>
              <m:r>
                <w:rPr>
                  <w:rFonts w:ascii="Cambria Math" w:hAnsi="Cambria Math"/>
                </w:rPr>
                <m:t>-</m:t>
              </m:r>
              <m:r>
                <w:rPr>
                  <w:rFonts w:ascii="Cambria Math"/>
                </w:rPr>
                <m:t>1</m:t>
              </m:r>
            </m:e>
          </m:d>
          <m:r>
            <w:rPr>
              <w:rFonts w:ascii="Cambria Math"/>
            </w:rPr>
            <m:t>×</m:t>
          </m:r>
          <m:r>
            <w:rPr>
              <w:rFonts w:ascii="Cambria Math"/>
            </w:rPr>
            <m:t>10</m:t>
          </m:r>
          <m:r>
            <m:rPr>
              <m:sty m:val="p"/>
            </m:rPr>
            <w:rPr>
              <w:rFonts w:ascii="Cambria Math"/>
            </w:rPr>
            <m:t>0%=</m:t>
          </m:r>
          <m:r>
            <m:rPr>
              <m:sty m:val="p"/>
            </m:rPr>
            <w:rPr>
              <w:rFonts w:ascii="Cambria Math" w:hAnsi="Cambria Math"/>
            </w:rPr>
            <m:t>14,55</m:t>
          </m:r>
          <m:r>
            <m:rPr>
              <m:sty m:val="p"/>
            </m:rPr>
            <w:rPr>
              <w:rFonts w:ascii="Cambria Math"/>
            </w:rPr>
            <m:t>%</m:t>
          </m:r>
          <m:r>
            <w:rPr>
              <w:rFonts w:ascii="Cambria Math"/>
            </w:rPr>
            <m:t>.</m:t>
          </m:r>
        </m:oMath>
      </m:oMathPara>
    </w:p>
    <w:p w:rsidR="00435BA3" w:rsidRDefault="00D76928" w:rsidP="00435BA3">
      <w:pPr>
        <w:spacing w:line="360" w:lineRule="auto"/>
        <w:rPr>
          <w:b/>
        </w:rPr>
      </w:pPr>
      <w:r w:rsidRPr="005A1EF1">
        <w:t>Šis rodiklis</w:t>
      </w:r>
      <w:r w:rsidR="00DB0EAC" w:rsidRPr="005A1EF1">
        <w:t xml:space="preserve"> </w:t>
      </w:r>
      <w:r w:rsidRPr="005A1EF1">
        <w:t xml:space="preserve">bus </w:t>
      </w:r>
      <w:r w:rsidR="00DB0EAC" w:rsidRPr="005A1EF1">
        <w:t>naudo</w:t>
      </w:r>
      <w:r w:rsidRPr="005A1EF1">
        <w:t>jamas kaip įmonių kapitalo grąža</w:t>
      </w:r>
      <w:r w:rsidR="00DB0EAC" w:rsidRPr="005A1EF1">
        <w:t>.</w:t>
      </w:r>
    </w:p>
    <w:p w:rsidR="00BE2A22" w:rsidRPr="00435BA3" w:rsidRDefault="00435BA3" w:rsidP="00435BA3">
      <w:pPr>
        <w:spacing w:line="360" w:lineRule="auto"/>
        <w:jc w:val="center"/>
      </w:pPr>
      <w:r>
        <w:rPr>
          <w:b/>
        </w:rPr>
        <w:br w:type="column"/>
      </w:r>
      <w:r w:rsidR="00536246">
        <w:rPr>
          <w:b/>
        </w:rPr>
        <w:t>2.3</w:t>
      </w:r>
      <w:r w:rsidR="00BE2A22" w:rsidRPr="003E7CAC">
        <w:rPr>
          <w:b/>
        </w:rPr>
        <w:t>. Vertinamų įmonių atranka ir charakteristika</w:t>
      </w:r>
    </w:p>
    <w:p w:rsidR="00BE2A22" w:rsidRPr="003E7CAC" w:rsidRDefault="00BE2A22" w:rsidP="00435BA3">
      <w:pPr>
        <w:spacing w:line="360" w:lineRule="auto"/>
        <w:jc w:val="center"/>
        <w:rPr>
          <w:b/>
        </w:rPr>
      </w:pPr>
    </w:p>
    <w:p w:rsidR="00BE2A22" w:rsidRPr="003E7CAC"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sidRPr="003E7CAC">
        <w:rPr>
          <w:lang w:eastAsia="ja-JP"/>
        </w:rPr>
        <w:t>Palankiausia, kai intelektinio kapitalo vertinimaui reikalinga informacija prieinama viešai. Todėl atrenkant įmones buvo atsižvelgta į tai ir</w:t>
      </w:r>
      <w:r w:rsidR="00BF3E79">
        <w:rPr>
          <w:lang w:eastAsia="ja-JP"/>
        </w:rPr>
        <w:t xml:space="preserve"> nuspręsta, jog įmonės listinguoja</w:t>
      </w:r>
      <w:r w:rsidRPr="003E7CAC">
        <w:rPr>
          <w:lang w:eastAsia="ja-JP"/>
        </w:rPr>
        <w:t xml:space="preserve">mos akcijų biržoje reikalingą informaciją intelektinio kapitalo vertinimui pateikia bene skaidriausiu ir prieinamiausiu būdu. </w:t>
      </w:r>
      <w:r w:rsidRPr="003E7CAC">
        <w:rPr>
          <w:lang w:val="en-US"/>
        </w:rPr>
        <w:t>Informacija yra paimta iš 200</w:t>
      </w:r>
      <w:r w:rsidR="00227B53">
        <w:rPr>
          <w:lang w:val="en-US"/>
        </w:rPr>
        <w:t>9</w:t>
      </w:r>
      <w:r w:rsidRPr="003E7CAC">
        <w:rPr>
          <w:lang w:val="en-US"/>
        </w:rPr>
        <w:t xml:space="preserve"> – 2012 metų įmoni</w:t>
      </w:r>
      <w:r w:rsidR="007F49B2">
        <w:rPr>
          <w:lang w:val="en-US"/>
        </w:rPr>
        <w:t>ų pateiktų audituotų finansinių</w:t>
      </w:r>
      <w:r w:rsidRPr="003E7CAC">
        <w:rPr>
          <w:lang w:val="en-US"/>
        </w:rPr>
        <w:t xml:space="preserve"> ataska</w:t>
      </w:r>
      <w:r w:rsidR="007F49B2">
        <w:rPr>
          <w:lang w:val="en-US"/>
        </w:rPr>
        <w:t>itų</w:t>
      </w:r>
      <w:r w:rsidR="00BE062F">
        <w:rPr>
          <w:lang w:val="en-US"/>
        </w:rPr>
        <w:t>, kurias galima rasti OMX Vilni</w:t>
      </w:r>
      <w:r w:rsidRPr="003E7CAC">
        <w:rPr>
          <w:lang w:val="en-US"/>
        </w:rPr>
        <w:t>us vertybinių popierių biržos</w:t>
      </w:r>
      <w:r w:rsidR="00694612">
        <w:rPr>
          <w:lang w:val="en-US"/>
        </w:rPr>
        <w:t xml:space="preserve"> </w:t>
      </w:r>
      <w:r w:rsidRPr="003E7CAC">
        <w:rPr>
          <w:lang w:val="en-US"/>
        </w:rPr>
        <w:t>intert</w:t>
      </w:r>
      <w:r w:rsidR="00694612">
        <w:rPr>
          <w:lang w:val="en-US"/>
        </w:rPr>
        <w:t xml:space="preserve">etinėje sistemoje. Pasirinktos </w:t>
      </w:r>
      <w:r w:rsidR="00BE062F">
        <w:rPr>
          <w:lang w:val="en-US"/>
        </w:rPr>
        <w:t xml:space="preserve">listinguojamų </w:t>
      </w:r>
      <w:r w:rsidR="00694612">
        <w:rPr>
          <w:lang w:val="en-US"/>
        </w:rPr>
        <w:t>10 įmonių</w:t>
      </w:r>
      <w:r w:rsidRPr="003E7CAC">
        <w:rPr>
          <w:lang w:val="en-US"/>
        </w:rPr>
        <w:t xml:space="preserve">, iš 16 šiuo metu skelbiamų listinguojamų įmonių biržos </w:t>
      </w:r>
      <w:r w:rsidR="00BE062F">
        <w:rPr>
          <w:lang w:val="en-US"/>
        </w:rPr>
        <w:t xml:space="preserve">reguliuojamoje rinkoje </w:t>
      </w:r>
      <w:r w:rsidRPr="003E7CAC">
        <w:rPr>
          <w:lang w:val="en-US"/>
        </w:rPr>
        <w:t xml:space="preserve">Oficialiajame sąraše. </w:t>
      </w:r>
    </w:p>
    <w:p w:rsidR="00BE2A22" w:rsidRPr="003E7CAC"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sidRPr="003E7CAC">
        <w:rPr>
          <w:lang w:val="en-US"/>
        </w:rPr>
        <w:t xml:space="preserve">Pabrėžiama, jog įmonės buvo atrinktos pagal tokius kriterijus: </w:t>
      </w:r>
    </w:p>
    <w:p w:rsidR="00BE2A22" w:rsidRPr="003E7CAC" w:rsidRDefault="007F49B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Pr>
          <w:lang w:val="en-US"/>
        </w:rPr>
        <w:t>1) tos, kurios nėra nuostolingos, t. y. nė</w:t>
      </w:r>
      <w:r w:rsidR="00BE2A22" w:rsidRPr="003E7CAC">
        <w:rPr>
          <w:lang w:val="en-US"/>
        </w:rPr>
        <w:t>ra užfiksuota nuostolio pelno (nuostolio) ataskaitose daugia</w:t>
      </w:r>
      <w:r>
        <w:rPr>
          <w:lang w:val="en-US"/>
        </w:rPr>
        <w:t>u nei 1 kartą per visus nagrinė</w:t>
      </w:r>
      <w:r w:rsidR="00BE2A22" w:rsidRPr="003E7CAC">
        <w:rPr>
          <w:lang w:val="en-US"/>
        </w:rPr>
        <w:t>tus metus;</w:t>
      </w:r>
    </w:p>
    <w:p w:rsidR="00BE2A22" w:rsidRPr="003E7CAC" w:rsidRDefault="007F49B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Pr>
          <w:lang w:val="en-US"/>
        </w:rPr>
        <w:t>2) tos, kurių</w:t>
      </w:r>
      <w:r w:rsidR="00BE2A22" w:rsidRPr="003E7CAC">
        <w:rPr>
          <w:lang w:val="en-US"/>
        </w:rPr>
        <w:t xml:space="preserve"> informacija reikalinga pasirinktiems rodikliams apskaičiuoti (nurodyti kur tie rodikliai) ir yra vie</w:t>
      </w:r>
      <w:r w:rsidR="006F3F43">
        <w:rPr>
          <w:lang w:val="en-US"/>
        </w:rPr>
        <w:t>šai prieinama per ketverius</w:t>
      </w:r>
      <w:r w:rsidR="00BE2A22" w:rsidRPr="003E7CAC">
        <w:rPr>
          <w:lang w:val="en-US"/>
        </w:rPr>
        <w:t xml:space="preserve"> metus;</w:t>
      </w:r>
    </w:p>
    <w:p w:rsidR="00BE2A22" w:rsidRPr="003E7CAC"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sidRPr="003E7CAC">
        <w:rPr>
          <w:lang w:val="en-US"/>
        </w:rPr>
        <w:t>3) veiklos rezultatai pateikti atskiroje ataskaito</w:t>
      </w:r>
      <w:r w:rsidR="007F49B2">
        <w:rPr>
          <w:lang w:val="en-US"/>
        </w:rPr>
        <w:t>je (nekonsoliduota atskaitomybė). Nagrinė</w:t>
      </w:r>
      <w:r w:rsidRPr="003E7CAC">
        <w:rPr>
          <w:lang w:val="en-US"/>
        </w:rPr>
        <w:t>j</w:t>
      </w:r>
      <w:r w:rsidR="007F49B2">
        <w:rPr>
          <w:lang w:val="en-US"/>
        </w:rPr>
        <w:t>ama nekonsoliduota atskaitomybė tam, kad būtų galima spręsti apie įmonių rezultatus iš pagrindinės veiklos, atskiriant gautą pelną nuo dukterinių įmonių už</w:t>
      </w:r>
      <w:r w:rsidRPr="003E7CAC">
        <w:rPr>
          <w:lang w:val="en-US"/>
        </w:rPr>
        <w:t>dirbto pelno.</w:t>
      </w:r>
    </w:p>
    <w:p w:rsidR="00BE2A22" w:rsidRPr="003E7CAC"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eastAsia="ja-JP"/>
        </w:rPr>
      </w:pPr>
      <w:r w:rsidRPr="003E7CAC">
        <w:rPr>
          <w:lang w:eastAsia="ja-JP"/>
        </w:rPr>
        <w:t>Pasirinktas tyrimo laikotarpis –</w:t>
      </w:r>
      <w:r>
        <w:rPr>
          <w:color w:val="000090"/>
          <w:lang w:eastAsia="ja-JP"/>
        </w:rPr>
        <w:t xml:space="preserve"> </w:t>
      </w:r>
      <w:r w:rsidR="00F638B9" w:rsidRPr="005A1EF1">
        <w:rPr>
          <w:lang w:eastAsia="ja-JP"/>
        </w:rPr>
        <w:t>4</w:t>
      </w:r>
      <w:r w:rsidRPr="005A1EF1">
        <w:rPr>
          <w:lang w:eastAsia="ja-JP"/>
        </w:rPr>
        <w:t xml:space="preserve"> metai</w:t>
      </w:r>
      <w:r w:rsidRPr="003E7CAC">
        <w:rPr>
          <w:lang w:eastAsia="ja-JP"/>
        </w:rPr>
        <w:t xml:space="preserve">, </w:t>
      </w:r>
      <w:r w:rsidR="00E34A42">
        <w:rPr>
          <w:lang w:eastAsia="ja-JP"/>
        </w:rPr>
        <w:t>anksteniais nei 2009</w:t>
      </w:r>
      <w:r w:rsidRPr="003E7CAC">
        <w:rPr>
          <w:lang w:eastAsia="ja-JP"/>
        </w:rPr>
        <w:t xml:space="preserve"> metais įmonių ataskaitose buvo pateikiama ne visa aktuali informacija</w:t>
      </w:r>
      <w:r w:rsidR="00624C7A">
        <w:rPr>
          <w:lang w:eastAsia="ja-JP"/>
        </w:rPr>
        <w:t xml:space="preserve"> arba įmonė dirbo nuostolingai</w:t>
      </w:r>
      <w:r w:rsidRPr="003E7CAC">
        <w:rPr>
          <w:lang w:eastAsia="ja-JP"/>
        </w:rPr>
        <w:t>, o 2013 metų metiniai rezultatai neįtraukti į tyrimą nes daugelis įmonių dar nebuvo viešai paskelbę 2013 metų audituotų metinių finansinių ataskaitų ir metinių pranešimų, o paskelbti 12 mėnesių rezultatai nėra pakankamai išsamūs. Be to buvo įdomu paanalizuoti, kaip kito intelektinio kapitalo lygis ekonominio nuosmukio metu ir po jo.</w:t>
      </w:r>
    </w:p>
    <w:p w:rsidR="00BE2A22" w:rsidRPr="003E7CAC" w:rsidRDefault="00BF3E79"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Pr>
          <w:lang w:val="en-US"/>
        </w:rPr>
        <w:t>Pagal tuo laikotarpiu</w:t>
      </w:r>
      <w:r w:rsidR="00BE2A22" w:rsidRPr="003E7CAC">
        <w:rPr>
          <w:lang w:val="en-US"/>
        </w:rPr>
        <w:t xml:space="preserve"> listinguojamų įmonių sąrašą, įmonės kurios neatitinka tyrime iškeltų reikalavimų dėl įvairių priežasčių, nebuvo vertinamos. Į tyrimą neįtrauktos įmonės: </w:t>
      </w:r>
    </w:p>
    <w:p w:rsidR="00BE2A22" w:rsidRPr="003E7CAC" w:rsidRDefault="007F49B2" w:rsidP="00BE2A22">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lang w:val="en-US"/>
        </w:rPr>
        <w:t xml:space="preserve"> </w:t>
      </w:r>
      <w:r>
        <w:rPr>
          <w:lang w:val="en-US"/>
        </w:rPr>
        <w:tab/>
        <w:t>AB LESTO, nes pakeitė pavadinimą</w:t>
      </w:r>
      <w:r w:rsidR="00BE2A22" w:rsidRPr="003E7CAC">
        <w:rPr>
          <w:lang w:val="en-US"/>
        </w:rPr>
        <w:t xml:space="preserve"> ir registruota 2010 m. gruodžio 27 d. kaip naują įmonė, po to kai buvo sujungtos </w:t>
      </w:r>
      <w:r w:rsidR="00BE2A22" w:rsidRPr="003E7CAC">
        <w:rPr>
          <w:bCs/>
        </w:rPr>
        <w:t>AB „Rytų skirstomieji tinklai“ ir AB „Vakarų skirstomieji tinklai“;</w:t>
      </w:r>
    </w:p>
    <w:p w:rsidR="00BE2A22" w:rsidRPr="003E7CAC" w:rsidRDefault="00BE2A22" w:rsidP="00BE2A22">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sidRPr="003E7CAC">
        <w:rPr>
          <w:bCs/>
          <w:lang w:val="en-US"/>
        </w:rPr>
        <w:t xml:space="preserve"> </w:t>
      </w:r>
      <w:r w:rsidRPr="003E7CAC">
        <w:rPr>
          <w:bCs/>
          <w:lang w:val="en-US"/>
        </w:rPr>
        <w:tab/>
        <w:t xml:space="preserve">Lietuvos energijos gamyba, AB, kadangi </w:t>
      </w:r>
      <w:r w:rsidRPr="003E7CAC">
        <w:rPr>
          <w:lang w:val="en-US"/>
        </w:rPr>
        <w:t>įmonės registracijos data 2011 m. liepos 20 d.  ir tėra pateiktos tik dvi metinės ataskaitos;</w:t>
      </w:r>
    </w:p>
    <w:p w:rsidR="00BE2A22" w:rsidRPr="003E7CAC" w:rsidRDefault="00BE2A22" w:rsidP="00BE2A22">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sidRPr="003E7CAC">
        <w:rPr>
          <w:lang w:val="en-US"/>
        </w:rPr>
        <w:t xml:space="preserve">   </w:t>
      </w:r>
      <w:r w:rsidRPr="003E7CAC">
        <w:rPr>
          <w:bCs/>
          <w:lang w:val="en-US"/>
        </w:rPr>
        <w:t xml:space="preserve">AB „Linas Agro Group“, nes </w:t>
      </w:r>
      <w:r w:rsidRPr="003E7CAC">
        <w:rPr>
          <w:bCs/>
        </w:rPr>
        <w:t>įmonės finansiniai metai prasideda liepos 1 d.;</w:t>
      </w:r>
    </w:p>
    <w:p w:rsidR="00BE2A22" w:rsidRPr="003E7CAC" w:rsidRDefault="00BE2A22" w:rsidP="00BE2A22">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sidRPr="003E7CAC">
        <w:rPr>
          <w:bCs/>
          <w:lang w:val="en-US"/>
        </w:rPr>
        <w:t xml:space="preserve">   AB </w:t>
      </w:r>
      <w:r w:rsidRPr="003E7CAC">
        <w:rPr>
          <w:lang w:val="en-US"/>
        </w:rPr>
        <w:t>Šiauliu bankas, del bankinės veiklos specifikos;</w:t>
      </w:r>
    </w:p>
    <w:p w:rsidR="00BE2A22" w:rsidRPr="003E7CAC" w:rsidRDefault="00BE2A22" w:rsidP="00BE2A22">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sidRPr="003E7CAC">
        <w:rPr>
          <w:bCs/>
          <w:lang w:val="en-US"/>
        </w:rPr>
        <w:t xml:space="preserve">   AB “Utenos trikotažas” veikė nuostolingai visa laikotarpį, išskyrus 2009 m. </w:t>
      </w:r>
    </w:p>
    <w:p w:rsidR="00BE2A22" w:rsidRPr="003E7CAC" w:rsidRDefault="00BE2A22" w:rsidP="00BE2A22">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sidRPr="003E7CAC">
        <w:rPr>
          <w:lang w:val="en-US"/>
        </w:rPr>
        <w:t xml:space="preserve">   AB “Invalda LT” patyrė nuostolius 2009 ir 2010 metais.</w:t>
      </w:r>
    </w:p>
    <w:p w:rsidR="00BE2A22" w:rsidRPr="003E7CAC" w:rsidRDefault="00BE2A22" w:rsidP="00BE2A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287"/>
        <w:jc w:val="both"/>
        <w:rPr>
          <w:lang w:val="en-US"/>
        </w:rPr>
      </w:pPr>
    </w:p>
    <w:p w:rsidR="00BE2A22" w:rsidRPr="003E7CAC" w:rsidRDefault="00E06CB3" w:rsidP="00BE2A22">
      <w:pPr>
        <w:spacing w:line="360" w:lineRule="auto"/>
        <w:ind w:firstLine="567"/>
        <w:jc w:val="both"/>
        <w:rPr>
          <w:lang w:eastAsia="ja-JP"/>
        </w:rPr>
      </w:pPr>
      <w:r>
        <w:rPr>
          <w:lang w:val="en-US"/>
        </w:rPr>
        <w:t>Dėl duomenų trū</w:t>
      </w:r>
      <w:r w:rsidR="00BE2A22" w:rsidRPr="003E7CAC">
        <w:rPr>
          <w:lang w:val="en-US"/>
        </w:rPr>
        <w:t xml:space="preserve">kumo </w:t>
      </w:r>
      <w:r>
        <w:rPr>
          <w:lang w:val="en-US"/>
        </w:rPr>
        <w:t>negalima tyrimo taikyti visoms įmonės. Dė</w:t>
      </w:r>
      <w:r w:rsidR="00BE2A22" w:rsidRPr="003E7CAC">
        <w:rPr>
          <w:lang w:val="en-US"/>
        </w:rPr>
        <w:t>l šios priežasties tyrimo metu tiriama didžioji dalis Oficialioj</w:t>
      </w:r>
      <w:r>
        <w:rPr>
          <w:lang w:val="en-US"/>
        </w:rPr>
        <w:t>o prekybos sąrašo įmonių, kurių veikla per nagrinė</w:t>
      </w:r>
      <w:r w:rsidR="00BF3E79">
        <w:rPr>
          <w:lang w:val="en-US"/>
        </w:rPr>
        <w:t>jamus ketverius</w:t>
      </w:r>
      <w:r w:rsidR="00BE2A22" w:rsidRPr="003E7CAC">
        <w:rPr>
          <w:lang w:val="en-US"/>
        </w:rPr>
        <w:t xml:space="preserve"> metus buvo stabili: </w:t>
      </w:r>
      <w:r w:rsidR="00BE2A22" w:rsidRPr="003E7CAC">
        <w:rPr>
          <w:lang w:eastAsia="ja-JP"/>
        </w:rPr>
        <w:t xml:space="preserve">APB „Apranga“, AB „City Service“, AB „Grigiškės“, AB „Lietuvos dujos“, AB „Panevėžio statybos trestas“, AB „Pieno žvaigždės“, AB „Rokiškio sūris“, TEO LT, AB, AB „Vilkyškių pieninė“ </w:t>
      </w:r>
      <w:r w:rsidR="006B5D1A">
        <w:rPr>
          <w:lang w:eastAsia="ja-JP"/>
        </w:rPr>
        <w:t>ir AB „Vilniaus baldai“ (žr. 4</w:t>
      </w:r>
      <w:r w:rsidR="00BE2A22" w:rsidRPr="003E7CAC">
        <w:rPr>
          <w:lang w:eastAsia="ja-JP"/>
        </w:rPr>
        <w:t xml:space="preserve"> lentelę).</w:t>
      </w:r>
    </w:p>
    <w:p w:rsidR="002A0DD9" w:rsidRDefault="002A0DD9" w:rsidP="007F49B2">
      <w:pPr>
        <w:spacing w:line="360" w:lineRule="auto"/>
        <w:ind w:firstLine="567"/>
        <w:jc w:val="right"/>
      </w:pPr>
    </w:p>
    <w:p w:rsidR="00BE2A22" w:rsidRPr="006B5D1A" w:rsidRDefault="006B5D1A" w:rsidP="00BE062F">
      <w:pPr>
        <w:spacing w:line="360" w:lineRule="auto"/>
        <w:jc w:val="center"/>
        <w:rPr>
          <w:b/>
        </w:rPr>
      </w:pPr>
      <w:r w:rsidRPr="006B5D1A">
        <w:rPr>
          <w:b/>
        </w:rPr>
        <w:t>4</w:t>
      </w:r>
      <w:r w:rsidR="00BE2A22" w:rsidRPr="006B5D1A">
        <w:rPr>
          <w:b/>
        </w:rPr>
        <w:t xml:space="preserve"> lentelė</w:t>
      </w:r>
      <w:r w:rsidRPr="006B5D1A">
        <w:rPr>
          <w:b/>
        </w:rPr>
        <w:t xml:space="preserve">. </w:t>
      </w:r>
      <w:r w:rsidR="00BE2A22" w:rsidRPr="006B5D1A">
        <w:rPr>
          <w:b/>
        </w:rPr>
        <w:t xml:space="preserve">Atrinktų įmonių </w:t>
      </w:r>
      <w:r w:rsidR="00BE062F">
        <w:rPr>
          <w:b/>
        </w:rPr>
        <w:t>listinguojamų OMX Vilni</w:t>
      </w:r>
      <w:r w:rsidR="0089399F" w:rsidRPr="006B5D1A">
        <w:rPr>
          <w:b/>
        </w:rPr>
        <w:t xml:space="preserve">us vertybinių popierių biržoje </w:t>
      </w:r>
      <w:r w:rsidR="00BE2A22" w:rsidRPr="006B5D1A">
        <w:rPr>
          <w:b/>
        </w:rPr>
        <w:t>aprašymas</w:t>
      </w:r>
    </w:p>
    <w:p w:rsidR="00BE2A22" w:rsidRPr="003E7CAC" w:rsidRDefault="00BE2A22" w:rsidP="00BE2A22">
      <w:pPr>
        <w:ind w:firstLine="567"/>
        <w:jc w:val="center"/>
        <w:rPr>
          <w:b/>
        </w:rPr>
      </w:pP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tblPr>
      <w:tblGrid>
        <w:gridCol w:w="1951"/>
        <w:gridCol w:w="8080"/>
      </w:tblGrid>
      <w:tr w:rsidR="00BE2A22" w:rsidRPr="003E7CAC" w:rsidTr="00BE2A22">
        <w:tc>
          <w:tcPr>
            <w:tcW w:w="1951" w:type="dxa"/>
            <w:tcBorders>
              <w:top w:val="single" w:sz="8" w:space="0" w:color="4BACC6"/>
              <w:left w:val="single" w:sz="8" w:space="0" w:color="4BACC6"/>
              <w:bottom w:val="single" w:sz="18" w:space="0" w:color="4BACC6"/>
              <w:right w:val="single" w:sz="8" w:space="0" w:color="4BACC6"/>
            </w:tcBorders>
            <w:shd w:val="clear" w:color="auto" w:fill="auto"/>
          </w:tcPr>
          <w:p w:rsidR="00BE2A22" w:rsidRPr="003E7CAC" w:rsidRDefault="00BE2A22" w:rsidP="00BE2A22">
            <w:pPr>
              <w:spacing w:line="276" w:lineRule="auto"/>
              <w:jc w:val="center"/>
              <w:rPr>
                <w:rFonts w:eastAsia="ＭＳ ゴシック"/>
                <w:b/>
                <w:bCs/>
                <w:i/>
                <w:sz w:val="20"/>
                <w:szCs w:val="20"/>
              </w:rPr>
            </w:pPr>
            <w:r w:rsidRPr="003E7CAC">
              <w:rPr>
                <w:rFonts w:eastAsia="ＭＳ ゴシック"/>
                <w:b/>
                <w:bCs/>
                <w:i/>
                <w:sz w:val="20"/>
                <w:szCs w:val="20"/>
              </w:rPr>
              <w:t>Įmonė</w:t>
            </w:r>
          </w:p>
        </w:tc>
        <w:tc>
          <w:tcPr>
            <w:tcW w:w="8080" w:type="dxa"/>
            <w:tcBorders>
              <w:top w:val="single" w:sz="8" w:space="0" w:color="4BACC6"/>
              <w:left w:val="single" w:sz="8" w:space="0" w:color="4BACC6"/>
              <w:bottom w:val="single" w:sz="18" w:space="0" w:color="4BACC6"/>
              <w:right w:val="single" w:sz="8" w:space="0" w:color="4BACC6"/>
            </w:tcBorders>
            <w:shd w:val="clear" w:color="auto" w:fill="auto"/>
          </w:tcPr>
          <w:p w:rsidR="00BE2A22" w:rsidRPr="003E7CAC" w:rsidRDefault="00BE2A22" w:rsidP="00BE2A22">
            <w:pPr>
              <w:jc w:val="center"/>
              <w:rPr>
                <w:rFonts w:eastAsia="ＭＳ ゴシック"/>
                <w:b/>
                <w:bCs/>
                <w:i/>
                <w:sz w:val="20"/>
                <w:szCs w:val="20"/>
              </w:rPr>
            </w:pPr>
            <w:r w:rsidRPr="003E7CAC">
              <w:rPr>
                <w:rFonts w:eastAsia="ＭＳ ゴシック"/>
                <w:b/>
                <w:bCs/>
                <w:i/>
                <w:sz w:val="20"/>
                <w:szCs w:val="20"/>
              </w:rPr>
              <w:t>Aprašymas</w:t>
            </w:r>
          </w:p>
        </w:tc>
      </w:tr>
      <w:tr w:rsidR="00BE2A22" w:rsidRPr="003E7CAC" w:rsidTr="00BE2A22">
        <w:tc>
          <w:tcPr>
            <w:tcW w:w="1951" w:type="dxa"/>
            <w:tcBorders>
              <w:top w:val="single" w:sz="8" w:space="0" w:color="4BACC6"/>
              <w:left w:val="single" w:sz="8" w:space="0" w:color="4BACC6"/>
              <w:bottom w:val="single" w:sz="8" w:space="0" w:color="4BACC6"/>
              <w:right w:val="single" w:sz="8" w:space="0" w:color="4BACC6"/>
            </w:tcBorders>
            <w:shd w:val="clear" w:color="auto" w:fill="D2EAF1"/>
          </w:tcPr>
          <w:p w:rsidR="00BE2A22" w:rsidRPr="003E7CAC" w:rsidRDefault="00BE2A22" w:rsidP="00BE2A22">
            <w:pPr>
              <w:spacing w:line="276" w:lineRule="auto"/>
              <w:jc w:val="center"/>
              <w:rPr>
                <w:rFonts w:eastAsia="ＭＳ ゴシック"/>
                <w:b/>
                <w:bCs/>
                <w:i/>
                <w:sz w:val="20"/>
                <w:szCs w:val="20"/>
                <w:lang w:eastAsia="ja-JP"/>
              </w:rPr>
            </w:pPr>
          </w:p>
          <w:p w:rsidR="00BE2A22" w:rsidRPr="003E7CAC" w:rsidRDefault="00BE2A22" w:rsidP="00BE2A22">
            <w:pPr>
              <w:spacing w:line="276" w:lineRule="auto"/>
              <w:jc w:val="center"/>
              <w:rPr>
                <w:rFonts w:eastAsia="ＭＳ ゴシック"/>
                <w:b/>
                <w:bCs/>
                <w:i/>
                <w:sz w:val="20"/>
                <w:szCs w:val="20"/>
                <w:lang w:eastAsia="ja-JP"/>
              </w:rPr>
            </w:pPr>
            <w:r w:rsidRPr="003E7CAC">
              <w:rPr>
                <w:rFonts w:eastAsia="ＭＳ ゴシック"/>
                <w:b/>
                <w:bCs/>
                <w:i/>
                <w:sz w:val="20"/>
                <w:szCs w:val="20"/>
                <w:lang w:eastAsia="ja-JP"/>
              </w:rPr>
              <w:t>APB „Apranga“</w:t>
            </w:r>
          </w:p>
          <w:p w:rsidR="00BE2A22" w:rsidRPr="003E7CAC" w:rsidRDefault="00BE2A22" w:rsidP="00B71046">
            <w:pPr>
              <w:spacing w:line="276" w:lineRule="auto"/>
              <w:jc w:val="center"/>
              <w:rPr>
                <w:rFonts w:eastAsia="ＭＳ ゴシック"/>
                <w:b/>
                <w:bCs/>
                <w:i/>
                <w:sz w:val="20"/>
                <w:szCs w:val="20"/>
                <w:lang w:eastAsia="ja-JP"/>
              </w:rPr>
            </w:pPr>
            <w:r w:rsidRPr="003E7CAC">
              <w:rPr>
                <w:rFonts w:eastAsia="ＭＳ ゴシック"/>
                <w:b/>
                <w:bCs/>
                <w:sz w:val="20"/>
                <w:szCs w:val="20"/>
                <w:lang w:eastAsia="ja-JP"/>
              </w:rPr>
              <w:t xml:space="preserve"> </w:t>
            </w:r>
          </w:p>
        </w:tc>
        <w:tc>
          <w:tcPr>
            <w:tcW w:w="8080" w:type="dxa"/>
            <w:tcBorders>
              <w:top w:val="single" w:sz="8" w:space="0" w:color="4BACC6"/>
              <w:left w:val="single" w:sz="8" w:space="0" w:color="4BACC6"/>
              <w:bottom w:val="single" w:sz="8" w:space="0" w:color="4BACC6"/>
              <w:right w:val="single" w:sz="8" w:space="0" w:color="4BACC6"/>
            </w:tcBorders>
            <w:shd w:val="clear" w:color="auto" w:fill="D2EAF1"/>
          </w:tcPr>
          <w:p w:rsidR="00BE2A22" w:rsidRPr="003E7CAC" w:rsidRDefault="00BE2A22" w:rsidP="00BE2A22">
            <w:pPr>
              <w:ind w:firstLine="459"/>
              <w:jc w:val="both"/>
              <w:rPr>
                <w:b/>
                <w:sz w:val="20"/>
                <w:szCs w:val="20"/>
                <w:lang w:eastAsia="ja-JP"/>
              </w:rPr>
            </w:pPr>
          </w:p>
          <w:p w:rsidR="00BE2A22" w:rsidRPr="003E7CAC" w:rsidRDefault="00BE2A22" w:rsidP="00BE2A22">
            <w:pPr>
              <w:ind w:firstLine="459"/>
              <w:jc w:val="both"/>
              <w:rPr>
                <w:sz w:val="20"/>
                <w:szCs w:val="20"/>
                <w:lang w:val="en-US"/>
              </w:rPr>
            </w:pPr>
            <w:r w:rsidRPr="003E7CAC">
              <w:rPr>
                <w:sz w:val="20"/>
                <w:szCs w:val="20"/>
                <w:lang w:val="en-US"/>
              </w:rPr>
              <w:t>Veiklos aprašymas: Mažmeninė prekyba  drabužiais.</w:t>
            </w:r>
          </w:p>
          <w:p w:rsidR="00BE2A22" w:rsidRPr="003E7CAC" w:rsidRDefault="00BE2A22" w:rsidP="00BE2A22">
            <w:pPr>
              <w:ind w:firstLine="459"/>
              <w:jc w:val="both"/>
              <w:rPr>
                <w:sz w:val="20"/>
                <w:szCs w:val="20"/>
                <w:lang w:eastAsia="ja-JP"/>
              </w:rPr>
            </w:pPr>
            <w:r w:rsidRPr="003E7CAC">
              <w:rPr>
                <w:sz w:val="20"/>
                <w:szCs w:val="20"/>
                <w:lang w:val="en-US"/>
              </w:rPr>
              <w:t>Kapitalizacija 139 335 739,20 EUR (2013.10.18).</w:t>
            </w:r>
          </w:p>
          <w:p w:rsidR="00BE2A22" w:rsidRPr="003E7CAC" w:rsidRDefault="00BE2A22" w:rsidP="00BE2A22">
            <w:pPr>
              <w:ind w:firstLine="459"/>
              <w:jc w:val="both"/>
              <w:rPr>
                <w:sz w:val="20"/>
                <w:szCs w:val="20"/>
                <w:lang w:val="en-US"/>
              </w:rPr>
            </w:pPr>
            <w:r w:rsidRPr="003E7CAC">
              <w:rPr>
                <w:sz w:val="20"/>
                <w:szCs w:val="20"/>
                <w:lang w:val="en-US"/>
              </w:rPr>
              <w:t>„Aprangos“ grupė – mažmeninės pr</w:t>
            </w:r>
            <w:r w:rsidR="004337C3">
              <w:rPr>
                <w:sz w:val="20"/>
                <w:szCs w:val="20"/>
                <w:lang w:val="en-US"/>
              </w:rPr>
              <w:t xml:space="preserve">ekybos lyderė Baltijos šalyse. </w:t>
            </w:r>
            <w:r w:rsidRPr="003E7CAC">
              <w:rPr>
                <w:sz w:val="20"/>
                <w:szCs w:val="20"/>
                <w:lang w:val="en-US"/>
              </w:rPr>
              <w:t xml:space="preserve">„Aprangos“ grupė plėtoja nuosavus prekybos tinklus: Apranga, Aprangos galerija, City, Mados Linija. Grupė taip pat pagal franšizės kontraktus valdo Zara, Hugo Boss, Emporio Armani, Ermenegildo Zegna, Max Mara, Mango, Bershka, Pull and Bear, Stradivarius, Mexx, s.Oliver, Promod parduotuves Lietuvoje, Latvijoje ir Estijoje. 2010 metų pabaigoje bendras „Aprangos” grupės valdomas prekybos plotas sudarė daugiau nei 63 tūkst. </w:t>
            </w:r>
            <w:r w:rsidR="00227B53" w:rsidRPr="003E7CAC">
              <w:rPr>
                <w:sz w:val="20"/>
                <w:szCs w:val="20"/>
                <w:lang w:val="en-US"/>
              </w:rPr>
              <w:t>K</w:t>
            </w:r>
            <w:r w:rsidRPr="003E7CAC">
              <w:rPr>
                <w:sz w:val="20"/>
                <w:szCs w:val="20"/>
                <w:lang w:val="en-US"/>
              </w:rPr>
              <w:t xml:space="preserve">v.m. 2011 metais pasirašyta franšizės sutartis dėl Massimo Dutti </w:t>
            </w:r>
            <w:r w:rsidR="00227B53">
              <w:rPr>
                <w:sz w:val="20"/>
                <w:szCs w:val="20"/>
                <w:lang w:val="en-US"/>
              </w:rPr>
              <w:pgNum/>
            </w:r>
            <w:r w:rsidR="00227B53">
              <w:rPr>
                <w:sz w:val="20"/>
                <w:szCs w:val="20"/>
                <w:lang w:val="en-US"/>
              </w:rPr>
              <w:t>abia</w:t>
            </w:r>
            <w:r w:rsidR="00227B53">
              <w:rPr>
                <w:sz w:val="20"/>
                <w:szCs w:val="20"/>
                <w:lang w:val="en-US"/>
              </w:rPr>
              <w:pgNum/>
            </w:r>
            <w:r w:rsidRPr="003E7CAC">
              <w:rPr>
                <w:sz w:val="20"/>
                <w:szCs w:val="20"/>
                <w:lang w:val="en-US"/>
              </w:rPr>
              <w:t xml:space="preserve"> vystymo Baltijos šalyse. </w:t>
            </w:r>
            <w:r w:rsidRPr="003E7CAC">
              <w:rPr>
                <w:sz w:val="20"/>
                <w:szCs w:val="20"/>
                <w:lang w:eastAsia="ja-JP"/>
              </w:rPr>
              <w:t xml:space="preserve">Įmonė įkurta 1945 metais – buvo įkurta drabužių ir avalynės didmeninė bazė, 1993 metais įkurtas mažmeninės prekybos tinklas Lietuvoje. Į oficialųjį prekybos sąrašą įtraukta 2005 metais spalio 24 dieną. „Aprangos“ grupę 2010 metų gruodžio 31 dieną sudarė 15 įmonių Lietuvoje, Latvijoje ir Estijoje (atitinkamai keturios, penkios ir penkios įmonės kiekvienoje šalyje). „Aprangos” grupė savo veiklą Latvijoje pradėjo 2003 metais, o Estijoje – 2004 metais. 2010 metų gruodžio 31 dieną veikė 114 įmonių grupės parduotuvių Lietuvoje, Latvijoje ir Estijoje. </w:t>
            </w:r>
            <w:r w:rsidRPr="003E7CAC">
              <w:rPr>
                <w:sz w:val="20"/>
                <w:szCs w:val="20"/>
                <w:lang w:val="en-US"/>
              </w:rPr>
              <w:t>2011 metais „Aprangos“ grupėje dirbo per 1200 žmonių. </w:t>
            </w:r>
          </w:p>
          <w:p w:rsidR="00BE2A22" w:rsidRPr="003E7CAC" w:rsidRDefault="00BE2A22" w:rsidP="00BE2A22">
            <w:pPr>
              <w:ind w:firstLine="459"/>
              <w:jc w:val="both"/>
              <w:rPr>
                <w:sz w:val="20"/>
                <w:szCs w:val="20"/>
                <w:lang w:eastAsia="ja-JP"/>
              </w:rPr>
            </w:pPr>
          </w:p>
        </w:tc>
      </w:tr>
      <w:tr w:rsidR="00BE2A22" w:rsidRPr="003E7CAC" w:rsidTr="00BE2A22">
        <w:tc>
          <w:tcPr>
            <w:tcW w:w="1951" w:type="dxa"/>
            <w:tcBorders>
              <w:top w:val="single" w:sz="8" w:space="0" w:color="4BACC6"/>
              <w:left w:val="single" w:sz="8" w:space="0" w:color="4BACC6"/>
              <w:bottom w:val="single" w:sz="8" w:space="0" w:color="4BACC6"/>
              <w:right w:val="single" w:sz="8" w:space="0" w:color="4BACC6"/>
            </w:tcBorders>
            <w:shd w:val="clear" w:color="auto" w:fill="auto"/>
          </w:tcPr>
          <w:p w:rsidR="00BE2A22" w:rsidRPr="003E7CAC" w:rsidRDefault="00BE2A22" w:rsidP="00BE2A22">
            <w:pPr>
              <w:spacing w:line="276" w:lineRule="auto"/>
              <w:jc w:val="center"/>
              <w:rPr>
                <w:rFonts w:eastAsia="ＭＳ ゴシック"/>
                <w:b/>
                <w:bCs/>
                <w:i/>
                <w:sz w:val="20"/>
                <w:szCs w:val="20"/>
                <w:lang w:eastAsia="ja-JP"/>
              </w:rPr>
            </w:pPr>
          </w:p>
          <w:p w:rsidR="00BE2A22" w:rsidRPr="003E7CAC" w:rsidRDefault="00BE2A22" w:rsidP="00BE2A22">
            <w:pPr>
              <w:spacing w:line="276" w:lineRule="auto"/>
              <w:jc w:val="center"/>
              <w:rPr>
                <w:rFonts w:eastAsia="ＭＳ ゴシック"/>
                <w:b/>
                <w:bCs/>
                <w:i/>
                <w:sz w:val="20"/>
                <w:szCs w:val="20"/>
                <w:lang w:eastAsia="ja-JP"/>
              </w:rPr>
            </w:pPr>
            <w:r w:rsidRPr="003E7CAC">
              <w:rPr>
                <w:rFonts w:eastAsia="ＭＳ ゴシック"/>
                <w:b/>
                <w:bCs/>
                <w:i/>
                <w:sz w:val="20"/>
                <w:szCs w:val="20"/>
                <w:lang w:eastAsia="ja-JP"/>
              </w:rPr>
              <w:t>AB „City Service“</w:t>
            </w:r>
          </w:p>
        </w:tc>
        <w:tc>
          <w:tcPr>
            <w:tcW w:w="8080" w:type="dxa"/>
            <w:tcBorders>
              <w:top w:val="single" w:sz="8" w:space="0" w:color="4BACC6"/>
              <w:left w:val="single" w:sz="8" w:space="0" w:color="4BACC6"/>
              <w:bottom w:val="single" w:sz="8" w:space="0" w:color="4BACC6"/>
              <w:right w:val="single" w:sz="8" w:space="0" w:color="4BACC6"/>
            </w:tcBorders>
            <w:shd w:val="clear" w:color="auto" w:fill="auto"/>
          </w:tcPr>
          <w:p w:rsidR="00BE2A22" w:rsidRPr="003E7CAC" w:rsidRDefault="00BE2A22" w:rsidP="00BE2A22">
            <w:pPr>
              <w:ind w:firstLine="459"/>
              <w:jc w:val="both"/>
              <w:rPr>
                <w:sz w:val="20"/>
                <w:szCs w:val="20"/>
                <w:lang w:val="en-US"/>
              </w:rPr>
            </w:pPr>
          </w:p>
          <w:p w:rsidR="00BE2A22" w:rsidRPr="003E7CAC" w:rsidRDefault="00BE2A22" w:rsidP="00BE2A22">
            <w:pPr>
              <w:ind w:firstLine="459"/>
              <w:jc w:val="both"/>
              <w:rPr>
                <w:sz w:val="20"/>
                <w:szCs w:val="20"/>
                <w:lang w:eastAsia="ja-JP"/>
              </w:rPr>
            </w:pPr>
            <w:r w:rsidRPr="003E7CAC">
              <w:rPr>
                <w:sz w:val="20"/>
                <w:szCs w:val="20"/>
                <w:lang w:val="en-US"/>
              </w:rPr>
              <w:t>Veiklos aprašymas: Pastatų ūkio valdymas, šilumos ūkio renovacija.</w:t>
            </w:r>
          </w:p>
          <w:p w:rsidR="00BE2A22" w:rsidRPr="003E7CAC" w:rsidRDefault="00BE2A22" w:rsidP="00BE2A22">
            <w:pPr>
              <w:ind w:firstLine="459"/>
              <w:jc w:val="both"/>
              <w:rPr>
                <w:sz w:val="20"/>
                <w:szCs w:val="20"/>
                <w:lang w:eastAsia="ja-JP"/>
              </w:rPr>
            </w:pPr>
            <w:r w:rsidRPr="003E7CAC">
              <w:rPr>
                <w:sz w:val="20"/>
                <w:szCs w:val="20"/>
                <w:lang w:val="en-US"/>
              </w:rPr>
              <w:t>Kapitalizacija 58 478 500,00 EUR (2013.10.18).</w:t>
            </w:r>
          </w:p>
          <w:p w:rsidR="00BE2A22" w:rsidRPr="003E7CAC" w:rsidRDefault="00BE2A22" w:rsidP="00BE2A22">
            <w:pPr>
              <w:widowControl w:val="0"/>
              <w:autoSpaceDE w:val="0"/>
              <w:autoSpaceDN w:val="0"/>
              <w:adjustRightInd w:val="0"/>
              <w:jc w:val="both"/>
              <w:rPr>
                <w:sz w:val="20"/>
                <w:szCs w:val="20"/>
                <w:lang w:val="en-US"/>
              </w:rPr>
            </w:pPr>
            <w:r w:rsidRPr="003E7CAC">
              <w:rPr>
                <w:sz w:val="20"/>
                <w:szCs w:val="20"/>
                <w:lang w:eastAsia="ja-JP"/>
              </w:rPr>
              <w:t xml:space="preserve">AB “City Service” įkurta 1997 metais. Į oficialųjį prekybos sąrašą įtraukta 2007 metų birželio 8 dieną. </w:t>
            </w:r>
            <w:r w:rsidRPr="003E7CAC">
              <w:rPr>
                <w:sz w:val="20"/>
                <w:szCs w:val="20"/>
                <w:lang w:val="en-US"/>
              </w:rPr>
              <w:t xml:space="preserve">АB „CityService“ valdo vieną didžiausių pastatų ūkio valdymo ir integruotų komunalinių paslaugų įmonių grupę Rytų ir Centrinėje Europoje. Grupei priklausančios bendrovės užsiima pastatų ūkio valdymo proceso administravimu, inžinerinių sistemų priežiūra ir remontu, energetinių išteklių valdymu ir renovacija, pastatų techniniu ir energetiniu auditu, atliekų tvarkymu ir ekologijos verslu, liftų technine priežiūra ir montavimu, teritorijų tvarkymu ir valymu, teikia apsaugos paslaugas. Šiai dienai Grupės įmonės vykdo veiklą Lietuvoje, Lenkijoje, Rusijoje, Latvijoje ir Ukrainoje. </w:t>
            </w:r>
            <w:r w:rsidRPr="003E7CAC">
              <w:rPr>
                <w:sz w:val="20"/>
                <w:szCs w:val="20"/>
                <w:lang w:eastAsia="ja-JP"/>
              </w:rPr>
              <w:t>Svarbiausi „City Service“ grupės prižiūrimų pastatų segmentai: daugiabučiai gyvenamieji namai, komerciniai pastatai, visuomeniniai pastatai ir pramoniniai pastatai. </w:t>
            </w:r>
          </w:p>
          <w:p w:rsidR="00BE2A22" w:rsidRPr="003E7CAC" w:rsidRDefault="00BE2A22" w:rsidP="00BE2A22">
            <w:pPr>
              <w:jc w:val="both"/>
              <w:rPr>
                <w:sz w:val="20"/>
                <w:szCs w:val="20"/>
                <w:lang w:eastAsia="ja-JP"/>
              </w:rPr>
            </w:pPr>
          </w:p>
        </w:tc>
      </w:tr>
      <w:tr w:rsidR="00BE2A22" w:rsidRPr="003E7CAC" w:rsidTr="00BE2A22">
        <w:tc>
          <w:tcPr>
            <w:tcW w:w="1951" w:type="dxa"/>
            <w:tcBorders>
              <w:top w:val="single" w:sz="8" w:space="0" w:color="4BACC6"/>
              <w:left w:val="single" w:sz="8" w:space="0" w:color="4BACC6"/>
              <w:bottom w:val="single" w:sz="8" w:space="0" w:color="4BACC6"/>
              <w:right w:val="single" w:sz="8" w:space="0" w:color="4BACC6"/>
            </w:tcBorders>
            <w:shd w:val="clear" w:color="auto" w:fill="D2EAF1"/>
          </w:tcPr>
          <w:p w:rsidR="00BE2A22" w:rsidRPr="003E7CAC" w:rsidRDefault="00BE2A22" w:rsidP="00BE2A22">
            <w:pPr>
              <w:spacing w:line="276" w:lineRule="auto"/>
              <w:rPr>
                <w:rFonts w:eastAsia="ＭＳ ゴシック"/>
                <w:b/>
                <w:bCs/>
                <w:i/>
                <w:sz w:val="20"/>
                <w:szCs w:val="20"/>
                <w:lang w:eastAsia="ja-JP"/>
              </w:rPr>
            </w:pPr>
          </w:p>
          <w:p w:rsidR="00BE2A22" w:rsidRPr="003E7CAC" w:rsidRDefault="00BE2A22" w:rsidP="00BE2A22">
            <w:pPr>
              <w:spacing w:line="276" w:lineRule="auto"/>
              <w:jc w:val="center"/>
              <w:rPr>
                <w:rFonts w:eastAsia="ＭＳ ゴシック"/>
                <w:b/>
                <w:bCs/>
                <w:i/>
                <w:sz w:val="20"/>
                <w:szCs w:val="20"/>
                <w:lang w:eastAsia="ja-JP"/>
              </w:rPr>
            </w:pPr>
            <w:r w:rsidRPr="003E7CAC">
              <w:rPr>
                <w:rFonts w:eastAsia="ＭＳ ゴシック"/>
                <w:b/>
                <w:bCs/>
                <w:i/>
                <w:sz w:val="20"/>
                <w:szCs w:val="20"/>
                <w:lang w:eastAsia="ja-JP"/>
              </w:rPr>
              <w:t>AB „Grigiškės“</w:t>
            </w:r>
          </w:p>
          <w:p w:rsidR="00BE2A22" w:rsidRPr="003E7CAC" w:rsidRDefault="00BE2A22" w:rsidP="00BE2A22">
            <w:pPr>
              <w:spacing w:line="276" w:lineRule="auto"/>
              <w:jc w:val="center"/>
              <w:rPr>
                <w:rFonts w:eastAsia="ＭＳ ゴシック"/>
                <w:b/>
                <w:bCs/>
                <w:i/>
                <w:sz w:val="20"/>
                <w:szCs w:val="20"/>
                <w:lang w:eastAsia="ja-JP"/>
              </w:rPr>
            </w:pPr>
          </w:p>
        </w:tc>
        <w:tc>
          <w:tcPr>
            <w:tcW w:w="8080" w:type="dxa"/>
            <w:tcBorders>
              <w:top w:val="single" w:sz="8" w:space="0" w:color="4BACC6"/>
              <w:left w:val="single" w:sz="8" w:space="0" w:color="4BACC6"/>
              <w:bottom w:val="single" w:sz="8" w:space="0" w:color="4BACC6"/>
              <w:right w:val="single" w:sz="8" w:space="0" w:color="4BACC6"/>
            </w:tcBorders>
            <w:shd w:val="clear" w:color="auto" w:fill="D2EAF1"/>
          </w:tcPr>
          <w:p w:rsidR="00BE2A22" w:rsidRPr="003E7CAC" w:rsidRDefault="00BE2A22" w:rsidP="00BE2A22">
            <w:pPr>
              <w:jc w:val="both"/>
              <w:rPr>
                <w:sz w:val="20"/>
                <w:szCs w:val="20"/>
                <w:lang w:val="en-US"/>
              </w:rPr>
            </w:pPr>
          </w:p>
          <w:p w:rsidR="00BE2A22" w:rsidRPr="003E7CAC" w:rsidRDefault="00BE2A22" w:rsidP="00BE2A22">
            <w:pPr>
              <w:ind w:firstLine="459"/>
              <w:jc w:val="both"/>
              <w:rPr>
                <w:sz w:val="20"/>
                <w:szCs w:val="20"/>
                <w:lang w:val="en-US"/>
              </w:rPr>
            </w:pPr>
            <w:r w:rsidRPr="003E7CAC">
              <w:rPr>
                <w:sz w:val="20"/>
                <w:szCs w:val="20"/>
                <w:lang w:val="en-US"/>
              </w:rPr>
              <w:t>Veiklos aprašymas: Sanitarinio buitinio popieriaus ir jo gaminiųbei gofruotojo kartono ir pakuotės iš jo gamyba.</w:t>
            </w:r>
          </w:p>
          <w:p w:rsidR="00BE2A22" w:rsidRPr="003E7CAC" w:rsidRDefault="00BE2A22" w:rsidP="00BE2A22">
            <w:pPr>
              <w:ind w:firstLine="459"/>
              <w:jc w:val="both"/>
              <w:rPr>
                <w:sz w:val="20"/>
                <w:szCs w:val="20"/>
                <w:lang w:eastAsia="ja-JP"/>
              </w:rPr>
            </w:pPr>
            <w:r w:rsidRPr="003E7CAC">
              <w:rPr>
                <w:sz w:val="20"/>
                <w:szCs w:val="20"/>
                <w:lang w:val="en-US"/>
              </w:rPr>
              <w:t>Kapitalizacija 40 668 300,00 EUR (2013.10.18).</w:t>
            </w:r>
          </w:p>
          <w:p w:rsidR="00BE2A22" w:rsidRPr="003E7CAC" w:rsidRDefault="00BE2A22" w:rsidP="00BE2A22">
            <w:pPr>
              <w:ind w:firstLine="459"/>
              <w:jc w:val="both"/>
              <w:rPr>
                <w:sz w:val="20"/>
                <w:szCs w:val="20"/>
                <w:lang w:eastAsia="ja-JP"/>
              </w:rPr>
            </w:pPr>
            <w:r w:rsidRPr="003E7CAC">
              <w:rPr>
                <w:sz w:val="20"/>
                <w:szCs w:val="20"/>
                <w:lang w:val="en-US"/>
              </w:rPr>
              <w:t>Grigiškių popieriaus fabrikas įkurtas 1823 metais,</w:t>
            </w:r>
            <w:r w:rsidRPr="003E7CAC">
              <w:rPr>
                <w:sz w:val="20"/>
                <w:szCs w:val="20"/>
                <w:lang w:eastAsia="ja-JP"/>
              </w:rPr>
              <w:t xml:space="preserve"> įregistruota 1990 metais. Įmonės akcijos į papildomąjį prekybos sąrašą įtrauktos 1994 metų vasario 2 dieną, o į oficialųjį prekybos sąrašą </w:t>
            </w:r>
            <w:r w:rsidR="00227B53">
              <w:rPr>
                <w:sz w:val="20"/>
                <w:szCs w:val="20"/>
                <w:lang w:eastAsia="ja-JP"/>
              </w:rPr>
              <w:t>–</w:t>
            </w:r>
            <w:r w:rsidRPr="003E7CAC">
              <w:rPr>
                <w:sz w:val="20"/>
                <w:szCs w:val="20"/>
                <w:lang w:eastAsia="ja-JP"/>
              </w:rPr>
              <w:t xml:space="preserve"> 2010 metų liepos 1 dieną.</w:t>
            </w:r>
            <w:r w:rsidR="004337C3">
              <w:rPr>
                <w:sz w:val="20"/>
                <w:szCs w:val="20"/>
                <w:lang w:val="en-US"/>
              </w:rPr>
              <w:t xml:space="preserve"> </w:t>
            </w:r>
            <w:r w:rsidRPr="003E7CAC">
              <w:rPr>
                <w:sz w:val="20"/>
                <w:szCs w:val="20"/>
                <w:lang w:val="en-US"/>
              </w:rPr>
              <w:t>AB „Grigiškės“ gamina tualetinį popierių, popierinius rankšluosčius ir servetėles, gofruotąjį kartoną, dėžes iš jo. Maždaug pusė gaminamos produkcijos yra eksportuojama į Latviją, Daniją, Estiją, Slovakiją, Čekiją, Lenkiją, Norvegiją, Švediją, Vokietiją bei kitas šalis.  Bendrovėje dirba apie 270 profesionalių ir patyrusių darbuotojų.</w:t>
            </w:r>
            <w:r w:rsidRPr="003E7CAC">
              <w:rPr>
                <w:sz w:val="20"/>
                <w:szCs w:val="20"/>
                <w:lang w:eastAsia="ja-JP"/>
              </w:rPr>
              <w:t xml:space="preserve"> </w:t>
            </w:r>
          </w:p>
          <w:p w:rsidR="00BE2A22" w:rsidRPr="003E7CAC" w:rsidRDefault="00BE2A22" w:rsidP="00BE2A22">
            <w:pPr>
              <w:ind w:firstLine="459"/>
              <w:jc w:val="both"/>
              <w:rPr>
                <w:sz w:val="20"/>
                <w:szCs w:val="20"/>
                <w:lang w:eastAsia="ja-JP"/>
              </w:rPr>
            </w:pPr>
          </w:p>
        </w:tc>
      </w:tr>
      <w:tr w:rsidR="00BE2A22" w:rsidRPr="003E7CAC" w:rsidTr="00511454">
        <w:tc>
          <w:tcPr>
            <w:tcW w:w="1951" w:type="dxa"/>
            <w:tcBorders>
              <w:top w:val="single" w:sz="8" w:space="0" w:color="4BACC6"/>
              <w:left w:val="single" w:sz="8" w:space="0" w:color="4BACC6"/>
              <w:bottom w:val="single" w:sz="4" w:space="0" w:color="31849B" w:themeColor="accent5" w:themeShade="BF"/>
              <w:right w:val="single" w:sz="8" w:space="0" w:color="4BACC6"/>
            </w:tcBorders>
            <w:shd w:val="clear" w:color="auto" w:fill="auto"/>
          </w:tcPr>
          <w:p w:rsidR="00BE2A22" w:rsidRPr="003E7CAC" w:rsidRDefault="00BE2A22" w:rsidP="00BE2A22">
            <w:pPr>
              <w:spacing w:line="276" w:lineRule="auto"/>
              <w:jc w:val="center"/>
              <w:rPr>
                <w:rFonts w:eastAsia="ＭＳ ゴシック"/>
                <w:b/>
                <w:bCs/>
                <w:i/>
                <w:sz w:val="20"/>
                <w:szCs w:val="20"/>
                <w:lang w:eastAsia="ja-JP"/>
              </w:rPr>
            </w:pPr>
          </w:p>
          <w:p w:rsidR="00BE2A22" w:rsidRPr="003E7CAC" w:rsidRDefault="00BE2A22" w:rsidP="00BE2A22">
            <w:pPr>
              <w:spacing w:line="276" w:lineRule="auto"/>
              <w:jc w:val="center"/>
              <w:rPr>
                <w:rFonts w:eastAsia="ＭＳ ゴシック"/>
                <w:b/>
                <w:bCs/>
                <w:i/>
                <w:sz w:val="20"/>
                <w:szCs w:val="20"/>
                <w:lang w:eastAsia="ja-JP"/>
              </w:rPr>
            </w:pPr>
            <w:r w:rsidRPr="003E7CAC">
              <w:rPr>
                <w:rFonts w:eastAsia="ＭＳ ゴシック"/>
                <w:b/>
                <w:bCs/>
                <w:i/>
                <w:sz w:val="20"/>
                <w:szCs w:val="20"/>
                <w:lang w:eastAsia="ja-JP"/>
              </w:rPr>
              <w:t>AB „Lietuvos dujos“</w:t>
            </w:r>
          </w:p>
        </w:tc>
        <w:tc>
          <w:tcPr>
            <w:tcW w:w="8080" w:type="dxa"/>
            <w:tcBorders>
              <w:top w:val="single" w:sz="8" w:space="0" w:color="4BACC6"/>
              <w:left w:val="single" w:sz="8" w:space="0" w:color="4BACC6"/>
              <w:bottom w:val="single" w:sz="4" w:space="0" w:color="31849B" w:themeColor="accent5" w:themeShade="BF"/>
              <w:right w:val="single" w:sz="8" w:space="0" w:color="4BACC6"/>
            </w:tcBorders>
            <w:shd w:val="clear" w:color="auto" w:fill="auto"/>
          </w:tcPr>
          <w:p w:rsidR="00BE2A22" w:rsidRPr="003E7CAC" w:rsidRDefault="00BE2A22" w:rsidP="00BE2A22">
            <w:pPr>
              <w:ind w:firstLine="459"/>
              <w:jc w:val="both"/>
              <w:rPr>
                <w:sz w:val="20"/>
                <w:szCs w:val="20"/>
                <w:lang w:eastAsia="ja-JP"/>
              </w:rPr>
            </w:pPr>
          </w:p>
          <w:p w:rsidR="00BE2A22" w:rsidRPr="003E7CAC" w:rsidRDefault="00BE2A22" w:rsidP="00BE2A22">
            <w:pPr>
              <w:ind w:firstLine="459"/>
              <w:jc w:val="both"/>
              <w:rPr>
                <w:sz w:val="20"/>
                <w:szCs w:val="20"/>
                <w:lang w:val="en-US"/>
              </w:rPr>
            </w:pPr>
            <w:r w:rsidRPr="003E7CAC">
              <w:rPr>
                <w:sz w:val="20"/>
                <w:szCs w:val="20"/>
                <w:lang w:val="en-US"/>
              </w:rPr>
              <w:t>Veiklos aprašymas: Gamtinių dujų pirkimas (importas) ir pardavimas klientams.</w:t>
            </w:r>
          </w:p>
          <w:p w:rsidR="00BE2A22" w:rsidRPr="003E7CAC" w:rsidRDefault="00BE2A22" w:rsidP="00BE2A22">
            <w:pPr>
              <w:ind w:firstLine="459"/>
              <w:jc w:val="both"/>
              <w:rPr>
                <w:sz w:val="20"/>
                <w:szCs w:val="20"/>
                <w:lang w:eastAsia="ja-JP"/>
              </w:rPr>
            </w:pPr>
            <w:r w:rsidRPr="003E7CAC">
              <w:rPr>
                <w:sz w:val="20"/>
                <w:szCs w:val="20"/>
                <w:lang w:val="en-US"/>
              </w:rPr>
              <w:t>Kapitalizacija 186 910 930,82 EUR (2013.10.18).</w:t>
            </w:r>
          </w:p>
          <w:p w:rsidR="00BE2A22" w:rsidRPr="00BE062F" w:rsidRDefault="00BE2A22" w:rsidP="00435BA3">
            <w:pPr>
              <w:ind w:firstLine="459"/>
              <w:jc w:val="both"/>
              <w:rPr>
                <w:sz w:val="20"/>
                <w:szCs w:val="20"/>
                <w:lang w:val="en-US"/>
              </w:rPr>
            </w:pPr>
            <w:r w:rsidRPr="003E7CAC">
              <w:rPr>
                <w:sz w:val="20"/>
                <w:szCs w:val="20"/>
                <w:lang w:eastAsia="ja-JP"/>
              </w:rPr>
              <w:t xml:space="preserve">Lietuvoje gamtinių dujų verslas vykdomas nuo 1961 metų, o AB „Lietuvos </w:t>
            </w:r>
          </w:p>
        </w:tc>
      </w:tr>
      <w:tr w:rsidR="00BE062F" w:rsidRPr="003E7CAC" w:rsidTr="00511454">
        <w:tc>
          <w:tcPr>
            <w:tcW w:w="1951" w:type="dxa"/>
            <w:tcBorders>
              <w:top w:val="single" w:sz="4" w:space="0" w:color="31849B" w:themeColor="accent5" w:themeShade="BF"/>
              <w:left w:val="nil"/>
              <w:bottom w:val="nil"/>
              <w:right w:val="nil"/>
            </w:tcBorders>
            <w:shd w:val="clear" w:color="auto" w:fill="auto"/>
          </w:tcPr>
          <w:p w:rsidR="00BE062F" w:rsidRPr="003E7CAC" w:rsidRDefault="00BE062F" w:rsidP="00BE2A22">
            <w:pPr>
              <w:spacing w:line="276" w:lineRule="auto"/>
              <w:jc w:val="center"/>
              <w:rPr>
                <w:rFonts w:eastAsia="ＭＳ ゴシック"/>
                <w:b/>
                <w:bCs/>
                <w:i/>
                <w:sz w:val="20"/>
                <w:szCs w:val="20"/>
                <w:lang w:eastAsia="ja-JP"/>
              </w:rPr>
            </w:pPr>
          </w:p>
        </w:tc>
        <w:tc>
          <w:tcPr>
            <w:tcW w:w="8080" w:type="dxa"/>
            <w:tcBorders>
              <w:top w:val="single" w:sz="4" w:space="0" w:color="31849B" w:themeColor="accent5" w:themeShade="BF"/>
              <w:left w:val="nil"/>
              <w:bottom w:val="nil"/>
              <w:right w:val="nil"/>
            </w:tcBorders>
            <w:shd w:val="clear" w:color="auto" w:fill="auto"/>
          </w:tcPr>
          <w:p w:rsidR="00BE062F" w:rsidRPr="003E7CAC" w:rsidRDefault="00BE062F" w:rsidP="00BE062F">
            <w:pPr>
              <w:ind w:firstLine="459"/>
              <w:jc w:val="right"/>
              <w:rPr>
                <w:sz w:val="20"/>
                <w:szCs w:val="20"/>
                <w:lang w:eastAsia="ja-JP"/>
              </w:rPr>
            </w:pPr>
            <w:r>
              <w:rPr>
                <w:sz w:val="20"/>
                <w:szCs w:val="20"/>
                <w:lang w:eastAsia="ja-JP"/>
              </w:rPr>
              <w:t>4 lentelės tęsinys kitame puslapyje</w:t>
            </w:r>
          </w:p>
        </w:tc>
      </w:tr>
      <w:tr w:rsidR="00BE062F" w:rsidRPr="003E7CAC" w:rsidTr="00511454">
        <w:tc>
          <w:tcPr>
            <w:tcW w:w="1951" w:type="dxa"/>
            <w:tcBorders>
              <w:top w:val="nil"/>
              <w:left w:val="nil"/>
              <w:bottom w:val="single" w:sz="4" w:space="0" w:color="31849B" w:themeColor="accent5" w:themeShade="BF"/>
              <w:right w:val="nil"/>
            </w:tcBorders>
            <w:shd w:val="clear" w:color="auto" w:fill="auto"/>
          </w:tcPr>
          <w:p w:rsidR="00BE062F" w:rsidRPr="003E7CAC" w:rsidRDefault="00BE062F" w:rsidP="009F51F2">
            <w:pPr>
              <w:jc w:val="center"/>
              <w:rPr>
                <w:rFonts w:eastAsia="ＭＳ ゴシック"/>
                <w:b/>
                <w:bCs/>
                <w:i/>
                <w:sz w:val="20"/>
                <w:szCs w:val="20"/>
                <w:lang w:eastAsia="ja-JP"/>
              </w:rPr>
            </w:pPr>
          </w:p>
        </w:tc>
        <w:tc>
          <w:tcPr>
            <w:tcW w:w="8080" w:type="dxa"/>
            <w:tcBorders>
              <w:top w:val="nil"/>
              <w:left w:val="nil"/>
              <w:bottom w:val="single" w:sz="4" w:space="0" w:color="31849B" w:themeColor="accent5" w:themeShade="BF"/>
              <w:right w:val="nil"/>
            </w:tcBorders>
            <w:shd w:val="clear" w:color="auto" w:fill="auto"/>
          </w:tcPr>
          <w:p w:rsidR="00BE062F" w:rsidRPr="003E7CAC" w:rsidRDefault="00BE062F" w:rsidP="009F51F2">
            <w:pPr>
              <w:ind w:firstLine="459"/>
              <w:jc w:val="right"/>
              <w:rPr>
                <w:sz w:val="20"/>
                <w:szCs w:val="20"/>
                <w:lang w:eastAsia="ja-JP"/>
              </w:rPr>
            </w:pPr>
            <w:r>
              <w:rPr>
                <w:sz w:val="20"/>
                <w:szCs w:val="20"/>
                <w:lang w:eastAsia="ja-JP"/>
              </w:rPr>
              <w:t>4 lentelės tęsinys</w:t>
            </w:r>
          </w:p>
        </w:tc>
      </w:tr>
      <w:tr w:rsidR="00BE062F" w:rsidRPr="003E7CAC" w:rsidTr="00511454">
        <w:tc>
          <w:tcPr>
            <w:tcW w:w="1951" w:type="dxa"/>
            <w:tcBorders>
              <w:top w:val="single" w:sz="4" w:space="0" w:color="31849B" w:themeColor="accent5" w:themeShade="BF"/>
              <w:left w:val="single" w:sz="8" w:space="0" w:color="4BACC6"/>
              <w:bottom w:val="single" w:sz="8" w:space="0" w:color="4BACC6"/>
              <w:right w:val="single" w:sz="8" w:space="0" w:color="4BACC6"/>
            </w:tcBorders>
            <w:shd w:val="clear" w:color="auto" w:fill="auto"/>
          </w:tcPr>
          <w:p w:rsidR="00BE062F" w:rsidRPr="003E7CAC" w:rsidRDefault="00BE062F" w:rsidP="00BE2A22">
            <w:pPr>
              <w:spacing w:line="276" w:lineRule="auto"/>
              <w:jc w:val="center"/>
              <w:rPr>
                <w:rFonts w:eastAsia="ＭＳ ゴシック"/>
                <w:b/>
                <w:bCs/>
                <w:i/>
                <w:sz w:val="20"/>
                <w:szCs w:val="20"/>
                <w:lang w:eastAsia="ja-JP"/>
              </w:rPr>
            </w:pPr>
          </w:p>
        </w:tc>
        <w:tc>
          <w:tcPr>
            <w:tcW w:w="8080" w:type="dxa"/>
            <w:tcBorders>
              <w:top w:val="single" w:sz="4" w:space="0" w:color="31849B" w:themeColor="accent5" w:themeShade="BF"/>
              <w:left w:val="single" w:sz="8" w:space="0" w:color="4BACC6"/>
              <w:bottom w:val="single" w:sz="8" w:space="0" w:color="4BACC6"/>
              <w:right w:val="single" w:sz="8" w:space="0" w:color="4BACC6"/>
            </w:tcBorders>
            <w:shd w:val="clear" w:color="auto" w:fill="auto"/>
          </w:tcPr>
          <w:p w:rsidR="00BE062F" w:rsidRPr="003E7CAC" w:rsidRDefault="00435BA3" w:rsidP="00BE062F">
            <w:pPr>
              <w:jc w:val="both"/>
              <w:rPr>
                <w:sz w:val="20"/>
                <w:szCs w:val="20"/>
                <w:lang w:eastAsia="ja-JP"/>
              </w:rPr>
            </w:pPr>
            <w:r w:rsidRPr="003E7CAC">
              <w:rPr>
                <w:sz w:val="20"/>
                <w:szCs w:val="20"/>
                <w:lang w:eastAsia="ja-JP"/>
              </w:rPr>
              <w:t xml:space="preserve">dujos“ įregistruota 1995 metais, akcijos įtrauktos į papildomąjį prekybos sąrašą 1996 metų balandžio 23 dieną, į oficialųjį prekybos sąrašą </w:t>
            </w:r>
            <w:r w:rsidR="00227B53">
              <w:rPr>
                <w:sz w:val="20"/>
                <w:szCs w:val="20"/>
                <w:lang w:eastAsia="ja-JP"/>
              </w:rPr>
              <w:t>–</w:t>
            </w:r>
            <w:r w:rsidRPr="003E7CAC">
              <w:rPr>
                <w:sz w:val="20"/>
                <w:szCs w:val="20"/>
                <w:lang w:eastAsia="ja-JP"/>
              </w:rPr>
              <w:t xml:space="preserve"> 2008 metų sausio 1 dieną. Pagrindinė įmonės veikla – gamtinių dujų pirkimas (importas) ir pardavimas klientams, perdavimo, skirstymo paslaugų teikimas, racionalus Lietuvos gamtinių dujų tiekimo infrastruktūros, kurios dauguma </w:t>
            </w:r>
            <w:r w:rsidR="00BE062F" w:rsidRPr="003E7CAC">
              <w:rPr>
                <w:sz w:val="20"/>
                <w:szCs w:val="20"/>
                <w:lang w:eastAsia="ja-JP"/>
              </w:rPr>
              <w:t xml:space="preserve">priklauso bendrovei, vystymas. </w:t>
            </w:r>
            <w:r w:rsidR="00BE062F" w:rsidRPr="003E7CAC">
              <w:rPr>
                <w:sz w:val="20"/>
                <w:szCs w:val="20"/>
                <w:lang w:val="en-US"/>
              </w:rPr>
              <w:t xml:space="preserve">Bendrovė dujas tiekia energetikos, pramonės, žemės ūkio įmonėms, smulkiojo komercinio sektoriaus vartotojams ir gyventojams. AB „Lietuvos dujos“ iš viso eksploatuoja 8,2 tūkst. </w:t>
            </w:r>
            <w:r w:rsidR="00227B53" w:rsidRPr="003E7CAC">
              <w:rPr>
                <w:sz w:val="20"/>
                <w:szCs w:val="20"/>
                <w:lang w:val="en-US"/>
              </w:rPr>
              <w:t>K</w:t>
            </w:r>
            <w:r w:rsidR="00BE062F" w:rsidRPr="003E7CAC">
              <w:rPr>
                <w:sz w:val="20"/>
                <w:szCs w:val="20"/>
                <w:lang w:val="en-US"/>
              </w:rPr>
              <w:t xml:space="preserve">m skirstomųjų dujotiekių. Turi daugiau kaip 550 tūkst. </w:t>
            </w:r>
            <w:r w:rsidR="00227B53" w:rsidRPr="003E7CAC">
              <w:rPr>
                <w:sz w:val="20"/>
                <w:szCs w:val="20"/>
                <w:lang w:val="en-US"/>
              </w:rPr>
              <w:t>K</w:t>
            </w:r>
            <w:r w:rsidR="00BE062F" w:rsidRPr="003E7CAC">
              <w:rPr>
                <w:sz w:val="20"/>
                <w:szCs w:val="20"/>
                <w:lang w:val="en-US"/>
              </w:rPr>
              <w:t>lientų. Jos akcininkais viešojo konkurso tvarka tapo pasaulinio masto energetikos kompanijos: 2002 metais 34% akcijų paketą įsigijo „Ruhrgas AG“ ir „E.ON Energie AG“ (Vokietija) konsorciumas (dabar akcijas valdo „E.ON Ruhrgas International GmbH“) ir 2004 metais – 34% akcijų įsigijo gamtinių dujų tiekėja OAO „Gazprom“ (Rusija).</w:t>
            </w:r>
          </w:p>
        </w:tc>
      </w:tr>
      <w:tr w:rsidR="00BE2A22" w:rsidRPr="003E7CAC" w:rsidTr="00BE2A22">
        <w:tc>
          <w:tcPr>
            <w:tcW w:w="1951" w:type="dxa"/>
            <w:tcBorders>
              <w:top w:val="single" w:sz="8" w:space="0" w:color="4BACC6"/>
              <w:left w:val="single" w:sz="8" w:space="0" w:color="4BACC6"/>
              <w:bottom w:val="single" w:sz="8" w:space="0" w:color="4BACC6"/>
              <w:right w:val="single" w:sz="8" w:space="0" w:color="4BACC6"/>
            </w:tcBorders>
            <w:shd w:val="clear" w:color="auto" w:fill="D2EAF1"/>
          </w:tcPr>
          <w:p w:rsidR="00BE2A22" w:rsidRPr="003E7CAC" w:rsidRDefault="00BE2A22" w:rsidP="00BE2A22">
            <w:pPr>
              <w:spacing w:line="276" w:lineRule="auto"/>
              <w:jc w:val="center"/>
              <w:rPr>
                <w:rFonts w:eastAsia="ＭＳ ゴシック"/>
                <w:b/>
                <w:bCs/>
                <w:i/>
                <w:sz w:val="20"/>
                <w:szCs w:val="20"/>
                <w:lang w:eastAsia="ja-JP"/>
              </w:rPr>
            </w:pPr>
          </w:p>
          <w:p w:rsidR="00BE2A22" w:rsidRPr="003E7CAC" w:rsidRDefault="00BE2A22" w:rsidP="00BE2A22">
            <w:pPr>
              <w:spacing w:line="276" w:lineRule="auto"/>
              <w:jc w:val="center"/>
              <w:rPr>
                <w:rFonts w:eastAsia="ＭＳ ゴシック"/>
                <w:b/>
                <w:bCs/>
                <w:i/>
                <w:sz w:val="20"/>
                <w:szCs w:val="20"/>
                <w:lang w:eastAsia="ja-JP"/>
              </w:rPr>
            </w:pPr>
            <w:r w:rsidRPr="003E7CAC">
              <w:rPr>
                <w:rFonts w:eastAsia="ＭＳ ゴシック"/>
                <w:b/>
                <w:bCs/>
                <w:i/>
                <w:sz w:val="20"/>
                <w:szCs w:val="20"/>
                <w:lang w:eastAsia="ja-JP"/>
              </w:rPr>
              <w:t>AB „Panevėžio statybos trestas“</w:t>
            </w:r>
          </w:p>
        </w:tc>
        <w:tc>
          <w:tcPr>
            <w:tcW w:w="8080" w:type="dxa"/>
            <w:tcBorders>
              <w:top w:val="single" w:sz="8" w:space="0" w:color="4BACC6"/>
              <w:left w:val="single" w:sz="8" w:space="0" w:color="4BACC6"/>
              <w:bottom w:val="single" w:sz="8" w:space="0" w:color="4BACC6"/>
              <w:right w:val="single" w:sz="8" w:space="0" w:color="4BACC6"/>
            </w:tcBorders>
            <w:shd w:val="clear" w:color="auto" w:fill="D2EAF1"/>
          </w:tcPr>
          <w:p w:rsidR="00BE2A22" w:rsidRPr="003E7CAC" w:rsidRDefault="00BE2A22" w:rsidP="00BE2A22">
            <w:pPr>
              <w:ind w:firstLine="459"/>
              <w:jc w:val="both"/>
              <w:rPr>
                <w:sz w:val="20"/>
                <w:szCs w:val="20"/>
                <w:lang w:eastAsia="ja-JP"/>
              </w:rPr>
            </w:pPr>
          </w:p>
          <w:p w:rsidR="00BE2A22" w:rsidRPr="003E7CAC" w:rsidRDefault="00BE2A22" w:rsidP="00BE2A22">
            <w:pPr>
              <w:ind w:firstLine="459"/>
              <w:jc w:val="both"/>
              <w:rPr>
                <w:sz w:val="20"/>
                <w:szCs w:val="20"/>
                <w:lang w:val="en-US"/>
              </w:rPr>
            </w:pPr>
            <w:r w:rsidRPr="003E7CAC">
              <w:rPr>
                <w:sz w:val="20"/>
                <w:szCs w:val="20"/>
                <w:lang w:val="en-US"/>
              </w:rPr>
              <w:t xml:space="preserve">Veiklos aprašymas: Statybos-montavimo darbai . </w:t>
            </w:r>
          </w:p>
          <w:p w:rsidR="00BE2A22" w:rsidRPr="003E7CAC" w:rsidRDefault="00BE2A22" w:rsidP="00BE2A22">
            <w:pPr>
              <w:ind w:firstLine="459"/>
              <w:jc w:val="both"/>
              <w:rPr>
                <w:sz w:val="20"/>
                <w:szCs w:val="20"/>
                <w:lang w:eastAsia="ja-JP"/>
              </w:rPr>
            </w:pPr>
            <w:r w:rsidRPr="003E7CAC">
              <w:rPr>
                <w:sz w:val="20"/>
                <w:szCs w:val="20"/>
                <w:lang w:val="en-US"/>
              </w:rPr>
              <w:t>Kapitalizacija 20 110 500,00 EUR (2013.10.18).</w:t>
            </w:r>
          </w:p>
          <w:p w:rsidR="00BE2A22" w:rsidRPr="003E7CAC" w:rsidRDefault="00BE2A22" w:rsidP="00BE2A22">
            <w:pPr>
              <w:ind w:firstLine="459"/>
              <w:jc w:val="both"/>
              <w:rPr>
                <w:sz w:val="20"/>
                <w:szCs w:val="20"/>
                <w:lang w:eastAsia="ja-JP"/>
              </w:rPr>
            </w:pPr>
            <w:r w:rsidRPr="003E7CAC">
              <w:rPr>
                <w:sz w:val="20"/>
                <w:szCs w:val="20"/>
                <w:lang w:eastAsia="ja-JP"/>
              </w:rPr>
              <w:t xml:space="preserve">AB “Panevėžio statybos trestas”  įkurtas 1993 metais. </w:t>
            </w:r>
            <w:r w:rsidRPr="003E7CAC">
              <w:rPr>
                <w:sz w:val="20"/>
                <w:szCs w:val="20"/>
                <w:lang w:val="en-US"/>
              </w:rPr>
              <w:t xml:space="preserve">Įmonė teikia projektavimo, bendrųjų ir specializuotų statybos darbų bei projektų valdymo paslaugas ne tik Lietuvoje, bet ir Latvijoje bei Rusijoje. Pagrindinės veiklos sritys – gamybinės, komercinės ir visuomeninės paskirties objektų statyba, lauko inžinerinių </w:t>
            </w:r>
            <w:r w:rsidR="00227B53">
              <w:rPr>
                <w:sz w:val="20"/>
                <w:szCs w:val="20"/>
                <w:lang w:val="en-US"/>
              </w:rPr>
              <w:pgNum/>
            </w:r>
            <w:r w:rsidR="00227B53">
              <w:rPr>
                <w:sz w:val="20"/>
                <w:szCs w:val="20"/>
                <w:lang w:val="en-US"/>
              </w:rPr>
              <w:t>abia</w:t>
            </w:r>
            <w:r w:rsidR="00227B53">
              <w:rPr>
                <w:sz w:val="20"/>
                <w:szCs w:val="20"/>
                <w:lang w:val="en-US"/>
              </w:rPr>
              <w:pgNum/>
            </w:r>
            <w:r w:rsidRPr="003E7CAC">
              <w:rPr>
                <w:sz w:val="20"/>
                <w:szCs w:val="20"/>
                <w:lang w:val="en-US"/>
              </w:rPr>
              <w:t xml:space="preserve"> tiesimas, gerbūvio tvarkymas, architektūros paveldo pastatų atnaujinimas. </w:t>
            </w:r>
            <w:r w:rsidRPr="003E7CAC">
              <w:rPr>
                <w:sz w:val="20"/>
                <w:szCs w:val="20"/>
                <w:lang w:eastAsia="ja-JP"/>
              </w:rPr>
              <w:t xml:space="preserve">Įmonės akcijos įtrauktos į papildomąjį prekybos sąrašą 1997 metų balandžio 14 dieną, į oficialųjį prekybos sąrašą </w:t>
            </w:r>
            <w:r w:rsidR="00227B53">
              <w:rPr>
                <w:sz w:val="20"/>
                <w:szCs w:val="20"/>
                <w:lang w:eastAsia="ja-JP"/>
              </w:rPr>
              <w:t>–</w:t>
            </w:r>
            <w:r w:rsidRPr="003E7CAC">
              <w:rPr>
                <w:sz w:val="20"/>
                <w:szCs w:val="20"/>
                <w:lang w:eastAsia="ja-JP"/>
              </w:rPr>
              <w:t xml:space="preserve"> 2006 metų liepos 13 dieną. </w:t>
            </w:r>
          </w:p>
          <w:p w:rsidR="00BE2A22" w:rsidRPr="003E7CAC" w:rsidRDefault="00BE2A22" w:rsidP="00BE2A22">
            <w:pPr>
              <w:ind w:firstLine="459"/>
              <w:jc w:val="both"/>
              <w:rPr>
                <w:sz w:val="20"/>
                <w:szCs w:val="20"/>
                <w:lang w:eastAsia="ja-JP"/>
              </w:rPr>
            </w:pPr>
          </w:p>
        </w:tc>
      </w:tr>
      <w:tr w:rsidR="00BE2A22" w:rsidRPr="003E7CAC" w:rsidTr="00BE2A22">
        <w:tc>
          <w:tcPr>
            <w:tcW w:w="1951" w:type="dxa"/>
            <w:tcBorders>
              <w:top w:val="single" w:sz="8" w:space="0" w:color="4BACC6"/>
              <w:left w:val="single" w:sz="8" w:space="0" w:color="4BACC6"/>
              <w:bottom w:val="single" w:sz="8" w:space="0" w:color="4BACC6"/>
              <w:right w:val="single" w:sz="8" w:space="0" w:color="4BACC6"/>
            </w:tcBorders>
            <w:shd w:val="clear" w:color="auto" w:fill="auto"/>
          </w:tcPr>
          <w:p w:rsidR="00BE2A22" w:rsidRPr="003E7CAC" w:rsidRDefault="00BE2A22" w:rsidP="00BE2A22">
            <w:pPr>
              <w:spacing w:line="276" w:lineRule="auto"/>
              <w:jc w:val="center"/>
              <w:rPr>
                <w:rFonts w:eastAsia="ＭＳ ゴシック"/>
                <w:b/>
                <w:bCs/>
                <w:i/>
                <w:sz w:val="20"/>
                <w:szCs w:val="20"/>
                <w:lang w:eastAsia="ja-JP"/>
              </w:rPr>
            </w:pPr>
          </w:p>
          <w:p w:rsidR="00BE2A22" w:rsidRPr="003E7CAC" w:rsidRDefault="00BE2A22" w:rsidP="00BE2A22">
            <w:pPr>
              <w:spacing w:line="276" w:lineRule="auto"/>
              <w:jc w:val="center"/>
              <w:rPr>
                <w:rFonts w:eastAsia="ＭＳ ゴシック"/>
                <w:b/>
                <w:bCs/>
                <w:sz w:val="20"/>
                <w:szCs w:val="20"/>
                <w:lang w:eastAsia="ja-JP"/>
              </w:rPr>
            </w:pPr>
            <w:r w:rsidRPr="003E7CAC">
              <w:rPr>
                <w:rFonts w:eastAsia="ＭＳ ゴシック"/>
                <w:b/>
                <w:bCs/>
                <w:i/>
                <w:sz w:val="20"/>
                <w:szCs w:val="20"/>
                <w:lang w:eastAsia="ja-JP"/>
              </w:rPr>
              <w:t>AB „Pieno žvaigždės“</w:t>
            </w:r>
            <w:r w:rsidRPr="003E7CAC">
              <w:rPr>
                <w:rFonts w:eastAsia="ＭＳ ゴシック"/>
                <w:b/>
                <w:bCs/>
                <w:sz w:val="20"/>
                <w:szCs w:val="20"/>
                <w:lang w:eastAsia="ja-JP"/>
              </w:rPr>
              <w:t xml:space="preserve"> </w:t>
            </w:r>
          </w:p>
          <w:p w:rsidR="00BE2A22" w:rsidRPr="003E7CAC" w:rsidRDefault="00BE2A22" w:rsidP="00BE2A22">
            <w:pPr>
              <w:spacing w:line="276" w:lineRule="auto"/>
              <w:jc w:val="center"/>
              <w:rPr>
                <w:rFonts w:eastAsia="ＭＳ ゴシック"/>
                <w:b/>
                <w:bCs/>
                <w:i/>
                <w:sz w:val="20"/>
                <w:szCs w:val="20"/>
                <w:lang w:eastAsia="ja-JP"/>
              </w:rPr>
            </w:pPr>
          </w:p>
        </w:tc>
        <w:tc>
          <w:tcPr>
            <w:tcW w:w="8080" w:type="dxa"/>
            <w:tcBorders>
              <w:top w:val="single" w:sz="8" w:space="0" w:color="4BACC6"/>
              <w:left w:val="single" w:sz="8" w:space="0" w:color="4BACC6"/>
              <w:bottom w:val="single" w:sz="8" w:space="0" w:color="4BACC6"/>
              <w:right w:val="single" w:sz="8" w:space="0" w:color="4BACC6"/>
            </w:tcBorders>
            <w:shd w:val="clear" w:color="auto" w:fill="auto"/>
          </w:tcPr>
          <w:p w:rsidR="00BE2A22" w:rsidRPr="003E7CAC" w:rsidRDefault="00BE2A22" w:rsidP="00BE2A22">
            <w:pPr>
              <w:ind w:firstLine="459"/>
              <w:jc w:val="both"/>
              <w:rPr>
                <w:sz w:val="20"/>
                <w:szCs w:val="20"/>
                <w:lang w:eastAsia="ja-JP"/>
              </w:rPr>
            </w:pPr>
          </w:p>
          <w:p w:rsidR="00BE2A22" w:rsidRPr="003E7CAC" w:rsidRDefault="00BE2A22" w:rsidP="00BE2A22">
            <w:pPr>
              <w:ind w:firstLine="459"/>
              <w:jc w:val="both"/>
              <w:rPr>
                <w:sz w:val="20"/>
                <w:szCs w:val="20"/>
                <w:lang w:eastAsia="ja-JP"/>
              </w:rPr>
            </w:pPr>
            <w:r w:rsidRPr="003E7CAC">
              <w:rPr>
                <w:sz w:val="20"/>
                <w:szCs w:val="20"/>
                <w:lang w:eastAsia="ja-JP"/>
              </w:rPr>
              <w:t xml:space="preserve">Veiklos aprašymas: </w:t>
            </w:r>
            <w:r w:rsidRPr="003E7CAC">
              <w:rPr>
                <w:sz w:val="20"/>
                <w:szCs w:val="20"/>
                <w:lang w:val="en-US"/>
              </w:rPr>
              <w:t>Pieno produktų gamyba.</w:t>
            </w:r>
          </w:p>
          <w:p w:rsidR="00BE2A22" w:rsidRPr="003E7CAC" w:rsidRDefault="00BE2A22" w:rsidP="00BE2A22">
            <w:pPr>
              <w:ind w:firstLine="459"/>
              <w:jc w:val="both"/>
              <w:rPr>
                <w:sz w:val="20"/>
                <w:szCs w:val="20"/>
                <w:lang w:eastAsia="ja-JP"/>
              </w:rPr>
            </w:pPr>
            <w:r w:rsidRPr="003E7CAC">
              <w:rPr>
                <w:sz w:val="20"/>
                <w:szCs w:val="20"/>
                <w:lang w:eastAsia="ja-JP"/>
              </w:rPr>
              <w:t xml:space="preserve">Kapitalizacija </w:t>
            </w:r>
            <w:r w:rsidRPr="003E7CAC">
              <w:rPr>
                <w:sz w:val="20"/>
                <w:szCs w:val="20"/>
                <w:lang w:val="en-US"/>
              </w:rPr>
              <w:t>49 634 419,00 EUR (2013.10.18).</w:t>
            </w:r>
          </w:p>
          <w:p w:rsidR="00BE2A22" w:rsidRPr="003E7CAC" w:rsidRDefault="00BE2A22" w:rsidP="00BE2A22">
            <w:pPr>
              <w:ind w:firstLine="459"/>
              <w:jc w:val="both"/>
              <w:rPr>
                <w:sz w:val="20"/>
                <w:szCs w:val="20"/>
                <w:lang w:eastAsia="ja-JP"/>
              </w:rPr>
            </w:pPr>
            <w:r w:rsidRPr="003E7CAC">
              <w:rPr>
                <w:sz w:val="20"/>
                <w:szCs w:val="20"/>
                <w:lang w:eastAsia="ja-JP"/>
              </w:rPr>
              <w:t xml:space="preserve">AB “Pieno žvaigždės” įkurta 1998 metais susijungus AB „Mažeikių pieninė“ ir AB „Pasvalio sūrinė“, vėliau buvo prijungta AB „Kauno pienas“ ir AB „Panevėžio pienas“. Įmonės akcijos įtrauktos į papildomąjį prekybos sąrašą 1999 metų sausio 11 dieną, į oficialųjį prekybos sąrašą </w:t>
            </w:r>
            <w:r w:rsidR="00227B53">
              <w:rPr>
                <w:sz w:val="20"/>
                <w:szCs w:val="20"/>
                <w:lang w:eastAsia="ja-JP"/>
              </w:rPr>
              <w:t>–</w:t>
            </w:r>
            <w:r w:rsidRPr="003E7CAC">
              <w:rPr>
                <w:sz w:val="20"/>
                <w:szCs w:val="20"/>
                <w:lang w:eastAsia="ja-JP"/>
              </w:rPr>
              <w:t xml:space="preserve"> 2002 metų sausio 02 dieną. Pieno perdirbimo bendrovė AB “Pieno žvaigždės” ypatingą dėmesį skiria šviežių pieno produktų gamybai bei eksportui. </w:t>
            </w:r>
            <w:r w:rsidRPr="003E7CAC">
              <w:rPr>
                <w:sz w:val="20"/>
                <w:szCs w:val="20"/>
                <w:lang w:val="en-US"/>
              </w:rPr>
              <w:t xml:space="preserve">Bendrovės strategija </w:t>
            </w:r>
            <w:r w:rsidR="00227B53">
              <w:rPr>
                <w:sz w:val="20"/>
                <w:szCs w:val="20"/>
                <w:lang w:val="en-US"/>
              </w:rPr>
              <w:t>–</w:t>
            </w:r>
            <w:r w:rsidRPr="003E7CAC">
              <w:rPr>
                <w:sz w:val="20"/>
                <w:szCs w:val="20"/>
                <w:lang w:val="en-US"/>
              </w:rPr>
              <w:t xml:space="preserve"> nuolatinis pozicijų stiprinimas pieno perdirbimo srityje, išlaikant glaudų ryšį su vartotojais bei numatant paklausos tendencijas. Šiuolaikiška perdirbimo įranga, griežtai kontroliuojama kokybė (ISO 9001), inovatyvi </w:t>
            </w:r>
            <w:r w:rsidR="00227B53">
              <w:rPr>
                <w:sz w:val="20"/>
                <w:szCs w:val="20"/>
                <w:lang w:val="en-US"/>
              </w:rPr>
              <w:pgNum/>
            </w:r>
            <w:r w:rsidR="00227B53">
              <w:rPr>
                <w:sz w:val="20"/>
                <w:szCs w:val="20"/>
                <w:lang w:val="en-US"/>
              </w:rPr>
              <w:t>abia</w:t>
            </w:r>
            <w:r w:rsidR="00227B53">
              <w:rPr>
                <w:sz w:val="20"/>
                <w:szCs w:val="20"/>
                <w:lang w:val="en-US"/>
              </w:rPr>
              <w:pgNum/>
            </w:r>
            <w:r w:rsidR="00227B53">
              <w:rPr>
                <w:sz w:val="20"/>
                <w:szCs w:val="20"/>
                <w:lang w:val="en-US"/>
              </w:rPr>
              <w:t>e</w:t>
            </w:r>
            <w:r w:rsidR="00227B53">
              <w:rPr>
                <w:sz w:val="20"/>
                <w:szCs w:val="20"/>
                <w:lang w:val="en-US"/>
              </w:rPr>
              <w:pgNum/>
            </w:r>
            <w:r w:rsidR="00227B53">
              <w:rPr>
                <w:sz w:val="20"/>
                <w:szCs w:val="20"/>
                <w:lang w:val="en-US"/>
              </w:rPr>
              <w:pgNum/>
            </w:r>
            <w:r w:rsidRPr="003E7CAC">
              <w:rPr>
                <w:sz w:val="20"/>
                <w:szCs w:val="20"/>
                <w:lang w:val="en-US"/>
              </w:rPr>
              <w:t xml:space="preserve"> strategija bei profesionali vadovų komanda užtikrina efektyvų bei pelningą vystymąsi konkurencinėje aplinkoje. </w:t>
            </w:r>
            <w:r w:rsidRPr="003E7CAC">
              <w:rPr>
                <w:sz w:val="20"/>
                <w:szCs w:val="20"/>
                <w:lang w:eastAsia="ja-JP"/>
              </w:rPr>
              <w:t>Įmonė šiuo metu gamina daugiau nei 500 pavadinimų produktų kuri skirta ne tik vietinei rinkai, bet ir eksportuojami į Rusiją, Europos Sąjungos, NVS ir Baltijos šalis .Populiariausia eksporto prekė – fermentinis sūris.</w:t>
            </w:r>
          </w:p>
          <w:p w:rsidR="00BE2A22" w:rsidRPr="003E7CAC" w:rsidRDefault="00BE2A22" w:rsidP="00BE2A22">
            <w:pPr>
              <w:ind w:firstLine="459"/>
              <w:jc w:val="both"/>
              <w:rPr>
                <w:sz w:val="20"/>
                <w:szCs w:val="20"/>
                <w:lang w:eastAsia="ja-JP"/>
              </w:rPr>
            </w:pPr>
          </w:p>
        </w:tc>
      </w:tr>
      <w:tr w:rsidR="00BE2A22" w:rsidRPr="003E7CAC" w:rsidTr="00DA2CB6">
        <w:tc>
          <w:tcPr>
            <w:tcW w:w="1951" w:type="dxa"/>
            <w:tcBorders>
              <w:top w:val="single" w:sz="8" w:space="0" w:color="4BACC6"/>
              <w:left w:val="single" w:sz="8" w:space="0" w:color="4BACC6"/>
              <w:bottom w:val="single" w:sz="8" w:space="0" w:color="4BACC6"/>
              <w:right w:val="single" w:sz="8" w:space="0" w:color="4BACC6"/>
            </w:tcBorders>
            <w:shd w:val="clear" w:color="auto" w:fill="D2EAF1"/>
          </w:tcPr>
          <w:p w:rsidR="00BE2A22" w:rsidRPr="003E7CAC" w:rsidRDefault="00BE2A22" w:rsidP="00BE2A22">
            <w:pPr>
              <w:spacing w:line="276" w:lineRule="auto"/>
              <w:jc w:val="center"/>
              <w:rPr>
                <w:rFonts w:eastAsia="ＭＳ ゴシック"/>
                <w:b/>
                <w:bCs/>
                <w:i/>
                <w:sz w:val="20"/>
                <w:szCs w:val="20"/>
                <w:lang w:eastAsia="ja-JP"/>
              </w:rPr>
            </w:pPr>
          </w:p>
          <w:p w:rsidR="00BE2A22" w:rsidRPr="003E7CAC" w:rsidRDefault="00BE2A22" w:rsidP="00BE2A22">
            <w:pPr>
              <w:spacing w:line="276" w:lineRule="auto"/>
              <w:jc w:val="center"/>
              <w:rPr>
                <w:rFonts w:eastAsia="ＭＳ ゴシック"/>
                <w:b/>
                <w:bCs/>
                <w:sz w:val="20"/>
                <w:szCs w:val="20"/>
                <w:lang w:eastAsia="ja-JP"/>
              </w:rPr>
            </w:pPr>
            <w:r w:rsidRPr="003E7CAC">
              <w:rPr>
                <w:rFonts w:eastAsia="ＭＳ ゴシック"/>
                <w:b/>
                <w:bCs/>
                <w:i/>
                <w:sz w:val="20"/>
                <w:szCs w:val="20"/>
                <w:lang w:eastAsia="ja-JP"/>
              </w:rPr>
              <w:t>AB „Rokiškio sūris“</w:t>
            </w:r>
            <w:r w:rsidRPr="003E7CAC">
              <w:rPr>
                <w:rFonts w:eastAsia="ＭＳ ゴシック"/>
                <w:b/>
                <w:bCs/>
                <w:sz w:val="20"/>
                <w:szCs w:val="20"/>
                <w:lang w:eastAsia="ja-JP"/>
              </w:rPr>
              <w:t xml:space="preserve"> </w:t>
            </w:r>
          </w:p>
          <w:p w:rsidR="00BE2A22" w:rsidRPr="003E7CAC" w:rsidRDefault="00BE2A22" w:rsidP="00BE2A22">
            <w:pPr>
              <w:spacing w:line="276" w:lineRule="auto"/>
              <w:jc w:val="center"/>
              <w:rPr>
                <w:rFonts w:eastAsia="ＭＳ ゴシック"/>
                <w:b/>
                <w:bCs/>
                <w:i/>
                <w:sz w:val="20"/>
                <w:szCs w:val="20"/>
                <w:lang w:eastAsia="ja-JP"/>
              </w:rPr>
            </w:pPr>
          </w:p>
        </w:tc>
        <w:tc>
          <w:tcPr>
            <w:tcW w:w="8080" w:type="dxa"/>
            <w:tcBorders>
              <w:top w:val="single" w:sz="8" w:space="0" w:color="4BACC6"/>
              <w:left w:val="single" w:sz="8" w:space="0" w:color="4BACC6"/>
              <w:bottom w:val="single" w:sz="8" w:space="0" w:color="4BACC6"/>
              <w:right w:val="single" w:sz="8" w:space="0" w:color="4BACC6"/>
            </w:tcBorders>
            <w:shd w:val="clear" w:color="auto" w:fill="D2EAF1"/>
          </w:tcPr>
          <w:p w:rsidR="00BE2A22" w:rsidRPr="003E7CAC" w:rsidRDefault="00BE2A22" w:rsidP="00BE2A22">
            <w:pPr>
              <w:ind w:firstLine="459"/>
              <w:jc w:val="both"/>
              <w:rPr>
                <w:sz w:val="20"/>
                <w:szCs w:val="20"/>
                <w:lang w:eastAsia="ja-JP"/>
              </w:rPr>
            </w:pPr>
          </w:p>
          <w:p w:rsidR="00BE2A22" w:rsidRPr="003E7CAC" w:rsidRDefault="00BE2A22" w:rsidP="00BE2A22">
            <w:pPr>
              <w:ind w:firstLine="459"/>
              <w:jc w:val="both"/>
              <w:rPr>
                <w:sz w:val="20"/>
                <w:szCs w:val="20"/>
                <w:lang w:eastAsia="ja-JP"/>
              </w:rPr>
            </w:pPr>
            <w:r w:rsidRPr="003E7CAC">
              <w:rPr>
                <w:sz w:val="20"/>
                <w:szCs w:val="20"/>
                <w:lang w:eastAsia="ja-JP"/>
              </w:rPr>
              <w:t>Veiklos aprašymas:</w:t>
            </w:r>
            <w:r w:rsidRPr="003E7CAC">
              <w:rPr>
                <w:sz w:val="20"/>
                <w:szCs w:val="20"/>
                <w:lang w:val="en-US"/>
              </w:rPr>
              <w:t xml:space="preserve"> Pieno produktų gamyba.</w:t>
            </w:r>
          </w:p>
          <w:p w:rsidR="00BE2A22" w:rsidRPr="003E7CAC" w:rsidRDefault="00BE2A22" w:rsidP="00BE2A22">
            <w:pPr>
              <w:ind w:firstLine="459"/>
              <w:jc w:val="both"/>
              <w:rPr>
                <w:sz w:val="20"/>
                <w:szCs w:val="20"/>
                <w:lang w:eastAsia="ja-JP"/>
              </w:rPr>
            </w:pPr>
            <w:r w:rsidRPr="003E7CAC">
              <w:rPr>
                <w:sz w:val="20"/>
                <w:szCs w:val="20"/>
                <w:lang w:eastAsia="ja-JP"/>
              </w:rPr>
              <w:t xml:space="preserve">Kapitalizacija </w:t>
            </w:r>
            <w:r w:rsidRPr="003E7CAC">
              <w:rPr>
                <w:sz w:val="20"/>
                <w:szCs w:val="20"/>
                <w:lang w:val="en-US"/>
              </w:rPr>
              <w:t>35 867 970,00 EUR (2013.10.18).</w:t>
            </w:r>
          </w:p>
          <w:p w:rsidR="00BE2A22" w:rsidRPr="003E7CAC" w:rsidRDefault="00BE2A22" w:rsidP="00BE2A22">
            <w:pPr>
              <w:ind w:firstLine="459"/>
              <w:jc w:val="both"/>
              <w:rPr>
                <w:sz w:val="20"/>
                <w:szCs w:val="20"/>
                <w:lang w:eastAsia="ja-JP"/>
              </w:rPr>
            </w:pPr>
            <w:r w:rsidRPr="003E7CAC">
              <w:rPr>
                <w:sz w:val="20"/>
                <w:szCs w:val="20"/>
                <w:lang w:eastAsia="ja-JP"/>
              </w:rPr>
              <w:t xml:space="preserve">AB “Rokiškio sūris”  įkurtas 1995 metais, akcijos į </w:t>
            </w:r>
            <w:r w:rsidRPr="003E7CAC">
              <w:rPr>
                <w:sz w:val="20"/>
                <w:szCs w:val="20"/>
                <w:lang w:val="en-US"/>
              </w:rPr>
              <w:t xml:space="preserve">į Papildomąjį prekybos sąrašą įtrauktos 1995 m. liepos 25 d., o į </w:t>
            </w:r>
            <w:r w:rsidRPr="003E7CAC">
              <w:rPr>
                <w:sz w:val="20"/>
                <w:szCs w:val="20"/>
                <w:lang w:eastAsia="ja-JP"/>
              </w:rPr>
              <w:t xml:space="preserve">Oficialųjį prekybos sąrašą įtrauktos 1997 metų balandžio 7 dieną. </w:t>
            </w:r>
            <w:r w:rsidRPr="003E7CAC">
              <w:rPr>
                <w:sz w:val="20"/>
                <w:szCs w:val="20"/>
                <w:lang w:val="en-US"/>
              </w:rPr>
              <w:t xml:space="preserve">Baltijos regione efektyviausia pieno produktų gamybos įmonė bei Pieno pramonės lyderė Lietuvoje ir Baltijos šalyje pagal perdirbamo pieno kiekį ir fermentinio sūrio gamybą, pardavimai plačiai išskaidyti – eksportas į Rytų bei Vakarų rinkas. AB „Rokiškio sūris“ grupės gamyba yra vystoma Rokiškio (AB „Rokiškio sūris“), Utenos (UAB „Rokiškio pienas“) ir Ukmergės miestuose (UAB „Rokiškio pienas“ filialas „Ukmergės pieninė“). </w:t>
            </w:r>
            <w:r w:rsidRPr="003E7CAC">
              <w:rPr>
                <w:sz w:val="20"/>
                <w:szCs w:val="20"/>
                <w:lang w:eastAsia="ja-JP"/>
              </w:rPr>
              <w:t>Įmonei priklauso 8 dukterinės įmonės, iš kurių dvi yra Latvijos įmonės.</w:t>
            </w:r>
          </w:p>
          <w:p w:rsidR="009F51F2" w:rsidRDefault="00BE2A22" w:rsidP="007F49B2">
            <w:pPr>
              <w:ind w:firstLine="459"/>
              <w:jc w:val="both"/>
              <w:rPr>
                <w:sz w:val="20"/>
                <w:szCs w:val="20"/>
                <w:lang w:val="en-US"/>
              </w:rPr>
            </w:pPr>
            <w:r w:rsidRPr="003E7CAC">
              <w:rPr>
                <w:sz w:val="20"/>
                <w:szCs w:val="20"/>
                <w:lang w:eastAsia="ja-JP"/>
              </w:rPr>
              <w:t xml:space="preserve">Didžiąją eksporto dalį sudaro fermentiniai sūriai. Grupė nuo seno orientuojasi į masinę jų gamybą. Rokiškio sūris pagamina apie 30 tūkst. </w:t>
            </w:r>
            <w:r w:rsidR="00227B53" w:rsidRPr="003E7CAC">
              <w:rPr>
                <w:sz w:val="20"/>
                <w:szCs w:val="20"/>
                <w:lang w:eastAsia="ja-JP"/>
              </w:rPr>
              <w:t>T</w:t>
            </w:r>
            <w:r w:rsidRPr="003E7CAC">
              <w:rPr>
                <w:sz w:val="20"/>
                <w:szCs w:val="20"/>
                <w:lang w:eastAsia="ja-JP"/>
              </w:rPr>
              <w:t>onų fermentinių sūrių per metus.</w:t>
            </w:r>
            <w:r w:rsidRPr="003E7CAC">
              <w:rPr>
                <w:sz w:val="20"/>
                <w:szCs w:val="20"/>
                <w:lang w:val="en-US"/>
              </w:rPr>
              <w:t xml:space="preserve"> Grupė</w:t>
            </w:r>
            <w:r w:rsidR="007F49B2">
              <w:rPr>
                <w:sz w:val="20"/>
                <w:szCs w:val="20"/>
                <w:lang w:val="en-US"/>
              </w:rPr>
              <w:t>je dirba virš 1500 darbuotojų.</w:t>
            </w:r>
          </w:p>
          <w:p w:rsidR="007F49B2" w:rsidRPr="007F49B2" w:rsidRDefault="007F49B2" w:rsidP="007F49B2">
            <w:pPr>
              <w:ind w:firstLine="459"/>
              <w:jc w:val="both"/>
              <w:rPr>
                <w:sz w:val="20"/>
                <w:szCs w:val="20"/>
                <w:lang w:val="en-US"/>
              </w:rPr>
            </w:pPr>
          </w:p>
        </w:tc>
      </w:tr>
      <w:tr w:rsidR="00BE2A22" w:rsidRPr="003E7CAC" w:rsidTr="00511454">
        <w:tc>
          <w:tcPr>
            <w:tcW w:w="1951" w:type="dxa"/>
            <w:tcBorders>
              <w:top w:val="single" w:sz="8" w:space="0" w:color="4BACC6"/>
              <w:left w:val="single" w:sz="8" w:space="0" w:color="4BACC6"/>
              <w:bottom w:val="single" w:sz="4" w:space="0" w:color="31849B" w:themeColor="accent5" w:themeShade="BF"/>
              <w:right w:val="single" w:sz="8" w:space="0" w:color="4BACC6"/>
            </w:tcBorders>
            <w:shd w:val="clear" w:color="auto" w:fill="auto"/>
          </w:tcPr>
          <w:p w:rsidR="00BE2A22" w:rsidRPr="003E7CAC" w:rsidRDefault="00BE2A22" w:rsidP="00BE2A22">
            <w:pPr>
              <w:spacing w:line="276" w:lineRule="auto"/>
              <w:jc w:val="center"/>
              <w:rPr>
                <w:rFonts w:eastAsia="ＭＳ ゴシック"/>
                <w:b/>
                <w:bCs/>
                <w:i/>
                <w:sz w:val="20"/>
                <w:szCs w:val="20"/>
                <w:lang w:eastAsia="ja-JP"/>
              </w:rPr>
            </w:pPr>
          </w:p>
          <w:p w:rsidR="00BE2A22" w:rsidRPr="003E7CAC" w:rsidRDefault="00BE2A22" w:rsidP="00BE2A22">
            <w:pPr>
              <w:spacing w:line="276" w:lineRule="auto"/>
              <w:jc w:val="center"/>
              <w:rPr>
                <w:rFonts w:eastAsia="ＭＳ ゴシック"/>
                <w:b/>
                <w:bCs/>
                <w:i/>
                <w:sz w:val="20"/>
                <w:szCs w:val="20"/>
                <w:lang w:eastAsia="ja-JP"/>
              </w:rPr>
            </w:pPr>
            <w:r w:rsidRPr="003E7CAC">
              <w:rPr>
                <w:rFonts w:eastAsia="ＭＳ ゴシック"/>
                <w:b/>
                <w:bCs/>
                <w:i/>
                <w:sz w:val="20"/>
                <w:szCs w:val="20"/>
                <w:lang w:eastAsia="ja-JP"/>
              </w:rPr>
              <w:t>TEO LT, AB</w:t>
            </w:r>
          </w:p>
        </w:tc>
        <w:tc>
          <w:tcPr>
            <w:tcW w:w="8080" w:type="dxa"/>
            <w:tcBorders>
              <w:top w:val="single" w:sz="8" w:space="0" w:color="4BACC6"/>
              <w:left w:val="single" w:sz="8" w:space="0" w:color="4BACC6"/>
              <w:bottom w:val="single" w:sz="4" w:space="0" w:color="31849B" w:themeColor="accent5" w:themeShade="BF"/>
              <w:right w:val="single" w:sz="8" w:space="0" w:color="4BACC6"/>
            </w:tcBorders>
            <w:shd w:val="clear" w:color="auto" w:fill="auto"/>
          </w:tcPr>
          <w:p w:rsidR="00BE2A22" w:rsidRPr="003E7CAC" w:rsidRDefault="00BE2A22" w:rsidP="00BE2A22">
            <w:pPr>
              <w:ind w:firstLine="459"/>
              <w:jc w:val="both"/>
              <w:rPr>
                <w:sz w:val="20"/>
                <w:szCs w:val="20"/>
                <w:lang w:eastAsia="ja-JP"/>
              </w:rPr>
            </w:pPr>
          </w:p>
          <w:p w:rsidR="00BE2A22" w:rsidRPr="003E7CAC" w:rsidRDefault="00BE2A22" w:rsidP="00BE2A22">
            <w:pPr>
              <w:ind w:firstLine="459"/>
              <w:jc w:val="both"/>
              <w:rPr>
                <w:sz w:val="20"/>
                <w:szCs w:val="20"/>
                <w:lang w:val="en-US"/>
              </w:rPr>
            </w:pPr>
            <w:r w:rsidRPr="003E7CAC">
              <w:rPr>
                <w:sz w:val="20"/>
                <w:szCs w:val="20"/>
                <w:lang w:val="en-US"/>
              </w:rPr>
              <w:t>Veiklos aprašymas: Ryšių paslaugos</w:t>
            </w:r>
          </w:p>
          <w:p w:rsidR="00BE2A22" w:rsidRPr="003E7CAC" w:rsidRDefault="00BE2A22" w:rsidP="00BE2A22">
            <w:pPr>
              <w:ind w:firstLine="459"/>
              <w:jc w:val="both"/>
              <w:rPr>
                <w:sz w:val="20"/>
                <w:szCs w:val="20"/>
                <w:lang w:eastAsia="ja-JP"/>
              </w:rPr>
            </w:pPr>
            <w:r w:rsidRPr="003E7CAC">
              <w:rPr>
                <w:sz w:val="20"/>
                <w:szCs w:val="20"/>
                <w:lang w:val="en-US"/>
              </w:rPr>
              <w:t>Kapitalizacija 601 256 758,93 EUR (2013.10.18)</w:t>
            </w:r>
          </w:p>
          <w:p w:rsidR="00BE2A22" w:rsidRPr="00435BA3" w:rsidRDefault="00BE2A22" w:rsidP="00435BA3">
            <w:pPr>
              <w:ind w:firstLine="459"/>
              <w:jc w:val="both"/>
              <w:rPr>
                <w:sz w:val="20"/>
                <w:szCs w:val="20"/>
                <w:lang w:val="en-US"/>
              </w:rPr>
            </w:pPr>
            <w:r w:rsidRPr="003E7CAC">
              <w:rPr>
                <w:sz w:val="20"/>
                <w:szCs w:val="20"/>
                <w:lang w:val="en-US"/>
              </w:rPr>
              <w:t xml:space="preserve">TEO LT, AB – didžiausia telekomunikacijų paslaugų bendrovė Lietuvoje, įkurta 1992 metais. Bendrovė privatizuota 1998 metais ir yra konsoliduota didžiausios Šiaurės ir Baltijos šalių telekomunikacijų korporacijos „TeliaSonera AB“ dukterinė įmonė. </w:t>
            </w:r>
            <w:r w:rsidRPr="003E7CAC">
              <w:rPr>
                <w:sz w:val="20"/>
                <w:szCs w:val="20"/>
                <w:lang w:eastAsia="ja-JP"/>
              </w:rPr>
              <w:t xml:space="preserve">Įmonės akcijos į Oficialųjį prekybos sąrašą įtrauktos 2000 metų birželio 12 dieną. </w:t>
            </w:r>
            <w:r w:rsidRPr="003E7CAC">
              <w:rPr>
                <w:sz w:val="20"/>
                <w:szCs w:val="20"/>
                <w:lang w:val="en-US"/>
              </w:rPr>
              <w:t xml:space="preserve">TEO turi 605 tūkst.naudojamų pagrindinių telefonų linijų, 386 tūkst. </w:t>
            </w:r>
            <w:r w:rsidR="00227B53" w:rsidRPr="003E7CAC">
              <w:rPr>
                <w:sz w:val="20"/>
                <w:szCs w:val="20"/>
                <w:lang w:val="en-US"/>
              </w:rPr>
              <w:t>P</w:t>
            </w:r>
            <w:r w:rsidRPr="003E7CAC">
              <w:rPr>
                <w:sz w:val="20"/>
                <w:szCs w:val="20"/>
                <w:lang w:val="en-US"/>
              </w:rPr>
              <w:t xml:space="preserve">lačiajuosčio </w:t>
            </w:r>
            <w:r w:rsidR="00227B53">
              <w:rPr>
                <w:sz w:val="20"/>
                <w:szCs w:val="20"/>
                <w:lang w:val="en-US"/>
              </w:rPr>
              <w:pgNum/>
            </w:r>
            <w:r w:rsidR="00227B53">
              <w:rPr>
                <w:sz w:val="20"/>
                <w:szCs w:val="20"/>
                <w:lang w:val="en-US"/>
              </w:rPr>
              <w:t>abia</w:t>
            </w:r>
            <w:r w:rsidR="00227B53">
              <w:rPr>
                <w:sz w:val="20"/>
                <w:szCs w:val="20"/>
                <w:lang w:val="en-US"/>
              </w:rPr>
              <w:pgNum/>
            </w:r>
            <w:r w:rsidR="00227B53">
              <w:rPr>
                <w:sz w:val="20"/>
                <w:szCs w:val="20"/>
                <w:lang w:val="en-US"/>
              </w:rPr>
              <w:t>e</w:t>
            </w:r>
            <w:r w:rsidR="00227B53">
              <w:rPr>
                <w:sz w:val="20"/>
                <w:szCs w:val="20"/>
                <w:lang w:val="en-US"/>
              </w:rPr>
              <w:pgNum/>
            </w:r>
            <w:r w:rsidRPr="003E7CAC">
              <w:rPr>
                <w:sz w:val="20"/>
                <w:szCs w:val="20"/>
                <w:lang w:val="en-US"/>
              </w:rPr>
              <w:t xml:space="preserve"> prieigų, 169 tūkst. </w:t>
            </w:r>
            <w:r w:rsidR="00227B53" w:rsidRPr="003E7CAC">
              <w:rPr>
                <w:sz w:val="20"/>
                <w:szCs w:val="20"/>
                <w:lang w:val="en-US"/>
              </w:rPr>
              <w:t>T</w:t>
            </w:r>
            <w:r w:rsidRPr="003E7CAC">
              <w:rPr>
                <w:sz w:val="20"/>
                <w:szCs w:val="20"/>
                <w:lang w:val="en-US"/>
              </w:rPr>
              <w:t xml:space="preserve">elevizijos paslaugų vartotojų </w:t>
            </w:r>
          </w:p>
        </w:tc>
      </w:tr>
      <w:tr w:rsidR="00BE2A22" w:rsidRPr="003E7CAC" w:rsidTr="00511454">
        <w:tc>
          <w:tcPr>
            <w:tcW w:w="1951" w:type="dxa"/>
            <w:tcBorders>
              <w:top w:val="single" w:sz="4" w:space="0" w:color="31849B" w:themeColor="accent5" w:themeShade="BF"/>
              <w:left w:val="nil"/>
              <w:bottom w:val="nil"/>
              <w:right w:val="nil"/>
            </w:tcBorders>
            <w:shd w:val="clear" w:color="auto" w:fill="auto"/>
          </w:tcPr>
          <w:p w:rsidR="00BE2A22" w:rsidRPr="003E7CAC" w:rsidRDefault="00BE2A22" w:rsidP="009F51F2">
            <w:pPr>
              <w:spacing w:line="276" w:lineRule="auto"/>
              <w:rPr>
                <w:rFonts w:eastAsia="ＭＳ ゴシック"/>
                <w:b/>
                <w:bCs/>
                <w:i/>
                <w:sz w:val="20"/>
                <w:szCs w:val="20"/>
                <w:lang w:eastAsia="ja-JP"/>
              </w:rPr>
            </w:pPr>
          </w:p>
        </w:tc>
        <w:tc>
          <w:tcPr>
            <w:tcW w:w="8080" w:type="dxa"/>
            <w:tcBorders>
              <w:top w:val="single" w:sz="4" w:space="0" w:color="31849B" w:themeColor="accent5" w:themeShade="BF"/>
              <w:left w:val="nil"/>
              <w:bottom w:val="nil"/>
              <w:right w:val="nil"/>
            </w:tcBorders>
            <w:shd w:val="clear" w:color="auto" w:fill="auto"/>
          </w:tcPr>
          <w:p w:rsidR="00BE2A22" w:rsidRPr="003E7CAC" w:rsidRDefault="00D630DA" w:rsidP="009F51F2">
            <w:pPr>
              <w:jc w:val="right"/>
              <w:rPr>
                <w:sz w:val="20"/>
                <w:szCs w:val="20"/>
                <w:lang w:eastAsia="ja-JP"/>
              </w:rPr>
            </w:pPr>
            <w:r>
              <w:rPr>
                <w:sz w:val="20"/>
                <w:szCs w:val="20"/>
                <w:lang w:eastAsia="ja-JP"/>
              </w:rPr>
              <w:t>4 lentelės tęsinys kitame puslapyje</w:t>
            </w:r>
          </w:p>
        </w:tc>
      </w:tr>
      <w:tr w:rsidR="00D630DA" w:rsidRPr="003E7CAC" w:rsidTr="00435BA3">
        <w:tc>
          <w:tcPr>
            <w:tcW w:w="1951" w:type="dxa"/>
            <w:tcBorders>
              <w:top w:val="nil"/>
              <w:left w:val="nil"/>
              <w:bottom w:val="single" w:sz="4" w:space="0" w:color="31849B" w:themeColor="accent5" w:themeShade="BF"/>
              <w:right w:val="nil"/>
            </w:tcBorders>
            <w:shd w:val="clear" w:color="auto" w:fill="auto"/>
          </w:tcPr>
          <w:p w:rsidR="00D630DA" w:rsidRPr="003E7CAC" w:rsidRDefault="00D630DA" w:rsidP="00BE2A22">
            <w:pPr>
              <w:spacing w:line="276" w:lineRule="auto"/>
              <w:jc w:val="center"/>
              <w:rPr>
                <w:rFonts w:eastAsia="ＭＳ ゴシック"/>
                <w:b/>
                <w:bCs/>
                <w:i/>
                <w:sz w:val="20"/>
                <w:szCs w:val="20"/>
                <w:lang w:val="en-US"/>
              </w:rPr>
            </w:pPr>
          </w:p>
        </w:tc>
        <w:tc>
          <w:tcPr>
            <w:tcW w:w="8080" w:type="dxa"/>
            <w:tcBorders>
              <w:top w:val="nil"/>
              <w:left w:val="nil"/>
              <w:bottom w:val="single" w:sz="4" w:space="0" w:color="31849B" w:themeColor="accent5" w:themeShade="BF"/>
              <w:right w:val="nil"/>
            </w:tcBorders>
            <w:shd w:val="clear" w:color="auto" w:fill="auto"/>
          </w:tcPr>
          <w:p w:rsidR="00D630DA" w:rsidRPr="003E7CAC" w:rsidRDefault="00D630DA" w:rsidP="00D630DA">
            <w:pPr>
              <w:ind w:firstLine="459"/>
              <w:jc w:val="right"/>
              <w:rPr>
                <w:sz w:val="20"/>
                <w:szCs w:val="20"/>
                <w:u w:color="272128"/>
                <w:lang w:val="en-US"/>
              </w:rPr>
            </w:pPr>
            <w:r>
              <w:rPr>
                <w:sz w:val="20"/>
                <w:szCs w:val="20"/>
                <w:lang w:eastAsia="ja-JP"/>
              </w:rPr>
              <w:t>4 lentelės tęsinys</w:t>
            </w:r>
          </w:p>
        </w:tc>
      </w:tr>
      <w:tr w:rsidR="00435BA3" w:rsidRPr="003E7CAC" w:rsidTr="00435BA3">
        <w:tc>
          <w:tcPr>
            <w:tcW w:w="195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rsidR="00435BA3" w:rsidRPr="003E7CAC" w:rsidRDefault="00435BA3" w:rsidP="00BE2A22">
            <w:pPr>
              <w:spacing w:line="276" w:lineRule="auto"/>
              <w:jc w:val="center"/>
              <w:rPr>
                <w:rFonts w:eastAsia="ＭＳ ゴシック"/>
                <w:b/>
                <w:bCs/>
                <w:i/>
                <w:sz w:val="20"/>
                <w:szCs w:val="20"/>
                <w:lang w:val="en-US"/>
              </w:rPr>
            </w:pPr>
          </w:p>
        </w:tc>
        <w:tc>
          <w:tcPr>
            <w:tcW w:w="808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rsidR="00435BA3" w:rsidRDefault="00435BA3" w:rsidP="00435BA3">
            <w:pPr>
              <w:jc w:val="both"/>
              <w:rPr>
                <w:sz w:val="20"/>
                <w:szCs w:val="20"/>
                <w:lang w:eastAsia="ja-JP"/>
              </w:rPr>
            </w:pPr>
            <w:r w:rsidRPr="003E7CAC">
              <w:rPr>
                <w:sz w:val="20"/>
                <w:szCs w:val="20"/>
                <w:lang w:val="en-US"/>
              </w:rPr>
              <w:t xml:space="preserve">ir daugiau nei 3 tūkst. </w:t>
            </w:r>
            <w:r w:rsidR="00227B53" w:rsidRPr="003E7CAC">
              <w:rPr>
                <w:sz w:val="20"/>
                <w:szCs w:val="20"/>
                <w:lang w:val="en-US"/>
              </w:rPr>
              <w:t>D</w:t>
            </w:r>
            <w:r w:rsidRPr="003E7CAC">
              <w:rPr>
                <w:sz w:val="20"/>
                <w:szCs w:val="20"/>
                <w:lang w:val="en-US"/>
              </w:rPr>
              <w:t>arbuotojų. TEO vizija – būti geriausiu partneriu bendraujant su nuolat kintančiu pasauliu. Pasitelkdamas moderniausias technologijas, TEO suteikia savo klientams galimybę pasiekti žmones, žinias ir pramogas.</w:t>
            </w:r>
          </w:p>
        </w:tc>
      </w:tr>
      <w:tr w:rsidR="00D630DA" w:rsidRPr="003E7CAC" w:rsidTr="00435BA3">
        <w:tc>
          <w:tcPr>
            <w:tcW w:w="1951" w:type="dxa"/>
            <w:tcBorders>
              <w:top w:val="single" w:sz="4" w:space="0" w:color="31849B" w:themeColor="accent5" w:themeShade="BF"/>
              <w:left w:val="single" w:sz="8" w:space="0" w:color="4BACC6"/>
              <w:bottom w:val="single" w:sz="8" w:space="0" w:color="4BACC6"/>
              <w:right w:val="single" w:sz="8" w:space="0" w:color="4BACC6"/>
            </w:tcBorders>
            <w:shd w:val="clear" w:color="auto" w:fill="D2EAF1"/>
          </w:tcPr>
          <w:p w:rsidR="00D630DA" w:rsidRDefault="00D630DA" w:rsidP="00D630DA">
            <w:pPr>
              <w:spacing w:line="276" w:lineRule="auto"/>
              <w:jc w:val="center"/>
              <w:rPr>
                <w:rFonts w:eastAsia="ＭＳ ゴシック"/>
                <w:b/>
                <w:bCs/>
                <w:i/>
                <w:sz w:val="20"/>
                <w:szCs w:val="20"/>
                <w:lang w:val="en-US"/>
              </w:rPr>
            </w:pPr>
          </w:p>
          <w:p w:rsidR="00D630DA" w:rsidRPr="003E7CAC" w:rsidRDefault="00D630DA" w:rsidP="00D630DA">
            <w:pPr>
              <w:spacing w:line="276" w:lineRule="auto"/>
              <w:jc w:val="center"/>
              <w:rPr>
                <w:rFonts w:eastAsia="ＭＳ ゴシック"/>
                <w:b/>
                <w:bCs/>
                <w:sz w:val="20"/>
                <w:szCs w:val="20"/>
                <w:lang w:eastAsia="ja-JP"/>
              </w:rPr>
            </w:pPr>
            <w:r w:rsidRPr="003E7CAC">
              <w:rPr>
                <w:rFonts w:eastAsia="ＭＳ ゴシック"/>
                <w:b/>
                <w:bCs/>
                <w:i/>
                <w:sz w:val="20"/>
                <w:szCs w:val="20"/>
                <w:lang w:val="en-US"/>
              </w:rPr>
              <w:t>AB “Vilkyškių pieninė”</w:t>
            </w:r>
            <w:r w:rsidRPr="003E7CAC">
              <w:rPr>
                <w:rFonts w:eastAsia="ＭＳ ゴシック"/>
                <w:b/>
                <w:bCs/>
                <w:sz w:val="20"/>
                <w:szCs w:val="20"/>
                <w:lang w:eastAsia="ja-JP"/>
              </w:rPr>
              <w:t xml:space="preserve"> </w:t>
            </w:r>
          </w:p>
          <w:p w:rsidR="00D630DA" w:rsidRPr="003E7CAC" w:rsidRDefault="00D630DA" w:rsidP="00BE2A22">
            <w:pPr>
              <w:spacing w:line="276" w:lineRule="auto"/>
              <w:jc w:val="center"/>
              <w:rPr>
                <w:rFonts w:eastAsia="ＭＳ ゴシック"/>
                <w:b/>
                <w:bCs/>
                <w:i/>
                <w:sz w:val="20"/>
                <w:szCs w:val="20"/>
                <w:lang w:val="en-US"/>
              </w:rPr>
            </w:pPr>
          </w:p>
        </w:tc>
        <w:tc>
          <w:tcPr>
            <w:tcW w:w="8080" w:type="dxa"/>
            <w:tcBorders>
              <w:top w:val="single" w:sz="4" w:space="0" w:color="31849B" w:themeColor="accent5" w:themeShade="BF"/>
              <w:left w:val="single" w:sz="8" w:space="0" w:color="4BACC6"/>
              <w:bottom w:val="single" w:sz="8" w:space="0" w:color="4BACC6"/>
              <w:right w:val="single" w:sz="8" w:space="0" w:color="4BACC6"/>
            </w:tcBorders>
            <w:shd w:val="clear" w:color="auto" w:fill="D2EAF1"/>
          </w:tcPr>
          <w:p w:rsidR="00D630DA" w:rsidRDefault="00D630DA" w:rsidP="00D630DA">
            <w:pPr>
              <w:ind w:firstLine="459"/>
              <w:jc w:val="both"/>
              <w:rPr>
                <w:sz w:val="20"/>
                <w:szCs w:val="20"/>
                <w:u w:color="272128"/>
                <w:lang w:val="en-US"/>
              </w:rPr>
            </w:pPr>
          </w:p>
          <w:p w:rsidR="00D630DA" w:rsidRPr="003E7CAC" w:rsidRDefault="00D630DA" w:rsidP="00D630DA">
            <w:pPr>
              <w:ind w:firstLine="459"/>
              <w:jc w:val="both"/>
              <w:rPr>
                <w:sz w:val="20"/>
                <w:szCs w:val="20"/>
                <w:u w:color="272128"/>
                <w:lang w:val="en-US"/>
              </w:rPr>
            </w:pPr>
            <w:r w:rsidRPr="003E7CAC">
              <w:rPr>
                <w:sz w:val="20"/>
                <w:szCs w:val="20"/>
                <w:u w:color="272128"/>
                <w:lang w:val="en-US"/>
              </w:rPr>
              <w:t>Veiklos aprašymas: Pieno supirkimas, perdirbimas ir pieno produktų realizacija.</w:t>
            </w:r>
          </w:p>
          <w:p w:rsidR="00D630DA" w:rsidRPr="003E7CAC" w:rsidRDefault="00D630DA" w:rsidP="00D630DA">
            <w:pPr>
              <w:ind w:firstLine="459"/>
              <w:jc w:val="both"/>
              <w:rPr>
                <w:sz w:val="20"/>
                <w:szCs w:val="20"/>
                <w:u w:color="272128"/>
                <w:lang w:val="en-US"/>
              </w:rPr>
            </w:pPr>
            <w:r w:rsidRPr="003E7CAC">
              <w:rPr>
                <w:sz w:val="20"/>
                <w:szCs w:val="20"/>
                <w:u w:color="272128"/>
                <w:lang w:val="en-US"/>
              </w:rPr>
              <w:t xml:space="preserve">Kapitalizacija </w:t>
            </w:r>
            <w:r w:rsidRPr="003E7CAC">
              <w:rPr>
                <w:sz w:val="20"/>
                <w:szCs w:val="20"/>
                <w:lang w:val="en-US"/>
              </w:rPr>
              <w:t>18 153 360,00 EUR (2013.10.18</w:t>
            </w:r>
            <w:r w:rsidRPr="003E7CAC">
              <w:rPr>
                <w:sz w:val="20"/>
                <w:szCs w:val="20"/>
                <w:u w:color="272128"/>
                <w:lang w:val="en-US"/>
              </w:rPr>
              <w:t>).</w:t>
            </w:r>
          </w:p>
          <w:p w:rsidR="00D630DA" w:rsidRPr="003E7CAC" w:rsidRDefault="00D630DA" w:rsidP="00D630DA">
            <w:pPr>
              <w:ind w:firstLine="459"/>
              <w:jc w:val="both"/>
              <w:rPr>
                <w:sz w:val="20"/>
                <w:szCs w:val="20"/>
                <w:lang w:eastAsia="ja-JP"/>
              </w:rPr>
            </w:pPr>
            <w:r w:rsidRPr="003E7CAC">
              <w:rPr>
                <w:sz w:val="20"/>
                <w:szCs w:val="20"/>
                <w:u w:color="272128"/>
                <w:lang w:val="en-US"/>
              </w:rPr>
              <w:t>Įmonės įreg</w:t>
            </w:r>
            <w:r w:rsidR="009317A4">
              <w:rPr>
                <w:sz w:val="20"/>
                <w:szCs w:val="20"/>
                <w:u w:color="272128"/>
                <w:lang w:val="en-US"/>
              </w:rPr>
              <w:t xml:space="preserve">istruota 1993 m. gegužės 18 d. </w:t>
            </w:r>
            <w:r w:rsidRPr="003E7CAC">
              <w:rPr>
                <w:sz w:val="20"/>
                <w:szCs w:val="20"/>
                <w:u w:color="272128"/>
                <w:lang w:val="en-US"/>
              </w:rPr>
              <w:t>Įtraukta į Papildomąjį prekybos sąrašą 2006 m. gegužės 17</w:t>
            </w:r>
            <w:r w:rsidR="009317A4">
              <w:rPr>
                <w:sz w:val="20"/>
                <w:szCs w:val="20"/>
                <w:u w:color="272128"/>
                <w:lang w:val="en-US"/>
              </w:rPr>
              <w:t xml:space="preserve"> d., o į </w:t>
            </w:r>
            <w:r w:rsidRPr="003E7CAC">
              <w:rPr>
                <w:sz w:val="20"/>
                <w:szCs w:val="20"/>
                <w:u w:color="272128"/>
                <w:lang w:val="en-US"/>
              </w:rPr>
              <w:t>Oficialųjį preky</w:t>
            </w:r>
            <w:r w:rsidR="009317A4">
              <w:rPr>
                <w:sz w:val="20"/>
                <w:szCs w:val="20"/>
                <w:u w:color="272128"/>
                <w:lang w:val="en-US"/>
              </w:rPr>
              <w:t xml:space="preserve">bos sąrašą 2008 m. sausio 1 d. </w:t>
            </w:r>
            <w:r w:rsidRPr="003E7CAC">
              <w:rPr>
                <w:sz w:val="20"/>
                <w:szCs w:val="20"/>
                <w:u w:color="272128"/>
                <w:lang w:val="en-US"/>
              </w:rPr>
              <w:t>AB Vilkyškių pieninė, įkurta 1993 metais, yra viena moderniausių Lietuvos sūrių gamyklų, užimanti apie 17% šalies rinkos. 60% visos pagaminamos produkcijos įmonė</w:t>
            </w:r>
            <w:r w:rsidR="009317A4">
              <w:rPr>
                <w:sz w:val="20"/>
                <w:szCs w:val="20"/>
                <w:u w:color="272128"/>
                <w:lang w:val="en-US"/>
              </w:rPr>
              <w:t xml:space="preserve"> eksportuoja į užsienio šalis. </w:t>
            </w:r>
            <w:r w:rsidRPr="003E7CAC">
              <w:rPr>
                <w:sz w:val="20"/>
                <w:szCs w:val="20"/>
                <w:u w:color="272128"/>
                <w:lang w:val="en-US"/>
              </w:rPr>
              <w:t>AB Vilkyškių pieninė grupę sudaro trys įmonės: AB Vilkyškių pieninė, AB Modest ir AB Kelmės pieninė. Įmonių grupėje dirba apie 800 darbuotojų. Pagrindinė AB Vilkyškių pieninė veikla – įvairių fermentinio sūrio rūšių gamyba ir pardavimas. Pagrindinės AB Vilkyškių pieninė pardavimų rinkos yra Lietuva, Latvija, Estija, Rusija ir kitos Europos Sąjungos bei NVS šalys. </w:t>
            </w:r>
            <w:r w:rsidRPr="003E7CAC">
              <w:rPr>
                <w:sz w:val="20"/>
                <w:szCs w:val="20"/>
                <w:lang w:eastAsia="ja-JP"/>
              </w:rPr>
              <w:t xml:space="preserve"> </w:t>
            </w:r>
          </w:p>
          <w:p w:rsidR="00D630DA" w:rsidRPr="003E7CAC" w:rsidRDefault="00D630DA" w:rsidP="00BE2A22">
            <w:pPr>
              <w:ind w:firstLine="459"/>
              <w:jc w:val="both"/>
              <w:rPr>
                <w:sz w:val="20"/>
                <w:szCs w:val="20"/>
                <w:u w:color="272128"/>
                <w:lang w:val="en-US"/>
              </w:rPr>
            </w:pPr>
          </w:p>
        </w:tc>
      </w:tr>
      <w:tr w:rsidR="00BE2A22" w:rsidRPr="009C0942" w:rsidTr="00BE2A22">
        <w:tc>
          <w:tcPr>
            <w:tcW w:w="1951" w:type="dxa"/>
            <w:tcBorders>
              <w:top w:val="single" w:sz="8" w:space="0" w:color="4BACC6"/>
              <w:left w:val="single" w:sz="8" w:space="0" w:color="4BACC6"/>
              <w:bottom w:val="single" w:sz="8" w:space="0" w:color="4BACC6"/>
              <w:right w:val="single" w:sz="8" w:space="0" w:color="4BACC6"/>
            </w:tcBorders>
            <w:shd w:val="clear" w:color="auto" w:fill="auto"/>
          </w:tcPr>
          <w:p w:rsidR="00BE2A22" w:rsidRPr="009C0942" w:rsidRDefault="00BE2A22" w:rsidP="00BE2A22">
            <w:pPr>
              <w:spacing w:line="276" w:lineRule="auto"/>
              <w:jc w:val="center"/>
              <w:rPr>
                <w:rFonts w:eastAsia="ＭＳ ゴシック"/>
                <w:b/>
                <w:bCs/>
                <w:i/>
                <w:sz w:val="20"/>
                <w:szCs w:val="20"/>
                <w:lang w:eastAsia="ja-JP"/>
              </w:rPr>
            </w:pPr>
          </w:p>
          <w:p w:rsidR="00BE2A22" w:rsidRPr="009C0942" w:rsidRDefault="00BE2A22" w:rsidP="00BE2A22">
            <w:pPr>
              <w:spacing w:line="276" w:lineRule="auto"/>
              <w:jc w:val="center"/>
              <w:rPr>
                <w:rFonts w:eastAsia="ＭＳ ゴシック"/>
                <w:b/>
                <w:bCs/>
                <w:i/>
                <w:sz w:val="20"/>
                <w:szCs w:val="20"/>
              </w:rPr>
            </w:pPr>
            <w:r w:rsidRPr="009C0942">
              <w:rPr>
                <w:rFonts w:eastAsia="ＭＳ ゴシック"/>
                <w:b/>
                <w:bCs/>
                <w:i/>
                <w:sz w:val="20"/>
                <w:szCs w:val="20"/>
                <w:lang w:eastAsia="ja-JP"/>
              </w:rPr>
              <w:t>AB „Vilniaus baldai“</w:t>
            </w:r>
          </w:p>
        </w:tc>
        <w:tc>
          <w:tcPr>
            <w:tcW w:w="8080" w:type="dxa"/>
            <w:tcBorders>
              <w:top w:val="single" w:sz="8" w:space="0" w:color="4BACC6"/>
              <w:left w:val="single" w:sz="8" w:space="0" w:color="4BACC6"/>
              <w:bottom w:val="single" w:sz="8" w:space="0" w:color="4BACC6"/>
              <w:right w:val="single" w:sz="8" w:space="0" w:color="4BACC6"/>
            </w:tcBorders>
            <w:shd w:val="clear" w:color="auto" w:fill="auto"/>
          </w:tcPr>
          <w:p w:rsidR="00BE2A22" w:rsidRPr="009C0942" w:rsidRDefault="00BE2A22" w:rsidP="00BE2A22">
            <w:pPr>
              <w:ind w:firstLine="459"/>
              <w:jc w:val="both"/>
              <w:rPr>
                <w:sz w:val="20"/>
                <w:szCs w:val="20"/>
                <w:lang w:eastAsia="ja-JP"/>
              </w:rPr>
            </w:pPr>
          </w:p>
          <w:p w:rsidR="00BE2A22" w:rsidRPr="009C0942" w:rsidRDefault="00BE2A22" w:rsidP="00BE2A22">
            <w:pPr>
              <w:ind w:firstLine="459"/>
              <w:jc w:val="both"/>
              <w:rPr>
                <w:sz w:val="20"/>
                <w:szCs w:val="20"/>
                <w:lang w:val="en-US"/>
              </w:rPr>
            </w:pPr>
            <w:r w:rsidRPr="009C0942">
              <w:rPr>
                <w:sz w:val="20"/>
                <w:szCs w:val="20"/>
                <w:lang w:val="en-US"/>
              </w:rPr>
              <w:t>Veiklos aprašymas: Masinė korpusinių baldų gamyba.</w:t>
            </w:r>
          </w:p>
          <w:p w:rsidR="00BE2A22" w:rsidRPr="009C0942" w:rsidRDefault="00BE2A22" w:rsidP="00BE2A22">
            <w:pPr>
              <w:ind w:firstLine="459"/>
              <w:jc w:val="both"/>
              <w:rPr>
                <w:sz w:val="20"/>
                <w:szCs w:val="20"/>
                <w:lang w:eastAsia="ja-JP"/>
              </w:rPr>
            </w:pPr>
            <w:r w:rsidRPr="009C0942">
              <w:rPr>
                <w:sz w:val="20"/>
                <w:szCs w:val="20"/>
                <w:lang w:eastAsia="ja-JP"/>
              </w:rPr>
              <w:t xml:space="preserve">Kapitalizacija </w:t>
            </w:r>
            <w:r w:rsidRPr="009C0942">
              <w:rPr>
                <w:sz w:val="20"/>
                <w:szCs w:val="20"/>
                <w:lang w:val="en-US"/>
              </w:rPr>
              <w:t>56 739 498,20 EUR (2013.10.18).</w:t>
            </w:r>
          </w:p>
          <w:p w:rsidR="00BE2A22" w:rsidRPr="009C0942" w:rsidRDefault="00BE2A22" w:rsidP="00BE2A22">
            <w:pPr>
              <w:ind w:firstLine="459"/>
              <w:jc w:val="both"/>
              <w:rPr>
                <w:sz w:val="20"/>
                <w:szCs w:val="20"/>
                <w:lang w:val="en-US"/>
              </w:rPr>
            </w:pPr>
            <w:r w:rsidRPr="009C0942">
              <w:rPr>
                <w:sz w:val="20"/>
                <w:szCs w:val="20"/>
                <w:lang w:eastAsia="ja-JP"/>
              </w:rPr>
              <w:t>1883 metais savo veiklą pradėjusi kaip maža dirbtuvėlė 1993 metais AB “Vilniaus baldai”  įregistruota kaip akcinė bendrovė. Įmonės akcijos įtrauktos į Papildomąjį prekybos sąrašą 2000 metų birželio 5 dieną, į Oficialųjį prekybos sąrašą 2003 metų rugsėjo 1 dieną. Bendrovė projektuoja, gamina ir prekiauja biuro, miegamojo, svetainės bei prieškambario baldais. Įmonių grupei priklauso dar viena dukterinė bendrovė. AB “Vilniaus baldai” eksportuoja beveik visą pagamintą produkciją į Europos ir kitas pasaulio šalis. </w:t>
            </w:r>
            <w:r w:rsidRPr="009C0942">
              <w:rPr>
                <w:sz w:val="20"/>
                <w:szCs w:val="20"/>
                <w:lang w:val="en-US"/>
              </w:rPr>
              <w:t xml:space="preserve">Įmonėje dirba virš 400 darbuotojų. Bendrovė strategiškai investuoja į gamybos plėtrą, nuosekliai auga kurdama naujas darbo vietas, sistemingai dirba tirdama vartotojų poreikius bei ieškodama racionalių sprendimų jiems patenkinti. Bendrovės vizija </w:t>
            </w:r>
            <w:r w:rsidR="00227B53">
              <w:rPr>
                <w:sz w:val="20"/>
                <w:szCs w:val="20"/>
                <w:lang w:val="en-US"/>
              </w:rPr>
              <w:t>–</w:t>
            </w:r>
            <w:r w:rsidRPr="009C0942">
              <w:rPr>
                <w:sz w:val="20"/>
                <w:szCs w:val="20"/>
                <w:lang w:val="en-US"/>
              </w:rPr>
              <w:t xml:space="preserve"> tai modernaus žmogaus gyvenimo filosofija </w:t>
            </w:r>
            <w:r w:rsidR="00227B53">
              <w:rPr>
                <w:sz w:val="20"/>
                <w:szCs w:val="20"/>
                <w:lang w:val="en-US"/>
              </w:rPr>
              <w:t>–</w:t>
            </w:r>
            <w:r w:rsidRPr="009C0942">
              <w:rPr>
                <w:sz w:val="20"/>
                <w:szCs w:val="20"/>
                <w:lang w:val="en-US"/>
              </w:rPr>
              <w:t xml:space="preserve"> amžinas, stilingas, jaukus. </w:t>
            </w:r>
          </w:p>
          <w:p w:rsidR="00BE2A22" w:rsidRPr="009C0942" w:rsidRDefault="00BE2A22" w:rsidP="00BE2A22">
            <w:pPr>
              <w:ind w:firstLine="459"/>
              <w:jc w:val="both"/>
              <w:rPr>
                <w:sz w:val="20"/>
                <w:szCs w:val="20"/>
                <w:lang w:eastAsia="ja-JP"/>
              </w:rPr>
            </w:pPr>
          </w:p>
        </w:tc>
      </w:tr>
    </w:tbl>
    <w:p w:rsidR="00BE2A22" w:rsidRDefault="00BE2A22" w:rsidP="00BE2A22">
      <w:pPr>
        <w:jc w:val="center"/>
        <w:rPr>
          <w:b/>
        </w:rPr>
      </w:pPr>
    </w:p>
    <w:p w:rsidR="00F15997" w:rsidRDefault="00F15997" w:rsidP="00BE2A22">
      <w:pPr>
        <w:jc w:val="center"/>
        <w:rPr>
          <w:b/>
        </w:rPr>
      </w:pPr>
    </w:p>
    <w:p w:rsidR="00F15997" w:rsidRPr="009C0942" w:rsidRDefault="00F15997" w:rsidP="00F15997">
      <w:pPr>
        <w:spacing w:line="360" w:lineRule="auto"/>
        <w:ind w:firstLine="567"/>
        <w:jc w:val="both"/>
      </w:pPr>
      <w:r w:rsidRPr="009C0942">
        <w:t xml:space="preserve">Analitinėje dalyje analizuojami įmonių duomenys gretinami su užsienio šalies įmonių rodikliais. Dėl šalių rinkų panašumo, informacijos pateikimo ir įmonių atrankos paprastumo, pasirinkta tokios šalies įmonės, kurios listinguojamos toje pačioje NASDAQ OMX Baltic vertybinių popierių biržų platformoje. Latvijos, tiksliau tariant, </w:t>
      </w:r>
      <w:r>
        <w:t xml:space="preserve">NASDAQ </w:t>
      </w:r>
      <w:r w:rsidRPr="009C0942">
        <w:t xml:space="preserve">OMX </w:t>
      </w:r>
      <w:r>
        <w:t>Ryga</w:t>
      </w:r>
      <w:r w:rsidRPr="009C0942">
        <w:t xml:space="preserve"> vertybinių popierių biržoje listinguojamų įmonių nėra daug (palyginus su OMX </w:t>
      </w:r>
      <w:r>
        <w:t>Vilni</w:t>
      </w:r>
      <w:r w:rsidRPr="009C0942">
        <w:t xml:space="preserve">us) ir šios biržos įmonių rinka neatitinka Lietuvos analizuojamų įmonių sektorių. Todėl buvo pasirinkta </w:t>
      </w:r>
      <w:r>
        <w:t xml:space="preserve">vertybinių popierių biržos </w:t>
      </w:r>
      <w:r w:rsidRPr="009C0942">
        <w:t xml:space="preserve">OMX </w:t>
      </w:r>
      <w:r>
        <w:t>Talinas</w:t>
      </w:r>
      <w:r w:rsidRPr="009C0942">
        <w:t xml:space="preserve"> rinka bei sugretintos 6 šioje biržoje listinguojamos įmonės (žr. 5 lentelę).</w:t>
      </w:r>
    </w:p>
    <w:p w:rsidR="00F15997" w:rsidRPr="009C0942" w:rsidRDefault="00F15997" w:rsidP="00F15997">
      <w:pPr>
        <w:spacing w:line="360" w:lineRule="auto"/>
        <w:ind w:firstLine="567"/>
        <w:jc w:val="both"/>
      </w:pPr>
    </w:p>
    <w:p w:rsidR="00F15997" w:rsidRPr="009C0942" w:rsidRDefault="00F15997" w:rsidP="00F15997">
      <w:pPr>
        <w:spacing w:line="360" w:lineRule="auto"/>
        <w:ind w:firstLine="567"/>
        <w:jc w:val="center"/>
        <w:rPr>
          <w:b/>
        </w:rPr>
      </w:pPr>
      <w:r w:rsidRPr="009C0942">
        <w:rPr>
          <w:b/>
        </w:rPr>
        <w:t xml:space="preserve">5 lentelė. Atrinktų įmonių listinguojamų </w:t>
      </w:r>
      <w:r>
        <w:rPr>
          <w:b/>
        </w:rPr>
        <w:t xml:space="preserve">OMX </w:t>
      </w:r>
      <w:r w:rsidRPr="009C0942">
        <w:rPr>
          <w:b/>
        </w:rPr>
        <w:t>Talin</w:t>
      </w:r>
      <w:r>
        <w:rPr>
          <w:b/>
        </w:rPr>
        <w:t xml:space="preserve">as vertybinių popierių biržoje </w:t>
      </w:r>
      <w:r w:rsidRPr="009C0942">
        <w:rPr>
          <w:b/>
        </w:rPr>
        <w:t>aprašymas</w:t>
      </w:r>
    </w:p>
    <w:p w:rsidR="00F15997" w:rsidRPr="009C0942" w:rsidRDefault="00F15997" w:rsidP="00F15997">
      <w:pPr>
        <w:rPr>
          <w:b/>
        </w:rPr>
      </w:pPr>
    </w:p>
    <w:tbl>
      <w:tblPr>
        <w:tblpPr w:leftFromText="180" w:rightFromText="180" w:vertAnchor="text" w:horzAnchor="page" w:tblpX="1433" w:tblpY="92"/>
        <w:tblW w:w="10031"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tblPr>
      <w:tblGrid>
        <w:gridCol w:w="2093"/>
        <w:gridCol w:w="7938"/>
      </w:tblGrid>
      <w:tr w:rsidR="00F15997" w:rsidRPr="00D630DA" w:rsidTr="00F15997">
        <w:tc>
          <w:tcPr>
            <w:tcW w:w="2093" w:type="dxa"/>
            <w:tcBorders>
              <w:top w:val="single" w:sz="8" w:space="0" w:color="4BACC6"/>
              <w:left w:val="single" w:sz="8" w:space="0" w:color="4BACC6"/>
              <w:bottom w:val="single" w:sz="18" w:space="0" w:color="4BACC6"/>
              <w:right w:val="single" w:sz="8" w:space="0" w:color="4BACC6"/>
            </w:tcBorders>
            <w:shd w:val="clear" w:color="auto" w:fill="auto"/>
          </w:tcPr>
          <w:p w:rsidR="00F15997" w:rsidRPr="00D630DA" w:rsidRDefault="00F15997" w:rsidP="00F15997">
            <w:pPr>
              <w:spacing w:line="276" w:lineRule="auto"/>
              <w:jc w:val="center"/>
              <w:rPr>
                <w:rFonts w:eastAsia="ＭＳ ゴシック"/>
                <w:b/>
                <w:bCs/>
                <w:i/>
                <w:sz w:val="20"/>
                <w:szCs w:val="20"/>
              </w:rPr>
            </w:pPr>
            <w:r w:rsidRPr="00D630DA">
              <w:rPr>
                <w:rFonts w:eastAsia="ＭＳ ゴシック"/>
                <w:b/>
                <w:bCs/>
                <w:i/>
                <w:sz w:val="20"/>
                <w:szCs w:val="20"/>
              </w:rPr>
              <w:t>Įmonė</w:t>
            </w:r>
          </w:p>
        </w:tc>
        <w:tc>
          <w:tcPr>
            <w:tcW w:w="7938" w:type="dxa"/>
            <w:tcBorders>
              <w:top w:val="single" w:sz="8" w:space="0" w:color="4BACC6"/>
              <w:left w:val="single" w:sz="8" w:space="0" w:color="4BACC6"/>
              <w:bottom w:val="single" w:sz="18" w:space="0" w:color="4BACC6"/>
              <w:right w:val="single" w:sz="8" w:space="0" w:color="4BACC6"/>
            </w:tcBorders>
            <w:shd w:val="clear" w:color="auto" w:fill="auto"/>
          </w:tcPr>
          <w:p w:rsidR="00F15997" w:rsidRPr="00D630DA" w:rsidRDefault="00F15997" w:rsidP="00F15997">
            <w:pPr>
              <w:jc w:val="center"/>
              <w:rPr>
                <w:rFonts w:eastAsia="ＭＳ ゴシック"/>
                <w:b/>
                <w:bCs/>
                <w:i/>
                <w:sz w:val="20"/>
                <w:szCs w:val="20"/>
              </w:rPr>
            </w:pPr>
            <w:r w:rsidRPr="00D630DA">
              <w:rPr>
                <w:rFonts w:eastAsia="ＭＳ ゴシック"/>
                <w:b/>
                <w:bCs/>
                <w:i/>
                <w:sz w:val="20"/>
                <w:szCs w:val="20"/>
              </w:rPr>
              <w:t>Aprašymas</w:t>
            </w:r>
          </w:p>
        </w:tc>
      </w:tr>
      <w:tr w:rsidR="00F15997" w:rsidRPr="00D630DA" w:rsidTr="00536246">
        <w:tc>
          <w:tcPr>
            <w:tcW w:w="2093" w:type="dxa"/>
            <w:tcBorders>
              <w:top w:val="single" w:sz="8" w:space="0" w:color="4BACC6"/>
              <w:left w:val="single" w:sz="8" w:space="0" w:color="4BACC6"/>
              <w:bottom w:val="single" w:sz="4" w:space="0" w:color="365F91" w:themeColor="accent1" w:themeShade="BF"/>
              <w:right w:val="single" w:sz="8" w:space="0" w:color="4BACC6"/>
            </w:tcBorders>
            <w:shd w:val="clear" w:color="auto" w:fill="D2EAF1"/>
          </w:tcPr>
          <w:p w:rsidR="00F15997" w:rsidRPr="00D630DA" w:rsidRDefault="00F15997" w:rsidP="00F15997">
            <w:pPr>
              <w:spacing w:line="276" w:lineRule="auto"/>
              <w:jc w:val="center"/>
              <w:rPr>
                <w:rFonts w:eastAsia="ＭＳ ゴシック"/>
                <w:b/>
                <w:bCs/>
                <w:i/>
                <w:sz w:val="20"/>
                <w:szCs w:val="20"/>
                <w:lang w:eastAsia="ja-JP"/>
              </w:rPr>
            </w:pPr>
          </w:p>
          <w:p w:rsidR="00F15997" w:rsidRPr="00D630DA" w:rsidRDefault="00F15997" w:rsidP="00F15997">
            <w:pPr>
              <w:spacing w:line="276" w:lineRule="auto"/>
              <w:jc w:val="center"/>
              <w:rPr>
                <w:rFonts w:eastAsia="ＭＳ ゴシック"/>
                <w:b/>
                <w:bCs/>
                <w:i/>
                <w:sz w:val="20"/>
                <w:szCs w:val="20"/>
                <w:lang w:eastAsia="ja-JP"/>
              </w:rPr>
            </w:pPr>
            <w:r w:rsidRPr="00D630DA">
              <w:rPr>
                <w:rFonts w:eastAsia="ＭＳ ゴシック"/>
                <w:b/>
                <w:bCs/>
                <w:i/>
                <w:sz w:val="20"/>
                <w:szCs w:val="20"/>
                <w:lang w:eastAsia="ja-JP"/>
              </w:rPr>
              <w:t>Tallinna Kaubamaja AS (palyginimui su APB “Apranga”)</w:t>
            </w:r>
          </w:p>
          <w:p w:rsidR="00F15997" w:rsidRPr="00D630DA" w:rsidRDefault="00F15997" w:rsidP="00F15997">
            <w:pPr>
              <w:spacing w:line="276" w:lineRule="auto"/>
              <w:jc w:val="center"/>
              <w:rPr>
                <w:rFonts w:eastAsia="ＭＳ ゴシック"/>
                <w:b/>
                <w:bCs/>
                <w:i/>
                <w:sz w:val="20"/>
                <w:szCs w:val="20"/>
                <w:lang w:eastAsia="ja-JP"/>
              </w:rPr>
            </w:pPr>
          </w:p>
        </w:tc>
        <w:tc>
          <w:tcPr>
            <w:tcW w:w="7938" w:type="dxa"/>
            <w:tcBorders>
              <w:top w:val="single" w:sz="8" w:space="0" w:color="4BACC6"/>
              <w:left w:val="single" w:sz="8" w:space="0" w:color="4BACC6"/>
              <w:bottom w:val="single" w:sz="8" w:space="0" w:color="4BACC6"/>
              <w:right w:val="single" w:sz="8" w:space="0" w:color="4BACC6"/>
            </w:tcBorders>
            <w:shd w:val="clear" w:color="auto" w:fill="D2EAF1"/>
          </w:tcPr>
          <w:p w:rsidR="00F15997" w:rsidRPr="00D630DA" w:rsidRDefault="00F15997" w:rsidP="00F15997">
            <w:pPr>
              <w:ind w:firstLine="459"/>
              <w:jc w:val="both"/>
              <w:rPr>
                <w:b/>
                <w:sz w:val="20"/>
                <w:szCs w:val="20"/>
                <w:lang w:eastAsia="ja-JP"/>
              </w:rPr>
            </w:pPr>
          </w:p>
          <w:p w:rsidR="00F15997" w:rsidRPr="00D630DA" w:rsidRDefault="00F15997" w:rsidP="00F15997">
            <w:pPr>
              <w:ind w:firstLine="459"/>
              <w:jc w:val="both"/>
              <w:rPr>
                <w:rFonts w:eastAsia="SimSun"/>
                <w:color w:val="292029"/>
                <w:sz w:val="22"/>
                <w:szCs w:val="22"/>
                <w:lang w:val="en-US" w:eastAsia="en-US"/>
              </w:rPr>
            </w:pPr>
            <w:r w:rsidRPr="00D630DA">
              <w:rPr>
                <w:sz w:val="20"/>
                <w:szCs w:val="20"/>
                <w:lang w:val="en-US"/>
              </w:rPr>
              <w:t xml:space="preserve">Veiklos aprašymas: </w:t>
            </w:r>
            <w:r w:rsidR="000E0C14">
              <w:rPr>
                <w:rFonts w:eastAsia="SimSun"/>
                <w:color w:val="292029"/>
                <w:sz w:val="22"/>
                <w:szCs w:val="22"/>
                <w:lang w:val="en-US" w:eastAsia="en-US"/>
              </w:rPr>
              <w:t>Didmeninė prekyba ir prekių perpardavimas.</w:t>
            </w:r>
            <w:r w:rsidRPr="00D630DA">
              <w:rPr>
                <w:rFonts w:eastAsia="SimSun"/>
                <w:color w:val="292029"/>
                <w:sz w:val="22"/>
                <w:szCs w:val="22"/>
                <w:lang w:val="en-US" w:eastAsia="en-US"/>
              </w:rPr>
              <w:t xml:space="preserve"> </w:t>
            </w:r>
          </w:p>
          <w:p w:rsidR="00F15997" w:rsidRPr="00D630DA" w:rsidRDefault="00F15997" w:rsidP="00F15997">
            <w:pPr>
              <w:ind w:firstLine="459"/>
              <w:jc w:val="both"/>
              <w:rPr>
                <w:sz w:val="20"/>
                <w:szCs w:val="20"/>
                <w:lang w:val="en-US"/>
              </w:rPr>
            </w:pPr>
            <w:r w:rsidRPr="00D630DA">
              <w:rPr>
                <w:sz w:val="20"/>
                <w:szCs w:val="20"/>
                <w:lang w:val="en-US"/>
              </w:rPr>
              <w:t xml:space="preserve">Kapitalizacija </w:t>
            </w:r>
            <w:r w:rsidRPr="00D630DA">
              <w:rPr>
                <w:rFonts w:eastAsia="SimSun"/>
                <w:color w:val="262626"/>
                <w:sz w:val="22"/>
                <w:szCs w:val="22"/>
                <w:lang w:val="en-US" w:eastAsia="en-US"/>
              </w:rPr>
              <w:t>219 937 680,00 EUR (25.02.2014)</w:t>
            </w:r>
            <w:r w:rsidRPr="00D630DA">
              <w:rPr>
                <w:sz w:val="20"/>
                <w:szCs w:val="20"/>
                <w:lang w:val="en-US"/>
              </w:rPr>
              <w:t>.</w:t>
            </w:r>
          </w:p>
          <w:p w:rsidR="00F15997" w:rsidRPr="00D630DA" w:rsidRDefault="00F15997" w:rsidP="00F15997">
            <w:pPr>
              <w:ind w:firstLine="459"/>
              <w:jc w:val="both"/>
              <w:rPr>
                <w:rFonts w:eastAsia="SimSun"/>
                <w:color w:val="292029"/>
                <w:sz w:val="22"/>
                <w:szCs w:val="22"/>
                <w:lang w:val="en-US" w:eastAsia="en-US"/>
              </w:rPr>
            </w:pPr>
            <w:r w:rsidRPr="00D630DA">
              <w:rPr>
                <w:rFonts w:eastAsia="SimSun"/>
                <w:color w:val="292029"/>
                <w:sz w:val="22"/>
                <w:szCs w:val="22"/>
                <w:lang w:val="en-US" w:eastAsia="en-US"/>
              </w:rPr>
              <w:t>Įmonės registracijos data: 1960</w:t>
            </w:r>
            <w:r w:rsidR="000E0C14">
              <w:rPr>
                <w:rFonts w:eastAsia="SimSun"/>
                <w:color w:val="292029"/>
                <w:sz w:val="22"/>
                <w:szCs w:val="22"/>
                <w:lang w:val="en-US" w:eastAsia="en-US"/>
              </w:rPr>
              <w:t xml:space="preserve"> m. Liepos 21 d.</w:t>
            </w:r>
          </w:p>
          <w:p w:rsidR="00F15997" w:rsidRDefault="00F15997" w:rsidP="000E0C14">
            <w:pPr>
              <w:ind w:firstLine="459"/>
              <w:jc w:val="both"/>
              <w:rPr>
                <w:rFonts w:eastAsia="SimSun"/>
                <w:color w:val="292029"/>
                <w:sz w:val="22"/>
                <w:szCs w:val="22"/>
                <w:lang w:val="en-US" w:eastAsia="en-US"/>
              </w:rPr>
            </w:pPr>
            <w:r w:rsidRPr="00D630DA">
              <w:rPr>
                <w:rFonts w:eastAsia="SimSun"/>
                <w:color w:val="292029"/>
                <w:sz w:val="22"/>
                <w:szCs w:val="22"/>
                <w:lang w:val="en-US" w:eastAsia="en-US"/>
              </w:rPr>
              <w:t>Įtraukimo į Oficialųjį prekybos sąrašą data: 1997</w:t>
            </w:r>
            <w:r w:rsidR="000E0C14">
              <w:rPr>
                <w:rFonts w:eastAsia="SimSun"/>
                <w:color w:val="292029"/>
                <w:sz w:val="22"/>
                <w:szCs w:val="22"/>
                <w:lang w:val="en-US" w:eastAsia="en-US"/>
              </w:rPr>
              <w:t xml:space="preserve"> m. Rugpjūčio 19 d.</w:t>
            </w:r>
          </w:p>
          <w:p w:rsidR="000E0C14" w:rsidRPr="00D630DA" w:rsidRDefault="000E0C14" w:rsidP="000E0C14">
            <w:pPr>
              <w:ind w:firstLine="459"/>
              <w:jc w:val="both"/>
              <w:rPr>
                <w:sz w:val="20"/>
                <w:szCs w:val="20"/>
                <w:lang w:eastAsia="ja-JP"/>
              </w:rPr>
            </w:pPr>
          </w:p>
        </w:tc>
      </w:tr>
      <w:tr w:rsidR="000E0C14" w:rsidRPr="00D630DA" w:rsidTr="00536246">
        <w:tc>
          <w:tcPr>
            <w:tcW w:w="2093" w:type="dxa"/>
            <w:tcBorders>
              <w:top w:val="single" w:sz="4" w:space="0" w:color="365F91" w:themeColor="accent1" w:themeShade="BF"/>
              <w:left w:val="nil"/>
              <w:bottom w:val="nil"/>
              <w:right w:val="nil"/>
            </w:tcBorders>
            <w:shd w:val="clear" w:color="auto" w:fill="auto"/>
          </w:tcPr>
          <w:p w:rsidR="000E0C14" w:rsidRDefault="000E0C14" w:rsidP="00F15997">
            <w:pPr>
              <w:spacing w:line="276" w:lineRule="auto"/>
              <w:jc w:val="center"/>
              <w:rPr>
                <w:rFonts w:eastAsia="ＭＳ ゴシック"/>
                <w:b/>
                <w:bCs/>
                <w:i/>
                <w:sz w:val="20"/>
                <w:szCs w:val="20"/>
                <w:lang w:eastAsia="ja-JP"/>
              </w:rPr>
            </w:pPr>
          </w:p>
          <w:p w:rsidR="00435BA3" w:rsidRPr="00D630DA" w:rsidRDefault="00435BA3" w:rsidP="00F15997">
            <w:pPr>
              <w:spacing w:line="276" w:lineRule="auto"/>
              <w:jc w:val="center"/>
              <w:rPr>
                <w:rFonts w:eastAsia="ＭＳ ゴシック"/>
                <w:b/>
                <w:bCs/>
                <w:i/>
                <w:sz w:val="20"/>
                <w:szCs w:val="20"/>
                <w:lang w:eastAsia="ja-JP"/>
              </w:rPr>
            </w:pPr>
          </w:p>
        </w:tc>
        <w:tc>
          <w:tcPr>
            <w:tcW w:w="7938" w:type="dxa"/>
            <w:tcBorders>
              <w:top w:val="single" w:sz="4" w:space="0" w:color="31849B" w:themeColor="accent5" w:themeShade="BF"/>
              <w:left w:val="nil"/>
              <w:bottom w:val="nil"/>
              <w:right w:val="nil"/>
            </w:tcBorders>
            <w:shd w:val="clear" w:color="auto" w:fill="auto"/>
          </w:tcPr>
          <w:p w:rsidR="000E0C14" w:rsidRPr="00D630DA" w:rsidRDefault="00254CC2" w:rsidP="00254CC2">
            <w:pPr>
              <w:ind w:firstLine="459"/>
              <w:jc w:val="right"/>
              <w:rPr>
                <w:sz w:val="20"/>
                <w:szCs w:val="20"/>
                <w:lang w:val="en-US"/>
              </w:rPr>
            </w:pPr>
            <w:r>
              <w:rPr>
                <w:sz w:val="20"/>
                <w:szCs w:val="20"/>
                <w:lang w:eastAsia="ja-JP"/>
              </w:rPr>
              <w:t>5 lentelės tęsinys kitame puslapyje</w:t>
            </w:r>
          </w:p>
        </w:tc>
      </w:tr>
      <w:tr w:rsidR="007F1F7A" w:rsidRPr="00D630DA" w:rsidTr="00254CC2">
        <w:tc>
          <w:tcPr>
            <w:tcW w:w="2093" w:type="dxa"/>
            <w:tcBorders>
              <w:top w:val="nil"/>
              <w:left w:val="nil"/>
              <w:bottom w:val="single" w:sz="4" w:space="0" w:color="31849B" w:themeColor="accent5" w:themeShade="BF"/>
              <w:right w:val="nil"/>
            </w:tcBorders>
            <w:shd w:val="clear" w:color="auto" w:fill="auto"/>
          </w:tcPr>
          <w:p w:rsidR="007F1F7A" w:rsidRPr="00D630DA" w:rsidRDefault="007F1F7A" w:rsidP="00F15997">
            <w:pPr>
              <w:spacing w:line="276" w:lineRule="auto"/>
              <w:jc w:val="center"/>
              <w:rPr>
                <w:rFonts w:eastAsia="ＭＳ ゴシック"/>
                <w:b/>
                <w:bCs/>
                <w:i/>
                <w:sz w:val="20"/>
                <w:szCs w:val="20"/>
                <w:lang w:eastAsia="ja-JP"/>
              </w:rPr>
            </w:pPr>
          </w:p>
        </w:tc>
        <w:tc>
          <w:tcPr>
            <w:tcW w:w="7938" w:type="dxa"/>
            <w:tcBorders>
              <w:top w:val="nil"/>
              <w:left w:val="nil"/>
              <w:bottom w:val="single" w:sz="4" w:space="0" w:color="31849B" w:themeColor="accent5" w:themeShade="BF"/>
              <w:right w:val="nil"/>
            </w:tcBorders>
            <w:shd w:val="clear" w:color="auto" w:fill="auto"/>
          </w:tcPr>
          <w:p w:rsidR="007F1F7A" w:rsidRPr="00D630DA" w:rsidRDefault="00254CC2" w:rsidP="00254CC2">
            <w:pPr>
              <w:ind w:firstLine="459"/>
              <w:jc w:val="right"/>
              <w:rPr>
                <w:sz w:val="20"/>
                <w:szCs w:val="20"/>
                <w:lang w:val="en-US"/>
              </w:rPr>
            </w:pPr>
            <w:r>
              <w:rPr>
                <w:sz w:val="20"/>
                <w:szCs w:val="20"/>
                <w:lang w:eastAsia="ja-JP"/>
              </w:rPr>
              <w:t>5 lentelės tęsinys</w:t>
            </w:r>
          </w:p>
        </w:tc>
      </w:tr>
      <w:tr w:rsidR="000E0C14" w:rsidRPr="00D630DA" w:rsidTr="00254CC2">
        <w:tc>
          <w:tcPr>
            <w:tcW w:w="2093" w:type="dxa"/>
            <w:tcBorders>
              <w:top w:val="single" w:sz="4" w:space="0" w:color="31849B" w:themeColor="accent5" w:themeShade="BF"/>
              <w:left w:val="single" w:sz="8" w:space="0" w:color="4BACC6"/>
              <w:bottom w:val="single" w:sz="8" w:space="0" w:color="4BACC6"/>
              <w:right w:val="single" w:sz="8" w:space="0" w:color="4BACC6"/>
            </w:tcBorders>
            <w:shd w:val="clear" w:color="auto" w:fill="auto"/>
          </w:tcPr>
          <w:p w:rsidR="00435BA3" w:rsidRDefault="00435BA3" w:rsidP="00F15997">
            <w:pPr>
              <w:spacing w:line="276" w:lineRule="auto"/>
              <w:jc w:val="center"/>
              <w:rPr>
                <w:rFonts w:eastAsia="ＭＳ ゴシック"/>
                <w:b/>
                <w:bCs/>
                <w:i/>
                <w:sz w:val="20"/>
                <w:szCs w:val="20"/>
                <w:lang w:eastAsia="ja-JP"/>
              </w:rPr>
            </w:pPr>
          </w:p>
          <w:p w:rsidR="000E0C14" w:rsidRPr="00D630DA" w:rsidRDefault="00435BA3" w:rsidP="00F15997">
            <w:pPr>
              <w:spacing w:line="276" w:lineRule="auto"/>
              <w:jc w:val="center"/>
              <w:rPr>
                <w:rFonts w:eastAsia="ＭＳ ゴシック"/>
                <w:b/>
                <w:bCs/>
                <w:i/>
                <w:sz w:val="20"/>
                <w:szCs w:val="20"/>
                <w:lang w:eastAsia="ja-JP"/>
              </w:rPr>
            </w:pPr>
            <w:r w:rsidRPr="00D630DA">
              <w:rPr>
                <w:rFonts w:eastAsia="ＭＳ ゴシック"/>
                <w:b/>
                <w:bCs/>
                <w:i/>
                <w:sz w:val="20"/>
                <w:szCs w:val="20"/>
                <w:lang w:eastAsia="ja-JP"/>
              </w:rPr>
              <w:t>AS Tallinna Vesi (palyginimui su AB “Lietuvos dujos”)</w:t>
            </w:r>
          </w:p>
        </w:tc>
        <w:tc>
          <w:tcPr>
            <w:tcW w:w="7938" w:type="dxa"/>
            <w:tcBorders>
              <w:top w:val="single" w:sz="4" w:space="0" w:color="31849B" w:themeColor="accent5" w:themeShade="BF"/>
              <w:left w:val="single" w:sz="8" w:space="0" w:color="4BACC6"/>
              <w:bottom w:val="single" w:sz="8" w:space="0" w:color="4BACC6"/>
              <w:right w:val="single" w:sz="8" w:space="0" w:color="4BACC6"/>
            </w:tcBorders>
            <w:shd w:val="clear" w:color="auto" w:fill="auto"/>
          </w:tcPr>
          <w:p w:rsidR="00435BA3" w:rsidRDefault="00435BA3" w:rsidP="00435BA3">
            <w:pPr>
              <w:ind w:firstLine="459"/>
              <w:jc w:val="both"/>
              <w:rPr>
                <w:sz w:val="20"/>
                <w:szCs w:val="20"/>
                <w:lang w:val="en-US"/>
              </w:rPr>
            </w:pPr>
          </w:p>
          <w:p w:rsidR="00435BA3" w:rsidRPr="00D630DA" w:rsidRDefault="00435BA3" w:rsidP="00435BA3">
            <w:pPr>
              <w:ind w:firstLine="459"/>
              <w:jc w:val="both"/>
              <w:rPr>
                <w:rFonts w:eastAsia="SimSun"/>
                <w:color w:val="292029"/>
                <w:sz w:val="22"/>
                <w:szCs w:val="22"/>
                <w:lang w:val="en-US" w:eastAsia="en-US"/>
              </w:rPr>
            </w:pPr>
            <w:r w:rsidRPr="00D630DA">
              <w:rPr>
                <w:sz w:val="20"/>
                <w:szCs w:val="20"/>
                <w:lang w:val="en-US"/>
              </w:rPr>
              <w:t xml:space="preserve">Veiklos aprašymas: </w:t>
            </w:r>
            <w:r>
              <w:t xml:space="preserve"> </w:t>
            </w:r>
            <w:r>
              <w:rPr>
                <w:rFonts w:eastAsia="SimSun"/>
                <w:color w:val="292029"/>
                <w:sz w:val="22"/>
                <w:szCs w:val="22"/>
                <w:lang w:val="en-US" w:eastAsia="en-US"/>
              </w:rPr>
              <w:t>Vandens tiekimo,</w:t>
            </w:r>
            <w:r w:rsidRPr="000E0C14">
              <w:rPr>
                <w:rFonts w:eastAsia="SimSun"/>
                <w:color w:val="292029"/>
                <w:sz w:val="22"/>
                <w:szCs w:val="22"/>
                <w:lang w:val="en-US" w:eastAsia="en-US"/>
              </w:rPr>
              <w:t xml:space="preserve"> nuotekų surinkimo ir valymo paslaugos</w:t>
            </w:r>
          </w:p>
          <w:p w:rsidR="00435BA3" w:rsidRPr="00D630DA" w:rsidRDefault="00435BA3" w:rsidP="00435BA3">
            <w:pPr>
              <w:ind w:firstLine="459"/>
              <w:jc w:val="both"/>
              <w:rPr>
                <w:sz w:val="20"/>
                <w:szCs w:val="20"/>
                <w:lang w:val="en-US"/>
              </w:rPr>
            </w:pPr>
            <w:r w:rsidRPr="00D630DA">
              <w:rPr>
                <w:sz w:val="20"/>
                <w:szCs w:val="20"/>
                <w:lang w:val="en-US"/>
              </w:rPr>
              <w:t xml:space="preserve">Kapitalizacija </w:t>
            </w:r>
            <w:r w:rsidRPr="00D630DA">
              <w:rPr>
                <w:rFonts w:eastAsia="SimSun"/>
                <w:color w:val="262626"/>
                <w:sz w:val="22"/>
                <w:szCs w:val="22"/>
                <w:lang w:val="en-US" w:eastAsia="en-US"/>
              </w:rPr>
              <w:t>256 000 000,00 EUR (25.02.2014)</w:t>
            </w:r>
            <w:r w:rsidRPr="00D630DA">
              <w:rPr>
                <w:sz w:val="20"/>
                <w:szCs w:val="20"/>
                <w:lang w:val="en-US"/>
              </w:rPr>
              <w:t>.</w:t>
            </w:r>
          </w:p>
          <w:p w:rsidR="00435BA3" w:rsidRDefault="00435BA3" w:rsidP="00435BA3">
            <w:pPr>
              <w:widowControl w:val="0"/>
              <w:autoSpaceDE w:val="0"/>
              <w:autoSpaceDN w:val="0"/>
              <w:adjustRightInd w:val="0"/>
              <w:jc w:val="both"/>
              <w:rPr>
                <w:rFonts w:eastAsia="SimSun"/>
                <w:color w:val="292029"/>
                <w:sz w:val="22"/>
                <w:szCs w:val="22"/>
                <w:lang w:val="en-US" w:eastAsia="en-US"/>
              </w:rPr>
            </w:pPr>
            <w:r>
              <w:rPr>
                <w:rFonts w:eastAsia="SimSun"/>
                <w:color w:val="292029"/>
                <w:sz w:val="22"/>
                <w:szCs w:val="22"/>
                <w:lang w:val="en-US" w:eastAsia="en-US"/>
              </w:rPr>
              <w:t xml:space="preserve">        </w:t>
            </w:r>
            <w:r w:rsidRPr="00D630DA">
              <w:rPr>
                <w:rFonts w:eastAsia="SimSun"/>
                <w:color w:val="292029"/>
                <w:sz w:val="22"/>
                <w:szCs w:val="22"/>
                <w:lang w:val="en-US" w:eastAsia="en-US"/>
              </w:rPr>
              <w:t>Įmonės registracijos data: 1967</w:t>
            </w:r>
          </w:p>
          <w:p w:rsidR="000E0C14" w:rsidRDefault="00435BA3" w:rsidP="00435BA3">
            <w:pPr>
              <w:widowControl w:val="0"/>
              <w:autoSpaceDE w:val="0"/>
              <w:autoSpaceDN w:val="0"/>
              <w:adjustRightInd w:val="0"/>
              <w:jc w:val="both"/>
              <w:rPr>
                <w:rFonts w:eastAsia="SimSun"/>
                <w:color w:val="292029"/>
                <w:sz w:val="22"/>
                <w:szCs w:val="22"/>
                <w:lang w:val="en-US" w:eastAsia="en-US"/>
              </w:rPr>
            </w:pPr>
            <w:r>
              <w:rPr>
                <w:rFonts w:eastAsia="SimSun"/>
                <w:color w:val="292029"/>
                <w:sz w:val="22"/>
                <w:szCs w:val="22"/>
                <w:lang w:val="en-US" w:eastAsia="en-US"/>
              </w:rPr>
              <w:t xml:space="preserve">        </w:t>
            </w:r>
            <w:r w:rsidR="000E0C14" w:rsidRPr="00D630DA">
              <w:rPr>
                <w:rFonts w:eastAsia="SimSun"/>
                <w:color w:val="292029"/>
                <w:sz w:val="22"/>
                <w:szCs w:val="22"/>
                <w:lang w:val="en-US" w:eastAsia="en-US"/>
              </w:rPr>
              <w:t>Įtraukimo į Oficialųjį prekybos sąrašą data: 2005</w:t>
            </w:r>
            <w:r w:rsidR="000E0C14">
              <w:rPr>
                <w:rFonts w:eastAsia="SimSun"/>
                <w:color w:val="292029"/>
                <w:sz w:val="22"/>
                <w:szCs w:val="22"/>
                <w:lang w:val="en-US" w:eastAsia="en-US"/>
              </w:rPr>
              <w:t xml:space="preserve"> m. Birželio 1</w:t>
            </w:r>
            <w:r w:rsidR="000E0C14" w:rsidRPr="00D630DA">
              <w:rPr>
                <w:rFonts w:eastAsia="SimSun"/>
                <w:color w:val="292029"/>
                <w:sz w:val="22"/>
                <w:szCs w:val="22"/>
                <w:lang w:val="en-US" w:eastAsia="en-US"/>
              </w:rPr>
              <w:t>.</w:t>
            </w:r>
          </w:p>
          <w:p w:rsidR="000E0C14" w:rsidRPr="00D630DA" w:rsidRDefault="000E0C14" w:rsidP="00F15997">
            <w:pPr>
              <w:ind w:firstLine="459"/>
              <w:jc w:val="both"/>
              <w:rPr>
                <w:sz w:val="20"/>
                <w:szCs w:val="20"/>
                <w:lang w:val="en-US"/>
              </w:rPr>
            </w:pPr>
          </w:p>
        </w:tc>
      </w:tr>
      <w:tr w:rsidR="00F15997" w:rsidRPr="00D630DA" w:rsidTr="00F15997">
        <w:tc>
          <w:tcPr>
            <w:tcW w:w="2093" w:type="dxa"/>
            <w:tcBorders>
              <w:top w:val="single" w:sz="8" w:space="0" w:color="4BACC6"/>
              <w:left w:val="single" w:sz="8" w:space="0" w:color="4BACC6"/>
              <w:bottom w:val="single" w:sz="8" w:space="0" w:color="4BACC6"/>
              <w:right w:val="single" w:sz="8" w:space="0" w:color="4BACC6"/>
            </w:tcBorders>
            <w:shd w:val="clear" w:color="auto" w:fill="D2EAF1"/>
          </w:tcPr>
          <w:p w:rsidR="00F15997" w:rsidRPr="00D630DA" w:rsidRDefault="00F15997" w:rsidP="00F15997">
            <w:pPr>
              <w:spacing w:line="276" w:lineRule="auto"/>
              <w:rPr>
                <w:rFonts w:eastAsia="ＭＳ ゴシック"/>
                <w:b/>
                <w:bCs/>
                <w:i/>
                <w:sz w:val="20"/>
                <w:szCs w:val="20"/>
                <w:lang w:eastAsia="ja-JP"/>
              </w:rPr>
            </w:pPr>
          </w:p>
          <w:p w:rsidR="00F15997" w:rsidRPr="00D630DA" w:rsidRDefault="00F15997" w:rsidP="00F15997">
            <w:pPr>
              <w:spacing w:line="276" w:lineRule="auto"/>
              <w:jc w:val="center"/>
              <w:rPr>
                <w:rFonts w:eastAsia="ＭＳ ゴシック"/>
                <w:b/>
                <w:bCs/>
                <w:i/>
                <w:sz w:val="20"/>
                <w:szCs w:val="20"/>
                <w:lang w:eastAsia="ja-JP"/>
              </w:rPr>
            </w:pPr>
            <w:r w:rsidRPr="00D630DA">
              <w:rPr>
                <w:rFonts w:eastAsia="ＭＳ ゴシック"/>
                <w:b/>
                <w:bCs/>
                <w:i/>
                <w:sz w:val="20"/>
                <w:szCs w:val="20"/>
                <w:lang w:eastAsia="ja-JP"/>
              </w:rPr>
              <w:t>AS Harju Elekter (palyginimui su AB “City service”)</w:t>
            </w:r>
          </w:p>
          <w:p w:rsidR="00F15997" w:rsidRPr="00D630DA" w:rsidRDefault="00F15997" w:rsidP="00F15997">
            <w:pPr>
              <w:spacing w:line="276" w:lineRule="auto"/>
              <w:jc w:val="center"/>
              <w:rPr>
                <w:rFonts w:eastAsia="ＭＳ ゴシック"/>
                <w:b/>
                <w:bCs/>
                <w:i/>
                <w:sz w:val="20"/>
                <w:szCs w:val="20"/>
                <w:lang w:eastAsia="ja-JP"/>
              </w:rPr>
            </w:pPr>
          </w:p>
        </w:tc>
        <w:tc>
          <w:tcPr>
            <w:tcW w:w="7938" w:type="dxa"/>
            <w:tcBorders>
              <w:top w:val="single" w:sz="8" w:space="0" w:color="4BACC6"/>
              <w:left w:val="single" w:sz="8" w:space="0" w:color="4BACC6"/>
              <w:bottom w:val="single" w:sz="8" w:space="0" w:color="4BACC6"/>
              <w:right w:val="single" w:sz="8" w:space="0" w:color="4BACC6"/>
            </w:tcBorders>
            <w:shd w:val="clear" w:color="auto" w:fill="D2EAF1"/>
          </w:tcPr>
          <w:p w:rsidR="00F15997" w:rsidRPr="00D630DA" w:rsidRDefault="00F15997" w:rsidP="00F15997">
            <w:pPr>
              <w:jc w:val="both"/>
              <w:rPr>
                <w:sz w:val="20"/>
                <w:szCs w:val="20"/>
                <w:lang w:val="en-US"/>
              </w:rPr>
            </w:pPr>
          </w:p>
          <w:p w:rsidR="00F15997" w:rsidRPr="00D630DA" w:rsidRDefault="00F15997" w:rsidP="00F15997">
            <w:pPr>
              <w:ind w:firstLine="459"/>
              <w:jc w:val="both"/>
              <w:rPr>
                <w:rFonts w:eastAsia="SimSun"/>
                <w:color w:val="292029"/>
                <w:sz w:val="22"/>
                <w:szCs w:val="22"/>
                <w:lang w:val="en-US" w:eastAsia="en-US"/>
              </w:rPr>
            </w:pPr>
            <w:r w:rsidRPr="00D630DA">
              <w:rPr>
                <w:sz w:val="20"/>
                <w:szCs w:val="20"/>
                <w:lang w:val="en-US"/>
              </w:rPr>
              <w:t>Veiklos aprašymas: Įvairių elektros inžinerijos ir telemunikacijos sistemų produkcija, dizainas ir reklamavimas.</w:t>
            </w:r>
          </w:p>
          <w:p w:rsidR="00F15997" w:rsidRPr="00D630DA" w:rsidRDefault="00F15997" w:rsidP="00F15997">
            <w:pPr>
              <w:ind w:firstLine="459"/>
              <w:jc w:val="both"/>
              <w:rPr>
                <w:sz w:val="20"/>
                <w:szCs w:val="20"/>
                <w:lang w:val="en-US"/>
              </w:rPr>
            </w:pPr>
            <w:r w:rsidRPr="00D630DA">
              <w:rPr>
                <w:sz w:val="20"/>
                <w:szCs w:val="20"/>
                <w:lang w:val="en-US"/>
              </w:rPr>
              <w:t xml:space="preserve">Kapitalizacija </w:t>
            </w:r>
            <w:r w:rsidRPr="00D630DA">
              <w:rPr>
                <w:rFonts w:eastAsia="SimSun"/>
                <w:color w:val="262626"/>
                <w:sz w:val="22"/>
                <w:szCs w:val="22"/>
                <w:lang w:val="en-US" w:eastAsia="en-US"/>
              </w:rPr>
              <w:t>12 180 000,00 EUR (25.02.2014)</w:t>
            </w:r>
            <w:r w:rsidRPr="00D630DA">
              <w:rPr>
                <w:sz w:val="20"/>
                <w:szCs w:val="20"/>
                <w:lang w:val="en-US"/>
              </w:rPr>
              <w:t>.</w:t>
            </w:r>
          </w:p>
          <w:p w:rsidR="00F15997" w:rsidRPr="00D630DA" w:rsidRDefault="00F15997" w:rsidP="00F15997">
            <w:pPr>
              <w:ind w:firstLine="459"/>
              <w:jc w:val="both"/>
              <w:rPr>
                <w:rFonts w:eastAsia="SimSun"/>
                <w:color w:val="292029"/>
                <w:sz w:val="22"/>
                <w:szCs w:val="22"/>
                <w:lang w:val="en-US" w:eastAsia="en-US"/>
              </w:rPr>
            </w:pPr>
            <w:r w:rsidRPr="00D630DA">
              <w:rPr>
                <w:rFonts w:eastAsia="SimSun"/>
                <w:color w:val="292029"/>
                <w:sz w:val="22"/>
                <w:szCs w:val="22"/>
                <w:lang w:val="en-US" w:eastAsia="en-US"/>
              </w:rPr>
              <w:t>Įmonės registracijos data: 1993 m. vasario 15 d.</w:t>
            </w:r>
          </w:p>
          <w:p w:rsidR="00F15997" w:rsidRDefault="00F15997" w:rsidP="00F15997">
            <w:pPr>
              <w:ind w:firstLine="459"/>
              <w:jc w:val="both"/>
              <w:rPr>
                <w:rFonts w:eastAsia="SimSun"/>
                <w:color w:val="292029"/>
                <w:sz w:val="22"/>
                <w:szCs w:val="22"/>
                <w:lang w:val="en-US" w:eastAsia="en-US"/>
              </w:rPr>
            </w:pPr>
            <w:r w:rsidRPr="00D630DA">
              <w:rPr>
                <w:rFonts w:eastAsia="SimSun"/>
                <w:color w:val="292029"/>
                <w:sz w:val="22"/>
                <w:szCs w:val="22"/>
                <w:lang w:val="en-US" w:eastAsia="en-US"/>
              </w:rPr>
              <w:t>Įtraukimo į Oficialųjį prekybos sąrašą data: 2003 m. vasario 17 d.</w:t>
            </w:r>
          </w:p>
          <w:p w:rsidR="000E0C14" w:rsidRPr="00D630DA" w:rsidRDefault="000E0C14" w:rsidP="00F15997">
            <w:pPr>
              <w:ind w:firstLine="459"/>
              <w:jc w:val="both"/>
              <w:rPr>
                <w:sz w:val="20"/>
                <w:szCs w:val="20"/>
                <w:lang w:eastAsia="ja-JP"/>
              </w:rPr>
            </w:pPr>
          </w:p>
        </w:tc>
      </w:tr>
      <w:tr w:rsidR="00F15997" w:rsidRPr="00D630DA" w:rsidTr="00F15997">
        <w:tc>
          <w:tcPr>
            <w:tcW w:w="2093" w:type="dxa"/>
            <w:tcBorders>
              <w:top w:val="single" w:sz="8" w:space="0" w:color="4BACC6"/>
              <w:left w:val="single" w:sz="8" w:space="0" w:color="4BACC6"/>
              <w:bottom w:val="single" w:sz="8" w:space="0" w:color="4BACC6"/>
              <w:right w:val="single" w:sz="8" w:space="0" w:color="4BACC6"/>
            </w:tcBorders>
            <w:shd w:val="clear" w:color="auto" w:fill="auto"/>
          </w:tcPr>
          <w:p w:rsidR="00F15997" w:rsidRPr="00D630DA" w:rsidRDefault="00F15997" w:rsidP="00F15997">
            <w:pPr>
              <w:spacing w:line="276" w:lineRule="auto"/>
              <w:jc w:val="center"/>
              <w:rPr>
                <w:rFonts w:eastAsia="ＭＳ ゴシック"/>
                <w:b/>
                <w:bCs/>
                <w:i/>
                <w:sz w:val="20"/>
                <w:szCs w:val="20"/>
                <w:lang w:eastAsia="ja-JP"/>
              </w:rPr>
            </w:pPr>
          </w:p>
          <w:p w:rsidR="00F15997" w:rsidRPr="00D630DA" w:rsidRDefault="00F15997" w:rsidP="00F15997">
            <w:pPr>
              <w:spacing w:line="276" w:lineRule="auto"/>
              <w:jc w:val="center"/>
              <w:rPr>
                <w:rFonts w:eastAsia="ＭＳ ゴシック"/>
                <w:b/>
                <w:bCs/>
                <w:i/>
                <w:sz w:val="20"/>
                <w:szCs w:val="20"/>
                <w:lang w:eastAsia="ja-JP"/>
              </w:rPr>
            </w:pPr>
            <w:r w:rsidRPr="00D630DA">
              <w:rPr>
                <w:rFonts w:eastAsia="ＭＳ ゴシック"/>
                <w:b/>
                <w:bCs/>
                <w:i/>
                <w:sz w:val="20"/>
                <w:szCs w:val="20"/>
                <w:lang w:eastAsia="ja-JP"/>
              </w:rPr>
              <w:t>AS Merko Ehitus (palyginimui su AB “Panevėžio statybos trestas”)</w:t>
            </w:r>
          </w:p>
          <w:p w:rsidR="00F15997" w:rsidRPr="00D630DA" w:rsidRDefault="00F15997" w:rsidP="00F15997">
            <w:pPr>
              <w:spacing w:line="276" w:lineRule="auto"/>
              <w:jc w:val="center"/>
              <w:rPr>
                <w:rFonts w:eastAsia="ＭＳ ゴシック"/>
                <w:b/>
                <w:bCs/>
                <w:i/>
                <w:sz w:val="20"/>
                <w:szCs w:val="20"/>
                <w:lang w:eastAsia="ja-JP"/>
              </w:rPr>
            </w:pPr>
          </w:p>
        </w:tc>
        <w:tc>
          <w:tcPr>
            <w:tcW w:w="7938" w:type="dxa"/>
            <w:tcBorders>
              <w:top w:val="single" w:sz="8" w:space="0" w:color="4BACC6"/>
              <w:left w:val="single" w:sz="8" w:space="0" w:color="4BACC6"/>
              <w:bottom w:val="single" w:sz="8" w:space="0" w:color="4BACC6"/>
              <w:right w:val="single" w:sz="8" w:space="0" w:color="4BACC6"/>
            </w:tcBorders>
            <w:shd w:val="clear" w:color="auto" w:fill="auto"/>
          </w:tcPr>
          <w:p w:rsidR="00F15997" w:rsidRPr="00D630DA" w:rsidRDefault="00F15997" w:rsidP="00F15997">
            <w:pPr>
              <w:ind w:firstLine="459"/>
              <w:jc w:val="both"/>
              <w:rPr>
                <w:sz w:val="20"/>
                <w:szCs w:val="20"/>
                <w:lang w:eastAsia="ja-JP"/>
              </w:rPr>
            </w:pPr>
          </w:p>
          <w:p w:rsidR="00F15997" w:rsidRPr="00D630DA" w:rsidRDefault="00F15997" w:rsidP="00F15997">
            <w:pPr>
              <w:ind w:firstLine="459"/>
              <w:jc w:val="both"/>
              <w:rPr>
                <w:rFonts w:eastAsia="SimSun"/>
                <w:color w:val="292029"/>
                <w:sz w:val="22"/>
                <w:szCs w:val="22"/>
                <w:lang w:val="en-US" w:eastAsia="en-US"/>
              </w:rPr>
            </w:pPr>
            <w:r w:rsidRPr="00D630DA">
              <w:rPr>
                <w:sz w:val="20"/>
                <w:szCs w:val="20"/>
                <w:lang w:val="en-US"/>
              </w:rPr>
              <w:t>Veiklos aprašymas: Statyba</w:t>
            </w:r>
          </w:p>
          <w:p w:rsidR="00F15997" w:rsidRPr="00D630DA" w:rsidRDefault="00F15997" w:rsidP="00F15997">
            <w:pPr>
              <w:ind w:firstLine="459"/>
              <w:jc w:val="both"/>
              <w:rPr>
                <w:sz w:val="20"/>
                <w:szCs w:val="20"/>
                <w:lang w:val="en-US"/>
              </w:rPr>
            </w:pPr>
            <w:r w:rsidRPr="00D630DA">
              <w:rPr>
                <w:sz w:val="20"/>
                <w:szCs w:val="20"/>
                <w:lang w:val="en-US"/>
              </w:rPr>
              <w:t xml:space="preserve">Kapitalizacija </w:t>
            </w:r>
            <w:r w:rsidRPr="00D630DA">
              <w:rPr>
                <w:rFonts w:eastAsia="SimSun"/>
                <w:color w:val="262626"/>
                <w:sz w:val="22"/>
                <w:szCs w:val="22"/>
                <w:lang w:val="en-US" w:eastAsia="en-US"/>
              </w:rPr>
              <w:t>136 113 000,00 EUR (25.02.2014)</w:t>
            </w:r>
            <w:r w:rsidRPr="00D630DA">
              <w:rPr>
                <w:sz w:val="20"/>
                <w:szCs w:val="20"/>
                <w:lang w:val="en-US"/>
              </w:rPr>
              <w:t>.</w:t>
            </w:r>
          </w:p>
          <w:p w:rsidR="00F15997" w:rsidRPr="00D630DA" w:rsidRDefault="00F15997" w:rsidP="00F15997">
            <w:pPr>
              <w:ind w:firstLine="459"/>
              <w:jc w:val="both"/>
              <w:rPr>
                <w:rFonts w:eastAsia="SimSun"/>
                <w:color w:val="292029"/>
                <w:sz w:val="22"/>
                <w:szCs w:val="22"/>
                <w:lang w:val="en-US" w:eastAsia="en-US"/>
              </w:rPr>
            </w:pPr>
            <w:r w:rsidRPr="00D630DA">
              <w:rPr>
                <w:rFonts w:eastAsia="SimSun"/>
                <w:color w:val="292029"/>
                <w:sz w:val="22"/>
                <w:szCs w:val="22"/>
                <w:lang w:val="en-US" w:eastAsia="en-US"/>
              </w:rPr>
              <w:t>Įmonės registracijos data: 1990 m. Lapkričio 5 d.</w:t>
            </w:r>
          </w:p>
          <w:p w:rsidR="00F15997" w:rsidRPr="00D630DA" w:rsidRDefault="00F15997" w:rsidP="00F15997">
            <w:pPr>
              <w:ind w:firstLine="459"/>
              <w:jc w:val="both"/>
              <w:rPr>
                <w:sz w:val="20"/>
                <w:szCs w:val="20"/>
                <w:lang w:eastAsia="ja-JP"/>
              </w:rPr>
            </w:pPr>
            <w:r w:rsidRPr="00D630DA">
              <w:rPr>
                <w:rFonts w:eastAsia="SimSun"/>
                <w:color w:val="292029"/>
                <w:sz w:val="22"/>
                <w:szCs w:val="22"/>
                <w:lang w:val="en-US" w:eastAsia="en-US"/>
              </w:rPr>
              <w:t>Įtraukimo į Oficialųjį prekybos sąrašą data: 2008 m. Rupjūčio 11 d.</w:t>
            </w:r>
          </w:p>
        </w:tc>
      </w:tr>
      <w:tr w:rsidR="00F15997" w:rsidRPr="00D630DA" w:rsidTr="00F15997">
        <w:tc>
          <w:tcPr>
            <w:tcW w:w="2093" w:type="dxa"/>
            <w:tcBorders>
              <w:top w:val="single" w:sz="8" w:space="0" w:color="4BACC6"/>
              <w:left w:val="single" w:sz="8" w:space="0" w:color="4BACC6"/>
              <w:bottom w:val="single" w:sz="8" w:space="0" w:color="4BACC6"/>
              <w:right w:val="single" w:sz="8" w:space="0" w:color="4BACC6"/>
            </w:tcBorders>
            <w:shd w:val="clear" w:color="auto" w:fill="D2EAF1"/>
          </w:tcPr>
          <w:p w:rsidR="00F15997" w:rsidRPr="00D630DA" w:rsidRDefault="00F15997" w:rsidP="00F15997">
            <w:pPr>
              <w:spacing w:line="276" w:lineRule="auto"/>
              <w:jc w:val="center"/>
              <w:rPr>
                <w:rFonts w:eastAsia="ＭＳ ゴシック"/>
                <w:b/>
                <w:bCs/>
                <w:i/>
                <w:sz w:val="20"/>
                <w:szCs w:val="20"/>
                <w:lang w:eastAsia="ja-JP"/>
              </w:rPr>
            </w:pPr>
          </w:p>
          <w:p w:rsidR="00F15997" w:rsidRPr="00D630DA" w:rsidRDefault="00F15997" w:rsidP="00F15997">
            <w:pPr>
              <w:spacing w:line="276" w:lineRule="auto"/>
              <w:jc w:val="center"/>
              <w:rPr>
                <w:rFonts w:eastAsia="ＭＳ ゴシック"/>
                <w:b/>
                <w:bCs/>
                <w:i/>
                <w:sz w:val="20"/>
                <w:szCs w:val="20"/>
                <w:lang w:eastAsia="ja-JP"/>
              </w:rPr>
            </w:pPr>
            <w:r w:rsidRPr="00D630DA">
              <w:rPr>
                <w:rFonts w:eastAsia="ＭＳ ゴシック"/>
                <w:b/>
                <w:bCs/>
                <w:i/>
                <w:sz w:val="20"/>
                <w:szCs w:val="20"/>
                <w:lang w:eastAsia="ja-JP"/>
              </w:rPr>
              <w:t>AS Premia foods (palyginimui su AB “Pieno žvaigždės”)</w:t>
            </w:r>
          </w:p>
          <w:p w:rsidR="00F15997" w:rsidRPr="00D630DA" w:rsidRDefault="00F15997" w:rsidP="00F15997">
            <w:pPr>
              <w:spacing w:line="276" w:lineRule="auto"/>
              <w:jc w:val="center"/>
              <w:rPr>
                <w:rFonts w:eastAsia="ＭＳ ゴシック"/>
                <w:b/>
                <w:bCs/>
                <w:i/>
                <w:sz w:val="20"/>
                <w:szCs w:val="20"/>
                <w:lang w:eastAsia="ja-JP"/>
              </w:rPr>
            </w:pPr>
          </w:p>
        </w:tc>
        <w:tc>
          <w:tcPr>
            <w:tcW w:w="7938" w:type="dxa"/>
            <w:tcBorders>
              <w:top w:val="single" w:sz="8" w:space="0" w:color="4BACC6"/>
              <w:left w:val="single" w:sz="8" w:space="0" w:color="4BACC6"/>
              <w:bottom w:val="single" w:sz="8" w:space="0" w:color="4BACC6"/>
              <w:right w:val="single" w:sz="8" w:space="0" w:color="4BACC6"/>
            </w:tcBorders>
            <w:shd w:val="clear" w:color="auto" w:fill="D2EAF1"/>
          </w:tcPr>
          <w:p w:rsidR="000E0C14" w:rsidRDefault="000E0C14" w:rsidP="00F15997">
            <w:pPr>
              <w:ind w:firstLine="459"/>
              <w:jc w:val="both"/>
              <w:rPr>
                <w:sz w:val="20"/>
                <w:szCs w:val="20"/>
                <w:lang w:val="en-US"/>
              </w:rPr>
            </w:pPr>
          </w:p>
          <w:p w:rsidR="00F15997" w:rsidRPr="00D630DA" w:rsidRDefault="00F15997" w:rsidP="00F15997">
            <w:pPr>
              <w:ind w:firstLine="459"/>
              <w:jc w:val="both"/>
              <w:rPr>
                <w:rFonts w:eastAsia="SimSun"/>
                <w:color w:val="292029"/>
                <w:sz w:val="22"/>
                <w:szCs w:val="22"/>
                <w:lang w:val="en-US" w:eastAsia="en-US"/>
              </w:rPr>
            </w:pPr>
            <w:r w:rsidRPr="00D630DA">
              <w:rPr>
                <w:sz w:val="20"/>
                <w:szCs w:val="20"/>
                <w:lang w:val="en-US"/>
              </w:rPr>
              <w:t xml:space="preserve">Veiklos aprašymas: </w:t>
            </w:r>
            <w:r w:rsidR="000E0C14">
              <w:rPr>
                <w:rFonts w:eastAsia="SimSun"/>
                <w:color w:val="292029"/>
                <w:sz w:val="22"/>
                <w:szCs w:val="22"/>
                <w:lang w:val="en-US" w:eastAsia="en-US"/>
              </w:rPr>
              <w:t>Bendrovė kontroliuojanti įvairių maisto pramonės įmonių grupę (ledų, šaldyto maisto, žuvies verslo linijų įmonės).</w:t>
            </w:r>
          </w:p>
          <w:p w:rsidR="00F15997" w:rsidRPr="00D630DA" w:rsidRDefault="00F15997" w:rsidP="00F15997">
            <w:pPr>
              <w:ind w:firstLine="459"/>
              <w:jc w:val="both"/>
              <w:rPr>
                <w:sz w:val="20"/>
                <w:szCs w:val="20"/>
                <w:lang w:val="en-US"/>
              </w:rPr>
            </w:pPr>
            <w:r w:rsidRPr="00D630DA">
              <w:rPr>
                <w:sz w:val="20"/>
                <w:szCs w:val="20"/>
                <w:lang w:val="en-US"/>
              </w:rPr>
              <w:t xml:space="preserve">Kapitalizacija </w:t>
            </w:r>
            <w:r w:rsidRPr="00D630DA">
              <w:rPr>
                <w:rFonts w:eastAsia="SimSun"/>
                <w:color w:val="262626"/>
                <w:sz w:val="22"/>
                <w:szCs w:val="22"/>
                <w:lang w:val="en-US" w:eastAsia="en-US"/>
              </w:rPr>
              <w:t>27 078 002,00 EUR (25.02.2014)</w:t>
            </w:r>
            <w:r w:rsidR="000E0C14">
              <w:rPr>
                <w:sz w:val="20"/>
                <w:szCs w:val="20"/>
                <w:lang w:val="en-US"/>
              </w:rPr>
              <w:t>.</w:t>
            </w:r>
          </w:p>
          <w:p w:rsidR="00F15997" w:rsidRPr="00D630DA" w:rsidRDefault="00F15997" w:rsidP="00F15997">
            <w:pPr>
              <w:ind w:firstLine="459"/>
              <w:jc w:val="both"/>
              <w:rPr>
                <w:rFonts w:eastAsia="SimSun"/>
                <w:color w:val="292029"/>
                <w:sz w:val="22"/>
                <w:szCs w:val="22"/>
                <w:lang w:val="en-US" w:eastAsia="en-US"/>
              </w:rPr>
            </w:pPr>
            <w:r w:rsidRPr="00D630DA">
              <w:rPr>
                <w:rFonts w:eastAsia="SimSun"/>
                <w:color w:val="292029"/>
                <w:sz w:val="22"/>
                <w:szCs w:val="22"/>
                <w:lang w:val="en-US" w:eastAsia="en-US"/>
              </w:rPr>
              <w:t>Įmonės registracijos data: 2008</w:t>
            </w:r>
            <w:r w:rsidR="000E0C14">
              <w:rPr>
                <w:rFonts w:eastAsia="SimSun"/>
                <w:color w:val="292029"/>
                <w:sz w:val="22"/>
                <w:szCs w:val="22"/>
                <w:lang w:val="en-US" w:eastAsia="en-US"/>
              </w:rPr>
              <w:t xml:space="preserve"> m. Gruodžio 8 d.</w:t>
            </w:r>
          </w:p>
          <w:p w:rsidR="00F15997" w:rsidRDefault="00F15997" w:rsidP="000E0C14">
            <w:pPr>
              <w:ind w:firstLine="459"/>
              <w:jc w:val="both"/>
              <w:rPr>
                <w:rFonts w:eastAsia="SimSun"/>
                <w:color w:val="292029"/>
                <w:sz w:val="22"/>
                <w:szCs w:val="22"/>
                <w:lang w:val="en-US" w:eastAsia="en-US"/>
              </w:rPr>
            </w:pPr>
            <w:r w:rsidRPr="00D630DA">
              <w:rPr>
                <w:rFonts w:eastAsia="SimSun"/>
                <w:color w:val="292029"/>
                <w:sz w:val="22"/>
                <w:szCs w:val="22"/>
                <w:lang w:val="en-US" w:eastAsia="en-US"/>
              </w:rPr>
              <w:t>Įtraukimo į Oficialųjį prekybos sąrašą data: 2010</w:t>
            </w:r>
            <w:r w:rsidR="000E0C14">
              <w:rPr>
                <w:rFonts w:eastAsia="SimSun"/>
                <w:color w:val="292029"/>
                <w:sz w:val="22"/>
                <w:szCs w:val="22"/>
                <w:lang w:val="en-US" w:eastAsia="en-US"/>
              </w:rPr>
              <w:t xml:space="preserve"> m. Gegužės 5 d.</w:t>
            </w:r>
          </w:p>
          <w:p w:rsidR="000E0C14" w:rsidRPr="00D630DA" w:rsidRDefault="000E0C14" w:rsidP="000E0C14">
            <w:pPr>
              <w:ind w:firstLine="459"/>
              <w:jc w:val="both"/>
              <w:rPr>
                <w:sz w:val="20"/>
                <w:szCs w:val="20"/>
                <w:lang w:eastAsia="ja-JP"/>
              </w:rPr>
            </w:pPr>
          </w:p>
        </w:tc>
      </w:tr>
      <w:tr w:rsidR="00F15997" w:rsidRPr="00D630DA" w:rsidTr="00F15997">
        <w:tc>
          <w:tcPr>
            <w:tcW w:w="2093" w:type="dxa"/>
            <w:tcBorders>
              <w:top w:val="single" w:sz="8" w:space="0" w:color="4BACC6"/>
              <w:left w:val="single" w:sz="8" w:space="0" w:color="4BACC6"/>
              <w:bottom w:val="single" w:sz="8" w:space="0" w:color="4BACC6"/>
              <w:right w:val="single" w:sz="8" w:space="0" w:color="4BACC6"/>
            </w:tcBorders>
            <w:shd w:val="clear" w:color="auto" w:fill="auto"/>
          </w:tcPr>
          <w:p w:rsidR="00F15997" w:rsidRPr="00D630DA" w:rsidRDefault="00F15997" w:rsidP="00F15997">
            <w:pPr>
              <w:spacing w:line="276" w:lineRule="auto"/>
              <w:jc w:val="center"/>
              <w:rPr>
                <w:rFonts w:eastAsia="ＭＳ ゴシック"/>
                <w:b/>
                <w:bCs/>
                <w:i/>
                <w:sz w:val="20"/>
                <w:szCs w:val="20"/>
                <w:lang w:eastAsia="ja-JP"/>
              </w:rPr>
            </w:pPr>
          </w:p>
          <w:p w:rsidR="00F15997" w:rsidRPr="00D630DA" w:rsidRDefault="00F15997" w:rsidP="00F15997">
            <w:pPr>
              <w:spacing w:line="276" w:lineRule="auto"/>
              <w:jc w:val="center"/>
              <w:rPr>
                <w:rFonts w:eastAsia="ＭＳ ゴシック"/>
                <w:b/>
                <w:bCs/>
                <w:i/>
                <w:sz w:val="20"/>
                <w:szCs w:val="20"/>
                <w:lang w:eastAsia="ja-JP"/>
              </w:rPr>
            </w:pPr>
            <w:r w:rsidRPr="00D630DA">
              <w:rPr>
                <w:rFonts w:eastAsia="ＭＳ ゴシック"/>
                <w:b/>
                <w:bCs/>
                <w:i/>
                <w:sz w:val="20"/>
                <w:szCs w:val="20"/>
                <w:lang w:eastAsia="ja-JP"/>
              </w:rPr>
              <w:t>AS Skano (palyginimui su AB “Vilniaus baldai”)</w:t>
            </w:r>
          </w:p>
          <w:p w:rsidR="00F15997" w:rsidRPr="00D630DA" w:rsidRDefault="00F15997" w:rsidP="00F15997">
            <w:pPr>
              <w:spacing w:line="276" w:lineRule="auto"/>
              <w:jc w:val="center"/>
              <w:rPr>
                <w:rFonts w:eastAsia="ＭＳ ゴシック"/>
                <w:b/>
                <w:bCs/>
                <w:i/>
                <w:sz w:val="20"/>
                <w:szCs w:val="20"/>
                <w:lang w:eastAsia="ja-JP"/>
              </w:rPr>
            </w:pPr>
          </w:p>
        </w:tc>
        <w:tc>
          <w:tcPr>
            <w:tcW w:w="7938" w:type="dxa"/>
            <w:tcBorders>
              <w:top w:val="single" w:sz="8" w:space="0" w:color="4BACC6"/>
              <w:left w:val="single" w:sz="8" w:space="0" w:color="4BACC6"/>
              <w:bottom w:val="single" w:sz="8" w:space="0" w:color="4BACC6"/>
              <w:right w:val="single" w:sz="8" w:space="0" w:color="4BACC6"/>
            </w:tcBorders>
            <w:shd w:val="clear" w:color="auto" w:fill="auto"/>
          </w:tcPr>
          <w:p w:rsidR="000E0C14" w:rsidRDefault="000E0C14" w:rsidP="00F15997">
            <w:pPr>
              <w:ind w:firstLine="459"/>
              <w:jc w:val="both"/>
              <w:rPr>
                <w:sz w:val="20"/>
                <w:szCs w:val="20"/>
                <w:lang w:val="en-US"/>
              </w:rPr>
            </w:pPr>
          </w:p>
          <w:p w:rsidR="00F15997" w:rsidRPr="00D630DA" w:rsidRDefault="00F15997" w:rsidP="00F15997">
            <w:pPr>
              <w:ind w:firstLine="459"/>
              <w:jc w:val="both"/>
              <w:rPr>
                <w:rFonts w:eastAsia="SimSun"/>
                <w:color w:val="292029"/>
                <w:sz w:val="22"/>
                <w:szCs w:val="22"/>
                <w:lang w:val="en-US" w:eastAsia="en-US"/>
              </w:rPr>
            </w:pPr>
            <w:r w:rsidRPr="00D630DA">
              <w:rPr>
                <w:sz w:val="20"/>
                <w:szCs w:val="20"/>
                <w:lang w:val="en-US"/>
              </w:rPr>
              <w:t xml:space="preserve">Veiklos aprašymas: </w:t>
            </w:r>
            <w:r w:rsidR="000E0C14">
              <w:rPr>
                <w:rFonts w:eastAsia="SimSun"/>
                <w:color w:val="292029"/>
                <w:sz w:val="22"/>
                <w:szCs w:val="22"/>
                <w:lang w:val="en-US" w:eastAsia="en-US"/>
              </w:rPr>
              <w:t>Medienos drožlių plokščių gamyba.</w:t>
            </w:r>
          </w:p>
          <w:p w:rsidR="00F15997" w:rsidRPr="00D630DA" w:rsidRDefault="00F15997" w:rsidP="00F15997">
            <w:pPr>
              <w:ind w:firstLine="459"/>
              <w:jc w:val="both"/>
              <w:rPr>
                <w:sz w:val="20"/>
                <w:szCs w:val="20"/>
                <w:lang w:val="en-US"/>
              </w:rPr>
            </w:pPr>
            <w:r w:rsidRPr="00D630DA">
              <w:rPr>
                <w:sz w:val="20"/>
                <w:szCs w:val="20"/>
                <w:lang w:val="en-US"/>
              </w:rPr>
              <w:t xml:space="preserve">Kapitalizacija </w:t>
            </w:r>
            <w:r w:rsidRPr="00D630DA">
              <w:rPr>
                <w:rFonts w:eastAsia="SimSun"/>
                <w:color w:val="262626"/>
                <w:sz w:val="22"/>
                <w:szCs w:val="22"/>
                <w:lang w:val="en-US" w:eastAsia="en-US"/>
              </w:rPr>
              <w:t>5 758 798,08 EUR (25.02.2014)</w:t>
            </w:r>
            <w:r w:rsidRPr="00D630DA">
              <w:rPr>
                <w:sz w:val="20"/>
                <w:szCs w:val="20"/>
                <w:lang w:val="en-US"/>
              </w:rPr>
              <w:t>.</w:t>
            </w:r>
          </w:p>
          <w:p w:rsidR="00F15997" w:rsidRPr="00D630DA" w:rsidRDefault="00F15997" w:rsidP="00F15997">
            <w:pPr>
              <w:ind w:firstLine="459"/>
              <w:jc w:val="both"/>
              <w:rPr>
                <w:rFonts w:eastAsia="SimSun"/>
                <w:color w:val="292029"/>
                <w:sz w:val="22"/>
                <w:szCs w:val="22"/>
                <w:lang w:val="en-US" w:eastAsia="en-US"/>
              </w:rPr>
            </w:pPr>
            <w:r w:rsidRPr="00D630DA">
              <w:rPr>
                <w:rFonts w:eastAsia="SimSun"/>
                <w:color w:val="292029"/>
                <w:sz w:val="22"/>
                <w:szCs w:val="22"/>
                <w:lang w:val="en-US" w:eastAsia="en-US"/>
              </w:rPr>
              <w:t>Įmonės regist</w:t>
            </w:r>
            <w:r w:rsidR="000E0C14">
              <w:rPr>
                <w:rFonts w:eastAsia="SimSun"/>
                <w:color w:val="292029"/>
                <w:sz w:val="22"/>
                <w:szCs w:val="22"/>
                <w:lang w:val="en-US" w:eastAsia="en-US"/>
              </w:rPr>
              <w:t>racijos data: 1945 m. Vasario 17 d.</w:t>
            </w:r>
          </w:p>
          <w:p w:rsidR="00F15997" w:rsidRDefault="00F15997" w:rsidP="000E0C14">
            <w:pPr>
              <w:ind w:firstLine="459"/>
              <w:jc w:val="both"/>
              <w:rPr>
                <w:rFonts w:eastAsia="SimSun"/>
                <w:color w:val="292029"/>
                <w:sz w:val="22"/>
                <w:szCs w:val="22"/>
                <w:lang w:val="en-US" w:eastAsia="en-US"/>
              </w:rPr>
            </w:pPr>
            <w:r w:rsidRPr="00D630DA">
              <w:rPr>
                <w:rFonts w:eastAsia="SimSun"/>
                <w:color w:val="292029"/>
                <w:sz w:val="22"/>
                <w:szCs w:val="22"/>
                <w:lang w:val="en-US" w:eastAsia="en-US"/>
              </w:rPr>
              <w:t>Įtraukimo į Oficialųjį prekybos sąrašą data: 2007</w:t>
            </w:r>
            <w:r w:rsidR="000E0C14">
              <w:rPr>
                <w:rFonts w:eastAsia="SimSun"/>
                <w:color w:val="292029"/>
                <w:sz w:val="22"/>
                <w:szCs w:val="22"/>
                <w:lang w:val="en-US" w:eastAsia="en-US"/>
              </w:rPr>
              <w:t xml:space="preserve"> m. Rugsėjo 25 d.</w:t>
            </w:r>
          </w:p>
          <w:p w:rsidR="000E0C14" w:rsidRPr="00D630DA" w:rsidRDefault="000E0C14" w:rsidP="000E0C14">
            <w:pPr>
              <w:ind w:firstLine="459"/>
              <w:jc w:val="both"/>
              <w:rPr>
                <w:sz w:val="20"/>
                <w:szCs w:val="20"/>
                <w:lang w:eastAsia="ja-JP"/>
              </w:rPr>
            </w:pPr>
          </w:p>
        </w:tc>
      </w:tr>
    </w:tbl>
    <w:p w:rsidR="00D630DA" w:rsidRDefault="00D630DA" w:rsidP="00F15997">
      <w:pPr>
        <w:spacing w:line="360" w:lineRule="auto"/>
        <w:jc w:val="both"/>
        <w:rPr>
          <w:lang w:eastAsia="ja-JP"/>
        </w:rPr>
      </w:pPr>
    </w:p>
    <w:p w:rsidR="00D630DA" w:rsidRDefault="00D630DA" w:rsidP="006F789D">
      <w:pPr>
        <w:spacing w:line="360" w:lineRule="auto"/>
        <w:ind w:firstLine="567"/>
        <w:jc w:val="both"/>
        <w:rPr>
          <w:lang w:eastAsia="ja-JP"/>
        </w:rPr>
      </w:pPr>
    </w:p>
    <w:p w:rsidR="009155AF" w:rsidRPr="00126F4B" w:rsidRDefault="00386EA3" w:rsidP="00126F4B">
      <w:pPr>
        <w:spacing w:line="360" w:lineRule="auto"/>
        <w:ind w:firstLine="567"/>
        <w:jc w:val="both"/>
        <w:rPr>
          <w:lang w:eastAsia="ja-JP"/>
        </w:rPr>
      </w:pPr>
      <w:r>
        <w:rPr>
          <w:lang w:eastAsia="ja-JP"/>
        </w:rPr>
        <w:t>OMX Talinas</w:t>
      </w:r>
      <w:r w:rsidR="006F789D" w:rsidRPr="009C0942">
        <w:rPr>
          <w:lang w:eastAsia="ja-JP"/>
        </w:rPr>
        <w:t xml:space="preserve"> įmonės pasirinktos ir pri</w:t>
      </w:r>
      <w:r>
        <w:rPr>
          <w:lang w:eastAsia="ja-JP"/>
        </w:rPr>
        <w:t>skirtos kiekvienai iš OMX Vilni</w:t>
      </w:r>
      <w:r w:rsidR="006F789D" w:rsidRPr="009C0942">
        <w:rPr>
          <w:lang w:eastAsia="ja-JP"/>
        </w:rPr>
        <w:t xml:space="preserve">us listinguojamų įmonių pagal </w:t>
      </w:r>
      <w:r w:rsidR="00236A19" w:rsidRPr="009C0942">
        <w:rPr>
          <w:lang w:eastAsia="ja-JP"/>
        </w:rPr>
        <w:t xml:space="preserve">reguliuojamos rinkos sąrašą (šiuo atveju Oficialųjį), </w:t>
      </w:r>
      <w:r w:rsidR="006F789D" w:rsidRPr="009C0942">
        <w:rPr>
          <w:lang w:eastAsia="ja-JP"/>
        </w:rPr>
        <w:t>pramonės šaką, atkreipiamas dėmesys į kapitalizaciją, veiklos specifiką, metinius finansinius rezultatus bei įmonės stabilumą.</w:t>
      </w:r>
      <w:r w:rsidR="009155AF" w:rsidRPr="009C0942">
        <w:rPr>
          <w:lang w:eastAsia="ja-JP"/>
        </w:rPr>
        <w:t xml:space="preserve"> Analitinėje dalyje skaičiuojami šios rinkos įmonių intelektinio kapitalo ir finansiniai rodikliai</w:t>
      </w:r>
      <w:r>
        <w:rPr>
          <w:lang w:eastAsia="ja-JP"/>
        </w:rPr>
        <w:t xml:space="preserve">, lyginami su OMX Vilnius </w:t>
      </w:r>
      <w:r w:rsidR="009155AF" w:rsidRPr="009C0942">
        <w:rPr>
          <w:lang w:eastAsia="ja-JP"/>
        </w:rPr>
        <w:t xml:space="preserve"> įmonėmis, taip pat skaičiuoti įmonių koreliaciniai ryšiai tarp finansinių ir nefinansinių rodiklių, lyginami su Lietuvos įmonių rezultatais.</w:t>
      </w:r>
    </w:p>
    <w:p w:rsidR="00D448CB" w:rsidRDefault="00D448CB">
      <w:pPr>
        <w:rPr>
          <w:color w:val="FF0000"/>
        </w:rPr>
      </w:pPr>
      <w:r>
        <w:rPr>
          <w:color w:val="FF0000"/>
        </w:rPr>
        <w:br w:type="page"/>
      </w:r>
    </w:p>
    <w:p w:rsidR="002A4554" w:rsidRPr="00A529A4" w:rsidRDefault="00A529A4" w:rsidP="00227B53">
      <w:pPr>
        <w:pStyle w:val="ListParagraph"/>
        <w:numPr>
          <w:ilvl w:val="0"/>
          <w:numId w:val="33"/>
        </w:numPr>
        <w:spacing w:line="360" w:lineRule="auto"/>
        <w:jc w:val="center"/>
        <w:rPr>
          <w:rFonts w:ascii="Times New Roman" w:hAnsi="Times New Roman"/>
          <w:b/>
          <w:sz w:val="28"/>
          <w:szCs w:val="28"/>
        </w:rPr>
      </w:pPr>
      <w:r>
        <w:rPr>
          <w:rFonts w:ascii="Times New Roman" w:hAnsi="Times New Roman"/>
          <w:b/>
          <w:sz w:val="28"/>
          <w:szCs w:val="28"/>
        </w:rPr>
        <w:t xml:space="preserve">3. </w:t>
      </w:r>
      <w:r w:rsidR="002A4554" w:rsidRPr="00A529A4">
        <w:rPr>
          <w:rFonts w:ascii="Times New Roman" w:hAnsi="Times New Roman"/>
          <w:b/>
          <w:sz w:val="28"/>
          <w:szCs w:val="28"/>
        </w:rPr>
        <w:t>BIRŽOJE LISTINGUOJAMŲ ĮMONIŲ INTELEKTINIO KAPITALO VERTINIMO TYRIMAS</w:t>
      </w:r>
    </w:p>
    <w:p w:rsidR="002A4554" w:rsidRPr="00A529A4" w:rsidRDefault="002A4554" w:rsidP="002A4554">
      <w:pPr>
        <w:spacing w:line="360" w:lineRule="auto"/>
        <w:jc w:val="center"/>
        <w:rPr>
          <w:b/>
        </w:rPr>
      </w:pPr>
    </w:p>
    <w:p w:rsidR="002A4554" w:rsidRPr="00BC25E6" w:rsidRDefault="002A4554" w:rsidP="002A4554">
      <w:pPr>
        <w:spacing w:line="360" w:lineRule="auto"/>
        <w:ind w:firstLine="567"/>
        <w:jc w:val="both"/>
        <w:rPr>
          <w:lang w:eastAsia="ja-JP"/>
        </w:rPr>
      </w:pPr>
      <w:r w:rsidRPr="00BC25E6">
        <w:rPr>
          <w:lang w:eastAsia="ja-JP"/>
        </w:rPr>
        <w:t>Remiantis pasirinktais įmonių intelektinio kapitalo vertinimo metodais, pridėtinės vertės intelektinio kapitalo koeficiento metodu (VAIC™), jį papildančia koncepcija Intelektinio kapitalo efektyvumas (ICE) ir Apskaičiuotosios nematerialiosios vertės meto</w:t>
      </w:r>
      <w:r w:rsidR="00CB32B1">
        <w:rPr>
          <w:lang w:eastAsia="ja-JP"/>
        </w:rPr>
        <w:t>du (CIV) tirtas dešimties OMX Vilni</w:t>
      </w:r>
      <w:r w:rsidRPr="00BC25E6">
        <w:rPr>
          <w:lang w:eastAsia="ja-JP"/>
        </w:rPr>
        <w:t xml:space="preserve">us vertybinių popierių biržos bendrovių </w:t>
      </w:r>
      <w:r w:rsidR="00227B53">
        <w:rPr>
          <w:lang w:eastAsia="ja-JP"/>
        </w:rPr>
        <w:t>–</w:t>
      </w:r>
      <w:r w:rsidRPr="00BC25E6">
        <w:rPr>
          <w:lang w:eastAsia="ja-JP"/>
        </w:rPr>
        <w:t xml:space="preserve"> APB „Apranga“, AB „City Service“, AB „Grigiškės“, AB „Lietuvos dujos“, AB „Panevėžio statybos trestas“, AB „Pieno žvaigždės“, AB „Rokiškio sūris“, TEO LT, AB, AB „Vilkyškių pieninė“ ir AB „Vilniaus baldai“ intelektinio kapitalo lygis 2009-2012 metais. Rezultatai lyginami su atitinkamu Lietuvos įmonėms sektoriumi ir Estijos, vertybinių popierių biržoje </w:t>
      </w:r>
      <w:r w:rsidR="00243868">
        <w:rPr>
          <w:lang w:eastAsia="ja-JP"/>
        </w:rPr>
        <w:t>OMX Talinas</w:t>
      </w:r>
      <w:r w:rsidRPr="00BC25E6">
        <w:rPr>
          <w:lang w:eastAsia="ja-JP"/>
        </w:rPr>
        <w:t xml:space="preserve"> listinguojamomis įmonėmis, kaip Tallinna Kaubamaja AS, AS Tallinna Vesi, AS Harju Elekter, AS Merko Ehitus, AS Premia Foods, AS Skano group. </w:t>
      </w:r>
      <w:r w:rsidRPr="00BC25E6">
        <w:t>Tyrime nagrinėjamos tendencijos, siekiama atskleisti empirinį ryšį tarp biržoje listinguojamų įmonių finansinių ir nefinansinių rodiklių atskirais metais ir rodiklių kitimo tendencijas bėgant metams.</w:t>
      </w:r>
      <w:r w:rsidRPr="00BC25E6">
        <w:rPr>
          <w:lang w:eastAsia="ja-JP"/>
        </w:rPr>
        <w:t xml:space="preserve"> </w:t>
      </w:r>
    </w:p>
    <w:p w:rsidR="002A4554" w:rsidRPr="00BC25E6" w:rsidRDefault="002A4554" w:rsidP="002A4554">
      <w:pPr>
        <w:ind w:firstLine="567"/>
        <w:jc w:val="both"/>
        <w:rPr>
          <w:lang w:eastAsia="ja-JP"/>
        </w:rPr>
      </w:pPr>
    </w:p>
    <w:p w:rsidR="002A4554" w:rsidRPr="00BC25E6" w:rsidRDefault="002A4554" w:rsidP="002A4554">
      <w:pPr>
        <w:pStyle w:val="Heading2"/>
        <w:numPr>
          <w:ilvl w:val="1"/>
          <w:numId w:val="28"/>
        </w:numPr>
        <w:ind w:hanging="11"/>
        <w:jc w:val="center"/>
        <w:rPr>
          <w:color w:val="auto"/>
          <w:sz w:val="24"/>
          <w:szCs w:val="24"/>
          <w:lang w:eastAsia="ja-JP"/>
        </w:rPr>
      </w:pPr>
      <w:r w:rsidRPr="00BC25E6">
        <w:rPr>
          <w:color w:val="auto"/>
          <w:sz w:val="24"/>
          <w:szCs w:val="24"/>
          <w:lang w:eastAsia="ja-JP"/>
        </w:rPr>
        <w:t>Listinguojamų įmonių intelektinio kapitalo lygis 2009-2012 metais</w:t>
      </w:r>
    </w:p>
    <w:p w:rsidR="002A4554" w:rsidRPr="00BC25E6" w:rsidRDefault="002A4554" w:rsidP="002A4554">
      <w:pPr>
        <w:pStyle w:val="ListParagraph"/>
        <w:spacing w:line="360" w:lineRule="auto"/>
        <w:ind w:left="780"/>
        <w:rPr>
          <w:rFonts w:ascii="Times New Roman" w:hAnsi="Times New Roman"/>
        </w:rPr>
      </w:pPr>
    </w:p>
    <w:p w:rsidR="002A4554" w:rsidRPr="00BC25E6" w:rsidRDefault="002A4554" w:rsidP="002A4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eastAsia="ja-JP"/>
        </w:rPr>
      </w:pPr>
      <w:r w:rsidRPr="00BC25E6">
        <w:rPr>
          <w:lang w:eastAsia="ja-JP"/>
        </w:rPr>
        <w:t xml:space="preserve">Įmonių intelektinio kapitalo skaičiavimai bei rezultatai pagal pasirinktus intelektinio kapitalo vertinimo rodiklius pateikti 6 priede kiekvienos įmonės atskirai. Atitinkamai šiame skyriuje detaliai aptariami bei atvaizduoti įmonių intelektinio kapitalo apskaičiavimo rezultatai. </w:t>
      </w:r>
    </w:p>
    <w:p w:rsidR="002A4554" w:rsidRPr="00BC25E6" w:rsidRDefault="002A4554" w:rsidP="002A4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eastAsia="ja-JP"/>
        </w:rPr>
      </w:pPr>
      <w:r w:rsidRPr="00BC25E6">
        <w:rPr>
          <w:lang w:eastAsia="ja-JP"/>
        </w:rPr>
        <w:t xml:space="preserve">Pirmiausia skaičiuojami nefinansiniai rodikliai pagal </w:t>
      </w:r>
      <w:r w:rsidRPr="00BC25E6">
        <w:rPr>
          <w:i/>
          <w:lang w:eastAsia="ja-JP"/>
        </w:rPr>
        <w:t>A. Pulic</w:t>
      </w:r>
      <w:r w:rsidRPr="00BC25E6">
        <w:rPr>
          <w:lang w:eastAsia="ja-JP"/>
        </w:rPr>
        <w:t xml:space="preserve"> pateiktą VAIC™ intelektinio kapitalo skaičiavimo metodiką (VACA ,VAHU, STVA, VAIC™ bei ICE). Rezulatatai pat</w:t>
      </w:r>
      <w:r w:rsidR="00624373">
        <w:rPr>
          <w:lang w:eastAsia="ja-JP"/>
        </w:rPr>
        <w:t>eikiami žemiau esančiuose 8 – 13</w:t>
      </w:r>
      <w:r w:rsidRPr="00BC25E6">
        <w:rPr>
          <w:lang w:eastAsia="ja-JP"/>
        </w:rPr>
        <w:t xml:space="preserve"> paveiksluose.</w:t>
      </w:r>
    </w:p>
    <w:p w:rsidR="002A4554" w:rsidRPr="00BC25E6" w:rsidRDefault="002A4554" w:rsidP="002A4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eastAsia="ja-JP"/>
        </w:rPr>
      </w:pPr>
      <w:r w:rsidRPr="00BC25E6">
        <w:rPr>
          <w:lang w:eastAsia="ja-JP"/>
        </w:rPr>
        <w:t>Pridėtinės vertės (VA) rodiklis (suma veiklos pelno, išlaidų darbuotojams, nusidėvėjimo ir amortizacijos) parodo, kiek pridėtinės vertės sukūrė vertinamos įmonės per analizuojamą laikotarpį. Didž</w:t>
      </w:r>
      <w:r w:rsidRPr="00BC25E6">
        <w:rPr>
          <w:lang w:val="en-US" w:eastAsia="ja-JP"/>
        </w:rPr>
        <w:t xml:space="preserve">iausia </w:t>
      </w:r>
      <w:r w:rsidRPr="00BC25E6">
        <w:rPr>
          <w:lang w:eastAsia="ja-JP"/>
        </w:rPr>
        <w:t>VA rodiklio reikšmė yra</w:t>
      </w:r>
      <w:r w:rsidR="00321E4F">
        <w:rPr>
          <w:lang w:eastAsia="ja-JP"/>
        </w:rPr>
        <w:t xml:space="preserve"> </w:t>
      </w:r>
      <w:r w:rsidRPr="00BC25E6">
        <w:rPr>
          <w:lang w:eastAsia="ja-JP"/>
        </w:rPr>
        <w:t>tokių stiprių įmonių kaip TEO LT, AB ir AB “Lietuvos dujos”, o mažiausia – AB “City service” 2012 metais dėl labai ženkliai sumažėjusių visų pridėtinės vertės VA apskaičiavimo dedamųjų – veiklos pelno, išlaidų darbuotojams ir nusidėvėjimo, amortizacijos (žr. 6 priedą).</w:t>
      </w:r>
    </w:p>
    <w:p w:rsidR="002A4554" w:rsidRPr="00BC25E6" w:rsidRDefault="002A4554" w:rsidP="002A4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eastAsia="ja-JP"/>
        </w:rPr>
      </w:pPr>
      <w:r w:rsidRPr="00BC25E6">
        <w:rPr>
          <w:lang w:eastAsia="ja-JP"/>
        </w:rPr>
        <w:t xml:space="preserve">HC skaičiuoja bendrą darbo užmokesčio sumą įmonėje. Aukščiausias darbo užmokesčio (HC) lygis apskaičiuotas TEO LT, AB, kuris analizuojamu laikotarpiu svyruoja 114 800 – 140 083 tūkst. Lt ir AB “Lietuvos dujos”  išlaiko apie 95 610 – 99 303 tūkst. Lt darbo užmokesčio lygį pastaraisiais </w:t>
      </w:r>
      <w:r w:rsidR="00321E4F">
        <w:rPr>
          <w:lang w:eastAsia="ja-JP"/>
        </w:rPr>
        <w:t>metais.</w:t>
      </w:r>
      <w:r w:rsidRPr="00BC25E6">
        <w:rPr>
          <w:lang w:eastAsia="ja-JP"/>
        </w:rPr>
        <w:t xml:space="preserve"> Žemiausias HC lygis užfiksuotas AB “Grigiškės” visą laikotarpį ir sudarė nuo 4 860 iki 5 682 tūkst. Lt (žr. 6 priedą), taip pat AB “City Service” 2012 metais nepalyginamai mažai skyrė darbuotojų atlygiui – 5 416 tūkst. Lt. </w:t>
      </w:r>
    </w:p>
    <w:p w:rsidR="002A4554" w:rsidRPr="00BC25E6" w:rsidRDefault="002A4554" w:rsidP="002A4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eastAsia="ja-JP"/>
        </w:rPr>
      </w:pPr>
      <w:r w:rsidRPr="00BC25E6">
        <w:rPr>
          <w:lang w:eastAsia="ja-JP"/>
        </w:rPr>
        <w:t>Samdomo kapitalo rodiklis (CA) yra įmonės viso turto ir nematerialaus turto skirtumas arba kitaip sakant, fizinis ir finansinis turtas, kurį įmonė skiria, kad intelektinis kapitalas kurtų vertę. CA aukščiausias lygis AB “Lietuvos dujos” ir sudaro 2 545 913 ir daugiau tūkst. Lt nagrinėjamu laikotarpiu, ir TEO LT, nuo  1 074 999 tūkst. Lt, o žemiausias samdomo kapitalo lygis – AB “Vilniaus baldai” 2009 metais tesiekė 77 673 tūkst. Lt (žr. 6 priedą).</w:t>
      </w:r>
    </w:p>
    <w:p w:rsidR="002A4554" w:rsidRPr="00BC25E6" w:rsidRDefault="002A4554" w:rsidP="002A4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eastAsia="ja-JP"/>
        </w:rPr>
      </w:pPr>
      <w:r w:rsidRPr="00BC25E6">
        <w:rPr>
          <w:lang w:eastAsia="ja-JP"/>
        </w:rPr>
        <w:t xml:space="preserve">Struktūrinis kapitalas (ST) yra skirtumas tarp pridėtinės vertės ir viso darbo užmokesčio ir atlyginimų darbuotojams. Aukščiausias ST lygis apskaičiuotas TEO LT, AB  289 211– tūkst. Lt ir daugiau, bei AB “Lietuvos dujos”, kurios ST sudarė 246 797 tūkst. Lt ir mažiau nagrinėjamu laikotarpiu. Žemiausias ST užfiksuotas 2012 metais AB “Vilkyškių pieninė” ir sudarė 761 tūkst. Lt bei AB “City Service” – 1 945 tūkst. Lt (žr. 6 priedą). </w:t>
      </w:r>
    </w:p>
    <w:p w:rsidR="002A4554" w:rsidRPr="00BC25E6" w:rsidRDefault="002A4554" w:rsidP="002A4554">
      <w:pPr>
        <w:spacing w:line="360" w:lineRule="auto"/>
        <w:ind w:firstLine="567"/>
        <w:jc w:val="both"/>
        <w:rPr>
          <w:lang w:val="en-US"/>
        </w:rPr>
      </w:pPr>
      <w:r w:rsidRPr="00BC25E6">
        <w:rPr>
          <w:lang w:eastAsia="ja-JP"/>
        </w:rPr>
        <w:t xml:space="preserve">Samdomojo kapitalo efektyvumo koeficientas VACA arba samdomojo kapitalo vertės sukūrimas per tam tikrą laikotarpį, tai santykis tarp pridėtinės vertės VA ir samdomo kapitalo CA. Tai rodiklis, kuris parodo, kiek pridėtinės vertės sukuria vienas vienetas samdomo kapitalo.  </w:t>
      </w:r>
      <w:r w:rsidRPr="00BC25E6">
        <w:rPr>
          <w:lang w:val="en-US"/>
        </w:rPr>
        <w:t xml:space="preserve">Listinguojamų įmonių VACA statistika pateikta 8 paveiksle. </w:t>
      </w:r>
    </w:p>
    <w:p w:rsidR="002A4554" w:rsidRPr="00BC25E6" w:rsidRDefault="002A4554" w:rsidP="002A4554">
      <w:pPr>
        <w:spacing w:line="360" w:lineRule="auto"/>
        <w:jc w:val="both"/>
        <w:rPr>
          <w:lang w:eastAsia="ja-JP"/>
        </w:rPr>
      </w:pPr>
    </w:p>
    <w:p w:rsidR="002A4554" w:rsidRPr="00BC25E6" w:rsidRDefault="002A4554" w:rsidP="002A4554">
      <w:pPr>
        <w:spacing w:line="360" w:lineRule="auto"/>
        <w:jc w:val="center"/>
        <w:rPr>
          <w:lang w:eastAsia="ja-JP"/>
        </w:rPr>
      </w:pPr>
      <w:r w:rsidRPr="00BC25E6">
        <w:rPr>
          <w:noProof/>
          <w:lang w:val="en-US" w:eastAsia="en-US"/>
        </w:rPr>
        <w:drawing>
          <wp:inline distT="0" distB="0" distL="0" distR="0">
            <wp:extent cx="4569460" cy="3124200"/>
            <wp:effectExtent l="0" t="0" r="27940" b="2540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2A4554" w:rsidRPr="00BC25E6" w:rsidRDefault="002A4554" w:rsidP="002A4554">
      <w:pPr>
        <w:spacing w:line="360" w:lineRule="auto"/>
        <w:jc w:val="center"/>
        <w:rPr>
          <w:b/>
          <w:lang w:eastAsia="ja-JP"/>
        </w:rPr>
      </w:pPr>
      <w:r w:rsidRPr="00BC25E6">
        <w:rPr>
          <w:lang w:eastAsia="ja-JP"/>
        </w:rPr>
        <w:t>8  pav.</w:t>
      </w:r>
      <w:r w:rsidRPr="00BC25E6">
        <w:rPr>
          <w:b/>
          <w:lang w:eastAsia="ja-JP"/>
        </w:rPr>
        <w:t xml:space="preserve"> </w:t>
      </w:r>
      <w:r w:rsidRPr="00BC25E6">
        <w:rPr>
          <w:b/>
        </w:rPr>
        <w:t xml:space="preserve">Samdomojo kapitalo efektyvumo koeficiento </w:t>
      </w:r>
      <w:r w:rsidRPr="00BC25E6">
        <w:rPr>
          <w:b/>
          <w:lang w:eastAsia="ja-JP"/>
        </w:rPr>
        <w:t>lygis 2009-2012 metais</w:t>
      </w:r>
    </w:p>
    <w:p w:rsidR="002A4554" w:rsidRPr="00BC25E6" w:rsidRDefault="002A4554" w:rsidP="002A4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eastAsia="ja-JP"/>
        </w:rPr>
      </w:pPr>
    </w:p>
    <w:p w:rsidR="002A4554" w:rsidRPr="00BC25E6" w:rsidRDefault="002A4554" w:rsidP="002A4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eastAsia="ja-JP"/>
        </w:rPr>
      </w:pPr>
      <w:r w:rsidRPr="00BC25E6">
        <w:rPr>
          <w:lang w:eastAsia="ja-JP"/>
        </w:rPr>
        <w:t xml:space="preserve">VACA rodiklio aukščiausias lygis pasiektas AB “Vilniaus baldai” visu analizuojamu laikotarpiu (VACA svyruoja tarp 0,50 ir 0,59), tai įmonė efektyviausiai naudojanti fizinį ir finansinį turtą pridėtinei įmonės vertei kurti. Po jos seka  TEO LT, AB analizuojamais metais išlaikiusi kiek žemesnį, bet gana pastovų koeficiento lygį (VACA </w:t>
      </w:r>
      <w:r w:rsidRPr="00BC25E6">
        <w:rPr>
          <w:lang w:val="en-US" w:eastAsia="ja-JP"/>
        </w:rPr>
        <w:t>0,37-0,42</w:t>
      </w:r>
      <w:r w:rsidRPr="00BC25E6">
        <w:rPr>
          <w:lang w:eastAsia="ja-JP"/>
        </w:rPr>
        <w:t xml:space="preserve">) ir APB “Apranga”, kurios paskutiniaisiais 2011 ir 2012 metais koeficientas stipriai išaugo ir siekė atitinkamai 0,44 ir 0,47. Žemiausias koeficiento lygis aptinkamas AB “Lietuvos dujos” visu laikotarpiu (VACA </w:t>
      </w:r>
      <w:r w:rsidRPr="00BC25E6">
        <w:rPr>
          <w:lang w:val="en-US" w:eastAsia="ja-JP"/>
        </w:rPr>
        <w:t xml:space="preserve">= 0,10-0,13 </w:t>
      </w:r>
      <w:r w:rsidRPr="00BC25E6">
        <w:rPr>
          <w:lang w:eastAsia="ja-JP"/>
        </w:rPr>
        <w:t>), kritinė koeficiento reikšmė – AB “City Service” 2012 metais – 0,03 (žr. 6 priedą).</w:t>
      </w:r>
    </w:p>
    <w:p w:rsidR="002A4554" w:rsidRPr="00BC25E6" w:rsidRDefault="002A4554" w:rsidP="002A4554">
      <w:pPr>
        <w:spacing w:line="360" w:lineRule="auto"/>
        <w:ind w:firstLine="567"/>
        <w:jc w:val="both"/>
        <w:rPr>
          <w:lang w:val="en-US"/>
        </w:rPr>
      </w:pPr>
      <w:r w:rsidRPr="00BC25E6">
        <w:rPr>
          <w:lang w:val="en-US"/>
        </w:rPr>
        <w:t>VAHU</w:t>
      </w:r>
      <w:r w:rsidRPr="00BC25E6">
        <w:rPr>
          <w:rFonts w:ascii="Times" w:hAnsi="Times" w:cs="Times"/>
          <w:lang w:val="en-US"/>
        </w:rPr>
        <w:t xml:space="preserve"> arba žmogiškojo kapitalo efektyvumo </w:t>
      </w:r>
      <w:r w:rsidRPr="00BC25E6">
        <w:rPr>
          <w:lang w:val="en-US"/>
        </w:rPr>
        <w:t>koeficientas</w:t>
      </w:r>
      <w:r w:rsidRPr="00BC25E6">
        <w:rPr>
          <w:rFonts w:ascii="Times" w:hAnsi="Times" w:cs="Times"/>
          <w:lang w:val="en-US"/>
        </w:rPr>
        <w:t xml:space="preserve"> parodo, kiek </w:t>
      </w:r>
      <w:r w:rsidRPr="00BC25E6">
        <w:rPr>
          <w:lang w:val="en-US"/>
        </w:rPr>
        <w:t>pridėtinė vertė (</w:t>
      </w:r>
      <w:r w:rsidRPr="00BC25E6">
        <w:rPr>
          <w:rFonts w:ascii="Times" w:hAnsi="Times" w:cs="Times"/>
          <w:lang w:val="en-US"/>
        </w:rPr>
        <w:t>VA</w:t>
      </w:r>
      <w:r w:rsidRPr="00BC25E6">
        <w:rPr>
          <w:lang w:val="en-US"/>
        </w:rPr>
        <w:t>)</w:t>
      </w:r>
      <w:r w:rsidRPr="00BC25E6">
        <w:rPr>
          <w:rFonts w:ascii="Times" w:hAnsi="Times" w:cs="Times"/>
          <w:lang w:val="en-US"/>
        </w:rPr>
        <w:t xml:space="preserve"> yra sukurta kiekvienam litui išleistam dėl </w:t>
      </w:r>
      <w:r w:rsidRPr="00BC25E6">
        <w:rPr>
          <w:lang w:val="en-US"/>
        </w:rPr>
        <w:t xml:space="preserve">atlygio </w:t>
      </w:r>
      <w:r w:rsidRPr="00BC25E6">
        <w:rPr>
          <w:rFonts w:ascii="Times" w:hAnsi="Times" w:cs="Times"/>
          <w:lang w:val="en-US"/>
        </w:rPr>
        <w:t>darbuotojams</w:t>
      </w:r>
      <w:r w:rsidRPr="00BC25E6">
        <w:rPr>
          <w:lang w:val="en-US"/>
        </w:rPr>
        <w:t xml:space="preserve">. Bendra atlyginimų (darbo užmokesčio, atlyginimo ir premijų) suma arba investavimas į žmogiškąjį kapitalą yra organizacijos HC rodiklis, o HC rodiklio vertinimas yra svarus įmonės įvertinimas dėl </w:t>
      </w:r>
      <w:r w:rsidR="00321E4F">
        <w:rPr>
          <w:lang w:val="en-US"/>
        </w:rPr>
        <w:t>to, kad rinka atlygini</w:t>
      </w:r>
      <w:r w:rsidRPr="00BC25E6">
        <w:rPr>
          <w:lang w:val="en-US"/>
        </w:rPr>
        <w:t>mus vertina kaip įmonės veiklos rezultatą</w:t>
      </w:r>
      <w:r w:rsidRPr="00BC25E6">
        <w:rPr>
          <w:rFonts w:ascii="Times" w:hAnsi="Times" w:cs="Times"/>
          <w:lang w:val="en-US"/>
        </w:rPr>
        <w:t>.</w:t>
      </w:r>
      <w:r w:rsidRPr="00BC25E6">
        <w:rPr>
          <w:lang w:val="en-US"/>
        </w:rPr>
        <w:t xml:space="preserve"> Ryšys tarp VA ir HC atspindi HC gebėjimą kurti vertę įmonėje, o rodiklis VAHU tampa įmonės žmogiškųjų išteklių rodikliu, kuris parodo įmonės galimybes kurti VA iš kiekvieno pinigų vieneto išleisto dėl atlygio darbuotojams, t.y. HC. Listinguojamų įmonių VAHU statistika pateikta 9 paveiksle. </w:t>
      </w:r>
    </w:p>
    <w:p w:rsidR="002A4554" w:rsidRPr="00BC25E6" w:rsidRDefault="002A4554" w:rsidP="002A4554">
      <w:pPr>
        <w:spacing w:line="360" w:lineRule="auto"/>
        <w:jc w:val="center"/>
        <w:rPr>
          <w:lang w:eastAsia="ja-JP"/>
        </w:rPr>
      </w:pPr>
    </w:p>
    <w:p w:rsidR="002A4554" w:rsidRPr="00BC25E6" w:rsidRDefault="002A4554" w:rsidP="002A4554">
      <w:pPr>
        <w:spacing w:line="360" w:lineRule="auto"/>
        <w:jc w:val="center"/>
        <w:rPr>
          <w:lang w:eastAsia="ja-JP"/>
        </w:rPr>
      </w:pPr>
      <w:r w:rsidRPr="00BC25E6">
        <w:rPr>
          <w:noProof/>
          <w:lang w:val="en-US" w:eastAsia="en-US"/>
        </w:rPr>
        <w:drawing>
          <wp:inline distT="0" distB="0" distL="0" distR="0">
            <wp:extent cx="4569460" cy="3124200"/>
            <wp:effectExtent l="0" t="0" r="27940" b="25400"/>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2A4554" w:rsidRPr="00BC25E6" w:rsidRDefault="002A4554" w:rsidP="002A4554">
      <w:pPr>
        <w:spacing w:line="360" w:lineRule="auto"/>
        <w:jc w:val="center"/>
        <w:rPr>
          <w:b/>
          <w:lang w:eastAsia="ja-JP"/>
        </w:rPr>
      </w:pPr>
      <w:r w:rsidRPr="00BC25E6">
        <w:rPr>
          <w:lang w:eastAsia="ja-JP"/>
        </w:rPr>
        <w:t>9  pav</w:t>
      </w:r>
      <w:r w:rsidRPr="00BC25E6">
        <w:rPr>
          <w:b/>
          <w:lang w:eastAsia="ja-JP"/>
        </w:rPr>
        <w:t>. Žmogiškojo kapitalo efektyvumo koeficiento lygis 2009-2012 metais</w:t>
      </w:r>
    </w:p>
    <w:p w:rsidR="002A4554" w:rsidRPr="00BC25E6" w:rsidRDefault="002A4554" w:rsidP="002A4554">
      <w:pPr>
        <w:spacing w:line="360" w:lineRule="auto"/>
        <w:jc w:val="center"/>
        <w:rPr>
          <w:lang w:eastAsia="ja-JP"/>
        </w:rPr>
      </w:pPr>
    </w:p>
    <w:p w:rsidR="002A4554" w:rsidRPr="00BC25E6" w:rsidRDefault="002A4554" w:rsidP="002A4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eastAsia="ja-JP"/>
        </w:rPr>
      </w:pPr>
      <w:r w:rsidRPr="00BC25E6">
        <w:rPr>
          <w:lang w:eastAsia="ja-JP"/>
        </w:rPr>
        <w:t>VAHU lygis daugelyje listinguojamų įmonių gana vienodas. Aukščiausia VAHU koeficiento reikšmė yra AB „Grigiškės“ ir svyruoja nuo 3,85 iki  5,38 nagrinėjamu laikotarpiu, po to seka TEO LT,AB, AB Lietuvos dujos“, AB „Pieno žvaigždės“. Žemiausias koeficientas – 1,05 reikšmė 2012 metais AB „Vilkyškių pieninė”, bet gana žemą rodiklio lygį palaiko ir AB „PST“ (VAHU 1,14-1,48).  Efektyviausiai atlygio sistema naudojama AB „Grigiškės“ (žr. 6 priedą).</w:t>
      </w:r>
    </w:p>
    <w:p w:rsidR="002A4554" w:rsidRPr="00BC25E6" w:rsidRDefault="002A4554" w:rsidP="002A4554">
      <w:pPr>
        <w:spacing w:line="360" w:lineRule="auto"/>
        <w:ind w:firstLine="567"/>
        <w:jc w:val="both"/>
        <w:rPr>
          <w:lang w:val="en-US"/>
        </w:rPr>
      </w:pPr>
      <w:r w:rsidRPr="00BC25E6">
        <w:rPr>
          <w:lang w:eastAsia="ja-JP"/>
        </w:rPr>
        <w:t>Struktūrinio kapitalo efektyvumo koeficientas (STVA) reiškia struktūrinio kapitalo kiekį, kuris yra reikalingas siekiant sugeneruoti vieną pridėtinės vertės vienetą ir kaip sėkmingai jis dirba kuriant pridėtinę vertę.</w:t>
      </w:r>
      <w:r w:rsidRPr="00BC25E6">
        <w:rPr>
          <w:lang w:val="en-US"/>
        </w:rPr>
        <w:t xml:space="preserve"> Kitaip sakant, STVA yra struktūrinio kapitalo proporcija bendroje pridėtinės vertės (VA) apskaitoje. Nagrinėjamų biržoje linstinguojamų įmonių STVA rodiklių dinamika pateikta 10 paveiksle.</w:t>
      </w:r>
    </w:p>
    <w:p w:rsidR="002A4554" w:rsidRPr="00BC25E6" w:rsidRDefault="002A4554" w:rsidP="002A4554">
      <w:pPr>
        <w:spacing w:line="360" w:lineRule="auto"/>
        <w:ind w:firstLine="567"/>
        <w:jc w:val="both"/>
        <w:rPr>
          <w:lang w:eastAsia="ja-JP"/>
        </w:rPr>
      </w:pPr>
    </w:p>
    <w:p w:rsidR="002A4554" w:rsidRPr="00BC25E6" w:rsidRDefault="002A4554" w:rsidP="002A4554">
      <w:pPr>
        <w:spacing w:line="360" w:lineRule="auto"/>
        <w:jc w:val="center"/>
        <w:rPr>
          <w:lang w:eastAsia="ja-JP"/>
        </w:rPr>
      </w:pPr>
      <w:r w:rsidRPr="00BC25E6">
        <w:rPr>
          <w:noProof/>
          <w:lang w:val="en-US" w:eastAsia="en-US"/>
        </w:rPr>
        <w:drawing>
          <wp:inline distT="0" distB="0" distL="0" distR="0">
            <wp:extent cx="4525792" cy="3050052"/>
            <wp:effectExtent l="0" t="0" r="20955" b="23495"/>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2A4554" w:rsidRPr="00BC25E6" w:rsidRDefault="002A4554" w:rsidP="002A4554">
      <w:pPr>
        <w:spacing w:line="360" w:lineRule="auto"/>
        <w:jc w:val="center"/>
        <w:rPr>
          <w:lang w:eastAsia="ja-JP"/>
        </w:rPr>
      </w:pPr>
    </w:p>
    <w:p w:rsidR="002A4554" w:rsidRPr="00BC25E6" w:rsidRDefault="002A4554" w:rsidP="002A4554">
      <w:pPr>
        <w:spacing w:line="360" w:lineRule="auto"/>
        <w:jc w:val="center"/>
        <w:rPr>
          <w:b/>
          <w:lang w:eastAsia="ja-JP"/>
        </w:rPr>
      </w:pPr>
      <w:r w:rsidRPr="00BC25E6">
        <w:rPr>
          <w:lang w:eastAsia="ja-JP"/>
        </w:rPr>
        <w:t>10  pav.</w:t>
      </w:r>
      <w:r w:rsidRPr="00BC25E6">
        <w:rPr>
          <w:b/>
          <w:lang w:eastAsia="ja-JP"/>
        </w:rPr>
        <w:t xml:space="preserve"> Struktūrinio kapitalo efektyvumo koeficiento lygis 2009-2012 metais</w:t>
      </w:r>
    </w:p>
    <w:p w:rsidR="002A4554" w:rsidRPr="00BC25E6" w:rsidRDefault="002A4554" w:rsidP="002A4554">
      <w:pPr>
        <w:spacing w:line="360" w:lineRule="auto"/>
        <w:jc w:val="center"/>
        <w:rPr>
          <w:lang w:eastAsia="ja-JP"/>
        </w:rPr>
      </w:pPr>
    </w:p>
    <w:p w:rsidR="002A4554" w:rsidRPr="00BC25E6" w:rsidRDefault="002A4554" w:rsidP="002A4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eastAsia="ja-JP"/>
        </w:rPr>
      </w:pPr>
      <w:r w:rsidRPr="00BC25E6">
        <w:rPr>
          <w:lang w:eastAsia="ja-JP"/>
        </w:rPr>
        <w:t>STVA koeficiento lygis įmonėse panašus kaip VAHU lygis daugelyje listinguojamų įmonių. Aukščiausi STVA koeficientai yra AB „Grigiškės“ ir svyruoja nuo 0,74 iki 0,81, po to seka TEO LT,AB, AB Lietuvos dujos“, AB „Pieno žvaigždės“ ir kitos panašaus šio rodiklio lygio įmonės. Žemiausias koeficientas priklauso 2012 metais AB „Vilkyškių pieninė” (STVA 0,05), žemą rodiklio lygį palaiko AB „PST“ (STVA 0,13-0,33) ir AB „City Service“ (STVA 0,26-0,38).  Efektyviausiai struktūrio kapitalo sistemą pridėtinės vertės kūrimui naudoja AB „Grigiškės“ (žr. 6 priedą).</w:t>
      </w:r>
    </w:p>
    <w:p w:rsidR="002A4554" w:rsidRPr="00BC25E6" w:rsidRDefault="002A4554" w:rsidP="002A4554">
      <w:pPr>
        <w:spacing w:line="360" w:lineRule="auto"/>
        <w:ind w:firstLine="567"/>
        <w:jc w:val="both"/>
        <w:rPr>
          <w:lang w:eastAsia="ja-JP"/>
        </w:rPr>
      </w:pPr>
      <w:r w:rsidRPr="00BC25E6">
        <w:rPr>
          <w:lang w:eastAsia="ja-JP"/>
        </w:rPr>
        <w:t xml:space="preserve">VAIC™ intelektualusis koeficientas yra suma visų prieš tai skaičiuotų VACA, VAHU ir STVA koeficientų suma. Kaip jau buvo pavaizduota ankstesniuose paveiksluose, VAIC™ yra bendras rodiklis, kuris leidžia nagrinėti kiekvieną išteklių atskirai ir nustatyti kiek naujos vertės buvo sukurta investuojant į kiekvieną iš žmogiškųjų, struktūrinių ar samdomojo išteklių atskirai. </w:t>
      </w:r>
    </w:p>
    <w:p w:rsidR="002A4554" w:rsidRPr="00BC25E6" w:rsidRDefault="002A4554" w:rsidP="002A4554">
      <w:pPr>
        <w:spacing w:line="360" w:lineRule="auto"/>
        <w:ind w:firstLine="567"/>
        <w:jc w:val="both"/>
        <w:rPr>
          <w:lang w:eastAsia="ja-JP"/>
        </w:rPr>
      </w:pPr>
      <w:r w:rsidRPr="00BC25E6">
        <w:rPr>
          <w:lang w:eastAsia="ja-JP"/>
        </w:rPr>
        <w:t>Kuo aukšesnė VAIC™ koeficiento reikšmė, tuo organizacija sukuria daugiau vertės, naudodamasi kompanijos ištekliais bei įmonės intelektiniu kapitalu.</w:t>
      </w:r>
    </w:p>
    <w:p w:rsidR="002A4554" w:rsidRPr="00BC25E6" w:rsidRDefault="002A4554" w:rsidP="002A4554">
      <w:pPr>
        <w:spacing w:line="360" w:lineRule="auto"/>
        <w:ind w:firstLine="567"/>
        <w:jc w:val="both"/>
        <w:rPr>
          <w:lang w:eastAsia="ja-JP"/>
        </w:rPr>
      </w:pPr>
      <w:r w:rsidRPr="00BC25E6">
        <w:rPr>
          <w:lang w:eastAsia="ja-JP"/>
        </w:rPr>
        <w:t>Aukščiausia VAIC™ koeficiento reikšmė (6,42) aptinkama AB „Grigiškės“ 2009 metais. Ši įmonė išlaiko aukščiausią intelektinio kapitalo lygį v</w:t>
      </w:r>
      <w:r w:rsidR="00321E4F">
        <w:rPr>
          <w:lang w:eastAsia="ja-JP"/>
        </w:rPr>
        <w:t>isą nagrinėjamą laikotarpį, nor</w:t>
      </w:r>
      <w:r w:rsidRPr="00BC25E6">
        <w:rPr>
          <w:lang w:eastAsia="ja-JP"/>
        </w:rPr>
        <w:t>s</w:t>
      </w:r>
      <w:r w:rsidR="00321E4F">
        <w:rPr>
          <w:lang w:eastAsia="ja-JP"/>
        </w:rPr>
        <w:t xml:space="preserve"> </w:t>
      </w:r>
      <w:r w:rsidRPr="00BC25E6">
        <w:rPr>
          <w:lang w:eastAsia="ja-JP"/>
        </w:rPr>
        <w:t>ir 2</w:t>
      </w:r>
      <w:r w:rsidR="00321E4F">
        <w:rPr>
          <w:lang w:eastAsia="ja-JP"/>
        </w:rPr>
        <w:t>010 metais rodiklis buvo nukritę</w:t>
      </w:r>
      <w:r w:rsidRPr="00BC25E6">
        <w:rPr>
          <w:lang w:eastAsia="ja-JP"/>
        </w:rPr>
        <w:t>s iki 4,74 ribos. Nežymiu sk</w:t>
      </w:r>
      <w:r w:rsidR="00321E4F">
        <w:rPr>
          <w:lang w:eastAsia="ja-JP"/>
        </w:rPr>
        <w:t>irtumu bei nedideliu koeficiento</w:t>
      </w:r>
      <w:r w:rsidRPr="00BC25E6">
        <w:rPr>
          <w:lang w:eastAsia="ja-JP"/>
        </w:rPr>
        <w:t xml:space="preserve"> kintamumu kasmet VAIC™ rodiklis apskaičiuotas tokiose įmonėse kaip TEO LT, AB, AB „Lietuvos dujos“, AB „Pieno žvaigždės“, AB „Vilniausi baldai“, AB „Rokiškio sūris“. Jose koeficientas stabilus ir svyruoja nuo 3,03 iki 4,67 ribose. Žemiausias pozicijas užima AB „City service“ ir AB „Panevėžio statybos trestas“, kur atitinkamai koeficientai nepakyla aukščiau 2,18 ir 2,06 ribos 2009-2012 metais. Tuo tarpu įmonės APB „Apranga“ ir AB „Vilkyškių pieninė“ pasižymi gana stipriu koeficientų metiniu svyravimu. Visa VAIC™ kaip pridėtinės vertės intelektinio kapitalo koeficiento statistika pateikta 11 paveiksle.</w:t>
      </w:r>
    </w:p>
    <w:p w:rsidR="002A4554" w:rsidRPr="00BC25E6" w:rsidRDefault="002A4554" w:rsidP="002A4554">
      <w:pPr>
        <w:spacing w:line="360" w:lineRule="auto"/>
        <w:ind w:firstLine="567"/>
        <w:jc w:val="both"/>
        <w:rPr>
          <w:lang w:eastAsia="ja-JP"/>
        </w:rPr>
      </w:pPr>
    </w:p>
    <w:p w:rsidR="002A4554" w:rsidRPr="00BC25E6" w:rsidRDefault="002A4554" w:rsidP="002A4554">
      <w:pPr>
        <w:spacing w:line="360" w:lineRule="auto"/>
        <w:rPr>
          <w:lang w:eastAsia="ja-JP"/>
        </w:rPr>
      </w:pPr>
      <w:r w:rsidRPr="00BC25E6">
        <w:rPr>
          <w:noProof/>
          <w:lang w:val="en-US" w:eastAsia="en-US"/>
        </w:rPr>
        <w:drawing>
          <wp:inline distT="0" distB="0" distL="0" distR="0">
            <wp:extent cx="6287770" cy="2712085"/>
            <wp:effectExtent l="0" t="0" r="11430" b="5715"/>
            <wp:docPr id="15" name="Picture 15" descr="VA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IC"/>
                    <pic:cNvPicPr>
                      <a:picLocks noChangeAspect="1" noChangeArrowheads="1"/>
                    </pic:cNvPicPr>
                  </pic:nvPicPr>
                  <pic:blipFill>
                    <a:blip r:embed="rId4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7770" cy="2712085"/>
                    </a:xfrm>
                    <a:prstGeom prst="rect">
                      <a:avLst/>
                    </a:prstGeom>
                    <a:noFill/>
                    <a:ln>
                      <a:noFill/>
                    </a:ln>
                  </pic:spPr>
                </pic:pic>
              </a:graphicData>
            </a:graphic>
          </wp:inline>
        </w:drawing>
      </w:r>
    </w:p>
    <w:p w:rsidR="002A4554" w:rsidRPr="00BC25E6" w:rsidRDefault="002A4554" w:rsidP="002A4554">
      <w:pPr>
        <w:spacing w:line="276" w:lineRule="auto"/>
        <w:jc w:val="center"/>
        <w:rPr>
          <w:lang w:eastAsia="ja-JP"/>
        </w:rPr>
      </w:pPr>
    </w:p>
    <w:p w:rsidR="002A4554" w:rsidRPr="00BC25E6" w:rsidRDefault="002A4554" w:rsidP="002A4554">
      <w:pPr>
        <w:spacing w:line="360" w:lineRule="auto"/>
        <w:jc w:val="center"/>
        <w:rPr>
          <w:b/>
          <w:lang w:eastAsia="ja-JP"/>
        </w:rPr>
      </w:pPr>
      <w:r w:rsidRPr="00BC25E6">
        <w:rPr>
          <w:lang w:eastAsia="ja-JP"/>
        </w:rPr>
        <w:t>11  pav.</w:t>
      </w:r>
      <w:r w:rsidRPr="00BC25E6">
        <w:rPr>
          <w:b/>
          <w:lang w:eastAsia="ja-JP"/>
        </w:rPr>
        <w:t xml:space="preserve"> VAIC™ koeficiento lygis 2009-2012 metais</w:t>
      </w:r>
    </w:p>
    <w:p w:rsidR="002A4554" w:rsidRPr="00BC25E6" w:rsidRDefault="002A4554" w:rsidP="002A4554">
      <w:pPr>
        <w:spacing w:line="276" w:lineRule="auto"/>
        <w:jc w:val="both"/>
        <w:rPr>
          <w:lang w:val="en-US"/>
        </w:rPr>
      </w:pPr>
    </w:p>
    <w:p w:rsidR="002A4554" w:rsidRPr="00BC25E6" w:rsidRDefault="002A4554" w:rsidP="002A4554">
      <w:pPr>
        <w:spacing w:line="360" w:lineRule="auto"/>
        <w:ind w:firstLine="567"/>
        <w:jc w:val="both"/>
        <w:rPr>
          <w:lang w:eastAsia="ja-JP"/>
        </w:rPr>
      </w:pPr>
      <w:r w:rsidRPr="00BC25E6">
        <w:rPr>
          <w:lang w:eastAsia="ja-JP"/>
        </w:rPr>
        <w:t>Visų nagrinėjamų įmonių VAIC™ didžiausias lyginamasis svoris buvo žmogiškojo kapitalo efektyvumo koeficiento (VAHU). Tuo tarpu samdomojo kapitalo efektyvumo koeficientas (VACA) mažiausiai įtakoja bendrą VAIC™ koncepcijos rezultatą. Tai galima akivaizdžiai pamatyti 12 paveiksle. Jame atvaizduotas vidutinis VACA, VAHU, STVA ir VAIC™ lygis 2009-2012 metais.</w:t>
      </w:r>
    </w:p>
    <w:p w:rsidR="002A4554" w:rsidRPr="00BC25E6" w:rsidRDefault="002A4554" w:rsidP="002A4554">
      <w:pPr>
        <w:spacing w:line="360" w:lineRule="auto"/>
        <w:ind w:firstLine="567"/>
        <w:jc w:val="both"/>
        <w:rPr>
          <w:lang w:eastAsia="ja-JP"/>
        </w:rPr>
      </w:pPr>
    </w:p>
    <w:p w:rsidR="002A4554" w:rsidRPr="00BC25E6" w:rsidRDefault="002A4554" w:rsidP="002A4554">
      <w:pPr>
        <w:spacing w:line="360" w:lineRule="auto"/>
        <w:jc w:val="center"/>
        <w:rPr>
          <w:lang w:val="en-US"/>
        </w:rPr>
      </w:pPr>
      <w:r w:rsidRPr="00BC25E6">
        <w:rPr>
          <w:noProof/>
          <w:lang w:val="en-US" w:eastAsia="en-US"/>
        </w:rPr>
        <w:drawing>
          <wp:anchor distT="0" distB="0" distL="114300" distR="114300" simplePos="0" relativeHeight="251675648" behindDoc="0" locked="0" layoutInCell="1" allowOverlap="1">
            <wp:simplePos x="0" y="0"/>
            <wp:positionH relativeFrom="column">
              <wp:posOffset>571500</wp:posOffset>
            </wp:positionH>
            <wp:positionV relativeFrom="paragraph">
              <wp:posOffset>255270</wp:posOffset>
            </wp:positionV>
            <wp:extent cx="4828540" cy="2311400"/>
            <wp:effectExtent l="0" t="0" r="0" b="0"/>
            <wp:wrapNone/>
            <wp:docPr id="16"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5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719" t="-10959" r="-2126" b="-19281"/>
                    <a:stretch>
                      <a:fillRect/>
                    </a:stretch>
                  </pic:blipFill>
                  <pic:spPr bwMode="auto">
                    <a:xfrm>
                      <a:off x="0" y="0"/>
                      <a:ext cx="4828540" cy="2311400"/>
                    </a:xfrm>
                    <a:prstGeom prst="rect">
                      <a:avLst/>
                    </a:prstGeom>
                    <a:noFill/>
                    <a:ln>
                      <a:noFill/>
                    </a:ln>
                  </pic:spPr>
                </pic:pic>
              </a:graphicData>
            </a:graphic>
          </wp:anchor>
        </w:drawing>
      </w:r>
      <w:r w:rsidRPr="00BC25E6">
        <w:rPr>
          <w:noProof/>
          <w:lang w:val="en-US" w:eastAsia="en-US"/>
        </w:rPr>
        <w:drawing>
          <wp:inline distT="0" distB="0" distL="0" distR="0">
            <wp:extent cx="4620895" cy="3296285"/>
            <wp:effectExtent l="0" t="0" r="27305" b="31115"/>
            <wp:docPr id="1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2A4554" w:rsidRPr="00BC25E6" w:rsidRDefault="002A4554" w:rsidP="002A4554">
      <w:pPr>
        <w:spacing w:line="360" w:lineRule="auto"/>
        <w:jc w:val="center"/>
        <w:rPr>
          <w:b/>
          <w:lang w:eastAsia="ja-JP"/>
        </w:rPr>
      </w:pPr>
      <w:r w:rsidRPr="00BC25E6">
        <w:rPr>
          <w:lang w:eastAsia="ja-JP"/>
        </w:rPr>
        <w:t>12 pav.</w:t>
      </w:r>
      <w:r w:rsidRPr="00BC25E6">
        <w:rPr>
          <w:b/>
          <w:lang w:eastAsia="ja-JP"/>
        </w:rPr>
        <w:t xml:space="preserve"> VAIC™ koeficiento vidutinis lygis 2009-2012 metais</w:t>
      </w:r>
    </w:p>
    <w:p w:rsidR="002A4554" w:rsidRPr="00BC25E6" w:rsidRDefault="002A4554" w:rsidP="002A4554">
      <w:pPr>
        <w:spacing w:line="360" w:lineRule="auto"/>
        <w:ind w:firstLine="567"/>
        <w:jc w:val="both"/>
        <w:rPr>
          <w:lang w:eastAsia="ja-JP"/>
        </w:rPr>
      </w:pPr>
      <w:r w:rsidRPr="00BC25E6">
        <w:rPr>
          <w:lang w:eastAsia="ja-JP"/>
        </w:rPr>
        <w:t>Kaip jau buvo analizuoti prieš tai esantys paveiklai,  aukščiausiu lygiu pasižymi AB „Grigiškės“, toliau seka TEO LT, AB, AB „Lietuvos dujos“, AB „Pieno žvaigždės“, AB „Vilniausi baldai“, AB „Rokiškio sūris“. Mažiausias koeficientas apskaičiuotas AB „City service“ ir AB „Panevėžio statybos trestas“. Pagal VAIC™ metodą įvertintas intelektinio kapitalo lygis aukščiausias buvo 2011 metais (3,48) įvertinus vidutinius metinius visų įmonių rezultatus (žr. 6 priedą).</w:t>
      </w:r>
    </w:p>
    <w:p w:rsidR="002A4554" w:rsidRPr="00BC25E6" w:rsidRDefault="002A4554" w:rsidP="002A4554">
      <w:pPr>
        <w:spacing w:line="360" w:lineRule="auto"/>
        <w:ind w:firstLine="567"/>
        <w:jc w:val="both"/>
        <w:rPr>
          <w:lang w:eastAsia="ja-JP"/>
        </w:rPr>
      </w:pPr>
      <w:r w:rsidRPr="00BC25E6">
        <w:rPr>
          <w:lang w:eastAsia="ja-JP"/>
        </w:rPr>
        <w:t xml:space="preserve">Apibendrinant pridėtinės vertės intelektinio kapitalo koeficiento VAIC™ skaičiavimus, galima teigti, jog pridėtinę vertę (VA) efektyviausiai naudoja AB „Grigiškės“. Tačiau kaip matyti iš 13 paveikslo, kuriame pavaizduotas rodiklio ICE duomenys, AB „Grigiškės“ ne tik sukuria daugiausiai pridėtinės vertės, bet ir efektyviausiai ją panaudoja (žr. 13 pav.). </w:t>
      </w:r>
    </w:p>
    <w:p w:rsidR="002A4554" w:rsidRPr="00BC25E6" w:rsidRDefault="002A4554" w:rsidP="002A4554">
      <w:pPr>
        <w:spacing w:line="360" w:lineRule="auto"/>
        <w:ind w:firstLine="567"/>
        <w:jc w:val="both"/>
        <w:rPr>
          <w:lang w:eastAsia="ja-JP"/>
        </w:rPr>
      </w:pPr>
    </w:p>
    <w:p w:rsidR="002A4554" w:rsidRPr="00BC25E6" w:rsidRDefault="002A4554" w:rsidP="002A4554">
      <w:pPr>
        <w:spacing w:line="360" w:lineRule="auto"/>
        <w:ind w:firstLine="567"/>
        <w:jc w:val="both"/>
        <w:rPr>
          <w:lang w:eastAsia="ja-JP"/>
        </w:rPr>
      </w:pPr>
      <w:r w:rsidRPr="00BC25E6">
        <w:rPr>
          <w:noProof/>
          <w:lang w:val="en-US" w:eastAsia="en-US"/>
        </w:rPr>
        <w:drawing>
          <wp:inline distT="0" distB="0" distL="0" distR="0">
            <wp:extent cx="5340985" cy="3101340"/>
            <wp:effectExtent l="0" t="0" r="18415" b="22860"/>
            <wp:docPr id="1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2A4554" w:rsidRPr="00BC25E6" w:rsidRDefault="002A4554" w:rsidP="002A4554">
      <w:pPr>
        <w:spacing w:line="276" w:lineRule="auto"/>
        <w:jc w:val="center"/>
        <w:rPr>
          <w:lang w:eastAsia="ja-JP"/>
        </w:rPr>
      </w:pPr>
    </w:p>
    <w:p w:rsidR="002A4554" w:rsidRPr="00BC25E6" w:rsidRDefault="002A4554" w:rsidP="002A4554">
      <w:pPr>
        <w:spacing w:line="360" w:lineRule="auto"/>
        <w:jc w:val="center"/>
        <w:rPr>
          <w:b/>
          <w:lang w:eastAsia="ja-JP"/>
        </w:rPr>
      </w:pPr>
      <w:r w:rsidRPr="00BC25E6">
        <w:rPr>
          <w:lang w:eastAsia="ja-JP"/>
        </w:rPr>
        <w:t>13  pav.</w:t>
      </w:r>
      <w:r w:rsidRPr="00BC25E6">
        <w:rPr>
          <w:b/>
          <w:lang w:eastAsia="ja-JP"/>
        </w:rPr>
        <w:t xml:space="preserve"> ICE intelektinio kapitalo efektyvumo lygis 2009-2012 metais</w:t>
      </w:r>
    </w:p>
    <w:p w:rsidR="002A4554" w:rsidRPr="00BC25E6" w:rsidRDefault="002A4554" w:rsidP="002A4554">
      <w:pPr>
        <w:spacing w:line="276" w:lineRule="auto"/>
        <w:ind w:firstLine="567"/>
        <w:jc w:val="both"/>
        <w:rPr>
          <w:lang w:eastAsia="ja-JP"/>
        </w:rPr>
      </w:pPr>
    </w:p>
    <w:p w:rsidR="002A4554" w:rsidRPr="00BC25E6" w:rsidRDefault="002A4554" w:rsidP="002A4554">
      <w:pPr>
        <w:spacing w:line="360" w:lineRule="auto"/>
        <w:ind w:firstLine="567"/>
        <w:jc w:val="both"/>
        <w:rPr>
          <w:lang w:eastAsia="ja-JP"/>
        </w:rPr>
      </w:pPr>
      <w:r w:rsidRPr="00BC25E6">
        <w:rPr>
          <w:lang w:eastAsia="ja-JP"/>
        </w:rPr>
        <w:t xml:space="preserve">ICE lygis įmonėse gana vienodas. Didžiausios ICE reikšmės po AB „Grigiškės“ yra 2010 metais TEO LT, AB (ICE 4,3) ir AB „Lietuvos dujos“ (ICE 4,2). Mažiausia ICE rodiklio reikšmė apskaičiuota AB „Vilkyškių pieninė” ir sudarė 2012 metais tik 1,09. Intelektinio kapitalo efektyvumas (ICE) atspindi intelektinio kapitalo efektyvumą įmonės atžvilgiu, kadangi vertinami tik intelektiniai ir fiziniai kapitalo ištekliai. Kai VAIC™ parodo </w:t>
      </w:r>
      <w:r w:rsidRPr="00BC25E6">
        <w:t>bendrą vertės kūrimo efektyvumą iš visų naudojamų išteklių, ICE atspindi intelektinio kapitalo vertės kūrimo efektyvumą.</w:t>
      </w:r>
      <w:r w:rsidRPr="00BC25E6">
        <w:rPr>
          <w:lang w:eastAsia="ja-JP"/>
        </w:rPr>
        <w:t xml:space="preserve">  </w:t>
      </w:r>
    </w:p>
    <w:p w:rsidR="002A4554" w:rsidRPr="00BC25E6" w:rsidRDefault="002A4554" w:rsidP="002A4554">
      <w:pPr>
        <w:spacing w:line="360" w:lineRule="auto"/>
        <w:ind w:firstLine="567"/>
        <w:jc w:val="both"/>
        <w:rPr>
          <w:lang w:eastAsia="ja-JP"/>
        </w:rPr>
      </w:pPr>
      <w:r w:rsidRPr="00BC25E6">
        <w:rPr>
          <w:lang w:eastAsia="ja-JP"/>
        </w:rPr>
        <w:t xml:space="preserve">Sekantis žingsnis įmonių intelektinio kapitalo lygio matavime </w:t>
      </w:r>
      <w:r w:rsidR="00321E4F">
        <w:rPr>
          <w:lang w:eastAsia="ja-JP"/>
        </w:rPr>
        <w:t>– įvertinti intelektinį kapitalą</w:t>
      </w:r>
      <w:r w:rsidRPr="00BC25E6">
        <w:rPr>
          <w:lang w:eastAsia="ja-JP"/>
        </w:rPr>
        <w:t xml:space="preserve"> CIV arba apskaičiuotosios nematerialiosios vertės metodu. Dėl pramonės šakų statistikos duomenų trūkumo analizu</w:t>
      </w:r>
      <w:r w:rsidR="00227B53">
        <w:rPr>
          <w:lang w:eastAsia="ja-JP"/>
        </w:rPr>
        <w:t>ojami 3 metų duomenys (2009-2011</w:t>
      </w:r>
      <w:r w:rsidRPr="00BC25E6">
        <w:rPr>
          <w:lang w:eastAsia="ja-JP"/>
        </w:rPr>
        <w:t xml:space="preserve"> metų), nors metodas siūlo skaičiuoti 3 metų vidurkį, buvo skaičiuojma pastarųjų metų rezultatai atskirai, siekiant įvertinti įmonių intelektinį kapitalą nuodugniau. </w:t>
      </w:r>
    </w:p>
    <w:p w:rsidR="002A4554" w:rsidRPr="00BC25E6" w:rsidRDefault="002A4554" w:rsidP="002A4554">
      <w:pPr>
        <w:spacing w:line="360" w:lineRule="auto"/>
        <w:ind w:firstLine="567"/>
        <w:jc w:val="both"/>
        <w:rPr>
          <w:lang w:eastAsia="ja-JP"/>
        </w:rPr>
      </w:pPr>
      <w:r w:rsidRPr="00BC25E6">
        <w:rPr>
          <w:lang w:eastAsia="ja-JP"/>
        </w:rPr>
        <w:t>CIV metodas leidžia intelektinį kapitalą pamatuoti pinigine išraiška bei palyginti įmonės rezultatus su vidutiniu konkurentu, kuris turi panašius materialius išteklius. Tačiau skaičiuojant šį rodiklį atsiranda trūkumas – skaičiuojant šiuo metodu yra taikoma sąlyga, jog rodiklis skaičiuojamas tik jei skirtumas tarp šakos ROA ir įmonės ROA yra teigiamas, t.y. didesnis už 0. Šiuo atveju nagrinėjant listinguojamų įmonių intelektinį kapitalą šiuo metodu, dažnu atveju šakos ROA rodiklis yra didesnis nei įmonės, todėl šio rodiklio statistika nėra labai išsami. Be to Statistikos departamento suformuoti ne visi 2012 metų šakos rodikliai. CIV metodu įvertintas intelektinio kapitalo lygis nagrinėjamose įmonėse pateikiamas 14 paveiksle.</w:t>
      </w:r>
    </w:p>
    <w:p w:rsidR="002A4554" w:rsidRPr="00BC25E6" w:rsidRDefault="002A4554" w:rsidP="002A4554">
      <w:pPr>
        <w:spacing w:line="360" w:lineRule="auto"/>
        <w:ind w:firstLine="567"/>
        <w:jc w:val="both"/>
        <w:rPr>
          <w:lang w:eastAsia="ja-JP"/>
        </w:rPr>
      </w:pPr>
    </w:p>
    <w:p w:rsidR="002A4554" w:rsidRPr="00BC25E6" w:rsidRDefault="002A4554" w:rsidP="002A4554">
      <w:pPr>
        <w:spacing w:line="360" w:lineRule="auto"/>
        <w:ind w:firstLine="567"/>
        <w:jc w:val="both"/>
        <w:rPr>
          <w:lang w:eastAsia="ja-JP"/>
        </w:rPr>
      </w:pPr>
      <w:r w:rsidRPr="00BC25E6">
        <w:rPr>
          <w:noProof/>
          <w:lang w:val="en-US" w:eastAsia="en-US"/>
        </w:rPr>
        <w:drawing>
          <wp:inline distT="0" distB="0" distL="0" distR="0">
            <wp:extent cx="5566410" cy="3048000"/>
            <wp:effectExtent l="0" t="0" r="21590" b="25400"/>
            <wp:docPr id="1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2A4554" w:rsidRPr="00BC25E6" w:rsidRDefault="002A4554" w:rsidP="002A4554">
      <w:pPr>
        <w:spacing w:line="276" w:lineRule="auto"/>
        <w:jc w:val="center"/>
        <w:rPr>
          <w:lang w:eastAsia="ja-JP"/>
        </w:rPr>
      </w:pPr>
    </w:p>
    <w:p w:rsidR="002A4554" w:rsidRPr="00BC25E6" w:rsidRDefault="002A4554" w:rsidP="002A4554">
      <w:pPr>
        <w:spacing w:line="360" w:lineRule="auto"/>
        <w:jc w:val="center"/>
        <w:rPr>
          <w:b/>
          <w:lang w:eastAsia="ja-JP"/>
        </w:rPr>
      </w:pPr>
      <w:r w:rsidRPr="00BC25E6">
        <w:rPr>
          <w:lang w:eastAsia="ja-JP"/>
        </w:rPr>
        <w:t>14  pav.</w:t>
      </w:r>
      <w:r w:rsidRPr="00BC25E6">
        <w:rPr>
          <w:b/>
          <w:lang w:eastAsia="ja-JP"/>
        </w:rPr>
        <w:t xml:space="preserve"> CIV lygis 2009-2011 metais</w:t>
      </w:r>
    </w:p>
    <w:p w:rsidR="002A4554" w:rsidRPr="00BC25E6" w:rsidRDefault="002A4554" w:rsidP="002A4554">
      <w:pPr>
        <w:spacing w:line="276" w:lineRule="auto"/>
        <w:jc w:val="center"/>
        <w:rPr>
          <w:b/>
          <w:lang w:eastAsia="ja-JP"/>
        </w:rPr>
      </w:pPr>
    </w:p>
    <w:p w:rsidR="002A4554" w:rsidRPr="00BC25E6" w:rsidRDefault="002A4554" w:rsidP="002A4554">
      <w:pPr>
        <w:spacing w:line="360" w:lineRule="auto"/>
        <w:ind w:firstLine="567"/>
        <w:jc w:val="both"/>
        <w:rPr>
          <w:lang w:eastAsia="ja-JP"/>
        </w:rPr>
      </w:pPr>
      <w:r w:rsidRPr="00BC25E6">
        <w:rPr>
          <w:lang w:eastAsia="ja-JP"/>
        </w:rPr>
        <w:t>CIV metodo rezultatai prieštaringi. Aukščiausias šiuo metodu apskaičiuotas intelektinio kapitalo lygis nagrinėjamu laikotarpiu yra įmonės AB “Lietuvos dujos”, ypač 2009 metais. Po jos seka įmonė TEO LT, AB. Tarp šių įmonių ir likusiųjų matoma didelė CIV rodiklio reikšmių atskirtis. Šios įmonės rinkoje yra vienos didžiausių, todėl kyla abejonių dėl pastarojo CIV metodo naudojimo tinkamumo – įmonės rezultatai gali didžiąja dalimi į</w:t>
      </w:r>
      <w:r w:rsidR="00321E4F">
        <w:rPr>
          <w:lang w:eastAsia="ja-JP"/>
        </w:rPr>
        <w:t>takoti šakos rezultatus, ko pase</w:t>
      </w:r>
      <w:r w:rsidRPr="00BC25E6">
        <w:rPr>
          <w:lang w:eastAsia="ja-JP"/>
        </w:rPr>
        <w:t>koje bus mažesnė intelektinio kapitalo vertė. Priešingai nei prieš tai nagrinėtuose metoduose, kaip VAIC™, ICE, įmonė AB „Grigiškės“ atspindėjo menką CIV metodo rezultatą arba jo iš vis nebuvo. Įdomus reiškinys, kai neigiama rodiklio reikšmė 2011 metais susidarė įmonėje AB “Pieno žvaigždės”. Tokiose įmoėse, kaip APB „Apranga“, AB „Grigiškės“, AB „Pieno žvaigždės“, AB „Rokiškio sūris“, AB „Vilkyškių pieninė“ CIV metodu įvertintas intelektinio kapitalas ir jo reikšmė buvo lygi 0, nes įmonės ROA buvo mažesnis nei vidutinio konkurento šakoje. O CIV metodas netenka prasmės, jei įmonė neturi konkurencinio pranašumo prieš vidutinius šakos konkurentus turto valdymo efektyvume.</w:t>
      </w:r>
    </w:p>
    <w:p w:rsidR="002A4554" w:rsidRPr="00BC25E6" w:rsidRDefault="002A4554" w:rsidP="002A4554">
      <w:pPr>
        <w:spacing w:line="360" w:lineRule="auto"/>
        <w:ind w:firstLine="567"/>
        <w:jc w:val="both"/>
        <w:rPr>
          <w:lang w:eastAsia="ja-JP"/>
        </w:rPr>
      </w:pPr>
    </w:p>
    <w:p w:rsidR="002A4554" w:rsidRPr="00BC25E6" w:rsidRDefault="003D225B" w:rsidP="002A4554">
      <w:pPr>
        <w:pStyle w:val="ListParagraph"/>
        <w:numPr>
          <w:ilvl w:val="1"/>
          <w:numId w:val="28"/>
        </w:numPr>
        <w:spacing w:line="360" w:lineRule="auto"/>
        <w:ind w:hanging="11"/>
        <w:jc w:val="center"/>
        <w:rPr>
          <w:rFonts w:ascii="Times New Roman" w:hAnsi="Times New Roman"/>
          <w:b/>
          <w:lang w:eastAsia="ja-JP"/>
        </w:rPr>
      </w:pPr>
      <w:r>
        <w:rPr>
          <w:rFonts w:ascii="Times New Roman" w:hAnsi="Times New Roman"/>
          <w:b/>
          <w:lang w:eastAsia="ja-JP"/>
        </w:rPr>
        <w:t>Į</w:t>
      </w:r>
      <w:r w:rsidR="002A4554" w:rsidRPr="00BC25E6">
        <w:rPr>
          <w:rFonts w:ascii="Times New Roman" w:hAnsi="Times New Roman"/>
          <w:b/>
          <w:lang w:eastAsia="ja-JP"/>
        </w:rPr>
        <w:t>monių intelektinio kapitalo lygio ir finansinių rodiklių ryšio analizė</w:t>
      </w:r>
    </w:p>
    <w:p w:rsidR="002A4554" w:rsidRPr="00BC25E6" w:rsidRDefault="002A4554" w:rsidP="002A4554">
      <w:pPr>
        <w:pStyle w:val="ListParagraph"/>
        <w:spacing w:line="360" w:lineRule="auto"/>
        <w:ind w:left="0"/>
        <w:jc w:val="center"/>
        <w:rPr>
          <w:rFonts w:ascii="Times New Roman" w:hAnsi="Times New Roman"/>
          <w:b/>
          <w:lang w:eastAsia="ja-JP"/>
        </w:rPr>
      </w:pPr>
    </w:p>
    <w:p w:rsidR="002A4554" w:rsidRPr="00BC25E6" w:rsidRDefault="002A4554" w:rsidP="002A4554">
      <w:pPr>
        <w:widowControl w:val="0"/>
        <w:autoSpaceDE w:val="0"/>
        <w:autoSpaceDN w:val="0"/>
        <w:adjustRightInd w:val="0"/>
        <w:spacing w:line="360" w:lineRule="auto"/>
        <w:ind w:firstLine="567"/>
        <w:jc w:val="both"/>
        <w:rPr>
          <w:rFonts w:ascii="Times" w:hAnsi="Times" w:cs="Times"/>
          <w:lang w:val="en-US"/>
        </w:rPr>
      </w:pPr>
      <w:r w:rsidRPr="00BC25E6">
        <w:rPr>
          <w:lang w:eastAsia="ja-JP"/>
        </w:rPr>
        <w:t>Tiriant intelektinio kapitalo lygio ir įmonių finansinių rodiklių (turto grąžos ROA, nuosavo kapitalo grąžos ROE) koreliacinius ryšius na</w:t>
      </w:r>
      <w:r w:rsidR="00321E4F">
        <w:rPr>
          <w:lang w:eastAsia="ja-JP"/>
        </w:rPr>
        <w:t>u</w:t>
      </w:r>
      <w:r w:rsidRPr="00BC25E6">
        <w:rPr>
          <w:lang w:eastAsia="ja-JP"/>
        </w:rPr>
        <w:t xml:space="preserve">dojantis statistine programa SPSS 22.0 skaičiuotas Pirsono </w:t>
      </w:r>
      <w:r w:rsidRPr="00BC25E6">
        <w:rPr>
          <w:lang w:val="en-US"/>
        </w:rPr>
        <w:t>(</w:t>
      </w:r>
      <w:r w:rsidRPr="00BC25E6">
        <w:rPr>
          <w:i/>
          <w:lang w:val="en-US"/>
        </w:rPr>
        <w:t>angl.</w:t>
      </w:r>
      <w:r w:rsidRPr="00BC25E6">
        <w:rPr>
          <w:lang w:val="en-US"/>
        </w:rPr>
        <w:t xml:space="preserve"> Pearson Correlation) </w:t>
      </w:r>
      <w:r w:rsidRPr="00BC25E6">
        <w:rPr>
          <w:lang w:eastAsia="ja-JP"/>
        </w:rPr>
        <w:t>koreliacijos koeficientas</w:t>
      </w:r>
      <w:r w:rsidR="006837EC">
        <w:rPr>
          <w:lang w:eastAsia="ja-JP"/>
        </w:rPr>
        <w:t xml:space="preserve"> (koeficiento stiprumo reikšmės 5 priede)</w:t>
      </w:r>
      <w:r w:rsidRPr="00BC25E6">
        <w:rPr>
          <w:lang w:eastAsia="ja-JP"/>
        </w:rPr>
        <w:t>.</w:t>
      </w:r>
    </w:p>
    <w:p w:rsidR="002A4554" w:rsidRPr="00BC25E6" w:rsidRDefault="002A4554" w:rsidP="002A45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lang w:val="en-US"/>
        </w:rPr>
      </w:pPr>
      <w:r w:rsidRPr="00BC25E6">
        <w:rPr>
          <w:lang w:val="en-US"/>
        </w:rPr>
        <w:t>Biržoje listinguojamų įmonių finansiniai ROA ir ROE rodikliai per nagrinėjamus metus svyruoja, kaip ir intelektinio kapitalo vertinimo rodikliai ICE, VAIC™, CIV</w:t>
      </w:r>
      <w:r w:rsidRPr="00BC25E6">
        <w:rPr>
          <w:sz w:val="16"/>
          <w:szCs w:val="16"/>
          <w:lang w:val="en-US"/>
        </w:rPr>
        <w:t xml:space="preserve"> </w:t>
      </w:r>
      <w:r w:rsidRPr="00BC25E6">
        <w:rPr>
          <w:lang w:val="en-US"/>
        </w:rPr>
        <w:t>kinta nepriklausomai nuo ROA ir ROE kitimo.</w:t>
      </w:r>
      <w:r w:rsidRPr="00BC25E6">
        <w:rPr>
          <w:rFonts w:ascii="Times" w:hAnsi="Times" w:cs="Times"/>
          <w:lang w:val="en-US"/>
        </w:rPr>
        <w:t xml:space="preserve"> Tod</w:t>
      </w:r>
      <w:r w:rsidRPr="00BC25E6">
        <w:t xml:space="preserve">ėl vienodai </w:t>
      </w:r>
      <w:r w:rsidR="009C40AA">
        <w:rPr>
          <w:lang w:val="en-US"/>
        </w:rPr>
        <w:t>finansinių ir nefinansinių rodiklių</w:t>
      </w:r>
      <w:r w:rsidRPr="00BC25E6">
        <w:rPr>
          <w:lang w:val="en-US"/>
        </w:rPr>
        <w:t xml:space="preserve"> negalima, nes yra matomi nedideli svyravimai įmonių veiklos ataskaitose ROA ir ROE</w:t>
      </w:r>
      <w:r w:rsidRPr="00BC25E6">
        <w:t xml:space="preserve">, </w:t>
      </w:r>
      <w:r w:rsidR="009C40AA">
        <w:rPr>
          <w:lang w:val="en-US"/>
        </w:rPr>
        <w:t>o to priežastys gali būti į</w:t>
      </w:r>
      <w:r w:rsidRPr="00BC25E6">
        <w:rPr>
          <w:lang w:val="en-US"/>
        </w:rPr>
        <w:t xml:space="preserve">vairios. </w:t>
      </w:r>
      <w:r w:rsidR="009C40AA">
        <w:rPr>
          <w:lang w:val="en-US"/>
        </w:rPr>
        <w:t>Galima išskirti keletą neigiamų veiksnių, kurie lėmė tais metais įmonių veiklą</w:t>
      </w:r>
      <w:r w:rsidRPr="00BC25E6">
        <w:rPr>
          <w:lang w:val="en-US"/>
        </w:rPr>
        <w:t>: sumažėjusios pardavimų apimtys, pelno sumažėjimas, kiti finansinės krizės padariniai ir t.t. O tuo tarpu kai kurių įmonių ICE, VAIC™ ir CIV koeficientai kinta neprikla</w:t>
      </w:r>
      <w:r w:rsidR="009C40AA">
        <w:rPr>
          <w:lang w:val="en-US"/>
        </w:rPr>
        <w:t>usomai nuo ROA ir ROE svyravimų</w:t>
      </w:r>
      <w:r w:rsidRPr="00BC25E6">
        <w:rPr>
          <w:lang w:val="en-US"/>
        </w:rPr>
        <w:t>.</w:t>
      </w:r>
    </w:p>
    <w:p w:rsidR="002A4554" w:rsidRPr="00BC25E6" w:rsidRDefault="002A4554" w:rsidP="002A4554">
      <w:pPr>
        <w:pStyle w:val="ListParagraph"/>
        <w:spacing w:line="360" w:lineRule="auto"/>
        <w:jc w:val="both"/>
        <w:rPr>
          <w:rFonts w:ascii="Times New Roman" w:hAnsi="Times New Roman"/>
          <w:lang w:eastAsia="ja-JP"/>
        </w:rPr>
      </w:pPr>
      <w:r w:rsidRPr="00BC25E6">
        <w:rPr>
          <w:rFonts w:ascii="Times New Roman" w:hAnsi="Times New Roman"/>
          <w:lang w:eastAsia="ja-JP"/>
        </w:rPr>
        <w:t>Finansinių rodiklių kitimas nagrinėjamais metais pateiktas 15 paveiksle.</w:t>
      </w:r>
    </w:p>
    <w:p w:rsidR="002A4554" w:rsidRPr="00BC25E6" w:rsidRDefault="002A4554" w:rsidP="002A4554">
      <w:pPr>
        <w:pStyle w:val="ListParagraph"/>
        <w:spacing w:line="360" w:lineRule="auto"/>
        <w:jc w:val="center"/>
        <w:rPr>
          <w:rFonts w:ascii="Times New Roman" w:hAnsi="Times New Roman"/>
          <w:b/>
          <w:lang w:eastAsia="ja-JP"/>
        </w:rPr>
      </w:pPr>
    </w:p>
    <w:p w:rsidR="002A4554" w:rsidRPr="00BC25E6" w:rsidRDefault="002A4554" w:rsidP="002A4554">
      <w:pPr>
        <w:pStyle w:val="ListParagraph"/>
        <w:spacing w:line="360" w:lineRule="auto"/>
        <w:ind w:left="0"/>
        <w:jc w:val="center"/>
        <w:rPr>
          <w:rFonts w:ascii="Times New Roman" w:hAnsi="Times New Roman"/>
          <w:b/>
          <w:lang w:eastAsia="ja-JP"/>
        </w:rPr>
      </w:pPr>
      <w:r w:rsidRPr="00BC25E6">
        <w:rPr>
          <w:noProof/>
          <w:lang w:val="en-US"/>
        </w:rPr>
        <w:drawing>
          <wp:inline distT="0" distB="0" distL="0" distR="0">
            <wp:extent cx="3034030" cy="2284095"/>
            <wp:effectExtent l="0" t="0" r="13970" b="27305"/>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BC25E6">
        <w:rPr>
          <w:noProof/>
          <w:lang w:val="en-US"/>
        </w:rPr>
        <w:drawing>
          <wp:inline distT="0" distB="0" distL="0" distR="0">
            <wp:extent cx="3161665" cy="2287042"/>
            <wp:effectExtent l="0" t="0" r="13335" b="24765"/>
            <wp:docPr id="2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2A4554" w:rsidRPr="00BC25E6" w:rsidRDefault="002A4554" w:rsidP="002A4554">
      <w:pPr>
        <w:spacing w:line="360" w:lineRule="auto"/>
        <w:jc w:val="both"/>
        <w:rPr>
          <w:b/>
          <w:lang w:eastAsia="ja-JP"/>
        </w:rPr>
      </w:pPr>
    </w:p>
    <w:p w:rsidR="002A4554" w:rsidRPr="00BC25E6" w:rsidRDefault="002A4554" w:rsidP="002A4554">
      <w:pPr>
        <w:spacing w:line="360" w:lineRule="auto"/>
        <w:jc w:val="center"/>
        <w:rPr>
          <w:b/>
          <w:lang w:eastAsia="ja-JP"/>
        </w:rPr>
      </w:pPr>
      <w:r w:rsidRPr="00BC25E6">
        <w:rPr>
          <w:lang w:eastAsia="ja-JP"/>
        </w:rPr>
        <w:t>15  pav.</w:t>
      </w:r>
      <w:r w:rsidRPr="00BC25E6">
        <w:rPr>
          <w:b/>
          <w:lang w:eastAsia="ja-JP"/>
        </w:rPr>
        <w:t xml:space="preserve"> Įmonių turto ir nuosavo kapitalo grąžos rodiklių dinamika 2009-2012 metais, proc.</w:t>
      </w:r>
    </w:p>
    <w:p w:rsidR="002A4554" w:rsidRPr="00BC25E6" w:rsidRDefault="002A4554" w:rsidP="002A4554">
      <w:pPr>
        <w:widowControl w:val="0"/>
        <w:autoSpaceDE w:val="0"/>
        <w:autoSpaceDN w:val="0"/>
        <w:adjustRightInd w:val="0"/>
        <w:spacing w:line="360" w:lineRule="auto"/>
        <w:ind w:firstLine="567"/>
        <w:jc w:val="both"/>
        <w:rPr>
          <w:lang w:val="en-US"/>
        </w:rPr>
      </w:pP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val="en-US"/>
        </w:rPr>
        <w:t xml:space="preserve">Finansiniai rodikliai, kaip turto grąža ir nuosavo kapitalo grąža, kinta netolygiai kaip nefinansiniai rodikliai. Aukščiausios šių rodiklių reikšmės aptinkamos išskirtinai įmonėje AB “Vilniaus baldai” (ROA svyruoja 20-27,25 proc., ROE 31,93-38,30)  ir tai pastebima visa nagrinėjamą laikotarpį. Taip pat gana aukštą ir </w:t>
      </w:r>
      <w:r w:rsidR="00227B53">
        <w:rPr>
          <w:lang w:val="en-US"/>
        </w:rPr>
        <w:t>stabilią</w:t>
      </w:r>
      <w:r w:rsidRPr="00BC25E6">
        <w:rPr>
          <w:lang w:val="en-US"/>
        </w:rPr>
        <w:t xml:space="preserve"> ROA ir ROE rodiklių reikšmę išlaiko įmonė TEO LT, AB (atitinkamai 13,87-14,42 ir 15,05-16,07), žemiausią finansinių rodiklių lygį palaiko AB “Panevėžio statybos trestas” (ROA 0,72-5,44 ir ROE 1,10-7,65).</w:t>
      </w: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val="en-US"/>
        </w:rPr>
        <w:t>Tikslinga ištirti atskirų m</w:t>
      </w:r>
      <w:r w:rsidR="00321E4F">
        <w:rPr>
          <w:lang w:val="en-US"/>
        </w:rPr>
        <w:t>etų rodiklių bei rodiklių kitimą</w:t>
      </w:r>
      <w:r w:rsidRPr="00BC25E6">
        <w:rPr>
          <w:lang w:val="en-US"/>
        </w:rPr>
        <w:t xml:space="preserve"> bendrai </w:t>
      </w:r>
      <w:r w:rsidR="009C40AA">
        <w:rPr>
          <w:lang w:val="en-US"/>
        </w:rPr>
        <w:t>per ketverius metus. Finansinių ir nefinansinių rodiklių</w:t>
      </w:r>
      <w:r w:rsidRPr="00BC25E6">
        <w:rPr>
          <w:lang w:val="en-US"/>
        </w:rPr>
        <w:t xml:space="preserve"> kitimo koreliacinės analizės duomenys atskirais metais pateikiami 7 priede. Nagrinėjami finansiniai rodikliai ROA, ROE, bei pagrindiniai nefinansiniai rodikliai – VACA, VAHU, STVA, VAIC™</w:t>
      </w:r>
      <w:r w:rsidR="00321E4F">
        <w:rPr>
          <w:lang w:val="en-US"/>
        </w:rPr>
        <w:t>, ICE bei CIV. Siekiama surasti</w:t>
      </w:r>
      <w:r w:rsidRPr="00BC25E6">
        <w:rPr>
          <w:lang w:val="en-US"/>
        </w:rPr>
        <w:t xml:space="preserve"> koreliacinius ryšius. Keliama hipotezė, jog keičiantis finansiniams rodikliams atitinkamai keisis ir nefinansiniai koeficientai. Siekiama išsiaiškinti ar įmonių veiklos finansinių rodiklių kitimas įtakoja nefinansinių rodiklių kitimą atskirais metais ir kokia kryptimi šis kitimas vyksta per analizuojamą laikotarpį.</w:t>
      </w: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val="en-US"/>
        </w:rPr>
        <w:t>Koreliacijo</w:t>
      </w:r>
      <w:r w:rsidR="00860961">
        <w:rPr>
          <w:lang w:val="en-US"/>
        </w:rPr>
        <w:t>s ryšio nustatymui tarp kintamųjų</w:t>
      </w:r>
      <w:r w:rsidRPr="00BC25E6">
        <w:rPr>
          <w:lang w:val="en-US"/>
        </w:rPr>
        <w:t xml:space="preserve"> naudojamas Pirsono koreliacijos</w:t>
      </w:r>
      <w:r w:rsidRPr="00BC25E6">
        <w:rPr>
          <w:rFonts w:ascii="Times" w:hAnsi="Times" w:cs="Times"/>
          <w:lang w:val="en-US"/>
        </w:rPr>
        <w:t xml:space="preserve"> </w:t>
      </w:r>
      <w:r w:rsidRPr="00BC25E6">
        <w:rPr>
          <w:lang w:val="en-US"/>
        </w:rPr>
        <w:t xml:space="preserve">koeficientas. </w:t>
      </w:r>
      <w:r w:rsidRPr="00BC25E6">
        <w:rPr>
          <w:lang w:eastAsia="ja-JP"/>
        </w:rPr>
        <w:t>Pirsono koreliacijos koeficiento taikytas reikšmingumo lygmuo 0,01. Imtis (N) yr</w:t>
      </w:r>
      <w:r w:rsidR="00243868">
        <w:rPr>
          <w:lang w:eastAsia="ja-JP"/>
        </w:rPr>
        <w:t>a 10 įmonių listinguojamų OMX Vilni</w:t>
      </w:r>
      <w:r w:rsidRPr="00BC25E6">
        <w:rPr>
          <w:lang w:eastAsia="ja-JP"/>
        </w:rPr>
        <w:t xml:space="preserve">us vertybinių popierių biržoje. Atlikta koreliacinė analizė parodė, kad ne tarp visų įmonių intelektinio kapitalo lygio vidutinių rodiklių ir vidutinių ROA bei ROE rodiklių egzistuoja reikšmingas stiprus ryšys </w:t>
      </w:r>
      <w:r w:rsidR="00860961">
        <w:rPr>
          <w:lang w:val="en-US"/>
        </w:rPr>
        <w:t>(žr. 6 lentelę</w:t>
      </w:r>
      <w:r w:rsidRPr="00BC25E6">
        <w:rPr>
          <w:lang w:val="en-US"/>
        </w:rPr>
        <w:t>)</w:t>
      </w:r>
      <w:r w:rsidRPr="00BC25E6">
        <w:rPr>
          <w:lang w:eastAsia="ja-JP"/>
        </w:rPr>
        <w:t>.</w:t>
      </w:r>
    </w:p>
    <w:p w:rsidR="002A4554" w:rsidRPr="00BC25E6" w:rsidRDefault="002A4554" w:rsidP="002A4554">
      <w:pPr>
        <w:widowControl w:val="0"/>
        <w:autoSpaceDE w:val="0"/>
        <w:autoSpaceDN w:val="0"/>
        <w:adjustRightInd w:val="0"/>
        <w:rPr>
          <w:lang w:val="en-US"/>
        </w:rPr>
      </w:pPr>
    </w:p>
    <w:p w:rsidR="002A4554" w:rsidRPr="00BC25E6" w:rsidRDefault="002A4554" w:rsidP="002A4554">
      <w:pPr>
        <w:widowControl w:val="0"/>
        <w:autoSpaceDE w:val="0"/>
        <w:autoSpaceDN w:val="0"/>
        <w:adjustRightInd w:val="0"/>
        <w:spacing w:line="360" w:lineRule="auto"/>
        <w:ind w:left="720"/>
        <w:jc w:val="center"/>
        <w:rPr>
          <w:b/>
          <w:lang w:val="en-US"/>
        </w:rPr>
      </w:pPr>
      <w:r w:rsidRPr="00BC25E6">
        <w:rPr>
          <w:b/>
          <w:lang w:val="en-US"/>
        </w:rPr>
        <w:t>6 lentelė. Finansinių ir nefinansinių vidutinių rodiklių koreliacija 2009-2012 metais</w:t>
      </w:r>
    </w:p>
    <w:tbl>
      <w:tblPr>
        <w:tblW w:w="9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1985"/>
        <w:gridCol w:w="1417"/>
        <w:gridCol w:w="1276"/>
        <w:gridCol w:w="1276"/>
        <w:gridCol w:w="1275"/>
        <w:gridCol w:w="1418"/>
      </w:tblGrid>
      <w:tr w:rsidR="002A4554" w:rsidRPr="00BC25E6" w:rsidTr="002A4554">
        <w:trPr>
          <w:cantSplit/>
        </w:trPr>
        <w:tc>
          <w:tcPr>
            <w:tcW w:w="9923" w:type="dxa"/>
            <w:gridSpan w:val="7"/>
            <w:tcBorders>
              <w:top w:val="nil"/>
              <w:left w:val="nil"/>
              <w:bottom w:val="nil"/>
              <w:right w:val="nil"/>
            </w:tcBorders>
            <w:shd w:val="clear" w:color="auto" w:fill="FFFFFF"/>
            <w:vAlign w:val="center"/>
          </w:tcPr>
          <w:p w:rsidR="002A4554" w:rsidRPr="00BC25E6" w:rsidRDefault="002A4554" w:rsidP="002A4554">
            <w:pPr>
              <w:spacing w:line="320" w:lineRule="atLeast"/>
              <w:ind w:right="60"/>
              <w:rPr>
                <w:sz w:val="22"/>
                <w:szCs w:val="22"/>
              </w:rPr>
            </w:pPr>
          </w:p>
        </w:tc>
      </w:tr>
      <w:tr w:rsidR="002A4554" w:rsidRPr="00BC25E6" w:rsidTr="002A4554">
        <w:trPr>
          <w:cantSplit/>
        </w:trPr>
        <w:tc>
          <w:tcPr>
            <w:tcW w:w="3261" w:type="dxa"/>
            <w:gridSpan w:val="2"/>
            <w:tcBorders>
              <w:top w:val="single" w:sz="16" w:space="0" w:color="000000"/>
              <w:left w:val="single" w:sz="16" w:space="0" w:color="000000"/>
              <w:bottom w:val="single" w:sz="16" w:space="0" w:color="000000"/>
              <w:right w:val="nil"/>
            </w:tcBorders>
            <w:shd w:val="clear" w:color="auto" w:fill="FFFFFF"/>
            <w:vAlign w:val="bottom"/>
          </w:tcPr>
          <w:p w:rsidR="002A4554" w:rsidRPr="00BC25E6" w:rsidRDefault="002A4554" w:rsidP="002A4554">
            <w:pPr>
              <w:rPr>
                <w:sz w:val="22"/>
                <w:szCs w:val="22"/>
              </w:rPr>
            </w:pPr>
          </w:p>
        </w:tc>
        <w:tc>
          <w:tcPr>
            <w:tcW w:w="1417" w:type="dxa"/>
            <w:tcBorders>
              <w:top w:val="single" w:sz="16" w:space="0" w:color="000000"/>
              <w:left w:val="single" w:sz="16" w:space="0" w:color="000000"/>
              <w:bottom w:val="single" w:sz="16" w:space="0" w:color="000000"/>
            </w:tcBorders>
            <w:shd w:val="clear" w:color="auto" w:fill="FFFFFF"/>
            <w:vAlign w:val="bottom"/>
          </w:tcPr>
          <w:p w:rsidR="002A4554" w:rsidRPr="00BC25E6" w:rsidRDefault="002A4554" w:rsidP="002A4554">
            <w:pPr>
              <w:spacing w:line="320" w:lineRule="atLeast"/>
              <w:ind w:left="60" w:right="60"/>
              <w:jc w:val="center"/>
              <w:rPr>
                <w:sz w:val="22"/>
                <w:szCs w:val="22"/>
              </w:rPr>
            </w:pPr>
            <w:r w:rsidRPr="00BC25E6">
              <w:rPr>
                <w:sz w:val="22"/>
                <w:szCs w:val="22"/>
              </w:rPr>
              <w:t>VAIC™ VIDURKIS</w:t>
            </w:r>
          </w:p>
        </w:tc>
        <w:tc>
          <w:tcPr>
            <w:tcW w:w="1276" w:type="dxa"/>
            <w:tcBorders>
              <w:top w:val="single" w:sz="16" w:space="0" w:color="000000"/>
              <w:bottom w:val="single" w:sz="16" w:space="0" w:color="000000"/>
            </w:tcBorders>
            <w:shd w:val="clear" w:color="auto" w:fill="FFFFFF"/>
            <w:vAlign w:val="bottom"/>
          </w:tcPr>
          <w:p w:rsidR="002A4554" w:rsidRPr="00BC25E6" w:rsidRDefault="002A4554" w:rsidP="002A4554">
            <w:pPr>
              <w:spacing w:line="320" w:lineRule="atLeast"/>
              <w:ind w:left="60" w:right="60"/>
              <w:jc w:val="center"/>
              <w:rPr>
                <w:sz w:val="22"/>
                <w:szCs w:val="22"/>
              </w:rPr>
            </w:pPr>
            <w:r w:rsidRPr="00BC25E6">
              <w:rPr>
                <w:sz w:val="22"/>
                <w:szCs w:val="22"/>
              </w:rPr>
              <w:t>ICE VIDURKIS</w:t>
            </w:r>
          </w:p>
        </w:tc>
        <w:tc>
          <w:tcPr>
            <w:tcW w:w="1276" w:type="dxa"/>
            <w:tcBorders>
              <w:top w:val="single" w:sz="16" w:space="0" w:color="000000"/>
              <w:bottom w:val="single" w:sz="16" w:space="0" w:color="000000"/>
            </w:tcBorders>
            <w:shd w:val="clear" w:color="auto" w:fill="FFFFFF"/>
            <w:vAlign w:val="bottom"/>
          </w:tcPr>
          <w:p w:rsidR="002A4554" w:rsidRPr="00BC25E6" w:rsidRDefault="002A4554" w:rsidP="002A4554">
            <w:pPr>
              <w:spacing w:line="320" w:lineRule="atLeast"/>
              <w:ind w:left="60" w:right="60"/>
              <w:jc w:val="center"/>
              <w:rPr>
                <w:sz w:val="22"/>
                <w:szCs w:val="22"/>
              </w:rPr>
            </w:pPr>
            <w:r w:rsidRPr="00BC25E6">
              <w:rPr>
                <w:sz w:val="22"/>
                <w:szCs w:val="22"/>
              </w:rPr>
              <w:t>CIV VIDURKIS</w:t>
            </w:r>
          </w:p>
        </w:tc>
        <w:tc>
          <w:tcPr>
            <w:tcW w:w="1275" w:type="dxa"/>
            <w:tcBorders>
              <w:top w:val="single" w:sz="16" w:space="0" w:color="000000"/>
              <w:bottom w:val="single" w:sz="16" w:space="0" w:color="000000"/>
            </w:tcBorders>
            <w:shd w:val="clear" w:color="auto" w:fill="FFFFFF"/>
            <w:vAlign w:val="bottom"/>
          </w:tcPr>
          <w:p w:rsidR="002A4554" w:rsidRPr="00BC25E6" w:rsidRDefault="002A4554" w:rsidP="002A4554">
            <w:pPr>
              <w:spacing w:line="320" w:lineRule="atLeast"/>
              <w:ind w:left="60" w:right="60"/>
              <w:jc w:val="center"/>
              <w:rPr>
                <w:sz w:val="22"/>
                <w:szCs w:val="22"/>
              </w:rPr>
            </w:pPr>
            <w:r w:rsidRPr="00BC25E6">
              <w:rPr>
                <w:sz w:val="22"/>
                <w:szCs w:val="22"/>
              </w:rPr>
              <w:t>ROA VIDURKIS</w:t>
            </w:r>
          </w:p>
        </w:tc>
        <w:tc>
          <w:tcPr>
            <w:tcW w:w="1418" w:type="dxa"/>
            <w:tcBorders>
              <w:top w:val="single" w:sz="16" w:space="0" w:color="000000"/>
              <w:bottom w:val="single" w:sz="16" w:space="0" w:color="000000"/>
              <w:right w:val="single" w:sz="16" w:space="0" w:color="000000"/>
            </w:tcBorders>
            <w:shd w:val="clear" w:color="auto" w:fill="FFFFFF"/>
            <w:vAlign w:val="bottom"/>
          </w:tcPr>
          <w:p w:rsidR="002A4554" w:rsidRPr="00BC25E6" w:rsidRDefault="002A4554" w:rsidP="002A4554">
            <w:pPr>
              <w:spacing w:line="320" w:lineRule="atLeast"/>
              <w:ind w:left="60" w:right="60"/>
              <w:jc w:val="center"/>
              <w:rPr>
                <w:sz w:val="22"/>
                <w:szCs w:val="22"/>
              </w:rPr>
            </w:pPr>
            <w:r w:rsidRPr="00BC25E6">
              <w:rPr>
                <w:sz w:val="22"/>
                <w:szCs w:val="22"/>
              </w:rPr>
              <w:t>ROE VIDURKIS</w:t>
            </w:r>
          </w:p>
        </w:tc>
      </w:tr>
      <w:tr w:rsidR="002A4554" w:rsidRPr="00BC25E6" w:rsidTr="002A4554">
        <w:trPr>
          <w:cantSplit/>
        </w:trPr>
        <w:tc>
          <w:tcPr>
            <w:tcW w:w="1276" w:type="dxa"/>
            <w:vMerge w:val="restart"/>
            <w:tcBorders>
              <w:top w:val="single" w:sz="16" w:space="0" w:color="000000"/>
              <w:left w:val="single" w:sz="16" w:space="0" w:color="000000"/>
              <w:right w:val="nil"/>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VAIC™ VIDURKIS</w:t>
            </w:r>
          </w:p>
        </w:tc>
        <w:tc>
          <w:tcPr>
            <w:tcW w:w="1985" w:type="dxa"/>
            <w:tcBorders>
              <w:top w:val="single" w:sz="16" w:space="0" w:color="000000"/>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Pearson Correlation</w:t>
            </w:r>
          </w:p>
        </w:tc>
        <w:tc>
          <w:tcPr>
            <w:tcW w:w="1417" w:type="dxa"/>
            <w:tcBorders>
              <w:top w:val="single" w:sz="16" w:space="0" w:color="000000"/>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w:t>
            </w:r>
          </w:p>
        </w:tc>
        <w:tc>
          <w:tcPr>
            <w:tcW w:w="1276" w:type="dxa"/>
            <w:tcBorders>
              <w:top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.994</w:t>
            </w:r>
            <w:r w:rsidRPr="00BC25E6">
              <w:rPr>
                <w:sz w:val="22"/>
                <w:szCs w:val="22"/>
                <w:vertAlign w:val="superscript"/>
              </w:rPr>
              <w:t>**</w:t>
            </w:r>
          </w:p>
        </w:tc>
        <w:tc>
          <w:tcPr>
            <w:tcW w:w="1276" w:type="dxa"/>
            <w:tcBorders>
              <w:top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.261</w:t>
            </w:r>
          </w:p>
        </w:tc>
        <w:tc>
          <w:tcPr>
            <w:tcW w:w="1275" w:type="dxa"/>
            <w:tcBorders>
              <w:top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.209</w:t>
            </w:r>
          </w:p>
        </w:tc>
        <w:tc>
          <w:tcPr>
            <w:tcW w:w="1418" w:type="dxa"/>
            <w:tcBorders>
              <w:top w:val="single" w:sz="16" w:space="0" w:color="000000"/>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.122</w:t>
            </w:r>
          </w:p>
        </w:tc>
      </w:tr>
      <w:tr w:rsidR="002A4554" w:rsidRPr="00BC25E6" w:rsidTr="002A4554">
        <w:trPr>
          <w:cantSplit/>
        </w:trPr>
        <w:tc>
          <w:tcPr>
            <w:tcW w:w="1276" w:type="dxa"/>
            <w:vMerge/>
            <w:tcBorders>
              <w:top w:val="single" w:sz="16" w:space="0" w:color="000000"/>
              <w:left w:val="single" w:sz="16" w:space="0" w:color="000000"/>
              <w:right w:val="nil"/>
            </w:tcBorders>
            <w:shd w:val="clear" w:color="auto" w:fill="FFFFFF"/>
          </w:tcPr>
          <w:p w:rsidR="002A4554" w:rsidRPr="00BC25E6" w:rsidRDefault="002A4554" w:rsidP="002A4554">
            <w:pPr>
              <w:rPr>
                <w:sz w:val="22"/>
                <w:szCs w:val="22"/>
              </w:rPr>
            </w:pPr>
          </w:p>
        </w:tc>
        <w:tc>
          <w:tcPr>
            <w:tcW w:w="1985"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Sig. (2-tailed)</w:t>
            </w:r>
          </w:p>
        </w:tc>
        <w:tc>
          <w:tcPr>
            <w:tcW w:w="1417" w:type="dxa"/>
            <w:tcBorders>
              <w:top w:val="nil"/>
              <w:left w:val="single" w:sz="16" w:space="0" w:color="000000"/>
              <w:bottom w:val="nil"/>
            </w:tcBorders>
            <w:shd w:val="clear" w:color="auto" w:fill="FFFFFF"/>
            <w:vAlign w:val="center"/>
          </w:tcPr>
          <w:p w:rsidR="002A4554" w:rsidRPr="00BC25E6" w:rsidRDefault="002A4554" w:rsidP="002A4554">
            <w:pPr>
              <w:rPr>
                <w:sz w:val="22"/>
                <w:szCs w:val="22"/>
              </w:rPr>
            </w:pP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.000</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.466</w:t>
            </w:r>
          </w:p>
        </w:tc>
        <w:tc>
          <w:tcPr>
            <w:tcW w:w="1275"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.562</w:t>
            </w:r>
          </w:p>
        </w:tc>
        <w:tc>
          <w:tcPr>
            <w:tcW w:w="1418" w:type="dxa"/>
            <w:tcBorders>
              <w:top w:val="nil"/>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.738</w:t>
            </w:r>
          </w:p>
        </w:tc>
      </w:tr>
      <w:tr w:rsidR="002A4554" w:rsidRPr="00BC25E6" w:rsidTr="002A4554">
        <w:trPr>
          <w:cantSplit/>
        </w:trPr>
        <w:tc>
          <w:tcPr>
            <w:tcW w:w="1276" w:type="dxa"/>
            <w:vMerge/>
            <w:tcBorders>
              <w:top w:val="single" w:sz="16" w:space="0" w:color="000000"/>
              <w:left w:val="single" w:sz="16" w:space="0" w:color="000000"/>
              <w:right w:val="nil"/>
            </w:tcBorders>
            <w:shd w:val="clear" w:color="auto" w:fill="FFFFFF"/>
          </w:tcPr>
          <w:p w:rsidR="002A4554" w:rsidRPr="00BC25E6" w:rsidRDefault="002A4554" w:rsidP="002A4554">
            <w:pPr>
              <w:rPr>
                <w:sz w:val="22"/>
                <w:szCs w:val="22"/>
              </w:rPr>
            </w:pPr>
          </w:p>
        </w:tc>
        <w:tc>
          <w:tcPr>
            <w:tcW w:w="1985" w:type="dxa"/>
            <w:tcBorders>
              <w:top w:val="nil"/>
              <w:left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N</w:t>
            </w:r>
          </w:p>
        </w:tc>
        <w:tc>
          <w:tcPr>
            <w:tcW w:w="1417" w:type="dxa"/>
            <w:tcBorders>
              <w:top w:val="nil"/>
              <w:lef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276"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276"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275"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418" w:type="dxa"/>
            <w:tcBorders>
              <w:top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r>
      <w:tr w:rsidR="002A4554" w:rsidRPr="00BC25E6" w:rsidTr="002A4554">
        <w:trPr>
          <w:cantSplit/>
        </w:trPr>
        <w:tc>
          <w:tcPr>
            <w:tcW w:w="1276" w:type="dxa"/>
            <w:vMerge w:val="restart"/>
            <w:tcBorders>
              <w:top w:val="nil"/>
              <w:left w:val="single" w:sz="16" w:space="0" w:color="000000"/>
              <w:right w:val="nil"/>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ICE VIDURKIS</w:t>
            </w:r>
          </w:p>
        </w:tc>
        <w:tc>
          <w:tcPr>
            <w:tcW w:w="1985"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Pearson Correlation</w:t>
            </w:r>
          </w:p>
        </w:tc>
        <w:tc>
          <w:tcPr>
            <w:tcW w:w="1417" w:type="dxa"/>
            <w:tcBorders>
              <w:top w:val="nil"/>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.994</w:t>
            </w:r>
            <w:r w:rsidRPr="00BC25E6">
              <w:rPr>
                <w:sz w:val="22"/>
                <w:szCs w:val="22"/>
                <w:vertAlign w:val="superscript"/>
              </w:rPr>
              <w:t>**</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.285</w:t>
            </w:r>
          </w:p>
        </w:tc>
        <w:tc>
          <w:tcPr>
            <w:tcW w:w="1275"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.112</w:t>
            </w:r>
          </w:p>
        </w:tc>
        <w:tc>
          <w:tcPr>
            <w:tcW w:w="1418" w:type="dxa"/>
            <w:tcBorders>
              <w:top w:val="nil"/>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.028</w:t>
            </w:r>
          </w:p>
        </w:tc>
      </w:tr>
      <w:tr w:rsidR="002A4554" w:rsidRPr="00BC25E6" w:rsidTr="002A4554">
        <w:trPr>
          <w:cantSplit/>
        </w:trPr>
        <w:tc>
          <w:tcPr>
            <w:tcW w:w="1276" w:type="dxa"/>
            <w:vMerge/>
            <w:tcBorders>
              <w:top w:val="nil"/>
              <w:left w:val="single" w:sz="16" w:space="0" w:color="000000"/>
              <w:right w:val="nil"/>
            </w:tcBorders>
            <w:shd w:val="clear" w:color="auto" w:fill="FFFFFF"/>
          </w:tcPr>
          <w:p w:rsidR="002A4554" w:rsidRPr="00BC25E6" w:rsidRDefault="002A4554" w:rsidP="002A4554">
            <w:pPr>
              <w:rPr>
                <w:sz w:val="22"/>
                <w:szCs w:val="22"/>
              </w:rPr>
            </w:pPr>
          </w:p>
        </w:tc>
        <w:tc>
          <w:tcPr>
            <w:tcW w:w="1985"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Sig. (2-tailed)</w:t>
            </w:r>
          </w:p>
        </w:tc>
        <w:tc>
          <w:tcPr>
            <w:tcW w:w="1417" w:type="dxa"/>
            <w:tcBorders>
              <w:top w:val="nil"/>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.000</w:t>
            </w:r>
          </w:p>
        </w:tc>
        <w:tc>
          <w:tcPr>
            <w:tcW w:w="1276" w:type="dxa"/>
            <w:tcBorders>
              <w:top w:val="nil"/>
              <w:bottom w:val="nil"/>
            </w:tcBorders>
            <w:shd w:val="clear" w:color="auto" w:fill="FFFFFF"/>
            <w:vAlign w:val="center"/>
          </w:tcPr>
          <w:p w:rsidR="002A4554" w:rsidRPr="00BC25E6" w:rsidRDefault="002A4554" w:rsidP="002A4554">
            <w:pPr>
              <w:rPr>
                <w:sz w:val="22"/>
                <w:szCs w:val="22"/>
              </w:rPr>
            </w:pP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.425</w:t>
            </w:r>
          </w:p>
        </w:tc>
        <w:tc>
          <w:tcPr>
            <w:tcW w:w="1275"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.757</w:t>
            </w:r>
          </w:p>
        </w:tc>
        <w:tc>
          <w:tcPr>
            <w:tcW w:w="1418" w:type="dxa"/>
            <w:tcBorders>
              <w:top w:val="nil"/>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.939</w:t>
            </w:r>
          </w:p>
        </w:tc>
      </w:tr>
      <w:tr w:rsidR="002A4554" w:rsidRPr="00BC25E6" w:rsidTr="002A4554">
        <w:trPr>
          <w:cantSplit/>
        </w:trPr>
        <w:tc>
          <w:tcPr>
            <w:tcW w:w="1276" w:type="dxa"/>
            <w:vMerge/>
            <w:tcBorders>
              <w:top w:val="nil"/>
              <w:left w:val="single" w:sz="16" w:space="0" w:color="000000"/>
              <w:right w:val="nil"/>
            </w:tcBorders>
            <w:shd w:val="clear" w:color="auto" w:fill="FFFFFF"/>
          </w:tcPr>
          <w:p w:rsidR="002A4554" w:rsidRPr="00BC25E6" w:rsidRDefault="002A4554" w:rsidP="002A4554">
            <w:pPr>
              <w:rPr>
                <w:sz w:val="22"/>
                <w:szCs w:val="22"/>
              </w:rPr>
            </w:pPr>
          </w:p>
        </w:tc>
        <w:tc>
          <w:tcPr>
            <w:tcW w:w="1985" w:type="dxa"/>
            <w:tcBorders>
              <w:top w:val="nil"/>
              <w:left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N</w:t>
            </w:r>
          </w:p>
        </w:tc>
        <w:tc>
          <w:tcPr>
            <w:tcW w:w="1417" w:type="dxa"/>
            <w:tcBorders>
              <w:top w:val="nil"/>
              <w:lef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276"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276"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275"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418" w:type="dxa"/>
            <w:tcBorders>
              <w:top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r>
      <w:tr w:rsidR="002A4554" w:rsidRPr="00BC25E6" w:rsidTr="002A4554">
        <w:trPr>
          <w:cantSplit/>
        </w:trPr>
        <w:tc>
          <w:tcPr>
            <w:tcW w:w="1276" w:type="dxa"/>
            <w:vMerge w:val="restart"/>
            <w:tcBorders>
              <w:top w:val="nil"/>
              <w:left w:val="single" w:sz="16" w:space="0" w:color="000000"/>
              <w:right w:val="nil"/>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CIV VIDURKIS</w:t>
            </w:r>
          </w:p>
        </w:tc>
        <w:tc>
          <w:tcPr>
            <w:tcW w:w="1985"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Pearson Correlation</w:t>
            </w:r>
          </w:p>
        </w:tc>
        <w:tc>
          <w:tcPr>
            <w:tcW w:w="1417" w:type="dxa"/>
            <w:tcBorders>
              <w:top w:val="nil"/>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.261</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.285</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w:t>
            </w:r>
          </w:p>
        </w:tc>
        <w:tc>
          <w:tcPr>
            <w:tcW w:w="1275"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-.016</w:t>
            </w:r>
          </w:p>
        </w:tc>
        <w:tc>
          <w:tcPr>
            <w:tcW w:w="1418" w:type="dxa"/>
            <w:tcBorders>
              <w:top w:val="nil"/>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-.172</w:t>
            </w:r>
          </w:p>
        </w:tc>
      </w:tr>
      <w:tr w:rsidR="002A4554" w:rsidRPr="00BC25E6" w:rsidTr="002A4554">
        <w:trPr>
          <w:cantSplit/>
        </w:trPr>
        <w:tc>
          <w:tcPr>
            <w:tcW w:w="1276" w:type="dxa"/>
            <w:vMerge/>
            <w:tcBorders>
              <w:top w:val="nil"/>
              <w:left w:val="single" w:sz="16" w:space="0" w:color="000000"/>
              <w:right w:val="nil"/>
            </w:tcBorders>
            <w:shd w:val="clear" w:color="auto" w:fill="FFFFFF"/>
          </w:tcPr>
          <w:p w:rsidR="002A4554" w:rsidRPr="00BC25E6" w:rsidRDefault="002A4554" w:rsidP="002A4554">
            <w:pPr>
              <w:rPr>
                <w:sz w:val="22"/>
                <w:szCs w:val="22"/>
              </w:rPr>
            </w:pPr>
          </w:p>
        </w:tc>
        <w:tc>
          <w:tcPr>
            <w:tcW w:w="1985"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Sig. (2-tailed)</w:t>
            </w:r>
          </w:p>
        </w:tc>
        <w:tc>
          <w:tcPr>
            <w:tcW w:w="1417" w:type="dxa"/>
            <w:tcBorders>
              <w:top w:val="nil"/>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.466</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.425</w:t>
            </w:r>
          </w:p>
        </w:tc>
        <w:tc>
          <w:tcPr>
            <w:tcW w:w="1276" w:type="dxa"/>
            <w:tcBorders>
              <w:top w:val="nil"/>
              <w:bottom w:val="nil"/>
            </w:tcBorders>
            <w:shd w:val="clear" w:color="auto" w:fill="FFFFFF"/>
            <w:vAlign w:val="center"/>
          </w:tcPr>
          <w:p w:rsidR="002A4554" w:rsidRPr="00BC25E6" w:rsidRDefault="002A4554" w:rsidP="002A4554">
            <w:pPr>
              <w:rPr>
                <w:sz w:val="22"/>
                <w:szCs w:val="22"/>
              </w:rPr>
            </w:pPr>
          </w:p>
        </w:tc>
        <w:tc>
          <w:tcPr>
            <w:tcW w:w="1275"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.964</w:t>
            </w:r>
          </w:p>
        </w:tc>
        <w:tc>
          <w:tcPr>
            <w:tcW w:w="1418" w:type="dxa"/>
            <w:tcBorders>
              <w:top w:val="nil"/>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.635</w:t>
            </w:r>
          </w:p>
        </w:tc>
      </w:tr>
      <w:tr w:rsidR="002A4554" w:rsidRPr="00BC25E6" w:rsidTr="002A4554">
        <w:trPr>
          <w:cantSplit/>
        </w:trPr>
        <w:tc>
          <w:tcPr>
            <w:tcW w:w="1276" w:type="dxa"/>
            <w:vMerge/>
            <w:tcBorders>
              <w:top w:val="nil"/>
              <w:left w:val="single" w:sz="16" w:space="0" w:color="000000"/>
              <w:right w:val="nil"/>
            </w:tcBorders>
            <w:shd w:val="clear" w:color="auto" w:fill="FFFFFF"/>
          </w:tcPr>
          <w:p w:rsidR="002A4554" w:rsidRPr="00BC25E6" w:rsidRDefault="002A4554" w:rsidP="002A4554">
            <w:pPr>
              <w:rPr>
                <w:sz w:val="22"/>
                <w:szCs w:val="22"/>
              </w:rPr>
            </w:pPr>
          </w:p>
        </w:tc>
        <w:tc>
          <w:tcPr>
            <w:tcW w:w="1985" w:type="dxa"/>
            <w:tcBorders>
              <w:top w:val="nil"/>
              <w:left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N</w:t>
            </w:r>
          </w:p>
        </w:tc>
        <w:tc>
          <w:tcPr>
            <w:tcW w:w="1417" w:type="dxa"/>
            <w:tcBorders>
              <w:top w:val="nil"/>
              <w:lef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276"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276"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275"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418" w:type="dxa"/>
            <w:tcBorders>
              <w:top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r>
      <w:tr w:rsidR="002A4554" w:rsidRPr="00BC25E6" w:rsidTr="002A4554">
        <w:trPr>
          <w:cantSplit/>
        </w:trPr>
        <w:tc>
          <w:tcPr>
            <w:tcW w:w="1276" w:type="dxa"/>
            <w:vMerge w:val="restart"/>
            <w:tcBorders>
              <w:top w:val="nil"/>
              <w:left w:val="single" w:sz="16" w:space="0" w:color="000000"/>
              <w:right w:val="nil"/>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ROA VIDURKIS</w:t>
            </w:r>
          </w:p>
        </w:tc>
        <w:tc>
          <w:tcPr>
            <w:tcW w:w="1985"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Pearson Correlation</w:t>
            </w:r>
          </w:p>
        </w:tc>
        <w:tc>
          <w:tcPr>
            <w:tcW w:w="1417" w:type="dxa"/>
            <w:tcBorders>
              <w:top w:val="nil"/>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.209</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.112</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-.016</w:t>
            </w:r>
          </w:p>
        </w:tc>
        <w:tc>
          <w:tcPr>
            <w:tcW w:w="1275"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w:t>
            </w:r>
          </w:p>
        </w:tc>
        <w:tc>
          <w:tcPr>
            <w:tcW w:w="1418" w:type="dxa"/>
            <w:tcBorders>
              <w:top w:val="nil"/>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.947</w:t>
            </w:r>
            <w:r w:rsidRPr="00BC25E6">
              <w:rPr>
                <w:sz w:val="22"/>
                <w:szCs w:val="22"/>
                <w:vertAlign w:val="superscript"/>
              </w:rPr>
              <w:t>**</w:t>
            </w:r>
          </w:p>
        </w:tc>
      </w:tr>
      <w:tr w:rsidR="002A4554" w:rsidRPr="00BC25E6" w:rsidTr="002A4554">
        <w:trPr>
          <w:cantSplit/>
        </w:trPr>
        <w:tc>
          <w:tcPr>
            <w:tcW w:w="1276" w:type="dxa"/>
            <w:vMerge/>
            <w:tcBorders>
              <w:top w:val="nil"/>
              <w:left w:val="single" w:sz="16" w:space="0" w:color="000000"/>
              <w:right w:val="nil"/>
            </w:tcBorders>
            <w:shd w:val="clear" w:color="auto" w:fill="FFFFFF"/>
          </w:tcPr>
          <w:p w:rsidR="002A4554" w:rsidRPr="00BC25E6" w:rsidRDefault="002A4554" w:rsidP="002A4554">
            <w:pPr>
              <w:rPr>
                <w:sz w:val="22"/>
                <w:szCs w:val="22"/>
              </w:rPr>
            </w:pPr>
          </w:p>
        </w:tc>
        <w:tc>
          <w:tcPr>
            <w:tcW w:w="1985"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Sig. (2-tailed)</w:t>
            </w:r>
          </w:p>
        </w:tc>
        <w:tc>
          <w:tcPr>
            <w:tcW w:w="1417" w:type="dxa"/>
            <w:tcBorders>
              <w:top w:val="nil"/>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.562</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.757</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.964</w:t>
            </w:r>
          </w:p>
        </w:tc>
        <w:tc>
          <w:tcPr>
            <w:tcW w:w="1275" w:type="dxa"/>
            <w:tcBorders>
              <w:top w:val="nil"/>
              <w:bottom w:val="nil"/>
            </w:tcBorders>
            <w:shd w:val="clear" w:color="auto" w:fill="FFFFFF"/>
            <w:vAlign w:val="center"/>
          </w:tcPr>
          <w:p w:rsidR="002A4554" w:rsidRPr="00BC25E6" w:rsidRDefault="002A4554" w:rsidP="002A4554">
            <w:pPr>
              <w:rPr>
                <w:sz w:val="22"/>
                <w:szCs w:val="22"/>
              </w:rPr>
            </w:pPr>
          </w:p>
        </w:tc>
        <w:tc>
          <w:tcPr>
            <w:tcW w:w="1418" w:type="dxa"/>
            <w:tcBorders>
              <w:top w:val="nil"/>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.000</w:t>
            </w:r>
          </w:p>
        </w:tc>
      </w:tr>
      <w:tr w:rsidR="002A4554" w:rsidRPr="00BC25E6" w:rsidTr="002A4554">
        <w:trPr>
          <w:cantSplit/>
        </w:trPr>
        <w:tc>
          <w:tcPr>
            <w:tcW w:w="1276" w:type="dxa"/>
            <w:vMerge/>
            <w:tcBorders>
              <w:top w:val="nil"/>
              <w:left w:val="single" w:sz="16" w:space="0" w:color="000000"/>
              <w:right w:val="nil"/>
            </w:tcBorders>
            <w:shd w:val="clear" w:color="auto" w:fill="FFFFFF"/>
          </w:tcPr>
          <w:p w:rsidR="002A4554" w:rsidRPr="00BC25E6" w:rsidRDefault="002A4554" w:rsidP="002A4554">
            <w:pPr>
              <w:rPr>
                <w:sz w:val="22"/>
                <w:szCs w:val="22"/>
              </w:rPr>
            </w:pPr>
          </w:p>
        </w:tc>
        <w:tc>
          <w:tcPr>
            <w:tcW w:w="1985" w:type="dxa"/>
            <w:tcBorders>
              <w:top w:val="nil"/>
              <w:left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N</w:t>
            </w:r>
          </w:p>
        </w:tc>
        <w:tc>
          <w:tcPr>
            <w:tcW w:w="1417" w:type="dxa"/>
            <w:tcBorders>
              <w:top w:val="nil"/>
              <w:lef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276"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276"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275"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418" w:type="dxa"/>
            <w:tcBorders>
              <w:top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r>
      <w:tr w:rsidR="002A4554" w:rsidRPr="00BC25E6" w:rsidTr="002A4554">
        <w:trPr>
          <w:cantSplit/>
        </w:trPr>
        <w:tc>
          <w:tcPr>
            <w:tcW w:w="1276" w:type="dxa"/>
            <w:vMerge w:val="restart"/>
            <w:tcBorders>
              <w:top w:val="nil"/>
              <w:left w:val="single" w:sz="16" w:space="0" w:color="000000"/>
              <w:bottom w:val="single" w:sz="16" w:space="0" w:color="000000"/>
              <w:right w:val="nil"/>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ROE VIDURKIS</w:t>
            </w:r>
          </w:p>
        </w:tc>
        <w:tc>
          <w:tcPr>
            <w:tcW w:w="1985"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Pearson Correlation</w:t>
            </w:r>
          </w:p>
        </w:tc>
        <w:tc>
          <w:tcPr>
            <w:tcW w:w="1417" w:type="dxa"/>
            <w:tcBorders>
              <w:top w:val="nil"/>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.122</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.028</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-.172</w:t>
            </w:r>
          </w:p>
        </w:tc>
        <w:tc>
          <w:tcPr>
            <w:tcW w:w="1275"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.947</w:t>
            </w:r>
            <w:r w:rsidRPr="00BC25E6">
              <w:rPr>
                <w:sz w:val="22"/>
                <w:szCs w:val="22"/>
                <w:vertAlign w:val="superscript"/>
              </w:rPr>
              <w:t>**</w:t>
            </w:r>
          </w:p>
        </w:tc>
        <w:tc>
          <w:tcPr>
            <w:tcW w:w="1418" w:type="dxa"/>
            <w:tcBorders>
              <w:top w:val="nil"/>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w:t>
            </w:r>
          </w:p>
        </w:tc>
      </w:tr>
      <w:tr w:rsidR="002A4554" w:rsidRPr="00BC25E6" w:rsidTr="002A4554">
        <w:trPr>
          <w:cantSplit/>
        </w:trPr>
        <w:tc>
          <w:tcPr>
            <w:tcW w:w="1276" w:type="dxa"/>
            <w:vMerge/>
            <w:tcBorders>
              <w:top w:val="nil"/>
              <w:left w:val="single" w:sz="16" w:space="0" w:color="000000"/>
              <w:bottom w:val="single" w:sz="16" w:space="0" w:color="000000"/>
              <w:right w:val="nil"/>
            </w:tcBorders>
            <w:shd w:val="clear" w:color="auto" w:fill="FFFFFF"/>
          </w:tcPr>
          <w:p w:rsidR="002A4554" w:rsidRPr="00BC25E6" w:rsidRDefault="002A4554" w:rsidP="002A4554">
            <w:pPr>
              <w:rPr>
                <w:sz w:val="22"/>
                <w:szCs w:val="22"/>
              </w:rPr>
            </w:pPr>
          </w:p>
        </w:tc>
        <w:tc>
          <w:tcPr>
            <w:tcW w:w="1985"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Sig. (2-tailed)</w:t>
            </w:r>
          </w:p>
        </w:tc>
        <w:tc>
          <w:tcPr>
            <w:tcW w:w="1417" w:type="dxa"/>
            <w:tcBorders>
              <w:top w:val="nil"/>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.738</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.939</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.635</w:t>
            </w:r>
          </w:p>
        </w:tc>
        <w:tc>
          <w:tcPr>
            <w:tcW w:w="1275"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.000</w:t>
            </w:r>
          </w:p>
        </w:tc>
        <w:tc>
          <w:tcPr>
            <w:tcW w:w="1418" w:type="dxa"/>
            <w:tcBorders>
              <w:top w:val="nil"/>
              <w:bottom w:val="nil"/>
              <w:right w:val="single" w:sz="16" w:space="0" w:color="000000"/>
            </w:tcBorders>
            <w:shd w:val="clear" w:color="auto" w:fill="FFFFFF"/>
            <w:vAlign w:val="center"/>
          </w:tcPr>
          <w:p w:rsidR="002A4554" w:rsidRPr="00BC25E6" w:rsidRDefault="002A4554" w:rsidP="002A4554">
            <w:pPr>
              <w:rPr>
                <w:sz w:val="22"/>
                <w:szCs w:val="22"/>
              </w:rPr>
            </w:pPr>
          </w:p>
        </w:tc>
      </w:tr>
      <w:tr w:rsidR="002A4554" w:rsidRPr="00BC25E6" w:rsidTr="002A4554">
        <w:trPr>
          <w:cantSplit/>
        </w:trPr>
        <w:tc>
          <w:tcPr>
            <w:tcW w:w="1276" w:type="dxa"/>
            <w:vMerge/>
            <w:tcBorders>
              <w:top w:val="nil"/>
              <w:left w:val="single" w:sz="16" w:space="0" w:color="000000"/>
              <w:bottom w:val="single" w:sz="16" w:space="0" w:color="000000"/>
              <w:right w:val="nil"/>
            </w:tcBorders>
            <w:shd w:val="clear" w:color="auto" w:fill="FFFFFF"/>
          </w:tcPr>
          <w:p w:rsidR="002A4554" w:rsidRPr="00BC25E6" w:rsidRDefault="002A4554" w:rsidP="002A4554">
            <w:pPr>
              <w:rPr>
                <w:sz w:val="22"/>
                <w:szCs w:val="22"/>
              </w:rPr>
            </w:pPr>
          </w:p>
        </w:tc>
        <w:tc>
          <w:tcPr>
            <w:tcW w:w="1985" w:type="dxa"/>
            <w:tcBorders>
              <w:top w:val="nil"/>
              <w:left w:val="nil"/>
              <w:bottom w:val="single" w:sz="16" w:space="0" w:color="000000"/>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N</w:t>
            </w:r>
          </w:p>
        </w:tc>
        <w:tc>
          <w:tcPr>
            <w:tcW w:w="1417" w:type="dxa"/>
            <w:tcBorders>
              <w:top w:val="nil"/>
              <w:left w:val="single" w:sz="16" w:space="0" w:color="000000"/>
              <w:bottom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276" w:type="dxa"/>
            <w:tcBorders>
              <w:top w:val="nil"/>
              <w:bottom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276" w:type="dxa"/>
            <w:tcBorders>
              <w:top w:val="nil"/>
              <w:bottom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275" w:type="dxa"/>
            <w:tcBorders>
              <w:top w:val="nil"/>
              <w:bottom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c>
          <w:tcPr>
            <w:tcW w:w="1418" w:type="dxa"/>
            <w:tcBorders>
              <w:top w:val="nil"/>
              <w:bottom w:val="single" w:sz="16" w:space="0" w:color="000000"/>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10</w:t>
            </w:r>
          </w:p>
        </w:tc>
      </w:tr>
    </w:tbl>
    <w:p w:rsidR="002A4554" w:rsidRPr="00BC25E6" w:rsidRDefault="002A4554" w:rsidP="002A4554">
      <w:pPr>
        <w:widowControl w:val="0"/>
        <w:autoSpaceDE w:val="0"/>
        <w:autoSpaceDN w:val="0"/>
        <w:adjustRightInd w:val="0"/>
        <w:spacing w:after="240"/>
        <w:rPr>
          <w:rFonts w:ascii="Times" w:hAnsi="Times" w:cs="Times"/>
          <w:sz w:val="20"/>
          <w:szCs w:val="20"/>
          <w:lang w:val="en-US"/>
        </w:rPr>
      </w:pPr>
      <w:r w:rsidRPr="00BC25E6">
        <w:rPr>
          <w:sz w:val="20"/>
          <w:szCs w:val="20"/>
          <w:lang w:val="en-US"/>
        </w:rPr>
        <w:t>** Koreliacija yra statistiškai reikšminga, kai p&lt;0,01 (abipusis ryšys).</w:t>
      </w: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val="en-US"/>
        </w:rPr>
        <w:t xml:space="preserve">Pastebimas </w:t>
      </w:r>
      <w:r w:rsidR="00227B53">
        <w:rPr>
          <w:lang w:val="en-US"/>
        </w:rPr>
        <w:t>labai</w:t>
      </w:r>
      <w:r w:rsidRPr="00BC25E6">
        <w:rPr>
          <w:lang w:val="en-US"/>
        </w:rPr>
        <w:t xml:space="preserve"> stiprus ryšys tarp VAIC™ ir ICE (0,994). Koreliacija statištiškai reikšminga, kadangi reikšmingumo lygmuo p&lt;0,01. Galima daryti išvadą, jog 2009-2012 metų</w:t>
      </w:r>
      <w:r w:rsidR="00860961">
        <w:rPr>
          <w:lang w:val="en-US"/>
        </w:rPr>
        <w:t xml:space="preserve"> laikotarpiu kintant pridėtinės vertė</w:t>
      </w:r>
      <w:r w:rsidRPr="00BC25E6">
        <w:rPr>
          <w:lang w:val="en-US"/>
        </w:rPr>
        <w:t>s intelektualaus kapitalo koeficientui, proporcingai kinta ir intelektinio kapitalo efektyvumo koeficientas, t.y. kintant vienam nefinansiniam rodikliui, proporcingai kinta ir kitas nefi</w:t>
      </w:r>
      <w:r w:rsidR="00860961">
        <w:rPr>
          <w:lang w:val="en-US"/>
        </w:rPr>
        <w:t>nansinis rodiklis, bei atvirkš</w:t>
      </w:r>
      <w:r w:rsidR="00321E4F">
        <w:t>č</w:t>
      </w:r>
      <w:r w:rsidRPr="00BC25E6">
        <w:rPr>
          <w:lang w:val="en-US"/>
        </w:rPr>
        <w:t>iai.</w:t>
      </w: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val="en-US"/>
        </w:rPr>
        <w:t>Taip pat matomas ryšys tarp ROA ir ROE (0,947). Galima teigti, jog per ke</w:t>
      </w:r>
      <w:r w:rsidR="00575B70">
        <w:rPr>
          <w:lang w:val="en-US"/>
        </w:rPr>
        <w:t>tverius metus kintant turto grą</w:t>
      </w:r>
      <w:r w:rsidRPr="00BC25E6">
        <w:rPr>
          <w:lang w:val="en-US"/>
        </w:rPr>
        <w:t xml:space="preserve">žai, </w:t>
      </w:r>
      <w:r w:rsidR="00575B70">
        <w:rPr>
          <w:lang w:val="en-US"/>
        </w:rPr>
        <w:t>proporcingai kinta ir nuosavybės grą</w:t>
      </w:r>
      <w:r w:rsidRPr="00BC25E6">
        <w:rPr>
          <w:lang w:val="en-US"/>
        </w:rPr>
        <w:t>ža (kintant vienam finansiniam rodikliui, proporcingai kinta kitas f</w:t>
      </w:r>
      <w:r w:rsidR="00321E4F">
        <w:rPr>
          <w:lang w:val="en-US"/>
        </w:rPr>
        <w:t>inansinis rodiklis) ir atvirkšč</w:t>
      </w:r>
      <w:r w:rsidRPr="00BC25E6">
        <w:rPr>
          <w:lang w:val="en-US"/>
        </w:rPr>
        <w:t>iai.</w:t>
      </w: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val="en-US"/>
        </w:rPr>
        <w:t xml:space="preserve">Šiais atvejais koreliacija reikšminga, kadangi reikšmingumo lygmuo p&lt;0,01. Tačiau tarp finansinių rodiklių ROA ir ROE bei intelektinio kapitalo koeficientų ICE, VAIC™ bei CIV koreliacinis ryšys nenustatytas. </w:t>
      </w: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val="en-US"/>
        </w:rPr>
        <w:t xml:space="preserve">Analogiški rezultatai gauti ir atlikus ryšių tyrimą kiekvienais metais atskirai (žr. 7 priedą). Reikšmingi ryšiai nustatyti tarp VAIC™ ir ICE (2009 m. 0,996; 2010 m. 0,993; 2011 m. 0,995; 2012 m. 0,992) bei ROA ir ROE rodiklių (2009 m. 0,949; 2010 m. 0,972; 2011 m. 0,900; 2012 m. 0,965). Vidutinio stiprumo teigiami ryšiai nustatyti 2010 metais tarp VAIC™ ir CIV bei tarp ICE ir CIV atitinkamai 0,445 ir 0,463. </w:t>
      </w: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val="en-US"/>
        </w:rPr>
        <w:t>Atlikta ir VAIC™ rodiklio dedamųjų koreliacinė ryšių analizė. Nagrinėti ryšiai tarp VACA, VAHU, STVA ir pačio intelektualaus rodiklio VAIC™ (žr. 7 lentelę).</w:t>
      </w:r>
    </w:p>
    <w:p w:rsidR="002A4554" w:rsidRPr="00BC25E6" w:rsidRDefault="002A4554" w:rsidP="002A4554">
      <w:pPr>
        <w:widowControl w:val="0"/>
        <w:autoSpaceDE w:val="0"/>
        <w:autoSpaceDN w:val="0"/>
        <w:adjustRightInd w:val="0"/>
        <w:spacing w:line="360" w:lineRule="auto"/>
        <w:rPr>
          <w:lang w:val="en-US"/>
        </w:rPr>
      </w:pPr>
    </w:p>
    <w:p w:rsidR="002A4554" w:rsidRPr="00BC25E6" w:rsidRDefault="002A4554" w:rsidP="002A4554">
      <w:pPr>
        <w:widowControl w:val="0"/>
        <w:autoSpaceDE w:val="0"/>
        <w:autoSpaceDN w:val="0"/>
        <w:adjustRightInd w:val="0"/>
        <w:spacing w:line="360" w:lineRule="auto"/>
        <w:ind w:left="720"/>
        <w:jc w:val="center"/>
        <w:rPr>
          <w:lang w:val="en-US"/>
        </w:rPr>
      </w:pPr>
      <w:r w:rsidRPr="00BC25E6">
        <w:rPr>
          <w:b/>
          <w:lang w:val="en-US"/>
        </w:rPr>
        <w:t>7 lentelė. Nefinansinių vidutinių rodiklių VACA, VAHU, STVA ir VAIC™ koreliacija   2009-2012 metais</w:t>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18"/>
        <w:gridCol w:w="2126"/>
        <w:gridCol w:w="1559"/>
        <w:gridCol w:w="1418"/>
        <w:gridCol w:w="1559"/>
        <w:gridCol w:w="1559"/>
      </w:tblGrid>
      <w:tr w:rsidR="002A4554" w:rsidRPr="00BC25E6" w:rsidTr="002A4554">
        <w:trPr>
          <w:cantSplit/>
        </w:trPr>
        <w:tc>
          <w:tcPr>
            <w:tcW w:w="9639" w:type="dxa"/>
            <w:gridSpan w:val="6"/>
            <w:tcBorders>
              <w:top w:val="nil"/>
              <w:left w:val="nil"/>
              <w:bottom w:val="nil"/>
              <w:right w:val="nil"/>
            </w:tcBorders>
            <w:shd w:val="clear" w:color="auto" w:fill="FFFFFF"/>
            <w:vAlign w:val="center"/>
          </w:tcPr>
          <w:p w:rsidR="002A4554" w:rsidRPr="00BC25E6" w:rsidRDefault="002A4554" w:rsidP="002A4554">
            <w:pPr>
              <w:ind w:left="60" w:right="60"/>
              <w:jc w:val="center"/>
              <w:rPr>
                <w:sz w:val="22"/>
                <w:szCs w:val="22"/>
              </w:rPr>
            </w:pPr>
          </w:p>
        </w:tc>
      </w:tr>
      <w:tr w:rsidR="002A4554" w:rsidRPr="00BC25E6" w:rsidTr="002A4554">
        <w:trPr>
          <w:cantSplit/>
        </w:trPr>
        <w:tc>
          <w:tcPr>
            <w:tcW w:w="3544" w:type="dxa"/>
            <w:gridSpan w:val="2"/>
            <w:tcBorders>
              <w:top w:val="single" w:sz="16" w:space="0" w:color="000000"/>
              <w:left w:val="single" w:sz="16" w:space="0" w:color="000000"/>
              <w:bottom w:val="single" w:sz="16" w:space="0" w:color="000000"/>
              <w:right w:val="nil"/>
            </w:tcBorders>
            <w:shd w:val="clear" w:color="auto" w:fill="FFFFFF"/>
            <w:vAlign w:val="bottom"/>
          </w:tcPr>
          <w:p w:rsidR="002A4554" w:rsidRPr="00BC25E6" w:rsidRDefault="002A4554" w:rsidP="002A4554">
            <w:pPr>
              <w:rPr>
                <w:sz w:val="22"/>
                <w:szCs w:val="22"/>
              </w:rPr>
            </w:pPr>
          </w:p>
        </w:tc>
        <w:tc>
          <w:tcPr>
            <w:tcW w:w="1559" w:type="dxa"/>
            <w:tcBorders>
              <w:top w:val="single" w:sz="16" w:space="0" w:color="000000"/>
              <w:left w:val="single" w:sz="16" w:space="0" w:color="000000"/>
              <w:bottom w:val="single" w:sz="16" w:space="0" w:color="000000"/>
            </w:tcBorders>
            <w:shd w:val="clear" w:color="auto" w:fill="FFFFFF"/>
            <w:vAlign w:val="bottom"/>
          </w:tcPr>
          <w:p w:rsidR="002A4554" w:rsidRPr="00BC25E6" w:rsidRDefault="002A4554" w:rsidP="002A4554">
            <w:pPr>
              <w:ind w:left="60" w:right="60"/>
              <w:jc w:val="center"/>
              <w:rPr>
                <w:sz w:val="22"/>
                <w:szCs w:val="22"/>
              </w:rPr>
            </w:pPr>
            <w:r w:rsidRPr="00BC25E6">
              <w:rPr>
                <w:sz w:val="22"/>
                <w:szCs w:val="22"/>
              </w:rPr>
              <w:t>VAIC™ VIDURKIS</w:t>
            </w:r>
          </w:p>
        </w:tc>
        <w:tc>
          <w:tcPr>
            <w:tcW w:w="1418" w:type="dxa"/>
            <w:tcBorders>
              <w:top w:val="single" w:sz="16" w:space="0" w:color="000000"/>
              <w:bottom w:val="single" w:sz="16" w:space="0" w:color="000000"/>
            </w:tcBorders>
            <w:shd w:val="clear" w:color="auto" w:fill="FFFFFF"/>
            <w:vAlign w:val="bottom"/>
          </w:tcPr>
          <w:p w:rsidR="002A4554" w:rsidRPr="00BC25E6" w:rsidRDefault="002A4554" w:rsidP="002A4554">
            <w:pPr>
              <w:ind w:left="60" w:right="60"/>
              <w:jc w:val="center"/>
              <w:rPr>
                <w:sz w:val="22"/>
                <w:szCs w:val="22"/>
              </w:rPr>
            </w:pPr>
            <w:r w:rsidRPr="00BC25E6">
              <w:rPr>
                <w:sz w:val="22"/>
                <w:szCs w:val="22"/>
              </w:rPr>
              <w:t>VACA VIDURKIS</w:t>
            </w:r>
          </w:p>
        </w:tc>
        <w:tc>
          <w:tcPr>
            <w:tcW w:w="1559" w:type="dxa"/>
            <w:tcBorders>
              <w:top w:val="single" w:sz="16" w:space="0" w:color="000000"/>
              <w:bottom w:val="single" w:sz="16" w:space="0" w:color="000000"/>
            </w:tcBorders>
            <w:shd w:val="clear" w:color="auto" w:fill="FFFFFF"/>
            <w:vAlign w:val="bottom"/>
          </w:tcPr>
          <w:p w:rsidR="002A4554" w:rsidRPr="00BC25E6" w:rsidRDefault="002A4554" w:rsidP="002A4554">
            <w:pPr>
              <w:ind w:left="60" w:right="60"/>
              <w:jc w:val="center"/>
              <w:rPr>
                <w:sz w:val="22"/>
                <w:szCs w:val="22"/>
              </w:rPr>
            </w:pPr>
            <w:r w:rsidRPr="00BC25E6">
              <w:rPr>
                <w:sz w:val="22"/>
                <w:szCs w:val="22"/>
              </w:rPr>
              <w:t>VAHU VIDURKIS</w:t>
            </w:r>
          </w:p>
        </w:tc>
        <w:tc>
          <w:tcPr>
            <w:tcW w:w="1559" w:type="dxa"/>
            <w:tcBorders>
              <w:top w:val="single" w:sz="16" w:space="0" w:color="000000"/>
              <w:bottom w:val="single" w:sz="16" w:space="0" w:color="000000"/>
              <w:right w:val="single" w:sz="16" w:space="0" w:color="000000"/>
            </w:tcBorders>
            <w:shd w:val="clear" w:color="auto" w:fill="FFFFFF"/>
            <w:vAlign w:val="bottom"/>
          </w:tcPr>
          <w:p w:rsidR="002A4554" w:rsidRPr="00BC25E6" w:rsidRDefault="002A4554" w:rsidP="002A4554">
            <w:pPr>
              <w:ind w:left="60" w:right="60"/>
              <w:jc w:val="center"/>
              <w:rPr>
                <w:sz w:val="22"/>
                <w:szCs w:val="22"/>
              </w:rPr>
            </w:pPr>
            <w:r w:rsidRPr="00BC25E6">
              <w:rPr>
                <w:sz w:val="22"/>
                <w:szCs w:val="22"/>
              </w:rPr>
              <w:t>STVA VIDURKIS</w:t>
            </w:r>
          </w:p>
        </w:tc>
      </w:tr>
      <w:tr w:rsidR="002A4554" w:rsidRPr="00BC25E6" w:rsidTr="002A4554">
        <w:trPr>
          <w:cantSplit/>
        </w:trPr>
        <w:tc>
          <w:tcPr>
            <w:tcW w:w="1418" w:type="dxa"/>
            <w:vMerge w:val="restart"/>
            <w:tcBorders>
              <w:top w:val="single" w:sz="16" w:space="0" w:color="000000"/>
              <w:left w:val="single" w:sz="16" w:space="0" w:color="000000"/>
              <w:right w:val="nil"/>
            </w:tcBorders>
            <w:shd w:val="clear" w:color="auto" w:fill="FFFFFF"/>
          </w:tcPr>
          <w:p w:rsidR="002A4554" w:rsidRPr="00BC25E6" w:rsidRDefault="002A4554" w:rsidP="002A4554">
            <w:pPr>
              <w:ind w:left="60" w:right="60"/>
              <w:rPr>
                <w:sz w:val="22"/>
                <w:szCs w:val="22"/>
              </w:rPr>
            </w:pPr>
            <w:r w:rsidRPr="00BC25E6">
              <w:rPr>
                <w:sz w:val="22"/>
                <w:szCs w:val="22"/>
              </w:rPr>
              <w:t>VAIC™ VIDURKIS</w:t>
            </w:r>
          </w:p>
        </w:tc>
        <w:tc>
          <w:tcPr>
            <w:tcW w:w="2126" w:type="dxa"/>
            <w:tcBorders>
              <w:top w:val="single" w:sz="16" w:space="0" w:color="000000"/>
              <w:left w:val="nil"/>
              <w:bottom w:val="nil"/>
              <w:right w:val="single" w:sz="16" w:space="0" w:color="000000"/>
            </w:tcBorders>
            <w:shd w:val="clear" w:color="auto" w:fill="FFFFFF"/>
          </w:tcPr>
          <w:p w:rsidR="002A4554" w:rsidRPr="00BC25E6" w:rsidRDefault="002A4554" w:rsidP="002A4554">
            <w:pPr>
              <w:ind w:left="60" w:right="60"/>
              <w:rPr>
                <w:sz w:val="22"/>
                <w:szCs w:val="22"/>
              </w:rPr>
            </w:pPr>
            <w:r w:rsidRPr="00BC25E6">
              <w:rPr>
                <w:sz w:val="22"/>
                <w:szCs w:val="22"/>
              </w:rPr>
              <w:t>Pearson Correlation</w:t>
            </w:r>
          </w:p>
        </w:tc>
        <w:tc>
          <w:tcPr>
            <w:tcW w:w="1559" w:type="dxa"/>
            <w:tcBorders>
              <w:top w:val="single" w:sz="16" w:space="0" w:color="000000"/>
              <w:left w:val="single" w:sz="16" w:space="0" w:color="000000"/>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w:t>
            </w:r>
          </w:p>
        </w:tc>
        <w:tc>
          <w:tcPr>
            <w:tcW w:w="1418" w:type="dxa"/>
            <w:tcBorders>
              <w:top w:val="single" w:sz="16" w:space="0" w:color="000000"/>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.174</w:t>
            </w:r>
          </w:p>
        </w:tc>
        <w:tc>
          <w:tcPr>
            <w:tcW w:w="1559" w:type="dxa"/>
            <w:tcBorders>
              <w:top w:val="single" w:sz="16" w:space="0" w:color="000000"/>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.990</w:t>
            </w:r>
            <w:r w:rsidRPr="00BC25E6">
              <w:rPr>
                <w:sz w:val="22"/>
                <w:szCs w:val="22"/>
                <w:vertAlign w:val="superscript"/>
              </w:rPr>
              <w:t>**</w:t>
            </w:r>
          </w:p>
        </w:tc>
        <w:tc>
          <w:tcPr>
            <w:tcW w:w="1559" w:type="dxa"/>
            <w:tcBorders>
              <w:top w:val="single" w:sz="16" w:space="0" w:color="000000"/>
              <w:bottom w:val="nil"/>
              <w:right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.964</w:t>
            </w:r>
            <w:r w:rsidRPr="00BC25E6">
              <w:rPr>
                <w:sz w:val="22"/>
                <w:szCs w:val="22"/>
                <w:vertAlign w:val="superscript"/>
              </w:rPr>
              <w:t>**</w:t>
            </w:r>
          </w:p>
        </w:tc>
      </w:tr>
      <w:tr w:rsidR="002A4554" w:rsidRPr="00BC25E6" w:rsidTr="002A4554">
        <w:trPr>
          <w:cantSplit/>
        </w:trPr>
        <w:tc>
          <w:tcPr>
            <w:tcW w:w="1418" w:type="dxa"/>
            <w:vMerge/>
            <w:tcBorders>
              <w:top w:val="single" w:sz="16" w:space="0" w:color="000000"/>
              <w:left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bottom w:val="nil"/>
              <w:right w:val="single" w:sz="16" w:space="0" w:color="000000"/>
            </w:tcBorders>
            <w:shd w:val="clear" w:color="auto" w:fill="FFFFFF"/>
          </w:tcPr>
          <w:p w:rsidR="002A4554" w:rsidRPr="00BC25E6" w:rsidRDefault="002A4554" w:rsidP="002A4554">
            <w:pPr>
              <w:ind w:left="60" w:right="60"/>
              <w:rPr>
                <w:sz w:val="22"/>
                <w:szCs w:val="22"/>
              </w:rPr>
            </w:pPr>
            <w:r w:rsidRPr="00BC25E6">
              <w:rPr>
                <w:sz w:val="22"/>
                <w:szCs w:val="22"/>
              </w:rPr>
              <w:t>Sig. (2-tailed)</w:t>
            </w:r>
          </w:p>
        </w:tc>
        <w:tc>
          <w:tcPr>
            <w:tcW w:w="1559" w:type="dxa"/>
            <w:tcBorders>
              <w:top w:val="nil"/>
              <w:left w:val="single" w:sz="16" w:space="0" w:color="000000"/>
              <w:bottom w:val="nil"/>
            </w:tcBorders>
            <w:shd w:val="clear" w:color="auto" w:fill="FFFFFF"/>
            <w:vAlign w:val="center"/>
          </w:tcPr>
          <w:p w:rsidR="002A4554" w:rsidRPr="00BC25E6" w:rsidRDefault="002A4554" w:rsidP="002A4554">
            <w:pPr>
              <w:rPr>
                <w:sz w:val="22"/>
                <w:szCs w:val="22"/>
              </w:rPr>
            </w:pPr>
          </w:p>
        </w:tc>
        <w:tc>
          <w:tcPr>
            <w:tcW w:w="1418" w:type="dxa"/>
            <w:tcBorders>
              <w:top w:val="nil"/>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.631</w:t>
            </w:r>
          </w:p>
        </w:tc>
        <w:tc>
          <w:tcPr>
            <w:tcW w:w="1559" w:type="dxa"/>
            <w:tcBorders>
              <w:top w:val="nil"/>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.000</w:t>
            </w:r>
          </w:p>
        </w:tc>
        <w:tc>
          <w:tcPr>
            <w:tcW w:w="1559" w:type="dxa"/>
            <w:tcBorders>
              <w:top w:val="nil"/>
              <w:bottom w:val="nil"/>
              <w:right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.000</w:t>
            </w:r>
          </w:p>
        </w:tc>
      </w:tr>
      <w:tr w:rsidR="002A4554" w:rsidRPr="00BC25E6" w:rsidTr="002A4554">
        <w:trPr>
          <w:cantSplit/>
        </w:trPr>
        <w:tc>
          <w:tcPr>
            <w:tcW w:w="1418" w:type="dxa"/>
            <w:vMerge/>
            <w:tcBorders>
              <w:top w:val="single" w:sz="16" w:space="0" w:color="000000"/>
              <w:left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right w:val="single" w:sz="16" w:space="0" w:color="000000"/>
            </w:tcBorders>
            <w:shd w:val="clear" w:color="auto" w:fill="FFFFFF"/>
          </w:tcPr>
          <w:p w:rsidR="002A4554" w:rsidRPr="00BC25E6" w:rsidRDefault="002A4554" w:rsidP="002A4554">
            <w:pPr>
              <w:ind w:left="60" w:right="60"/>
              <w:rPr>
                <w:sz w:val="22"/>
                <w:szCs w:val="22"/>
              </w:rPr>
            </w:pPr>
            <w:r w:rsidRPr="00BC25E6">
              <w:rPr>
                <w:sz w:val="22"/>
                <w:szCs w:val="22"/>
              </w:rPr>
              <w:t>N</w:t>
            </w:r>
          </w:p>
        </w:tc>
        <w:tc>
          <w:tcPr>
            <w:tcW w:w="1559" w:type="dxa"/>
            <w:tcBorders>
              <w:top w:val="nil"/>
              <w:left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10</w:t>
            </w:r>
          </w:p>
        </w:tc>
        <w:tc>
          <w:tcPr>
            <w:tcW w:w="1418" w:type="dxa"/>
            <w:tcBorders>
              <w:top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10</w:t>
            </w:r>
          </w:p>
        </w:tc>
        <w:tc>
          <w:tcPr>
            <w:tcW w:w="1559" w:type="dxa"/>
            <w:tcBorders>
              <w:top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10</w:t>
            </w:r>
          </w:p>
        </w:tc>
        <w:tc>
          <w:tcPr>
            <w:tcW w:w="1559" w:type="dxa"/>
            <w:tcBorders>
              <w:top w:val="nil"/>
              <w:right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10</w:t>
            </w:r>
          </w:p>
        </w:tc>
      </w:tr>
      <w:tr w:rsidR="002A4554" w:rsidRPr="00BC25E6" w:rsidTr="002A4554">
        <w:trPr>
          <w:cantSplit/>
        </w:trPr>
        <w:tc>
          <w:tcPr>
            <w:tcW w:w="1418" w:type="dxa"/>
            <w:vMerge w:val="restart"/>
            <w:tcBorders>
              <w:top w:val="nil"/>
              <w:left w:val="single" w:sz="16" w:space="0" w:color="000000"/>
              <w:right w:val="nil"/>
            </w:tcBorders>
            <w:shd w:val="clear" w:color="auto" w:fill="FFFFFF"/>
          </w:tcPr>
          <w:p w:rsidR="002A4554" w:rsidRPr="00BC25E6" w:rsidRDefault="002A4554" w:rsidP="002A4554">
            <w:pPr>
              <w:ind w:left="60" w:right="60"/>
              <w:rPr>
                <w:sz w:val="22"/>
                <w:szCs w:val="22"/>
              </w:rPr>
            </w:pPr>
            <w:r w:rsidRPr="00BC25E6">
              <w:rPr>
                <w:sz w:val="22"/>
                <w:szCs w:val="22"/>
              </w:rPr>
              <w:t>VACA VIDURKIS</w:t>
            </w:r>
          </w:p>
        </w:tc>
        <w:tc>
          <w:tcPr>
            <w:tcW w:w="2126" w:type="dxa"/>
            <w:tcBorders>
              <w:top w:val="nil"/>
              <w:left w:val="nil"/>
              <w:bottom w:val="nil"/>
              <w:right w:val="single" w:sz="16" w:space="0" w:color="000000"/>
            </w:tcBorders>
            <w:shd w:val="clear" w:color="auto" w:fill="FFFFFF"/>
          </w:tcPr>
          <w:p w:rsidR="002A4554" w:rsidRPr="00BC25E6" w:rsidRDefault="002A4554" w:rsidP="002A4554">
            <w:pPr>
              <w:ind w:left="60" w:right="60"/>
              <w:rPr>
                <w:sz w:val="22"/>
                <w:szCs w:val="22"/>
              </w:rPr>
            </w:pPr>
            <w:r w:rsidRPr="00BC25E6">
              <w:rPr>
                <w:sz w:val="22"/>
                <w:szCs w:val="22"/>
              </w:rPr>
              <w:t>Pearson Correlation</w:t>
            </w:r>
          </w:p>
        </w:tc>
        <w:tc>
          <w:tcPr>
            <w:tcW w:w="1559" w:type="dxa"/>
            <w:tcBorders>
              <w:top w:val="nil"/>
              <w:left w:val="single" w:sz="16" w:space="0" w:color="000000"/>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.174</w:t>
            </w:r>
          </w:p>
        </w:tc>
        <w:tc>
          <w:tcPr>
            <w:tcW w:w="1418" w:type="dxa"/>
            <w:tcBorders>
              <w:top w:val="nil"/>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w:t>
            </w:r>
          </w:p>
        </w:tc>
        <w:tc>
          <w:tcPr>
            <w:tcW w:w="1559" w:type="dxa"/>
            <w:tcBorders>
              <w:top w:val="nil"/>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.042</w:t>
            </w:r>
          </w:p>
        </w:tc>
        <w:tc>
          <w:tcPr>
            <w:tcW w:w="1559" w:type="dxa"/>
            <w:tcBorders>
              <w:top w:val="nil"/>
              <w:bottom w:val="nil"/>
              <w:right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.209</w:t>
            </w:r>
          </w:p>
        </w:tc>
      </w:tr>
      <w:tr w:rsidR="002A4554" w:rsidRPr="00BC25E6" w:rsidTr="002A4554">
        <w:trPr>
          <w:cantSplit/>
        </w:trPr>
        <w:tc>
          <w:tcPr>
            <w:tcW w:w="1418" w:type="dxa"/>
            <w:vMerge/>
            <w:tcBorders>
              <w:top w:val="nil"/>
              <w:left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bottom w:val="nil"/>
              <w:right w:val="single" w:sz="16" w:space="0" w:color="000000"/>
            </w:tcBorders>
            <w:shd w:val="clear" w:color="auto" w:fill="FFFFFF"/>
          </w:tcPr>
          <w:p w:rsidR="002A4554" w:rsidRPr="00BC25E6" w:rsidRDefault="002A4554" w:rsidP="002A4554">
            <w:pPr>
              <w:ind w:left="60" w:right="60"/>
              <w:rPr>
                <w:sz w:val="22"/>
                <w:szCs w:val="22"/>
              </w:rPr>
            </w:pPr>
            <w:r w:rsidRPr="00BC25E6">
              <w:rPr>
                <w:sz w:val="22"/>
                <w:szCs w:val="22"/>
              </w:rPr>
              <w:t>Sig. (2-tailed)</w:t>
            </w:r>
          </w:p>
        </w:tc>
        <w:tc>
          <w:tcPr>
            <w:tcW w:w="1559" w:type="dxa"/>
            <w:tcBorders>
              <w:top w:val="nil"/>
              <w:left w:val="single" w:sz="16" w:space="0" w:color="000000"/>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.631</w:t>
            </w:r>
          </w:p>
        </w:tc>
        <w:tc>
          <w:tcPr>
            <w:tcW w:w="1418" w:type="dxa"/>
            <w:tcBorders>
              <w:top w:val="nil"/>
              <w:bottom w:val="nil"/>
            </w:tcBorders>
            <w:shd w:val="clear" w:color="auto" w:fill="FFFFFF"/>
            <w:vAlign w:val="center"/>
          </w:tcPr>
          <w:p w:rsidR="002A4554" w:rsidRPr="00BC25E6" w:rsidRDefault="002A4554" w:rsidP="002A4554">
            <w:pPr>
              <w:rPr>
                <w:sz w:val="22"/>
                <w:szCs w:val="22"/>
              </w:rPr>
            </w:pPr>
          </w:p>
        </w:tc>
        <w:tc>
          <w:tcPr>
            <w:tcW w:w="1559" w:type="dxa"/>
            <w:tcBorders>
              <w:top w:val="nil"/>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.908</w:t>
            </w:r>
          </w:p>
        </w:tc>
        <w:tc>
          <w:tcPr>
            <w:tcW w:w="1559" w:type="dxa"/>
            <w:tcBorders>
              <w:top w:val="nil"/>
              <w:bottom w:val="nil"/>
              <w:right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.562</w:t>
            </w:r>
          </w:p>
        </w:tc>
      </w:tr>
      <w:tr w:rsidR="002A4554" w:rsidRPr="00BC25E6" w:rsidTr="002A4554">
        <w:trPr>
          <w:cantSplit/>
        </w:trPr>
        <w:tc>
          <w:tcPr>
            <w:tcW w:w="1418" w:type="dxa"/>
            <w:vMerge/>
            <w:tcBorders>
              <w:top w:val="nil"/>
              <w:left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right w:val="single" w:sz="16" w:space="0" w:color="000000"/>
            </w:tcBorders>
            <w:shd w:val="clear" w:color="auto" w:fill="FFFFFF"/>
          </w:tcPr>
          <w:p w:rsidR="002A4554" w:rsidRPr="00BC25E6" w:rsidRDefault="002A4554" w:rsidP="002A4554">
            <w:pPr>
              <w:ind w:left="60" w:right="60"/>
              <w:rPr>
                <w:sz w:val="22"/>
                <w:szCs w:val="22"/>
              </w:rPr>
            </w:pPr>
            <w:r w:rsidRPr="00BC25E6">
              <w:rPr>
                <w:sz w:val="22"/>
                <w:szCs w:val="22"/>
              </w:rPr>
              <w:t>N</w:t>
            </w:r>
          </w:p>
        </w:tc>
        <w:tc>
          <w:tcPr>
            <w:tcW w:w="1559" w:type="dxa"/>
            <w:tcBorders>
              <w:top w:val="nil"/>
              <w:left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10</w:t>
            </w:r>
          </w:p>
        </w:tc>
        <w:tc>
          <w:tcPr>
            <w:tcW w:w="1418" w:type="dxa"/>
            <w:tcBorders>
              <w:top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10</w:t>
            </w:r>
          </w:p>
        </w:tc>
        <w:tc>
          <w:tcPr>
            <w:tcW w:w="1559" w:type="dxa"/>
            <w:tcBorders>
              <w:top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10</w:t>
            </w:r>
          </w:p>
        </w:tc>
        <w:tc>
          <w:tcPr>
            <w:tcW w:w="1559" w:type="dxa"/>
            <w:tcBorders>
              <w:top w:val="nil"/>
              <w:right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10</w:t>
            </w:r>
          </w:p>
        </w:tc>
      </w:tr>
      <w:tr w:rsidR="002A4554" w:rsidRPr="00BC25E6" w:rsidTr="002A4554">
        <w:trPr>
          <w:cantSplit/>
        </w:trPr>
        <w:tc>
          <w:tcPr>
            <w:tcW w:w="1418" w:type="dxa"/>
            <w:vMerge w:val="restart"/>
            <w:tcBorders>
              <w:top w:val="nil"/>
              <w:left w:val="single" w:sz="16" w:space="0" w:color="000000"/>
              <w:right w:val="nil"/>
            </w:tcBorders>
            <w:shd w:val="clear" w:color="auto" w:fill="FFFFFF"/>
          </w:tcPr>
          <w:p w:rsidR="002A4554" w:rsidRPr="00BC25E6" w:rsidRDefault="002A4554" w:rsidP="002A4554">
            <w:pPr>
              <w:ind w:left="60" w:right="60"/>
              <w:rPr>
                <w:sz w:val="22"/>
                <w:szCs w:val="22"/>
              </w:rPr>
            </w:pPr>
            <w:r w:rsidRPr="00BC25E6">
              <w:rPr>
                <w:sz w:val="22"/>
                <w:szCs w:val="22"/>
              </w:rPr>
              <w:t>VAHU VIDURKIS</w:t>
            </w:r>
          </w:p>
        </w:tc>
        <w:tc>
          <w:tcPr>
            <w:tcW w:w="2126" w:type="dxa"/>
            <w:tcBorders>
              <w:top w:val="nil"/>
              <w:left w:val="nil"/>
              <w:bottom w:val="nil"/>
              <w:right w:val="single" w:sz="16" w:space="0" w:color="000000"/>
            </w:tcBorders>
            <w:shd w:val="clear" w:color="auto" w:fill="FFFFFF"/>
          </w:tcPr>
          <w:p w:rsidR="002A4554" w:rsidRPr="00BC25E6" w:rsidRDefault="002A4554" w:rsidP="002A4554">
            <w:pPr>
              <w:ind w:left="60" w:right="60"/>
              <w:rPr>
                <w:sz w:val="22"/>
                <w:szCs w:val="22"/>
              </w:rPr>
            </w:pPr>
            <w:r w:rsidRPr="00BC25E6">
              <w:rPr>
                <w:sz w:val="22"/>
                <w:szCs w:val="22"/>
              </w:rPr>
              <w:t>Pearson Correlation</w:t>
            </w:r>
          </w:p>
        </w:tc>
        <w:tc>
          <w:tcPr>
            <w:tcW w:w="1559" w:type="dxa"/>
            <w:tcBorders>
              <w:top w:val="nil"/>
              <w:left w:val="single" w:sz="16" w:space="0" w:color="000000"/>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.990</w:t>
            </w:r>
            <w:r w:rsidRPr="00BC25E6">
              <w:rPr>
                <w:sz w:val="22"/>
                <w:szCs w:val="22"/>
                <w:vertAlign w:val="superscript"/>
              </w:rPr>
              <w:t>**</w:t>
            </w:r>
          </w:p>
        </w:tc>
        <w:tc>
          <w:tcPr>
            <w:tcW w:w="1418" w:type="dxa"/>
            <w:tcBorders>
              <w:top w:val="nil"/>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.042</w:t>
            </w:r>
          </w:p>
        </w:tc>
        <w:tc>
          <w:tcPr>
            <w:tcW w:w="1559" w:type="dxa"/>
            <w:tcBorders>
              <w:top w:val="nil"/>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w:t>
            </w:r>
          </w:p>
        </w:tc>
        <w:tc>
          <w:tcPr>
            <w:tcW w:w="1559" w:type="dxa"/>
            <w:tcBorders>
              <w:top w:val="nil"/>
              <w:bottom w:val="nil"/>
              <w:right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.937</w:t>
            </w:r>
            <w:r w:rsidRPr="00BC25E6">
              <w:rPr>
                <w:sz w:val="22"/>
                <w:szCs w:val="22"/>
                <w:vertAlign w:val="superscript"/>
              </w:rPr>
              <w:t>**</w:t>
            </w:r>
          </w:p>
        </w:tc>
      </w:tr>
      <w:tr w:rsidR="002A4554" w:rsidRPr="00BC25E6" w:rsidTr="002A4554">
        <w:trPr>
          <w:cantSplit/>
        </w:trPr>
        <w:tc>
          <w:tcPr>
            <w:tcW w:w="1418" w:type="dxa"/>
            <w:vMerge/>
            <w:tcBorders>
              <w:top w:val="nil"/>
              <w:left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bottom w:val="nil"/>
              <w:right w:val="single" w:sz="16" w:space="0" w:color="000000"/>
            </w:tcBorders>
            <w:shd w:val="clear" w:color="auto" w:fill="FFFFFF"/>
          </w:tcPr>
          <w:p w:rsidR="002A4554" w:rsidRPr="00BC25E6" w:rsidRDefault="002A4554" w:rsidP="002A4554">
            <w:pPr>
              <w:ind w:left="60" w:right="60"/>
              <w:rPr>
                <w:sz w:val="22"/>
                <w:szCs w:val="22"/>
              </w:rPr>
            </w:pPr>
            <w:r w:rsidRPr="00BC25E6">
              <w:rPr>
                <w:sz w:val="22"/>
                <w:szCs w:val="22"/>
              </w:rPr>
              <w:t>Sig. (2-tailed)</w:t>
            </w:r>
          </w:p>
        </w:tc>
        <w:tc>
          <w:tcPr>
            <w:tcW w:w="1559" w:type="dxa"/>
            <w:tcBorders>
              <w:top w:val="nil"/>
              <w:left w:val="single" w:sz="16" w:space="0" w:color="000000"/>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.000</w:t>
            </w:r>
          </w:p>
        </w:tc>
        <w:tc>
          <w:tcPr>
            <w:tcW w:w="1418" w:type="dxa"/>
            <w:tcBorders>
              <w:top w:val="nil"/>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.908</w:t>
            </w:r>
          </w:p>
        </w:tc>
        <w:tc>
          <w:tcPr>
            <w:tcW w:w="1559" w:type="dxa"/>
            <w:tcBorders>
              <w:top w:val="nil"/>
              <w:bottom w:val="nil"/>
            </w:tcBorders>
            <w:shd w:val="clear" w:color="auto" w:fill="FFFFFF"/>
            <w:vAlign w:val="center"/>
          </w:tcPr>
          <w:p w:rsidR="002A4554" w:rsidRPr="00BC25E6" w:rsidRDefault="002A4554" w:rsidP="002A4554">
            <w:pPr>
              <w:rPr>
                <w:sz w:val="22"/>
                <w:szCs w:val="22"/>
              </w:rPr>
            </w:pPr>
          </w:p>
        </w:tc>
        <w:tc>
          <w:tcPr>
            <w:tcW w:w="1559" w:type="dxa"/>
            <w:tcBorders>
              <w:top w:val="nil"/>
              <w:bottom w:val="nil"/>
              <w:right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.000</w:t>
            </w:r>
          </w:p>
        </w:tc>
      </w:tr>
      <w:tr w:rsidR="002A4554" w:rsidRPr="00BC25E6" w:rsidTr="002A4554">
        <w:trPr>
          <w:cantSplit/>
        </w:trPr>
        <w:tc>
          <w:tcPr>
            <w:tcW w:w="1418" w:type="dxa"/>
            <w:vMerge/>
            <w:tcBorders>
              <w:top w:val="nil"/>
              <w:left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right w:val="single" w:sz="16" w:space="0" w:color="000000"/>
            </w:tcBorders>
            <w:shd w:val="clear" w:color="auto" w:fill="FFFFFF"/>
          </w:tcPr>
          <w:p w:rsidR="002A4554" w:rsidRPr="00BC25E6" w:rsidRDefault="002A4554" w:rsidP="002A4554">
            <w:pPr>
              <w:ind w:left="60" w:right="60"/>
              <w:rPr>
                <w:sz w:val="22"/>
                <w:szCs w:val="22"/>
              </w:rPr>
            </w:pPr>
            <w:r w:rsidRPr="00BC25E6">
              <w:rPr>
                <w:sz w:val="22"/>
                <w:szCs w:val="22"/>
              </w:rPr>
              <w:t>N</w:t>
            </w:r>
          </w:p>
        </w:tc>
        <w:tc>
          <w:tcPr>
            <w:tcW w:w="1559" w:type="dxa"/>
            <w:tcBorders>
              <w:top w:val="nil"/>
              <w:left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10</w:t>
            </w:r>
          </w:p>
        </w:tc>
        <w:tc>
          <w:tcPr>
            <w:tcW w:w="1418" w:type="dxa"/>
            <w:tcBorders>
              <w:top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10</w:t>
            </w:r>
          </w:p>
        </w:tc>
        <w:tc>
          <w:tcPr>
            <w:tcW w:w="1559" w:type="dxa"/>
            <w:tcBorders>
              <w:top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10</w:t>
            </w:r>
          </w:p>
        </w:tc>
        <w:tc>
          <w:tcPr>
            <w:tcW w:w="1559" w:type="dxa"/>
            <w:tcBorders>
              <w:top w:val="nil"/>
              <w:right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10</w:t>
            </w:r>
          </w:p>
        </w:tc>
      </w:tr>
      <w:tr w:rsidR="002A4554" w:rsidRPr="00BC25E6" w:rsidTr="002A4554">
        <w:trPr>
          <w:cantSplit/>
        </w:trPr>
        <w:tc>
          <w:tcPr>
            <w:tcW w:w="1418" w:type="dxa"/>
            <w:vMerge w:val="restart"/>
            <w:tcBorders>
              <w:top w:val="nil"/>
              <w:left w:val="single" w:sz="16" w:space="0" w:color="000000"/>
              <w:bottom w:val="single" w:sz="16" w:space="0" w:color="000000"/>
              <w:right w:val="nil"/>
            </w:tcBorders>
            <w:shd w:val="clear" w:color="auto" w:fill="FFFFFF"/>
          </w:tcPr>
          <w:p w:rsidR="002A4554" w:rsidRPr="00BC25E6" w:rsidRDefault="002A4554" w:rsidP="002A4554">
            <w:pPr>
              <w:ind w:left="60" w:right="60"/>
              <w:rPr>
                <w:sz w:val="22"/>
                <w:szCs w:val="22"/>
              </w:rPr>
            </w:pPr>
            <w:r w:rsidRPr="00BC25E6">
              <w:rPr>
                <w:sz w:val="22"/>
                <w:szCs w:val="22"/>
              </w:rPr>
              <w:t>STVA VIDURKIS</w:t>
            </w:r>
          </w:p>
        </w:tc>
        <w:tc>
          <w:tcPr>
            <w:tcW w:w="2126" w:type="dxa"/>
            <w:tcBorders>
              <w:top w:val="nil"/>
              <w:left w:val="nil"/>
              <w:bottom w:val="nil"/>
              <w:right w:val="single" w:sz="16" w:space="0" w:color="000000"/>
            </w:tcBorders>
            <w:shd w:val="clear" w:color="auto" w:fill="FFFFFF"/>
          </w:tcPr>
          <w:p w:rsidR="002A4554" w:rsidRPr="00BC25E6" w:rsidRDefault="002A4554" w:rsidP="002A4554">
            <w:pPr>
              <w:ind w:left="60" w:right="60"/>
              <w:rPr>
                <w:sz w:val="22"/>
                <w:szCs w:val="22"/>
              </w:rPr>
            </w:pPr>
            <w:r w:rsidRPr="00BC25E6">
              <w:rPr>
                <w:sz w:val="22"/>
                <w:szCs w:val="22"/>
              </w:rPr>
              <w:t>Pearson Correlation</w:t>
            </w:r>
          </w:p>
        </w:tc>
        <w:tc>
          <w:tcPr>
            <w:tcW w:w="1559" w:type="dxa"/>
            <w:tcBorders>
              <w:top w:val="nil"/>
              <w:left w:val="single" w:sz="16" w:space="0" w:color="000000"/>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.964</w:t>
            </w:r>
            <w:r w:rsidRPr="00BC25E6">
              <w:rPr>
                <w:sz w:val="22"/>
                <w:szCs w:val="22"/>
                <w:vertAlign w:val="superscript"/>
              </w:rPr>
              <w:t>**</w:t>
            </w:r>
          </w:p>
        </w:tc>
        <w:tc>
          <w:tcPr>
            <w:tcW w:w="1418" w:type="dxa"/>
            <w:tcBorders>
              <w:top w:val="nil"/>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.209</w:t>
            </w:r>
          </w:p>
        </w:tc>
        <w:tc>
          <w:tcPr>
            <w:tcW w:w="1559" w:type="dxa"/>
            <w:tcBorders>
              <w:top w:val="nil"/>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.937</w:t>
            </w:r>
            <w:r w:rsidRPr="00BC25E6">
              <w:rPr>
                <w:sz w:val="22"/>
                <w:szCs w:val="22"/>
                <w:vertAlign w:val="superscript"/>
              </w:rPr>
              <w:t>**</w:t>
            </w:r>
          </w:p>
        </w:tc>
        <w:tc>
          <w:tcPr>
            <w:tcW w:w="1559" w:type="dxa"/>
            <w:tcBorders>
              <w:top w:val="nil"/>
              <w:bottom w:val="nil"/>
              <w:right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w:t>
            </w:r>
          </w:p>
        </w:tc>
      </w:tr>
      <w:tr w:rsidR="002A4554" w:rsidRPr="00BC25E6" w:rsidTr="002A4554">
        <w:trPr>
          <w:cantSplit/>
        </w:trPr>
        <w:tc>
          <w:tcPr>
            <w:tcW w:w="1418" w:type="dxa"/>
            <w:vMerge/>
            <w:tcBorders>
              <w:top w:val="nil"/>
              <w:left w:val="single" w:sz="16" w:space="0" w:color="000000"/>
              <w:bottom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bottom w:val="nil"/>
              <w:right w:val="single" w:sz="16" w:space="0" w:color="000000"/>
            </w:tcBorders>
            <w:shd w:val="clear" w:color="auto" w:fill="FFFFFF"/>
          </w:tcPr>
          <w:p w:rsidR="002A4554" w:rsidRPr="00BC25E6" w:rsidRDefault="002A4554" w:rsidP="002A4554">
            <w:pPr>
              <w:ind w:left="60" w:right="60"/>
              <w:rPr>
                <w:sz w:val="22"/>
                <w:szCs w:val="22"/>
              </w:rPr>
            </w:pPr>
            <w:r w:rsidRPr="00BC25E6">
              <w:rPr>
                <w:sz w:val="22"/>
                <w:szCs w:val="22"/>
              </w:rPr>
              <w:t>Sig. (2-tailed)</w:t>
            </w:r>
          </w:p>
        </w:tc>
        <w:tc>
          <w:tcPr>
            <w:tcW w:w="1559" w:type="dxa"/>
            <w:tcBorders>
              <w:top w:val="nil"/>
              <w:left w:val="single" w:sz="16" w:space="0" w:color="000000"/>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.000</w:t>
            </w:r>
          </w:p>
        </w:tc>
        <w:tc>
          <w:tcPr>
            <w:tcW w:w="1418" w:type="dxa"/>
            <w:tcBorders>
              <w:top w:val="nil"/>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.562</w:t>
            </w:r>
          </w:p>
        </w:tc>
        <w:tc>
          <w:tcPr>
            <w:tcW w:w="1559" w:type="dxa"/>
            <w:tcBorders>
              <w:top w:val="nil"/>
              <w:bottom w:val="nil"/>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.000</w:t>
            </w:r>
          </w:p>
        </w:tc>
        <w:tc>
          <w:tcPr>
            <w:tcW w:w="1559" w:type="dxa"/>
            <w:tcBorders>
              <w:top w:val="nil"/>
              <w:bottom w:val="nil"/>
              <w:right w:val="single" w:sz="16" w:space="0" w:color="000000"/>
            </w:tcBorders>
            <w:shd w:val="clear" w:color="auto" w:fill="FFFFFF"/>
            <w:vAlign w:val="center"/>
          </w:tcPr>
          <w:p w:rsidR="002A4554" w:rsidRPr="00BC25E6" w:rsidRDefault="002A4554" w:rsidP="002A4554">
            <w:pPr>
              <w:rPr>
                <w:sz w:val="22"/>
                <w:szCs w:val="22"/>
              </w:rPr>
            </w:pPr>
          </w:p>
        </w:tc>
      </w:tr>
      <w:tr w:rsidR="002A4554" w:rsidRPr="00BC25E6" w:rsidTr="002A4554">
        <w:trPr>
          <w:cantSplit/>
        </w:trPr>
        <w:tc>
          <w:tcPr>
            <w:tcW w:w="1418" w:type="dxa"/>
            <w:vMerge/>
            <w:tcBorders>
              <w:top w:val="nil"/>
              <w:left w:val="single" w:sz="16" w:space="0" w:color="000000"/>
              <w:bottom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bottom w:val="single" w:sz="16" w:space="0" w:color="000000"/>
              <w:right w:val="single" w:sz="16" w:space="0" w:color="000000"/>
            </w:tcBorders>
            <w:shd w:val="clear" w:color="auto" w:fill="FFFFFF"/>
          </w:tcPr>
          <w:p w:rsidR="002A4554" w:rsidRPr="00BC25E6" w:rsidRDefault="002A4554" w:rsidP="002A4554">
            <w:pPr>
              <w:ind w:left="60" w:right="60"/>
              <w:rPr>
                <w:sz w:val="22"/>
                <w:szCs w:val="22"/>
              </w:rPr>
            </w:pPr>
            <w:r w:rsidRPr="00BC25E6">
              <w:rPr>
                <w:sz w:val="22"/>
                <w:szCs w:val="22"/>
              </w:rPr>
              <w:t>N</w:t>
            </w:r>
          </w:p>
        </w:tc>
        <w:tc>
          <w:tcPr>
            <w:tcW w:w="1559" w:type="dxa"/>
            <w:tcBorders>
              <w:top w:val="nil"/>
              <w:left w:val="single" w:sz="16" w:space="0" w:color="000000"/>
              <w:bottom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10</w:t>
            </w:r>
          </w:p>
        </w:tc>
        <w:tc>
          <w:tcPr>
            <w:tcW w:w="1418" w:type="dxa"/>
            <w:tcBorders>
              <w:top w:val="nil"/>
              <w:bottom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10</w:t>
            </w:r>
          </w:p>
        </w:tc>
        <w:tc>
          <w:tcPr>
            <w:tcW w:w="1559" w:type="dxa"/>
            <w:tcBorders>
              <w:top w:val="nil"/>
              <w:bottom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10</w:t>
            </w:r>
          </w:p>
        </w:tc>
        <w:tc>
          <w:tcPr>
            <w:tcW w:w="1559" w:type="dxa"/>
            <w:tcBorders>
              <w:top w:val="nil"/>
              <w:bottom w:val="single" w:sz="16" w:space="0" w:color="000000"/>
              <w:right w:val="single" w:sz="16" w:space="0" w:color="000000"/>
            </w:tcBorders>
            <w:shd w:val="clear" w:color="auto" w:fill="FFFFFF"/>
            <w:vAlign w:val="center"/>
          </w:tcPr>
          <w:p w:rsidR="002A4554" w:rsidRPr="00BC25E6" w:rsidRDefault="002A4554" w:rsidP="002A4554">
            <w:pPr>
              <w:ind w:left="60" w:right="60"/>
              <w:jc w:val="right"/>
              <w:rPr>
                <w:sz w:val="22"/>
                <w:szCs w:val="22"/>
              </w:rPr>
            </w:pPr>
            <w:r w:rsidRPr="00BC25E6">
              <w:rPr>
                <w:sz w:val="22"/>
                <w:szCs w:val="22"/>
              </w:rPr>
              <w:t>10</w:t>
            </w:r>
          </w:p>
        </w:tc>
      </w:tr>
    </w:tbl>
    <w:p w:rsidR="002A4554" w:rsidRPr="00BC25E6" w:rsidRDefault="002A4554" w:rsidP="002A4554">
      <w:pPr>
        <w:widowControl w:val="0"/>
        <w:autoSpaceDE w:val="0"/>
        <w:autoSpaceDN w:val="0"/>
        <w:adjustRightInd w:val="0"/>
        <w:spacing w:after="240"/>
        <w:rPr>
          <w:rFonts w:ascii="Times" w:hAnsi="Times" w:cs="Times"/>
          <w:sz w:val="20"/>
          <w:szCs w:val="20"/>
          <w:lang w:val="en-US"/>
        </w:rPr>
      </w:pPr>
      <w:r w:rsidRPr="00BC25E6">
        <w:rPr>
          <w:sz w:val="20"/>
          <w:szCs w:val="20"/>
          <w:lang w:val="en-US"/>
        </w:rPr>
        <w:t>** Koreliacija yra statistiškai reikšminga, kai p&lt;0,01 (abipusis ryšys).</w:t>
      </w:r>
    </w:p>
    <w:p w:rsidR="002A4554" w:rsidRPr="00BC25E6" w:rsidRDefault="002A4554" w:rsidP="002A4554">
      <w:pPr>
        <w:widowControl w:val="0"/>
        <w:autoSpaceDE w:val="0"/>
        <w:autoSpaceDN w:val="0"/>
        <w:adjustRightInd w:val="0"/>
        <w:spacing w:line="360" w:lineRule="auto"/>
        <w:jc w:val="both"/>
        <w:rPr>
          <w:lang w:val="en-US"/>
        </w:rPr>
      </w:pP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val="en-US"/>
        </w:rPr>
        <w:t>Pastebimas stiprus ry</w:t>
      </w:r>
      <w:r w:rsidRPr="00BC25E6">
        <w:t xml:space="preserve">šys tarp VAHU ir STVA (0,937), iš to galima dayti išvadą, kad kintant </w:t>
      </w:r>
      <w:r w:rsidR="00321E4F">
        <w:rPr>
          <w:lang w:val="en-US"/>
        </w:rPr>
        <w:t>struktū</w:t>
      </w:r>
      <w:r w:rsidRPr="00BC25E6">
        <w:rPr>
          <w:lang w:val="en-US"/>
        </w:rPr>
        <w:t>rinio kapitalo efektyvumo koeficientui STVA, proporcingai kinta ir žmogiškojo kapitalo efektyvumo koeficientas VAHU, t.y. kintant vienam nefinansiniam rodikliui, kinta ir kitas nef</w:t>
      </w:r>
      <w:r w:rsidR="00F96B54">
        <w:rPr>
          <w:lang w:val="en-US"/>
        </w:rPr>
        <w:t>inansinis rodiklis, ir atvirkšč</w:t>
      </w:r>
      <w:r w:rsidRPr="00BC25E6">
        <w:rPr>
          <w:lang w:val="en-US"/>
        </w:rPr>
        <w:t>iai.</w:t>
      </w: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val="en-US"/>
        </w:rPr>
        <w:t>Stiprus ryšys aptinkamas ir tarp VAHU ir VAIC™ (0,990), o tai reiškia, jog kintant žmogiškojo kapitalo efektyvumo koeficientui, proporcingai kinta ir pridėtinės vertės intelektinio kapitalo koeficientas (kintant vienam nefinansiniam rodikliui, kinta ir kitas nef</w:t>
      </w:r>
      <w:r w:rsidR="00F96B54">
        <w:rPr>
          <w:lang w:val="en-US"/>
        </w:rPr>
        <w:t>inansinis rodiklis) ir atvirkšč</w:t>
      </w:r>
      <w:r w:rsidRPr="00BC25E6">
        <w:rPr>
          <w:lang w:val="en-US"/>
        </w:rPr>
        <w:t>iai.</w:t>
      </w: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val="en-US"/>
        </w:rPr>
        <w:t>Analogiškas ryšys aptinkamas ir tarp STVA ir VAIC</w:t>
      </w:r>
      <w:r w:rsidR="00F96B54">
        <w:rPr>
          <w:lang w:val="en-US"/>
        </w:rPr>
        <w:t>™ (0,964). T.y. kintant struktū</w:t>
      </w:r>
      <w:r w:rsidRPr="00BC25E6">
        <w:rPr>
          <w:lang w:val="en-US"/>
        </w:rPr>
        <w:t>rinio kapitalo efektyvumo koeficientui</w:t>
      </w:r>
      <w:r w:rsidR="00BC4206">
        <w:rPr>
          <w:lang w:val="en-US"/>
        </w:rPr>
        <w:t>, proporcingai kinta pridėtinės vertė</w:t>
      </w:r>
      <w:r w:rsidRPr="00BC25E6">
        <w:rPr>
          <w:lang w:val="en-US"/>
        </w:rPr>
        <w:t>s intelektinio kapitalo koeficientas.</w:t>
      </w: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val="en-US"/>
        </w:rPr>
        <w:t>Visais šiais atvejais koreliacija reikšminga, nes reikšmingumo lygmuo p&lt;0,01.</w:t>
      </w: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val="en-US"/>
        </w:rPr>
        <w:t>Nagrinėjant kiekvienus analizuojamus metus atskirai, gauti analogiški rezultatai (žr. 7 priedą). Reikšmingi ryšiai nustatyti tarp VAHU, STVA ir VAIC™ koeficientų. Tarp VAHU ir STVA u</w:t>
      </w:r>
      <w:r w:rsidRPr="00BC25E6">
        <w:t>ž</w:t>
      </w:r>
      <w:r w:rsidRPr="00BC25E6">
        <w:rPr>
          <w:lang w:val="en-US"/>
        </w:rPr>
        <w:t>fiksuotas stipru</w:t>
      </w:r>
      <w:r w:rsidR="00321E4F">
        <w:rPr>
          <w:lang w:val="en-US"/>
        </w:rPr>
        <w:t>s ryšys 2009 m. (0,879), o labai</w:t>
      </w:r>
      <w:r w:rsidRPr="00BC25E6">
        <w:rPr>
          <w:lang w:val="en-US"/>
        </w:rPr>
        <w:t xml:space="preserve"> stipr</w:t>
      </w:r>
      <w:r w:rsidRPr="00BC25E6">
        <w:t>ūs ryšiai aptinkami</w:t>
      </w:r>
      <w:r w:rsidRPr="00BC25E6">
        <w:rPr>
          <w:lang w:val="en-US"/>
        </w:rPr>
        <w:t xml:space="preserve"> 2010 m. 0,976; 2011 m. 0,919; 2012 m. 0,917. Ta</w:t>
      </w:r>
      <w:r w:rsidR="00321E4F">
        <w:rPr>
          <w:lang w:val="en-US"/>
        </w:rPr>
        <w:t>rp VAHU ir VAIC™ užfikuoti labai</w:t>
      </w:r>
      <w:r w:rsidRPr="00BC25E6">
        <w:rPr>
          <w:lang w:val="en-US"/>
        </w:rPr>
        <w:t xml:space="preserve"> stiprūs ryšiai: 2009 m. 0,990; 2010 m. 0,990; 2011 m. 0,990; 2012 m. 0,985. Taip pat </w:t>
      </w:r>
      <w:r w:rsidR="00321E4F">
        <w:rPr>
          <w:lang w:val="en-US"/>
        </w:rPr>
        <w:t>tarp STVA ir VAIC™ aptikti labai</w:t>
      </w:r>
      <w:r w:rsidRPr="00BC25E6">
        <w:rPr>
          <w:lang w:val="en-US"/>
        </w:rPr>
        <w:t xml:space="preserve"> stiprūs ryšiai: 2009 m. 0,924; 2010 m. 0,988; 2011 m. 0,953; 2012 m. 0,958. Vidutinis r</w:t>
      </w:r>
      <w:r w:rsidRPr="00BC25E6">
        <w:t>yšys pastebėtas 2012 metais tarp VACA ir STVA 0,412.</w:t>
      </w:r>
      <w:r w:rsidRPr="00BC25E6">
        <w:rPr>
          <w:lang w:val="en-US"/>
        </w:rPr>
        <w:t xml:space="preserve"> </w:t>
      </w: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val="en-US"/>
        </w:rPr>
        <w:t xml:space="preserve">Apibendrinant, galima teigti, jog bendri visų įmonių ištirti ryšiai (reikšmingi koreliaciniai koeficientai) analizuojamu laikotarpiu tarp finansinių ir nefinansinių rodiklių nebuvo nustatyti. </w:t>
      </w:r>
      <w:r w:rsidRPr="00BC25E6">
        <w:rPr>
          <w:lang w:eastAsia="ja-JP"/>
        </w:rPr>
        <w:t>Atlikta koreliacinė įmonių intelektinio kapitalo ir finansinių rodiklių ryšio analizė parodė, kad ryšys daugeliu atveju stiprus arba labai stiprus teigiamas ryšys egzistuoja tik tarpusavyje finansinių arba tik tarp nefinansinių rodiklių.</w:t>
      </w:r>
    </w:p>
    <w:p w:rsidR="002A4554" w:rsidRPr="00BC25E6" w:rsidRDefault="002A4554" w:rsidP="002A4554">
      <w:pPr>
        <w:spacing w:line="360" w:lineRule="auto"/>
        <w:rPr>
          <w:lang w:eastAsia="ja-JP"/>
        </w:rPr>
      </w:pPr>
    </w:p>
    <w:p w:rsidR="002A4554" w:rsidRPr="00227B53" w:rsidRDefault="00227B53" w:rsidP="00227B53">
      <w:pPr>
        <w:pStyle w:val="ListParagraph"/>
        <w:numPr>
          <w:ilvl w:val="1"/>
          <w:numId w:val="34"/>
        </w:numPr>
        <w:spacing w:line="360" w:lineRule="auto"/>
        <w:ind w:left="0"/>
        <w:jc w:val="center"/>
        <w:rPr>
          <w:rFonts w:ascii="Times New Roman" w:hAnsi="Times New Roman"/>
          <w:b/>
          <w:lang w:eastAsia="ja-JP"/>
        </w:rPr>
      </w:pPr>
      <w:r>
        <w:rPr>
          <w:rFonts w:ascii="Times New Roman" w:hAnsi="Times New Roman"/>
          <w:b/>
          <w:lang w:eastAsia="ja-JP"/>
        </w:rPr>
        <w:t xml:space="preserve">3.3.  </w:t>
      </w:r>
      <w:r w:rsidR="00795C6A" w:rsidRPr="00227B53">
        <w:rPr>
          <w:rFonts w:ascii="Times New Roman" w:hAnsi="Times New Roman"/>
          <w:b/>
          <w:lang w:eastAsia="ja-JP"/>
        </w:rPr>
        <w:t>Intelektinio kapitalo įvertinimo palyginimas tarp OMX Vilnius ir OMX Talinas įmonių</w:t>
      </w:r>
    </w:p>
    <w:p w:rsidR="002A4554" w:rsidRPr="00227B53" w:rsidRDefault="002A4554" w:rsidP="002A4554">
      <w:pPr>
        <w:pStyle w:val="ListParagraph"/>
        <w:spacing w:line="360" w:lineRule="auto"/>
        <w:jc w:val="right"/>
        <w:rPr>
          <w:rFonts w:ascii="Times New Roman" w:hAnsi="Times New Roman"/>
          <w:b/>
          <w:lang w:eastAsia="ja-JP"/>
        </w:rPr>
      </w:pPr>
    </w:p>
    <w:p w:rsidR="002A4554" w:rsidRPr="00BC25E6" w:rsidRDefault="002A4554" w:rsidP="002A4554">
      <w:pPr>
        <w:spacing w:line="360" w:lineRule="auto"/>
        <w:ind w:firstLine="567"/>
        <w:jc w:val="both"/>
        <w:rPr>
          <w:lang w:eastAsia="ja-JP"/>
        </w:rPr>
      </w:pPr>
      <w:r w:rsidRPr="00BC25E6">
        <w:t>Kaip jau minėta metologinėje darbo d</w:t>
      </w:r>
      <w:r w:rsidR="00243868">
        <w:t>alyje buvo pasirinkta OMX Talinas</w:t>
      </w:r>
      <w:r w:rsidRPr="00BC25E6">
        <w:t xml:space="preserve"> vertybinių popierių rinka bei sugretintos 6 šioje biržoje listinguojamos įmonės su 6 atitinkamai priskirtomis įmonėmis listinguojamomis OMX Vilnius vertybinių popierių biržoje </w:t>
      </w:r>
      <w:r w:rsidRPr="00BC25E6">
        <w:rPr>
          <w:lang w:eastAsia="ja-JP"/>
        </w:rPr>
        <w:t>pagal reguliuojamos rinkos Oficialųjį sąrašą, pramonės šaką, kapitalizaciją, veiklos specifiką, metinius finansinius rezultatus bei įmonės stabilumą. Apskaičiuoti visi tie patys finansiniai ir intelektiniai rodikliai bei pateikiami X priede. Lyginami intelektiniai rodikliai šalių ir įmonių lygiu, skaičiuojami bei lyginami tarpusavyje įmonių koreliaciniai ryšiai tarp finansinių ir nefinansinių rodiklių.</w:t>
      </w:r>
    </w:p>
    <w:p w:rsidR="002A4554" w:rsidRPr="00BC25E6" w:rsidRDefault="002A4554" w:rsidP="002A4554">
      <w:pPr>
        <w:pStyle w:val="ListParagraph"/>
        <w:spacing w:line="360" w:lineRule="auto"/>
        <w:ind w:left="0" w:firstLine="567"/>
        <w:jc w:val="both"/>
        <w:rPr>
          <w:rFonts w:ascii="Times New Roman" w:hAnsi="Times New Roman"/>
          <w:lang w:eastAsia="ja-JP"/>
        </w:rPr>
      </w:pPr>
      <w:r w:rsidRPr="00BC25E6">
        <w:rPr>
          <w:rFonts w:ascii="Times New Roman" w:hAnsi="Times New Roman"/>
          <w:lang w:eastAsia="ja-JP"/>
        </w:rPr>
        <w:t>Plačiau aptariamas VAIC™ rodiklis, tiksliau skirtumai tarp Lietuvos ir Estijos įmonių apskaičiuoto VAIC™. Kadangi ICE yra tam tikra prasme VAIC™ rodiklio kartotinis, o dėl CIV rodiklio susiduriama su tais pačia</w:t>
      </w:r>
      <w:r w:rsidR="00321E4F">
        <w:rPr>
          <w:rFonts w:ascii="Times New Roman" w:hAnsi="Times New Roman"/>
          <w:lang w:eastAsia="ja-JP"/>
        </w:rPr>
        <w:t>is trūkumais, kurie dar dažniau</w:t>
      </w:r>
      <w:r w:rsidRPr="00BC25E6">
        <w:rPr>
          <w:rFonts w:ascii="Times New Roman" w:hAnsi="Times New Roman"/>
          <w:lang w:eastAsia="ja-JP"/>
        </w:rPr>
        <w:t xml:space="preserve"> pasireiškė, t.y.  skirtumas tarp šakos ROA ir įmonės ROA yra teigiamas (rodiklis neskaičiuojamas), bei Estijos statistikos institucija nepateikia reikalingų 2012 metų šakos rodiklių, nors visi pastarųjų rodiklių skaičiavimo rezultatai pateikiami 6 priede.</w:t>
      </w:r>
    </w:p>
    <w:p w:rsidR="002A4554" w:rsidRPr="00BC25E6" w:rsidRDefault="002A4554" w:rsidP="002A4554">
      <w:pPr>
        <w:pStyle w:val="ListParagraph"/>
        <w:spacing w:line="360" w:lineRule="auto"/>
        <w:ind w:left="0" w:firstLine="567"/>
        <w:jc w:val="both"/>
        <w:rPr>
          <w:rFonts w:ascii="Times New Roman" w:hAnsi="Times New Roman"/>
          <w:lang w:eastAsia="ja-JP"/>
        </w:rPr>
      </w:pPr>
      <w:r w:rsidRPr="00BC25E6">
        <w:rPr>
          <w:rFonts w:ascii="Times New Roman" w:hAnsi="Times New Roman"/>
          <w:lang w:eastAsia="ja-JP"/>
        </w:rPr>
        <w:t>Abiejų šalių atitinkamai sugretintų įmonių vidutinio VAIC™ intelektinio kapitalo rodiklio skirtumai per nagrinėjamą 2009-2012 metų laikotarpį įmonių atžvilgiu pateikiami 16 paveiksle.</w:t>
      </w:r>
    </w:p>
    <w:p w:rsidR="0037105B" w:rsidRDefault="0037105B" w:rsidP="002A4554">
      <w:pPr>
        <w:pStyle w:val="ListParagraph"/>
        <w:spacing w:line="360" w:lineRule="auto"/>
        <w:ind w:left="0" w:firstLine="567"/>
        <w:jc w:val="both"/>
        <w:rPr>
          <w:rFonts w:ascii="Times New Roman" w:hAnsi="Times New Roman"/>
          <w:lang w:eastAsia="ja-JP"/>
        </w:rPr>
      </w:pPr>
    </w:p>
    <w:p w:rsidR="00795C6A" w:rsidRPr="00227B53" w:rsidRDefault="00795C6A" w:rsidP="00227B53">
      <w:pPr>
        <w:spacing w:line="360" w:lineRule="auto"/>
        <w:jc w:val="both"/>
        <w:rPr>
          <w:lang w:eastAsia="ja-JP"/>
        </w:rPr>
      </w:pPr>
    </w:p>
    <w:p w:rsidR="002A4554" w:rsidRPr="00BC25E6" w:rsidRDefault="002A4554" w:rsidP="002A4554">
      <w:pPr>
        <w:pStyle w:val="ListParagraph"/>
        <w:spacing w:line="360" w:lineRule="auto"/>
        <w:jc w:val="both"/>
        <w:rPr>
          <w:rFonts w:ascii="Times New Roman" w:hAnsi="Times New Roman"/>
          <w:b/>
          <w:lang w:eastAsia="ja-JP"/>
        </w:rPr>
      </w:pPr>
      <w:r w:rsidRPr="00BC25E6">
        <w:rPr>
          <w:noProof/>
          <w:lang w:val="en-US"/>
        </w:rPr>
        <w:drawing>
          <wp:inline distT="0" distB="0" distL="0" distR="0">
            <wp:extent cx="5486400" cy="2359025"/>
            <wp:effectExtent l="0" t="0" r="25400" b="2857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2A4554" w:rsidRPr="00BC25E6" w:rsidRDefault="002A4554" w:rsidP="002A4554">
      <w:pPr>
        <w:pStyle w:val="ListParagraph"/>
        <w:spacing w:line="360" w:lineRule="auto"/>
        <w:jc w:val="center"/>
        <w:rPr>
          <w:rFonts w:ascii="Times New Roman" w:hAnsi="Times New Roman"/>
          <w:lang w:eastAsia="ja-JP"/>
        </w:rPr>
      </w:pPr>
    </w:p>
    <w:p w:rsidR="002A4554" w:rsidRPr="00BC25E6" w:rsidRDefault="002A4554" w:rsidP="002A4554">
      <w:pPr>
        <w:pStyle w:val="ListParagraph"/>
        <w:spacing w:line="360" w:lineRule="auto"/>
        <w:jc w:val="center"/>
        <w:rPr>
          <w:rFonts w:ascii="Times New Roman" w:hAnsi="Times New Roman"/>
          <w:b/>
          <w:lang w:val="lt-LT" w:eastAsia="ja-JP"/>
        </w:rPr>
      </w:pPr>
      <w:r w:rsidRPr="00BC25E6">
        <w:rPr>
          <w:rFonts w:ascii="Times New Roman" w:hAnsi="Times New Roman"/>
          <w:lang w:eastAsia="ja-JP"/>
        </w:rPr>
        <w:t>16 pav</w:t>
      </w:r>
      <w:r w:rsidRPr="00BC25E6">
        <w:rPr>
          <w:rFonts w:ascii="Times New Roman" w:hAnsi="Times New Roman"/>
          <w:b/>
          <w:lang w:eastAsia="ja-JP"/>
        </w:rPr>
        <w:t xml:space="preserve">. Vidutinio VAIC™ rodiklio palyginimas tarp Lietuvos ir Estijos </w:t>
      </w:r>
      <w:r w:rsidRPr="00BC25E6">
        <w:rPr>
          <w:rFonts w:ascii="Times New Roman" w:hAnsi="Times New Roman"/>
          <w:b/>
          <w:lang w:val="lt-LT" w:eastAsia="ja-JP"/>
        </w:rPr>
        <w:t>įmonių</w:t>
      </w:r>
    </w:p>
    <w:p w:rsidR="002A4554" w:rsidRPr="00BC25E6" w:rsidRDefault="002A4554" w:rsidP="002A4554">
      <w:pPr>
        <w:pStyle w:val="ListParagraph"/>
        <w:spacing w:line="360" w:lineRule="auto"/>
        <w:jc w:val="center"/>
        <w:rPr>
          <w:rFonts w:ascii="Times New Roman" w:hAnsi="Times New Roman"/>
          <w:b/>
          <w:lang w:eastAsia="ja-JP"/>
        </w:rPr>
      </w:pPr>
    </w:p>
    <w:p w:rsidR="002A4554" w:rsidRPr="00BC25E6" w:rsidRDefault="002A4554" w:rsidP="002A4554">
      <w:pPr>
        <w:spacing w:line="360" w:lineRule="auto"/>
        <w:ind w:firstLine="567"/>
        <w:jc w:val="both"/>
        <w:rPr>
          <w:lang w:eastAsia="ja-JP"/>
        </w:rPr>
      </w:pPr>
      <w:r w:rsidRPr="00BC25E6">
        <w:rPr>
          <w:lang w:eastAsia="ja-JP"/>
        </w:rPr>
        <w:t xml:space="preserve">Iš 16 </w:t>
      </w:r>
      <w:r w:rsidR="00243868">
        <w:rPr>
          <w:lang w:eastAsia="ja-JP"/>
        </w:rPr>
        <w:t>paveikslo matoma, kad OMX Talinas</w:t>
      </w:r>
      <w:r w:rsidRPr="00BC25E6">
        <w:rPr>
          <w:lang w:eastAsia="ja-JP"/>
        </w:rPr>
        <w:t xml:space="preserve"> listinguojamos įmonės VAIC™ rodikliu reikšmingai lenkia tik pramonimių prekių ir paslaugų srityje – AB „City service“ VAIC™ 1,92, o AS Tallinna Vesi 7,33. Likusiose pozicijose Lietuvos įmonės rodo aukštesnius rezultatus. </w:t>
      </w:r>
    </w:p>
    <w:p w:rsidR="002A4554" w:rsidRPr="00BC25E6" w:rsidRDefault="002A4554" w:rsidP="002A4554">
      <w:pPr>
        <w:spacing w:line="360" w:lineRule="auto"/>
        <w:ind w:firstLine="567"/>
        <w:jc w:val="both"/>
        <w:rPr>
          <w:lang w:eastAsia="ja-JP"/>
        </w:rPr>
      </w:pPr>
      <w:r w:rsidRPr="00BC25E6">
        <w:rPr>
          <w:lang w:eastAsia="ja-JP"/>
        </w:rPr>
        <w:t>Kaip minėta anskčiau, kuo aukšesnė VAIC™ koeficiento reikšmė, tuo organizacija sukuria daugiau vertės, naudodamasi kompanijos ištekliais bei įmonės intelektiniu kapitalu. O tai reiškia, jog Lietuvos įmonės yra linkusios sukurti daugiau pridėtinės vertės naudodamosi intelektiniu kapitalu lyginant su Estijos įmonėmis.</w:t>
      </w: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eastAsia="ja-JP"/>
        </w:rPr>
        <w:t>Koreliacinių ryšių tarp finansinių ir nefinansinių rodiklių nustatymui pasitelkta ta pati metodika, kaip ir tiriant Lietuvos įmones – Pirsono koreliacijos koeficientas. Atlikta koreliacinė analizė parod</w:t>
      </w:r>
      <w:r w:rsidR="00243868">
        <w:rPr>
          <w:lang w:eastAsia="ja-JP"/>
        </w:rPr>
        <w:t>ė, kad priešingai nei OMX Vilni</w:t>
      </w:r>
      <w:r w:rsidRPr="00BC25E6">
        <w:rPr>
          <w:lang w:eastAsia="ja-JP"/>
        </w:rPr>
        <w:t>us įmo</w:t>
      </w:r>
      <w:r w:rsidR="00243868">
        <w:rPr>
          <w:lang w:eastAsia="ja-JP"/>
        </w:rPr>
        <w:t>nių atveju, tarp visų OMX Talinas</w:t>
      </w:r>
      <w:r w:rsidRPr="00BC25E6">
        <w:rPr>
          <w:lang w:eastAsia="ja-JP"/>
        </w:rPr>
        <w:t xml:space="preserve"> įmonių intelektinio kapitalo lygio vidutinių rodiklių ir vidutinių ROA bei ROE rodiklių egzistuoja reikšmingas stiprus ryšys </w:t>
      </w:r>
      <w:r w:rsidR="009317A4">
        <w:rPr>
          <w:lang w:val="en-US"/>
        </w:rPr>
        <w:t>(žr. 8 lentelę</w:t>
      </w:r>
      <w:r w:rsidRPr="00BC25E6">
        <w:rPr>
          <w:lang w:val="en-US"/>
        </w:rPr>
        <w:t>)</w:t>
      </w:r>
      <w:r w:rsidRPr="00BC25E6">
        <w:rPr>
          <w:lang w:eastAsia="ja-JP"/>
        </w:rPr>
        <w:t>.</w:t>
      </w:r>
    </w:p>
    <w:p w:rsidR="002A4554" w:rsidRPr="00BC25E6" w:rsidRDefault="002A4554" w:rsidP="002A4554">
      <w:pPr>
        <w:spacing w:line="360" w:lineRule="auto"/>
        <w:rPr>
          <w:lang w:eastAsia="ja-JP"/>
        </w:rPr>
      </w:pPr>
    </w:p>
    <w:p w:rsidR="002A4554" w:rsidRPr="00BC25E6" w:rsidRDefault="002A4554" w:rsidP="002A4554">
      <w:pPr>
        <w:widowControl w:val="0"/>
        <w:autoSpaceDE w:val="0"/>
        <w:autoSpaceDN w:val="0"/>
        <w:adjustRightInd w:val="0"/>
        <w:spacing w:line="360" w:lineRule="auto"/>
        <w:ind w:left="720"/>
        <w:jc w:val="center"/>
        <w:rPr>
          <w:b/>
          <w:lang w:val="en-US"/>
        </w:rPr>
      </w:pPr>
      <w:r w:rsidRPr="00BC25E6">
        <w:rPr>
          <w:b/>
          <w:lang w:val="en-US"/>
        </w:rPr>
        <w:t>8 lentelė. Finansinių ir nefinansinių vidutinių OMX Talinas įmonių rodiklių ryšių koreliacija 2009-2012 metais</w:t>
      </w:r>
    </w:p>
    <w:p w:rsidR="002A4554" w:rsidRDefault="002A4554" w:rsidP="002A4554">
      <w:pPr>
        <w:spacing w:line="360" w:lineRule="auto"/>
        <w:jc w:val="center"/>
        <w:rPr>
          <w:lang w:eastAsia="ja-JP"/>
        </w:rPr>
      </w:pPr>
    </w:p>
    <w:p w:rsidR="00E57E1F" w:rsidRPr="00BC25E6" w:rsidRDefault="00E57E1F" w:rsidP="002A4554">
      <w:pPr>
        <w:spacing w:line="360" w:lineRule="auto"/>
        <w:jc w:val="center"/>
        <w:rPr>
          <w:lang w:eastAsia="ja-JP"/>
        </w:rPr>
      </w:pPr>
    </w:p>
    <w:tbl>
      <w:tblPr>
        <w:tblW w:w="992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2126"/>
        <w:gridCol w:w="1342"/>
        <w:gridCol w:w="1351"/>
        <w:gridCol w:w="1276"/>
        <w:gridCol w:w="1276"/>
        <w:gridCol w:w="1276"/>
      </w:tblGrid>
      <w:tr w:rsidR="002A4554" w:rsidRPr="00BC25E6" w:rsidTr="002A4554">
        <w:trPr>
          <w:cantSplit/>
        </w:trPr>
        <w:tc>
          <w:tcPr>
            <w:tcW w:w="3402" w:type="dxa"/>
            <w:gridSpan w:val="2"/>
            <w:tcBorders>
              <w:top w:val="single" w:sz="16" w:space="0" w:color="000000"/>
              <w:left w:val="single" w:sz="16" w:space="0" w:color="000000"/>
              <w:bottom w:val="single" w:sz="16" w:space="0" w:color="000000"/>
              <w:right w:val="nil"/>
            </w:tcBorders>
            <w:shd w:val="clear" w:color="auto" w:fill="FFFFFF"/>
            <w:vAlign w:val="bottom"/>
          </w:tcPr>
          <w:p w:rsidR="002A4554" w:rsidRPr="00BC25E6" w:rsidRDefault="002A4554" w:rsidP="002A4554">
            <w:pPr>
              <w:rPr>
                <w:sz w:val="22"/>
                <w:szCs w:val="22"/>
              </w:rPr>
            </w:pPr>
          </w:p>
        </w:tc>
        <w:tc>
          <w:tcPr>
            <w:tcW w:w="1342" w:type="dxa"/>
            <w:tcBorders>
              <w:top w:val="single" w:sz="16" w:space="0" w:color="000000"/>
              <w:left w:val="single" w:sz="16" w:space="0" w:color="000000"/>
              <w:bottom w:val="single" w:sz="16" w:space="0" w:color="000000"/>
            </w:tcBorders>
            <w:shd w:val="clear" w:color="auto" w:fill="FFFFFF"/>
            <w:vAlign w:val="bottom"/>
          </w:tcPr>
          <w:p w:rsidR="002A4554" w:rsidRPr="00BC25E6" w:rsidRDefault="002A4554" w:rsidP="002A4554">
            <w:pPr>
              <w:spacing w:line="320" w:lineRule="atLeast"/>
              <w:ind w:left="60" w:right="60"/>
              <w:jc w:val="center"/>
              <w:rPr>
                <w:sz w:val="22"/>
                <w:szCs w:val="22"/>
              </w:rPr>
            </w:pPr>
            <w:r w:rsidRPr="00BC25E6">
              <w:rPr>
                <w:sz w:val="22"/>
                <w:szCs w:val="22"/>
              </w:rPr>
              <w:t>VAIC™ VIDURKIS</w:t>
            </w:r>
          </w:p>
        </w:tc>
        <w:tc>
          <w:tcPr>
            <w:tcW w:w="1351" w:type="dxa"/>
            <w:tcBorders>
              <w:top w:val="single" w:sz="16" w:space="0" w:color="000000"/>
              <w:bottom w:val="single" w:sz="16" w:space="0" w:color="000000"/>
            </w:tcBorders>
            <w:shd w:val="clear" w:color="auto" w:fill="FFFFFF"/>
            <w:vAlign w:val="bottom"/>
          </w:tcPr>
          <w:p w:rsidR="002A4554" w:rsidRPr="00BC25E6" w:rsidRDefault="002A4554" w:rsidP="002A4554">
            <w:pPr>
              <w:spacing w:line="320" w:lineRule="atLeast"/>
              <w:ind w:left="60" w:right="60"/>
              <w:jc w:val="center"/>
              <w:rPr>
                <w:sz w:val="22"/>
                <w:szCs w:val="22"/>
              </w:rPr>
            </w:pPr>
            <w:r w:rsidRPr="00BC25E6">
              <w:rPr>
                <w:sz w:val="22"/>
                <w:szCs w:val="22"/>
              </w:rPr>
              <w:t>ICE VIDURKIS</w:t>
            </w:r>
          </w:p>
        </w:tc>
        <w:tc>
          <w:tcPr>
            <w:tcW w:w="1276" w:type="dxa"/>
            <w:tcBorders>
              <w:top w:val="single" w:sz="16" w:space="0" w:color="000000"/>
              <w:bottom w:val="single" w:sz="16" w:space="0" w:color="000000"/>
            </w:tcBorders>
            <w:shd w:val="clear" w:color="auto" w:fill="FFFFFF"/>
            <w:vAlign w:val="bottom"/>
          </w:tcPr>
          <w:p w:rsidR="002A4554" w:rsidRPr="00BC25E6" w:rsidRDefault="002A4554" w:rsidP="002A4554">
            <w:pPr>
              <w:spacing w:line="320" w:lineRule="atLeast"/>
              <w:ind w:left="60" w:right="60"/>
              <w:jc w:val="center"/>
              <w:rPr>
                <w:sz w:val="22"/>
                <w:szCs w:val="22"/>
              </w:rPr>
            </w:pPr>
            <w:r w:rsidRPr="00BC25E6">
              <w:rPr>
                <w:sz w:val="22"/>
                <w:szCs w:val="22"/>
              </w:rPr>
              <w:t>CIV VIDURKIS</w:t>
            </w:r>
          </w:p>
        </w:tc>
        <w:tc>
          <w:tcPr>
            <w:tcW w:w="1276" w:type="dxa"/>
            <w:tcBorders>
              <w:top w:val="single" w:sz="16" w:space="0" w:color="000000"/>
              <w:bottom w:val="single" w:sz="16" w:space="0" w:color="000000"/>
            </w:tcBorders>
            <w:shd w:val="clear" w:color="auto" w:fill="FFFFFF"/>
            <w:vAlign w:val="bottom"/>
          </w:tcPr>
          <w:p w:rsidR="002A4554" w:rsidRPr="00BC25E6" w:rsidRDefault="002A4554" w:rsidP="002A4554">
            <w:pPr>
              <w:spacing w:line="320" w:lineRule="atLeast"/>
              <w:ind w:left="60" w:right="60"/>
              <w:jc w:val="center"/>
              <w:rPr>
                <w:sz w:val="22"/>
                <w:szCs w:val="22"/>
              </w:rPr>
            </w:pPr>
            <w:r w:rsidRPr="00BC25E6">
              <w:rPr>
                <w:sz w:val="22"/>
                <w:szCs w:val="22"/>
              </w:rPr>
              <w:t>ROA VIDURKIS</w:t>
            </w:r>
          </w:p>
        </w:tc>
        <w:tc>
          <w:tcPr>
            <w:tcW w:w="1276" w:type="dxa"/>
            <w:tcBorders>
              <w:top w:val="single" w:sz="16" w:space="0" w:color="000000"/>
              <w:bottom w:val="single" w:sz="16" w:space="0" w:color="000000"/>
              <w:right w:val="single" w:sz="16" w:space="0" w:color="000000"/>
            </w:tcBorders>
            <w:shd w:val="clear" w:color="auto" w:fill="FFFFFF"/>
            <w:vAlign w:val="bottom"/>
          </w:tcPr>
          <w:p w:rsidR="002A4554" w:rsidRPr="00BC25E6" w:rsidRDefault="002A4554" w:rsidP="002A4554">
            <w:pPr>
              <w:spacing w:line="320" w:lineRule="atLeast"/>
              <w:ind w:left="60" w:right="60"/>
              <w:jc w:val="center"/>
              <w:rPr>
                <w:sz w:val="22"/>
                <w:szCs w:val="22"/>
              </w:rPr>
            </w:pPr>
            <w:r w:rsidRPr="00BC25E6">
              <w:rPr>
                <w:sz w:val="22"/>
                <w:szCs w:val="22"/>
              </w:rPr>
              <w:t>ROE VIDURKIS</w:t>
            </w:r>
          </w:p>
        </w:tc>
      </w:tr>
      <w:tr w:rsidR="002A4554" w:rsidRPr="00BC25E6" w:rsidTr="002A4554">
        <w:trPr>
          <w:cantSplit/>
        </w:trPr>
        <w:tc>
          <w:tcPr>
            <w:tcW w:w="1276" w:type="dxa"/>
            <w:vMerge w:val="restart"/>
            <w:tcBorders>
              <w:top w:val="single" w:sz="16" w:space="0" w:color="000000"/>
              <w:left w:val="single" w:sz="16" w:space="0" w:color="000000"/>
              <w:right w:val="nil"/>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VAIC™ VIDURKIS</w:t>
            </w:r>
          </w:p>
        </w:tc>
        <w:tc>
          <w:tcPr>
            <w:tcW w:w="2126" w:type="dxa"/>
            <w:tcBorders>
              <w:top w:val="single" w:sz="16" w:space="0" w:color="000000"/>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Pearson Correlation</w:t>
            </w:r>
          </w:p>
        </w:tc>
        <w:tc>
          <w:tcPr>
            <w:tcW w:w="1342" w:type="dxa"/>
            <w:tcBorders>
              <w:top w:val="single" w:sz="16" w:space="0" w:color="000000"/>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w:t>
            </w:r>
          </w:p>
        </w:tc>
        <w:tc>
          <w:tcPr>
            <w:tcW w:w="1351" w:type="dxa"/>
            <w:tcBorders>
              <w:top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.999</w:t>
            </w:r>
            <w:r w:rsidRPr="00BC25E6">
              <w:rPr>
                <w:sz w:val="22"/>
                <w:szCs w:val="22"/>
                <w:vertAlign w:val="superscript"/>
              </w:rPr>
              <w:t>**</w:t>
            </w:r>
          </w:p>
        </w:tc>
        <w:tc>
          <w:tcPr>
            <w:tcW w:w="1276" w:type="dxa"/>
            <w:tcBorders>
              <w:top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.987</w:t>
            </w:r>
            <w:r w:rsidRPr="00BC25E6">
              <w:rPr>
                <w:sz w:val="22"/>
                <w:szCs w:val="22"/>
                <w:vertAlign w:val="superscript"/>
              </w:rPr>
              <w:t>**</w:t>
            </w:r>
          </w:p>
        </w:tc>
        <w:tc>
          <w:tcPr>
            <w:tcW w:w="1276" w:type="dxa"/>
            <w:tcBorders>
              <w:top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.847</w:t>
            </w:r>
            <w:r w:rsidRPr="00BC25E6">
              <w:rPr>
                <w:sz w:val="22"/>
                <w:szCs w:val="22"/>
                <w:vertAlign w:val="superscript"/>
              </w:rPr>
              <w:t>*</w:t>
            </w:r>
          </w:p>
        </w:tc>
        <w:tc>
          <w:tcPr>
            <w:tcW w:w="1276" w:type="dxa"/>
            <w:tcBorders>
              <w:top w:val="single" w:sz="16" w:space="0" w:color="000000"/>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.923</w:t>
            </w:r>
            <w:r w:rsidRPr="00BC25E6">
              <w:rPr>
                <w:sz w:val="22"/>
                <w:szCs w:val="22"/>
                <w:vertAlign w:val="superscript"/>
              </w:rPr>
              <w:t>**</w:t>
            </w:r>
          </w:p>
        </w:tc>
      </w:tr>
      <w:tr w:rsidR="002A4554" w:rsidRPr="00BC25E6" w:rsidTr="002A4554">
        <w:trPr>
          <w:cantSplit/>
        </w:trPr>
        <w:tc>
          <w:tcPr>
            <w:tcW w:w="1276" w:type="dxa"/>
            <w:vMerge/>
            <w:tcBorders>
              <w:top w:val="single" w:sz="16" w:space="0" w:color="000000"/>
              <w:left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Sig. (2-tailed)</w:t>
            </w:r>
          </w:p>
        </w:tc>
        <w:tc>
          <w:tcPr>
            <w:tcW w:w="1342" w:type="dxa"/>
            <w:tcBorders>
              <w:top w:val="nil"/>
              <w:left w:val="single" w:sz="16" w:space="0" w:color="000000"/>
              <w:bottom w:val="nil"/>
            </w:tcBorders>
            <w:shd w:val="clear" w:color="auto" w:fill="FFFFFF"/>
            <w:vAlign w:val="center"/>
          </w:tcPr>
          <w:p w:rsidR="002A4554" w:rsidRPr="00BC25E6" w:rsidRDefault="002A4554" w:rsidP="002A4554">
            <w:pPr>
              <w:rPr>
                <w:sz w:val="22"/>
                <w:szCs w:val="22"/>
              </w:rPr>
            </w:pPr>
          </w:p>
        </w:tc>
        <w:tc>
          <w:tcPr>
            <w:tcW w:w="1351"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.000</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.000</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.033</w:t>
            </w:r>
          </w:p>
        </w:tc>
        <w:tc>
          <w:tcPr>
            <w:tcW w:w="1276" w:type="dxa"/>
            <w:tcBorders>
              <w:top w:val="nil"/>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.009</w:t>
            </w:r>
          </w:p>
        </w:tc>
      </w:tr>
      <w:tr w:rsidR="002A4554" w:rsidRPr="00BC25E6" w:rsidTr="002A4554">
        <w:trPr>
          <w:cantSplit/>
        </w:trPr>
        <w:tc>
          <w:tcPr>
            <w:tcW w:w="1276" w:type="dxa"/>
            <w:vMerge/>
            <w:tcBorders>
              <w:top w:val="single" w:sz="16" w:space="0" w:color="000000"/>
              <w:left w:val="single" w:sz="16" w:space="0" w:color="000000"/>
              <w:bottom w:val="single" w:sz="4" w:space="0" w:color="auto"/>
              <w:right w:val="nil"/>
            </w:tcBorders>
            <w:shd w:val="clear" w:color="auto" w:fill="FFFFFF"/>
          </w:tcPr>
          <w:p w:rsidR="002A4554" w:rsidRPr="00BC25E6" w:rsidRDefault="002A4554" w:rsidP="002A4554">
            <w:pPr>
              <w:rPr>
                <w:sz w:val="22"/>
                <w:szCs w:val="22"/>
              </w:rPr>
            </w:pPr>
          </w:p>
        </w:tc>
        <w:tc>
          <w:tcPr>
            <w:tcW w:w="2126" w:type="dxa"/>
            <w:tcBorders>
              <w:top w:val="nil"/>
              <w:left w:val="nil"/>
              <w:bottom w:val="single" w:sz="4" w:space="0" w:color="auto"/>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N</w:t>
            </w:r>
          </w:p>
        </w:tc>
        <w:tc>
          <w:tcPr>
            <w:tcW w:w="1342" w:type="dxa"/>
            <w:tcBorders>
              <w:top w:val="nil"/>
              <w:left w:val="single" w:sz="16" w:space="0" w:color="000000"/>
              <w:bottom w:val="single" w:sz="4" w:space="0" w:color="auto"/>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351" w:type="dxa"/>
            <w:tcBorders>
              <w:top w:val="nil"/>
              <w:bottom w:val="single" w:sz="4" w:space="0" w:color="auto"/>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276" w:type="dxa"/>
            <w:tcBorders>
              <w:top w:val="nil"/>
              <w:bottom w:val="single" w:sz="4" w:space="0" w:color="auto"/>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276" w:type="dxa"/>
            <w:tcBorders>
              <w:top w:val="nil"/>
              <w:bottom w:val="single" w:sz="4" w:space="0" w:color="auto"/>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276" w:type="dxa"/>
            <w:tcBorders>
              <w:top w:val="nil"/>
              <w:bottom w:val="single" w:sz="4" w:space="0" w:color="auto"/>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r>
      <w:tr w:rsidR="002A4554" w:rsidRPr="00BC25E6" w:rsidTr="002A4554">
        <w:trPr>
          <w:cantSplit/>
        </w:trPr>
        <w:tc>
          <w:tcPr>
            <w:tcW w:w="9923" w:type="dxa"/>
            <w:gridSpan w:val="7"/>
            <w:tcBorders>
              <w:top w:val="single" w:sz="4" w:space="0" w:color="auto"/>
              <w:left w:val="nil"/>
              <w:bottom w:val="nil"/>
              <w:right w:val="nil"/>
            </w:tcBorders>
            <w:shd w:val="clear" w:color="auto" w:fill="FFFFFF"/>
          </w:tcPr>
          <w:p w:rsidR="002A4554" w:rsidRPr="00BC25E6" w:rsidRDefault="002A4554" w:rsidP="002A4554">
            <w:pPr>
              <w:spacing w:line="320" w:lineRule="atLeast"/>
              <w:ind w:left="60" w:right="60"/>
              <w:jc w:val="right"/>
              <w:rPr>
                <w:sz w:val="22"/>
                <w:szCs w:val="22"/>
              </w:rPr>
            </w:pPr>
            <w:r w:rsidRPr="00BC25E6">
              <w:rPr>
                <w:sz w:val="20"/>
                <w:szCs w:val="20"/>
              </w:rPr>
              <w:t>8 lentelės tęsinys kitame puslapyje</w:t>
            </w:r>
          </w:p>
        </w:tc>
      </w:tr>
      <w:tr w:rsidR="002A4554" w:rsidRPr="00BC25E6" w:rsidTr="002A4554">
        <w:trPr>
          <w:cantSplit/>
        </w:trPr>
        <w:tc>
          <w:tcPr>
            <w:tcW w:w="9923" w:type="dxa"/>
            <w:gridSpan w:val="7"/>
            <w:tcBorders>
              <w:top w:val="nil"/>
              <w:left w:val="nil"/>
              <w:bottom w:val="single" w:sz="4" w:space="0" w:color="auto"/>
              <w:right w:val="nil"/>
            </w:tcBorders>
            <w:shd w:val="clear" w:color="auto" w:fill="FFFFFF"/>
          </w:tcPr>
          <w:p w:rsidR="002A4554" w:rsidRPr="00BC25E6" w:rsidRDefault="002A4554" w:rsidP="002A4554">
            <w:pPr>
              <w:rPr>
                <w:sz w:val="22"/>
                <w:szCs w:val="22"/>
              </w:rPr>
            </w:pPr>
          </w:p>
          <w:p w:rsidR="002A4554" w:rsidRPr="00BC25E6" w:rsidRDefault="002A4554" w:rsidP="002A4554">
            <w:pPr>
              <w:spacing w:line="320" w:lineRule="atLeast"/>
              <w:ind w:left="60" w:right="60"/>
              <w:jc w:val="right"/>
              <w:rPr>
                <w:sz w:val="22"/>
                <w:szCs w:val="22"/>
              </w:rPr>
            </w:pPr>
            <w:r w:rsidRPr="00BC25E6">
              <w:rPr>
                <w:sz w:val="22"/>
                <w:szCs w:val="22"/>
              </w:rPr>
              <w:t>8 lentelės tęsinys</w:t>
            </w:r>
          </w:p>
        </w:tc>
      </w:tr>
      <w:tr w:rsidR="002A4554" w:rsidRPr="00BC25E6" w:rsidTr="002A4554">
        <w:trPr>
          <w:cantSplit/>
        </w:trPr>
        <w:tc>
          <w:tcPr>
            <w:tcW w:w="1276" w:type="dxa"/>
            <w:vMerge w:val="restart"/>
            <w:tcBorders>
              <w:top w:val="single" w:sz="4" w:space="0" w:color="auto"/>
              <w:left w:val="single" w:sz="16" w:space="0" w:color="000000"/>
              <w:right w:val="nil"/>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ICE VIDURKIS</w:t>
            </w:r>
          </w:p>
        </w:tc>
        <w:tc>
          <w:tcPr>
            <w:tcW w:w="2126" w:type="dxa"/>
            <w:tcBorders>
              <w:top w:val="single" w:sz="4" w:space="0" w:color="auto"/>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Pearson Correlation</w:t>
            </w:r>
          </w:p>
        </w:tc>
        <w:tc>
          <w:tcPr>
            <w:tcW w:w="1342" w:type="dxa"/>
            <w:tcBorders>
              <w:top w:val="single" w:sz="4" w:space="0" w:color="auto"/>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.999</w:t>
            </w:r>
            <w:r w:rsidRPr="00BC25E6">
              <w:rPr>
                <w:sz w:val="22"/>
                <w:szCs w:val="22"/>
                <w:vertAlign w:val="superscript"/>
              </w:rPr>
              <w:t>**</w:t>
            </w:r>
          </w:p>
        </w:tc>
        <w:tc>
          <w:tcPr>
            <w:tcW w:w="1351" w:type="dxa"/>
            <w:tcBorders>
              <w:top w:val="single" w:sz="4" w:space="0" w:color="auto"/>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w:t>
            </w:r>
          </w:p>
        </w:tc>
        <w:tc>
          <w:tcPr>
            <w:tcW w:w="1276" w:type="dxa"/>
            <w:tcBorders>
              <w:top w:val="single" w:sz="4" w:space="0" w:color="auto"/>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.992</w:t>
            </w:r>
            <w:r w:rsidRPr="00BC25E6">
              <w:rPr>
                <w:sz w:val="22"/>
                <w:szCs w:val="22"/>
                <w:vertAlign w:val="superscript"/>
              </w:rPr>
              <w:t>**</w:t>
            </w:r>
          </w:p>
        </w:tc>
        <w:tc>
          <w:tcPr>
            <w:tcW w:w="1276" w:type="dxa"/>
            <w:tcBorders>
              <w:top w:val="single" w:sz="4" w:space="0" w:color="auto"/>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.837</w:t>
            </w:r>
            <w:r w:rsidRPr="00BC25E6">
              <w:rPr>
                <w:sz w:val="22"/>
                <w:szCs w:val="22"/>
                <w:vertAlign w:val="superscript"/>
              </w:rPr>
              <w:t>*</w:t>
            </w:r>
          </w:p>
        </w:tc>
        <w:tc>
          <w:tcPr>
            <w:tcW w:w="1276" w:type="dxa"/>
            <w:tcBorders>
              <w:top w:val="single" w:sz="4" w:space="0" w:color="auto"/>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.914</w:t>
            </w:r>
            <w:r w:rsidRPr="00BC25E6">
              <w:rPr>
                <w:sz w:val="22"/>
                <w:szCs w:val="22"/>
                <w:vertAlign w:val="superscript"/>
              </w:rPr>
              <w:t>*</w:t>
            </w:r>
          </w:p>
        </w:tc>
      </w:tr>
      <w:tr w:rsidR="002A4554" w:rsidRPr="00BC25E6" w:rsidTr="002A4554">
        <w:trPr>
          <w:cantSplit/>
        </w:trPr>
        <w:tc>
          <w:tcPr>
            <w:tcW w:w="1276" w:type="dxa"/>
            <w:vMerge/>
            <w:tcBorders>
              <w:top w:val="nil"/>
              <w:left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Sig. (2-tailed)</w:t>
            </w:r>
          </w:p>
        </w:tc>
        <w:tc>
          <w:tcPr>
            <w:tcW w:w="1342" w:type="dxa"/>
            <w:tcBorders>
              <w:top w:val="nil"/>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.000</w:t>
            </w:r>
          </w:p>
        </w:tc>
        <w:tc>
          <w:tcPr>
            <w:tcW w:w="1351" w:type="dxa"/>
            <w:tcBorders>
              <w:top w:val="nil"/>
              <w:bottom w:val="nil"/>
            </w:tcBorders>
            <w:shd w:val="clear" w:color="auto" w:fill="FFFFFF"/>
            <w:vAlign w:val="center"/>
          </w:tcPr>
          <w:p w:rsidR="002A4554" w:rsidRPr="00BC25E6" w:rsidRDefault="002A4554" w:rsidP="002A4554">
            <w:pPr>
              <w:rPr>
                <w:sz w:val="22"/>
                <w:szCs w:val="22"/>
              </w:rPr>
            </w:pP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.000</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.038</w:t>
            </w:r>
          </w:p>
        </w:tc>
        <w:tc>
          <w:tcPr>
            <w:tcW w:w="1276" w:type="dxa"/>
            <w:tcBorders>
              <w:top w:val="nil"/>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.011</w:t>
            </w:r>
          </w:p>
        </w:tc>
      </w:tr>
      <w:tr w:rsidR="002A4554" w:rsidRPr="00BC25E6" w:rsidTr="002A4554">
        <w:trPr>
          <w:cantSplit/>
        </w:trPr>
        <w:tc>
          <w:tcPr>
            <w:tcW w:w="1276" w:type="dxa"/>
            <w:vMerge/>
            <w:tcBorders>
              <w:top w:val="nil"/>
              <w:left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N</w:t>
            </w:r>
          </w:p>
        </w:tc>
        <w:tc>
          <w:tcPr>
            <w:tcW w:w="1342" w:type="dxa"/>
            <w:tcBorders>
              <w:top w:val="nil"/>
              <w:lef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351"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276"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276"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276" w:type="dxa"/>
            <w:tcBorders>
              <w:top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r>
      <w:tr w:rsidR="002A4554" w:rsidRPr="00BC25E6" w:rsidTr="002A4554">
        <w:trPr>
          <w:cantSplit/>
        </w:trPr>
        <w:tc>
          <w:tcPr>
            <w:tcW w:w="1276" w:type="dxa"/>
            <w:vMerge w:val="restart"/>
            <w:tcBorders>
              <w:top w:val="nil"/>
              <w:left w:val="single" w:sz="16" w:space="0" w:color="000000"/>
              <w:right w:val="nil"/>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CIV VIDURKIS</w:t>
            </w:r>
          </w:p>
        </w:tc>
        <w:tc>
          <w:tcPr>
            <w:tcW w:w="2126"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Pearson Correlation</w:t>
            </w:r>
          </w:p>
        </w:tc>
        <w:tc>
          <w:tcPr>
            <w:tcW w:w="1342" w:type="dxa"/>
            <w:tcBorders>
              <w:top w:val="nil"/>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.987</w:t>
            </w:r>
            <w:r w:rsidRPr="00BC25E6">
              <w:rPr>
                <w:sz w:val="22"/>
                <w:szCs w:val="22"/>
                <w:vertAlign w:val="superscript"/>
              </w:rPr>
              <w:t>**</w:t>
            </w:r>
          </w:p>
        </w:tc>
        <w:tc>
          <w:tcPr>
            <w:tcW w:w="1351"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.992</w:t>
            </w:r>
            <w:r w:rsidRPr="00BC25E6">
              <w:rPr>
                <w:sz w:val="22"/>
                <w:szCs w:val="22"/>
                <w:vertAlign w:val="superscript"/>
              </w:rPr>
              <w:t>**</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.802</w:t>
            </w:r>
          </w:p>
        </w:tc>
        <w:tc>
          <w:tcPr>
            <w:tcW w:w="1276" w:type="dxa"/>
            <w:tcBorders>
              <w:top w:val="nil"/>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.881</w:t>
            </w:r>
            <w:r w:rsidRPr="00BC25E6">
              <w:rPr>
                <w:sz w:val="22"/>
                <w:szCs w:val="22"/>
                <w:vertAlign w:val="superscript"/>
              </w:rPr>
              <w:t>*</w:t>
            </w:r>
          </w:p>
        </w:tc>
      </w:tr>
      <w:tr w:rsidR="002A4554" w:rsidRPr="00BC25E6" w:rsidTr="002A4554">
        <w:trPr>
          <w:cantSplit/>
        </w:trPr>
        <w:tc>
          <w:tcPr>
            <w:tcW w:w="1276" w:type="dxa"/>
            <w:vMerge/>
            <w:tcBorders>
              <w:top w:val="nil"/>
              <w:left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Sig. (2-tailed)</w:t>
            </w:r>
          </w:p>
        </w:tc>
        <w:tc>
          <w:tcPr>
            <w:tcW w:w="1342" w:type="dxa"/>
            <w:tcBorders>
              <w:top w:val="nil"/>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.000</w:t>
            </w:r>
          </w:p>
        </w:tc>
        <w:tc>
          <w:tcPr>
            <w:tcW w:w="1351"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.000</w:t>
            </w:r>
          </w:p>
        </w:tc>
        <w:tc>
          <w:tcPr>
            <w:tcW w:w="1276" w:type="dxa"/>
            <w:tcBorders>
              <w:top w:val="nil"/>
              <w:bottom w:val="nil"/>
            </w:tcBorders>
            <w:shd w:val="clear" w:color="auto" w:fill="FFFFFF"/>
            <w:vAlign w:val="center"/>
          </w:tcPr>
          <w:p w:rsidR="002A4554" w:rsidRPr="00BC25E6" w:rsidRDefault="002A4554" w:rsidP="002A4554">
            <w:pPr>
              <w:rPr>
                <w:sz w:val="22"/>
                <w:szCs w:val="22"/>
              </w:rPr>
            </w:pP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.055</w:t>
            </w:r>
          </w:p>
        </w:tc>
        <w:tc>
          <w:tcPr>
            <w:tcW w:w="1276" w:type="dxa"/>
            <w:tcBorders>
              <w:top w:val="nil"/>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.021</w:t>
            </w:r>
          </w:p>
        </w:tc>
      </w:tr>
      <w:tr w:rsidR="002A4554" w:rsidRPr="00BC25E6" w:rsidTr="002A4554">
        <w:trPr>
          <w:cantSplit/>
        </w:trPr>
        <w:tc>
          <w:tcPr>
            <w:tcW w:w="1276" w:type="dxa"/>
            <w:vMerge/>
            <w:tcBorders>
              <w:top w:val="nil"/>
              <w:left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N</w:t>
            </w:r>
          </w:p>
        </w:tc>
        <w:tc>
          <w:tcPr>
            <w:tcW w:w="1342" w:type="dxa"/>
            <w:tcBorders>
              <w:top w:val="nil"/>
              <w:lef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351"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276"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276"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276" w:type="dxa"/>
            <w:tcBorders>
              <w:top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r>
      <w:tr w:rsidR="002A4554" w:rsidRPr="00BC25E6" w:rsidTr="002A4554">
        <w:trPr>
          <w:cantSplit/>
        </w:trPr>
        <w:tc>
          <w:tcPr>
            <w:tcW w:w="1276" w:type="dxa"/>
            <w:vMerge w:val="restart"/>
            <w:tcBorders>
              <w:top w:val="nil"/>
              <w:left w:val="single" w:sz="16" w:space="0" w:color="000000"/>
              <w:right w:val="nil"/>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ROA VIDURKIS</w:t>
            </w:r>
          </w:p>
        </w:tc>
        <w:tc>
          <w:tcPr>
            <w:tcW w:w="2126"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Pearson Correlation</w:t>
            </w:r>
          </w:p>
        </w:tc>
        <w:tc>
          <w:tcPr>
            <w:tcW w:w="1342" w:type="dxa"/>
            <w:tcBorders>
              <w:top w:val="nil"/>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.847</w:t>
            </w:r>
            <w:r w:rsidRPr="00BC25E6">
              <w:rPr>
                <w:sz w:val="22"/>
                <w:szCs w:val="22"/>
                <w:vertAlign w:val="superscript"/>
              </w:rPr>
              <w:t>*</w:t>
            </w:r>
          </w:p>
        </w:tc>
        <w:tc>
          <w:tcPr>
            <w:tcW w:w="1351"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.837</w:t>
            </w:r>
            <w:r w:rsidRPr="00BC25E6">
              <w:rPr>
                <w:sz w:val="22"/>
                <w:szCs w:val="22"/>
                <w:vertAlign w:val="superscript"/>
              </w:rPr>
              <w:t>*</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.802</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w:t>
            </w:r>
          </w:p>
        </w:tc>
        <w:tc>
          <w:tcPr>
            <w:tcW w:w="1276" w:type="dxa"/>
            <w:tcBorders>
              <w:top w:val="nil"/>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.977</w:t>
            </w:r>
            <w:r w:rsidRPr="00BC25E6">
              <w:rPr>
                <w:sz w:val="22"/>
                <w:szCs w:val="22"/>
                <w:vertAlign w:val="superscript"/>
              </w:rPr>
              <w:t>**</w:t>
            </w:r>
          </w:p>
        </w:tc>
      </w:tr>
      <w:tr w:rsidR="002A4554" w:rsidRPr="00BC25E6" w:rsidTr="002A4554">
        <w:trPr>
          <w:cantSplit/>
        </w:trPr>
        <w:tc>
          <w:tcPr>
            <w:tcW w:w="1276" w:type="dxa"/>
            <w:vMerge/>
            <w:tcBorders>
              <w:top w:val="nil"/>
              <w:left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Sig. (2-tailed)</w:t>
            </w:r>
          </w:p>
        </w:tc>
        <w:tc>
          <w:tcPr>
            <w:tcW w:w="1342" w:type="dxa"/>
            <w:tcBorders>
              <w:top w:val="nil"/>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.033</w:t>
            </w:r>
          </w:p>
        </w:tc>
        <w:tc>
          <w:tcPr>
            <w:tcW w:w="1351"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.038</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.055</w:t>
            </w:r>
          </w:p>
        </w:tc>
        <w:tc>
          <w:tcPr>
            <w:tcW w:w="1276" w:type="dxa"/>
            <w:tcBorders>
              <w:top w:val="nil"/>
              <w:bottom w:val="nil"/>
            </w:tcBorders>
            <w:shd w:val="clear" w:color="auto" w:fill="FFFFFF"/>
            <w:vAlign w:val="center"/>
          </w:tcPr>
          <w:p w:rsidR="002A4554" w:rsidRPr="00BC25E6" w:rsidRDefault="002A4554" w:rsidP="002A4554">
            <w:pPr>
              <w:rPr>
                <w:sz w:val="22"/>
                <w:szCs w:val="22"/>
              </w:rPr>
            </w:pPr>
          </w:p>
        </w:tc>
        <w:tc>
          <w:tcPr>
            <w:tcW w:w="1276" w:type="dxa"/>
            <w:tcBorders>
              <w:top w:val="nil"/>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.001</w:t>
            </w:r>
          </w:p>
        </w:tc>
      </w:tr>
      <w:tr w:rsidR="002A4554" w:rsidRPr="00BC25E6" w:rsidTr="002A4554">
        <w:trPr>
          <w:cantSplit/>
        </w:trPr>
        <w:tc>
          <w:tcPr>
            <w:tcW w:w="1276" w:type="dxa"/>
            <w:vMerge/>
            <w:tcBorders>
              <w:top w:val="nil"/>
              <w:left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N</w:t>
            </w:r>
          </w:p>
        </w:tc>
        <w:tc>
          <w:tcPr>
            <w:tcW w:w="1342" w:type="dxa"/>
            <w:tcBorders>
              <w:top w:val="nil"/>
              <w:lef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351"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276"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276" w:type="dxa"/>
            <w:tcBorders>
              <w:top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276" w:type="dxa"/>
            <w:tcBorders>
              <w:top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r>
      <w:tr w:rsidR="002A4554" w:rsidRPr="00BC25E6" w:rsidTr="002A4554">
        <w:trPr>
          <w:cantSplit/>
        </w:trPr>
        <w:tc>
          <w:tcPr>
            <w:tcW w:w="1276" w:type="dxa"/>
            <w:vMerge w:val="restart"/>
            <w:tcBorders>
              <w:top w:val="nil"/>
              <w:left w:val="single" w:sz="16" w:space="0" w:color="000000"/>
              <w:bottom w:val="single" w:sz="16" w:space="0" w:color="000000"/>
              <w:right w:val="nil"/>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ROE VIDURKIS</w:t>
            </w:r>
          </w:p>
        </w:tc>
        <w:tc>
          <w:tcPr>
            <w:tcW w:w="2126"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Pearson Correlation</w:t>
            </w:r>
          </w:p>
        </w:tc>
        <w:tc>
          <w:tcPr>
            <w:tcW w:w="1342" w:type="dxa"/>
            <w:tcBorders>
              <w:top w:val="nil"/>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.923</w:t>
            </w:r>
            <w:r w:rsidRPr="00BC25E6">
              <w:rPr>
                <w:sz w:val="22"/>
                <w:szCs w:val="22"/>
                <w:vertAlign w:val="superscript"/>
              </w:rPr>
              <w:t>**</w:t>
            </w:r>
          </w:p>
        </w:tc>
        <w:tc>
          <w:tcPr>
            <w:tcW w:w="1351"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.914</w:t>
            </w:r>
            <w:r w:rsidRPr="00BC25E6">
              <w:rPr>
                <w:sz w:val="22"/>
                <w:szCs w:val="22"/>
                <w:vertAlign w:val="superscript"/>
              </w:rPr>
              <w:t>*</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.881</w:t>
            </w:r>
            <w:r w:rsidRPr="00BC25E6">
              <w:rPr>
                <w:sz w:val="22"/>
                <w:szCs w:val="22"/>
                <w:vertAlign w:val="superscript"/>
              </w:rPr>
              <w:t>*</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.977</w:t>
            </w:r>
            <w:r w:rsidRPr="00BC25E6">
              <w:rPr>
                <w:sz w:val="22"/>
                <w:szCs w:val="22"/>
                <w:vertAlign w:val="superscript"/>
              </w:rPr>
              <w:t>**</w:t>
            </w:r>
          </w:p>
        </w:tc>
        <w:tc>
          <w:tcPr>
            <w:tcW w:w="1276" w:type="dxa"/>
            <w:tcBorders>
              <w:top w:val="nil"/>
              <w:bottom w:val="nil"/>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1</w:t>
            </w:r>
          </w:p>
        </w:tc>
      </w:tr>
      <w:tr w:rsidR="002A4554" w:rsidRPr="00BC25E6" w:rsidTr="002A4554">
        <w:trPr>
          <w:cantSplit/>
        </w:trPr>
        <w:tc>
          <w:tcPr>
            <w:tcW w:w="1276" w:type="dxa"/>
            <w:vMerge/>
            <w:tcBorders>
              <w:top w:val="nil"/>
              <w:left w:val="single" w:sz="16" w:space="0" w:color="000000"/>
              <w:bottom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bottom w:val="nil"/>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Sig. (2-tailed)</w:t>
            </w:r>
          </w:p>
        </w:tc>
        <w:tc>
          <w:tcPr>
            <w:tcW w:w="1342" w:type="dxa"/>
            <w:tcBorders>
              <w:top w:val="nil"/>
              <w:left w:val="single" w:sz="16" w:space="0" w:color="000000"/>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.009</w:t>
            </w:r>
          </w:p>
        </w:tc>
        <w:tc>
          <w:tcPr>
            <w:tcW w:w="1351"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.011</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.021</w:t>
            </w:r>
          </w:p>
        </w:tc>
        <w:tc>
          <w:tcPr>
            <w:tcW w:w="1276" w:type="dxa"/>
            <w:tcBorders>
              <w:top w:val="nil"/>
              <w:bottom w:val="nil"/>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.001</w:t>
            </w:r>
          </w:p>
        </w:tc>
        <w:tc>
          <w:tcPr>
            <w:tcW w:w="1276" w:type="dxa"/>
            <w:tcBorders>
              <w:top w:val="nil"/>
              <w:bottom w:val="nil"/>
              <w:right w:val="single" w:sz="16" w:space="0" w:color="000000"/>
            </w:tcBorders>
            <w:shd w:val="clear" w:color="auto" w:fill="FFFFFF"/>
            <w:vAlign w:val="center"/>
          </w:tcPr>
          <w:p w:rsidR="002A4554" w:rsidRPr="00BC25E6" w:rsidRDefault="002A4554" w:rsidP="002A4554">
            <w:pPr>
              <w:rPr>
                <w:sz w:val="22"/>
                <w:szCs w:val="22"/>
              </w:rPr>
            </w:pPr>
          </w:p>
        </w:tc>
      </w:tr>
      <w:tr w:rsidR="002A4554" w:rsidRPr="00BC25E6" w:rsidTr="002A4554">
        <w:trPr>
          <w:cantSplit/>
        </w:trPr>
        <w:tc>
          <w:tcPr>
            <w:tcW w:w="1276" w:type="dxa"/>
            <w:vMerge/>
            <w:tcBorders>
              <w:top w:val="nil"/>
              <w:left w:val="single" w:sz="16" w:space="0" w:color="000000"/>
              <w:bottom w:val="single" w:sz="16" w:space="0" w:color="000000"/>
              <w:right w:val="nil"/>
            </w:tcBorders>
            <w:shd w:val="clear" w:color="auto" w:fill="FFFFFF"/>
          </w:tcPr>
          <w:p w:rsidR="002A4554" w:rsidRPr="00BC25E6" w:rsidRDefault="002A4554" w:rsidP="002A4554">
            <w:pPr>
              <w:rPr>
                <w:sz w:val="22"/>
                <w:szCs w:val="22"/>
              </w:rPr>
            </w:pPr>
          </w:p>
        </w:tc>
        <w:tc>
          <w:tcPr>
            <w:tcW w:w="2126" w:type="dxa"/>
            <w:tcBorders>
              <w:top w:val="nil"/>
              <w:left w:val="nil"/>
              <w:bottom w:val="single" w:sz="16" w:space="0" w:color="000000"/>
              <w:right w:val="single" w:sz="16" w:space="0" w:color="000000"/>
            </w:tcBorders>
            <w:shd w:val="clear" w:color="auto" w:fill="FFFFFF"/>
          </w:tcPr>
          <w:p w:rsidR="002A4554" w:rsidRPr="00BC25E6" w:rsidRDefault="002A4554" w:rsidP="002A4554">
            <w:pPr>
              <w:spacing w:line="320" w:lineRule="atLeast"/>
              <w:ind w:left="60" w:right="60"/>
              <w:rPr>
                <w:sz w:val="22"/>
                <w:szCs w:val="22"/>
              </w:rPr>
            </w:pPr>
            <w:r w:rsidRPr="00BC25E6">
              <w:rPr>
                <w:sz w:val="22"/>
                <w:szCs w:val="22"/>
              </w:rPr>
              <w:t>N</w:t>
            </w:r>
          </w:p>
        </w:tc>
        <w:tc>
          <w:tcPr>
            <w:tcW w:w="1342" w:type="dxa"/>
            <w:tcBorders>
              <w:top w:val="nil"/>
              <w:left w:val="single" w:sz="16" w:space="0" w:color="000000"/>
              <w:bottom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351" w:type="dxa"/>
            <w:tcBorders>
              <w:top w:val="nil"/>
              <w:bottom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276" w:type="dxa"/>
            <w:tcBorders>
              <w:top w:val="nil"/>
              <w:bottom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276" w:type="dxa"/>
            <w:tcBorders>
              <w:top w:val="nil"/>
              <w:bottom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c>
          <w:tcPr>
            <w:tcW w:w="1276" w:type="dxa"/>
            <w:tcBorders>
              <w:top w:val="nil"/>
              <w:bottom w:val="single" w:sz="16" w:space="0" w:color="000000"/>
              <w:right w:val="single" w:sz="16" w:space="0" w:color="000000"/>
            </w:tcBorders>
            <w:shd w:val="clear" w:color="auto" w:fill="FFFFFF"/>
            <w:vAlign w:val="center"/>
          </w:tcPr>
          <w:p w:rsidR="002A4554" w:rsidRPr="00BC25E6" w:rsidRDefault="002A4554" w:rsidP="002A4554">
            <w:pPr>
              <w:spacing w:line="320" w:lineRule="atLeast"/>
              <w:ind w:left="60" w:right="60"/>
              <w:jc w:val="right"/>
              <w:rPr>
                <w:sz w:val="22"/>
                <w:szCs w:val="22"/>
              </w:rPr>
            </w:pPr>
            <w:r w:rsidRPr="00BC25E6">
              <w:rPr>
                <w:sz w:val="22"/>
                <w:szCs w:val="22"/>
              </w:rPr>
              <w:t>6</w:t>
            </w:r>
          </w:p>
        </w:tc>
      </w:tr>
    </w:tbl>
    <w:p w:rsidR="002A4554" w:rsidRPr="00BC25E6" w:rsidRDefault="002A4554" w:rsidP="002A4554">
      <w:pPr>
        <w:widowControl w:val="0"/>
        <w:autoSpaceDE w:val="0"/>
        <w:autoSpaceDN w:val="0"/>
        <w:adjustRightInd w:val="0"/>
        <w:rPr>
          <w:sz w:val="20"/>
          <w:szCs w:val="20"/>
          <w:lang w:val="en-US"/>
        </w:rPr>
      </w:pPr>
      <w:r w:rsidRPr="00BC25E6">
        <w:rPr>
          <w:sz w:val="20"/>
          <w:szCs w:val="20"/>
          <w:lang w:val="en-US"/>
        </w:rPr>
        <w:t>** Koreliacija yra statistiškai reikšminga, kai p&lt;0,01 (abipusis ryšys).</w:t>
      </w:r>
    </w:p>
    <w:p w:rsidR="002A4554" w:rsidRPr="00227B53" w:rsidRDefault="002A4554" w:rsidP="00227B53">
      <w:pPr>
        <w:pStyle w:val="ListParagraph"/>
        <w:widowControl w:val="0"/>
        <w:numPr>
          <w:ilvl w:val="0"/>
          <w:numId w:val="35"/>
        </w:numPr>
        <w:autoSpaceDE w:val="0"/>
        <w:autoSpaceDN w:val="0"/>
        <w:adjustRightInd w:val="0"/>
        <w:rPr>
          <w:sz w:val="20"/>
          <w:szCs w:val="20"/>
          <w:lang w:val="en-US"/>
        </w:rPr>
      </w:pPr>
      <w:r w:rsidRPr="00227B53">
        <w:rPr>
          <w:sz w:val="20"/>
          <w:szCs w:val="20"/>
          <w:lang w:val="en-US"/>
        </w:rPr>
        <w:t>Koreliacija yra statistiškai reikšminga, kai p&lt;0,05 (abipusis ryšys).</w:t>
      </w:r>
    </w:p>
    <w:p w:rsidR="002A4554" w:rsidRPr="00BC25E6" w:rsidRDefault="002A4554" w:rsidP="002A4554">
      <w:pPr>
        <w:spacing w:line="360" w:lineRule="auto"/>
        <w:rPr>
          <w:lang w:eastAsia="ja-JP"/>
        </w:rPr>
      </w:pPr>
    </w:p>
    <w:p w:rsidR="002A4554" w:rsidRPr="00BC25E6" w:rsidRDefault="00243868" w:rsidP="002A4554">
      <w:pPr>
        <w:spacing w:line="360" w:lineRule="auto"/>
        <w:ind w:firstLine="567"/>
        <w:jc w:val="both"/>
        <w:rPr>
          <w:lang w:val="en-US"/>
        </w:rPr>
      </w:pPr>
      <w:r>
        <w:rPr>
          <w:lang w:eastAsia="ja-JP"/>
        </w:rPr>
        <w:t>OMX Talinas</w:t>
      </w:r>
      <w:r w:rsidR="002A4554" w:rsidRPr="00BC25E6">
        <w:rPr>
          <w:lang w:eastAsia="ja-JP"/>
        </w:rPr>
        <w:t xml:space="preserve"> vertybinių popierių biržoje listinguojamų įmonių tarp finansinių ir nefinansinių rodiklių egzistuoja reikšmingas stiprus ryšys. Stebint VAIC™ rodiklį, aptinkamas labai  stiprus ryšys tarp VAIC™ ir ICE (0,999), taip pat tarp VAIC™ ir CIV (0,987), bei tarp VAIC™ ir ROE (0,923). ICE labai stipriai koreliuoja su CIV (0,992),  bei labai stiprus koreliacini ryšys matomas tarp finansinių ROA ir ROE rodiklių (0,997). Visais šiais atvejais </w:t>
      </w:r>
      <w:r w:rsidR="002A4554" w:rsidRPr="00BC25E6">
        <w:rPr>
          <w:lang w:val="en-US"/>
        </w:rPr>
        <w:t xml:space="preserve">koreliacija statištiškai reikšminga, kadangi reikšmingumo lygmuo p&lt;0,01. </w:t>
      </w:r>
    </w:p>
    <w:p w:rsidR="002A4554" w:rsidRPr="00BC25E6" w:rsidRDefault="002A4554" w:rsidP="002A4554">
      <w:pPr>
        <w:spacing w:line="360" w:lineRule="auto"/>
        <w:ind w:firstLine="567"/>
        <w:jc w:val="both"/>
        <w:rPr>
          <w:lang w:eastAsia="ja-JP"/>
        </w:rPr>
      </w:pPr>
      <w:r w:rsidRPr="00BC25E6">
        <w:rPr>
          <w:lang w:val="en-US"/>
        </w:rPr>
        <w:t xml:space="preserve">Tačiau matomas ir statistiškai reikšmingas koreliacinis ryšys, kai reikšmingumo lygmuo p&lt;0,05. Taip pastebimas stiprus ryšys tarp VAIC™ ir ROA (0,847), tarp ICE ir ROA (0,837), tarp ICE ir ROE (0,914), ir tarp CIV ir ROE (0,881). </w:t>
      </w: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val="en-US"/>
        </w:rPr>
        <w:t xml:space="preserve">Galima daryti išvadą, jog 2009-2012 metų laikotarpiu kintant intelektualaus kapitalo vertinimo rodikliams, proporcingai kinta ir finansiniai arba nefinansiniai įmonių rodikliai, </w:t>
      </w:r>
      <w:r w:rsidR="00321E4F">
        <w:rPr>
          <w:lang w:val="en-US"/>
        </w:rPr>
        <w:t>t.y. kintant vienam iš rodiklių</w:t>
      </w:r>
      <w:r w:rsidRPr="00BC25E6">
        <w:rPr>
          <w:lang w:val="en-US"/>
        </w:rPr>
        <w:t xml:space="preserve">, proporcingai kinta </w:t>
      </w:r>
      <w:r w:rsidR="00E71E2A">
        <w:rPr>
          <w:lang w:val="en-US"/>
        </w:rPr>
        <w:t>ir kitas rodiklis, bei atvirkšč</w:t>
      </w:r>
      <w:r w:rsidRPr="00BC25E6">
        <w:rPr>
          <w:lang w:val="en-US"/>
        </w:rPr>
        <w:t xml:space="preserve">iai. </w:t>
      </w:r>
    </w:p>
    <w:p w:rsidR="002A4554" w:rsidRPr="00BC25E6" w:rsidRDefault="00243868" w:rsidP="002A4554">
      <w:pPr>
        <w:widowControl w:val="0"/>
        <w:autoSpaceDE w:val="0"/>
        <w:autoSpaceDN w:val="0"/>
        <w:adjustRightInd w:val="0"/>
        <w:spacing w:line="360" w:lineRule="auto"/>
        <w:ind w:firstLine="567"/>
        <w:jc w:val="both"/>
        <w:rPr>
          <w:lang w:val="en-US"/>
        </w:rPr>
      </w:pPr>
      <w:r>
        <w:rPr>
          <w:lang w:val="en-US"/>
        </w:rPr>
        <w:t>Lyginant OMX Talinas</w:t>
      </w:r>
      <w:r w:rsidR="002A4554" w:rsidRPr="00BC25E6">
        <w:rPr>
          <w:lang w:val="en-US"/>
        </w:rPr>
        <w:t xml:space="preserve"> įmones su atitin</w:t>
      </w:r>
      <w:r>
        <w:rPr>
          <w:lang w:val="en-US"/>
        </w:rPr>
        <w:t>kamai sugretintomis 6 OMX Vilni</w:t>
      </w:r>
      <w:r w:rsidR="00227B53">
        <w:rPr>
          <w:lang w:val="en-US"/>
        </w:rPr>
        <w:t>us įmonėmis (rezultatai 7 prie</w:t>
      </w:r>
      <w:r w:rsidR="002A4554" w:rsidRPr="00BC25E6">
        <w:rPr>
          <w:lang w:val="en-US"/>
        </w:rPr>
        <w:t>do 2 ir 3 lentelėje), tik pasitvirtino, jog tarp Lietuvos įmonių analizuojamų rodiklių reikšmingų koreliacinių ryšių neaptinkta.</w:t>
      </w:r>
    </w:p>
    <w:p w:rsidR="002A4554" w:rsidRPr="00BC25E6" w:rsidRDefault="002A4554" w:rsidP="002A4554">
      <w:pPr>
        <w:widowControl w:val="0"/>
        <w:autoSpaceDE w:val="0"/>
        <w:autoSpaceDN w:val="0"/>
        <w:adjustRightInd w:val="0"/>
        <w:spacing w:line="360" w:lineRule="auto"/>
        <w:ind w:firstLine="567"/>
        <w:jc w:val="both"/>
        <w:rPr>
          <w:lang w:val="en-US"/>
        </w:rPr>
      </w:pPr>
      <w:r w:rsidRPr="00BC25E6">
        <w:rPr>
          <w:lang w:eastAsia="ja-JP"/>
        </w:rPr>
        <w:t xml:space="preserve">Tad galima teigti, jog atlikta koreliacinė Estijos įmonių intelektinio kapitalo ir finansinių rodiklių ryšio analizė parodė, kad ryšys daugeliu atveju labai stiprus teigiamas. Tai reiškia, kad </w:t>
      </w:r>
      <w:r w:rsidR="00227B53">
        <w:rPr>
          <w:lang w:eastAsia="ja-JP"/>
        </w:rPr>
        <w:t>intelektinio kapitalo</w:t>
      </w:r>
      <w:r w:rsidRPr="00BC25E6">
        <w:rPr>
          <w:lang w:eastAsia="ja-JP"/>
        </w:rPr>
        <w:t xml:space="preserve"> </w:t>
      </w:r>
      <w:r w:rsidR="00227B53">
        <w:rPr>
          <w:lang w:eastAsia="ja-JP"/>
        </w:rPr>
        <w:t>sukuriama pridėtinė vertė atitinkamai tolygi</w:t>
      </w:r>
      <w:r w:rsidRPr="00BC25E6">
        <w:rPr>
          <w:lang w:eastAsia="ja-JP"/>
        </w:rPr>
        <w:t xml:space="preserve"> </w:t>
      </w:r>
      <w:r w:rsidR="00227B53">
        <w:rPr>
          <w:lang w:eastAsia="ja-JP"/>
        </w:rPr>
        <w:t>įmonių sukuriamai finansinei vertei</w:t>
      </w:r>
      <w:r w:rsidRPr="00BC25E6">
        <w:rPr>
          <w:lang w:eastAsia="ja-JP"/>
        </w:rPr>
        <w:t>.</w:t>
      </w:r>
    </w:p>
    <w:p w:rsidR="002A0DD9" w:rsidRPr="00BC25E6" w:rsidRDefault="002A0DD9" w:rsidP="002A0DD9">
      <w:pPr>
        <w:spacing w:line="360" w:lineRule="auto"/>
        <w:jc w:val="both"/>
        <w:rPr>
          <w:b/>
          <w:lang w:eastAsia="ja-JP"/>
        </w:rPr>
      </w:pPr>
    </w:p>
    <w:p w:rsidR="00227B53" w:rsidRPr="00A529A4" w:rsidRDefault="00227B53" w:rsidP="00227B53">
      <w:pPr>
        <w:spacing w:line="360" w:lineRule="auto"/>
        <w:ind w:firstLine="567"/>
        <w:jc w:val="both"/>
        <w:rPr>
          <w:lang w:eastAsia="ja-JP"/>
        </w:rPr>
      </w:pPr>
      <w:r w:rsidRPr="00A529A4">
        <w:rPr>
          <w:lang w:eastAsia="ja-JP"/>
        </w:rPr>
        <w:t>Apibendrinant skyrių, galima teigti, kad išsamiai išnagrinėtas intelektinis įmonių kapitalas pagal VAIC™, ICE ir CIV rodiklis parodė tokius rezultatus:</w:t>
      </w:r>
    </w:p>
    <w:p w:rsidR="002A0DD9" w:rsidRPr="00A529A4" w:rsidRDefault="00227B53" w:rsidP="00227B53">
      <w:pPr>
        <w:spacing w:line="360" w:lineRule="auto"/>
        <w:ind w:firstLine="567"/>
        <w:jc w:val="both"/>
        <w:rPr>
          <w:lang w:eastAsia="ja-JP"/>
        </w:rPr>
      </w:pPr>
      <w:r w:rsidRPr="00A529A4">
        <w:rPr>
          <w:lang w:eastAsia="ja-JP"/>
        </w:rPr>
        <w:t>Geriausią santykį tarp pridėtinės vertės ir samdomo kapitalo išlaiko AB „Vilniaus baldai“, nors ir aukščiausios pridėtinės vertės ir samdomo kapitalo reikšmės priklauso įmonei AB „Lietuvos dujos“. Geriausią santykį tarp pridėtinės vertės ir investicijų į žmogiškąjį kapitalą palaiko AB „Grigiškės“.  Ši įmonė palaiko ir geriausią struktūrinio kapitalo proporciją bendroje pridėtinės vertės apskaitoje.</w:t>
      </w:r>
    </w:p>
    <w:p w:rsidR="00227B53" w:rsidRPr="00A529A4" w:rsidRDefault="00227B53" w:rsidP="00A529A4">
      <w:pPr>
        <w:spacing w:line="360" w:lineRule="auto"/>
        <w:ind w:firstLine="567"/>
        <w:jc w:val="both"/>
        <w:rPr>
          <w:lang w:eastAsia="ja-JP"/>
        </w:rPr>
      </w:pPr>
      <w:r w:rsidRPr="00A529A4">
        <w:rPr>
          <w:lang w:eastAsia="ja-JP"/>
        </w:rPr>
        <w:t>Visų nagrinėjamų įmonių VAIC™ didžiausias lyginamasis svoris buvo žmogiškojo kapita</w:t>
      </w:r>
      <w:r w:rsidR="00B55743" w:rsidRPr="00A529A4">
        <w:rPr>
          <w:lang w:eastAsia="ja-JP"/>
        </w:rPr>
        <w:t>lo efektyvumo koeficiento</w:t>
      </w:r>
      <w:r w:rsidR="00A529A4" w:rsidRPr="00A529A4">
        <w:rPr>
          <w:lang w:eastAsia="ja-JP"/>
        </w:rPr>
        <w:t>, o</w:t>
      </w:r>
      <w:r w:rsidRPr="00A529A4">
        <w:rPr>
          <w:lang w:eastAsia="ja-JP"/>
        </w:rPr>
        <w:t xml:space="preserve"> samdomojo kapital</w:t>
      </w:r>
      <w:r w:rsidR="00B55743" w:rsidRPr="00A529A4">
        <w:rPr>
          <w:lang w:eastAsia="ja-JP"/>
        </w:rPr>
        <w:t>o efektyvumo koeficientas</w:t>
      </w:r>
      <w:r w:rsidRPr="00A529A4">
        <w:rPr>
          <w:lang w:eastAsia="ja-JP"/>
        </w:rPr>
        <w:t xml:space="preserve"> mažiausiai įtakoja bendrą VAIC™ koncepcijos rezultatą. Aukščiausiu lygiu p</w:t>
      </w:r>
      <w:r w:rsidR="00A529A4" w:rsidRPr="00A529A4">
        <w:rPr>
          <w:lang w:eastAsia="ja-JP"/>
        </w:rPr>
        <w:t>asižymi AB „Grigiškės“,</w:t>
      </w:r>
      <w:r w:rsidRPr="00A529A4">
        <w:rPr>
          <w:lang w:eastAsia="ja-JP"/>
        </w:rPr>
        <w:t xml:space="preserve"> gerą šio rodiklio lygį palaiko </w:t>
      </w:r>
      <w:r w:rsidR="00A529A4" w:rsidRPr="00A529A4">
        <w:rPr>
          <w:lang w:eastAsia="ja-JP"/>
        </w:rPr>
        <w:t xml:space="preserve">ir </w:t>
      </w:r>
      <w:r w:rsidRPr="00A529A4">
        <w:rPr>
          <w:lang w:eastAsia="ja-JP"/>
        </w:rPr>
        <w:t>TEO LT, AB, AB „Lietuvos dujos“, AB „Pieno žvaigždės“, AB „Vilniausi baldai“, AB „Rokiškio sūris“. Mažiausias koeficientas apskaičiuotas AB „City service“ ir AB „Panevėžio statybos trestas“.</w:t>
      </w:r>
      <w:r w:rsidR="00A529A4" w:rsidRPr="00A529A4">
        <w:rPr>
          <w:lang w:eastAsia="ja-JP"/>
        </w:rPr>
        <w:t xml:space="preserve"> Į</w:t>
      </w:r>
      <w:r w:rsidRPr="00A529A4">
        <w:rPr>
          <w:lang w:eastAsia="ja-JP"/>
        </w:rPr>
        <w:t>vertinus vidutinius metinius visų įmonių rezultatus</w:t>
      </w:r>
      <w:r w:rsidR="00A529A4" w:rsidRPr="00A529A4">
        <w:rPr>
          <w:lang w:eastAsia="ja-JP"/>
        </w:rPr>
        <w:t xml:space="preserve"> pagal VAIC™ metodą įvertintas intelektinio kapitalo lygis aukščiausias buvo 2011 metais</w:t>
      </w:r>
      <w:r w:rsidRPr="00A529A4">
        <w:rPr>
          <w:lang w:eastAsia="ja-JP"/>
        </w:rPr>
        <w:t>.</w:t>
      </w:r>
      <w:r w:rsidR="00A529A4" w:rsidRPr="00A529A4">
        <w:rPr>
          <w:lang w:eastAsia="ja-JP"/>
        </w:rPr>
        <w:t xml:space="preserve"> </w:t>
      </w:r>
      <w:r w:rsidRPr="00A529A4">
        <w:rPr>
          <w:lang w:eastAsia="ja-JP"/>
        </w:rPr>
        <w:t xml:space="preserve">Įvertinus ICE </w:t>
      </w:r>
      <w:r w:rsidR="006C607C">
        <w:rPr>
          <w:lang w:eastAsia="ja-JP"/>
        </w:rPr>
        <w:t>me</w:t>
      </w:r>
      <w:r w:rsidR="00A529A4" w:rsidRPr="00A529A4">
        <w:rPr>
          <w:lang w:eastAsia="ja-JP"/>
        </w:rPr>
        <w:t>todo</w:t>
      </w:r>
      <w:r w:rsidRPr="00A529A4">
        <w:rPr>
          <w:lang w:eastAsia="ja-JP"/>
        </w:rPr>
        <w:t xml:space="preserve"> rezultatus, </w:t>
      </w:r>
      <w:r w:rsidR="00A529A4" w:rsidRPr="00A529A4">
        <w:rPr>
          <w:lang w:eastAsia="ja-JP"/>
        </w:rPr>
        <w:t>paaiškėjo</w:t>
      </w:r>
      <w:r w:rsidRPr="00A529A4">
        <w:rPr>
          <w:lang w:eastAsia="ja-JP"/>
        </w:rPr>
        <w:t>, jog AB „Grigiškės“ ne tik sukuria daugiausiai pridėtinės vertės, bet ir efektyviausiai ją panaudoja.</w:t>
      </w:r>
    </w:p>
    <w:p w:rsidR="00227B53" w:rsidRPr="00A529A4" w:rsidRDefault="00227B53" w:rsidP="00227B53">
      <w:pPr>
        <w:spacing w:line="360" w:lineRule="auto"/>
        <w:ind w:firstLine="567"/>
        <w:jc w:val="both"/>
        <w:rPr>
          <w:lang w:eastAsia="ja-JP"/>
        </w:rPr>
      </w:pPr>
      <w:r w:rsidRPr="00A529A4">
        <w:rPr>
          <w:lang w:eastAsia="ja-JP"/>
        </w:rPr>
        <w:t>CIV metodas intelektinį kapitalą parodo pinigine išraiška bei leidžia palyginti įmonės rezultatus su vidutiniu konkurentu. Aukščiausią CIV rodiklio lygį išlaiko įmonės AB “Li</w:t>
      </w:r>
      <w:r w:rsidR="00A529A4" w:rsidRPr="00A529A4">
        <w:rPr>
          <w:lang w:eastAsia="ja-JP"/>
        </w:rPr>
        <w:t>etuvos dujos”, ypač 2009 metais</w:t>
      </w:r>
      <w:r w:rsidRPr="00A529A4">
        <w:rPr>
          <w:lang w:eastAsia="ja-JP"/>
        </w:rPr>
        <w:t xml:space="preserve">. Vis </w:t>
      </w:r>
      <w:r w:rsidR="006C607C">
        <w:rPr>
          <w:lang w:eastAsia="ja-JP"/>
        </w:rPr>
        <w:t>dėlto ši įmonė rinkoje yra viena</w:t>
      </w:r>
      <w:r w:rsidRPr="00A529A4">
        <w:rPr>
          <w:lang w:eastAsia="ja-JP"/>
        </w:rPr>
        <w:t xml:space="preserve"> didžiausių, įmonės rezultatai gali didžiąja dalimi į</w:t>
      </w:r>
      <w:r w:rsidR="00A529A4" w:rsidRPr="00A529A4">
        <w:rPr>
          <w:lang w:eastAsia="ja-JP"/>
        </w:rPr>
        <w:t>takoti šakos rezultatus, ko pase</w:t>
      </w:r>
      <w:r w:rsidRPr="00A529A4">
        <w:rPr>
          <w:lang w:eastAsia="ja-JP"/>
        </w:rPr>
        <w:t xml:space="preserve">koje bus mažesnė intelektinio kapitalo vertė ir šiuo metodu apskaičiuoti rodikliai gali būti neobjektyvūs. Rodiklio statistika nėra labai išsami ir dėl to, kad dažnu atveju šakos ROA rodiklis yra didesnis nei įmonės (tuomet rodiklis neskaičiuojamas) ir nesuformuoti 2012 metų šakos rodikliai. </w:t>
      </w:r>
    </w:p>
    <w:p w:rsidR="00227B53" w:rsidRPr="00A529A4" w:rsidRDefault="00227B53" w:rsidP="00227B53">
      <w:pPr>
        <w:spacing w:line="360" w:lineRule="auto"/>
        <w:ind w:firstLine="567"/>
        <w:jc w:val="both"/>
        <w:rPr>
          <w:lang w:val="en-US"/>
        </w:rPr>
      </w:pPr>
      <w:r w:rsidRPr="00A529A4">
        <w:rPr>
          <w:lang w:val="en-US"/>
        </w:rPr>
        <w:t>Aukščiausios finansinių rodiklių reikšmės aptinkamos išskirtinai įmonėje AB “Vilniaus baldai”, taip pat gana aukštą ir stabilią ROA ir ROE rodiklių reikšmę išlaiko įmonė TEO LT, AB.</w:t>
      </w:r>
    </w:p>
    <w:p w:rsidR="00B55743" w:rsidRPr="00A529A4" w:rsidRDefault="00B55743" w:rsidP="00A529A4">
      <w:pPr>
        <w:widowControl w:val="0"/>
        <w:autoSpaceDE w:val="0"/>
        <w:autoSpaceDN w:val="0"/>
        <w:adjustRightInd w:val="0"/>
        <w:spacing w:line="360" w:lineRule="auto"/>
        <w:ind w:firstLine="567"/>
        <w:jc w:val="both"/>
        <w:rPr>
          <w:lang w:val="en-US"/>
        </w:rPr>
      </w:pPr>
      <w:r w:rsidRPr="00A529A4">
        <w:rPr>
          <w:lang w:eastAsia="ja-JP"/>
        </w:rPr>
        <w:t xml:space="preserve">Siekiant surasti koreliacinius ryšius tarp </w:t>
      </w:r>
      <w:r w:rsidRPr="00A529A4">
        <w:rPr>
          <w:lang w:val="en-US"/>
        </w:rPr>
        <w:t>finansinių rodiklių</w:t>
      </w:r>
      <w:r w:rsidR="00227B53" w:rsidRPr="00A529A4">
        <w:rPr>
          <w:lang w:val="en-US"/>
        </w:rPr>
        <w:t xml:space="preserve"> ROA, ROE</w:t>
      </w:r>
      <w:r w:rsidR="00A529A4" w:rsidRPr="00A529A4">
        <w:rPr>
          <w:lang w:val="en-US"/>
        </w:rPr>
        <w:t xml:space="preserve">, bei </w:t>
      </w:r>
      <w:r w:rsidRPr="00A529A4">
        <w:rPr>
          <w:lang w:val="en-US"/>
        </w:rPr>
        <w:t>nefinansinių rodiklių</w:t>
      </w:r>
      <w:r w:rsidR="00227B53" w:rsidRPr="00A529A4">
        <w:rPr>
          <w:lang w:val="en-US"/>
        </w:rPr>
        <w:t xml:space="preserve"> – VACA,</w:t>
      </w:r>
      <w:r w:rsidRPr="00A529A4">
        <w:rPr>
          <w:lang w:val="en-US"/>
        </w:rPr>
        <w:t xml:space="preserve"> VAHU, STVA, VAIC™, ICE bei CIV paaiškėjo, kad </w:t>
      </w:r>
      <w:r w:rsidRPr="00A529A4">
        <w:rPr>
          <w:lang w:eastAsia="ja-JP"/>
        </w:rPr>
        <w:t xml:space="preserve">ne tarp visų </w:t>
      </w:r>
      <w:r w:rsidR="00A529A4" w:rsidRPr="00A529A4">
        <w:rPr>
          <w:lang w:eastAsia="ja-JP"/>
        </w:rPr>
        <w:t xml:space="preserve">rodiklių </w:t>
      </w:r>
      <w:r w:rsidRPr="00A529A4">
        <w:rPr>
          <w:lang w:eastAsia="ja-JP"/>
        </w:rPr>
        <w:t>egzistuoja reikšmingas stiprus ryšys. Atlikta koreliacinė rodiklių ryšio analizė parodė, kad ryšys daugeliu atveju stiprus arba labai stiprus teigiamas ryšys egzistuoja tik tarpusavyje finansinių arba tik tarp nefinansinių rodiklių kaip VAIC™ ir ICE.</w:t>
      </w:r>
      <w:r w:rsidR="00A529A4" w:rsidRPr="00A529A4">
        <w:rPr>
          <w:lang w:val="en-US"/>
        </w:rPr>
        <w:t xml:space="preserve"> Visų įmonių ištirti reikšmingi koreliaciniai koeficientai analizuojamu laikotarpiu tarp finansinių ir nefinansinių rodiklių nebuvo nustatyti, tad i</w:t>
      </w:r>
      <w:r w:rsidRPr="00A529A4">
        <w:rPr>
          <w:lang w:val="en-US"/>
        </w:rPr>
        <w:t>škelta hipotezė, jog keičiantis finansiniams rodikliams atitinkamai keisis ir nefinansiniai koeficientai OMX Vilnius atveju atmesta.</w:t>
      </w:r>
    </w:p>
    <w:p w:rsidR="00E672B6" w:rsidRDefault="00A529A4" w:rsidP="00E672B6">
      <w:pPr>
        <w:widowControl w:val="0"/>
        <w:autoSpaceDE w:val="0"/>
        <w:autoSpaceDN w:val="0"/>
        <w:adjustRightInd w:val="0"/>
        <w:spacing w:line="360" w:lineRule="auto"/>
        <w:ind w:firstLine="567"/>
        <w:jc w:val="both"/>
        <w:rPr>
          <w:lang w:val="en-US"/>
        </w:rPr>
      </w:pPr>
      <w:r w:rsidRPr="00A529A4">
        <w:rPr>
          <w:lang w:val="en-US"/>
        </w:rPr>
        <w:t xml:space="preserve">OMX Talinas </w:t>
      </w:r>
      <w:r w:rsidRPr="00A529A4">
        <w:t>įmonių atveju</w:t>
      </w:r>
      <w:r w:rsidRPr="00A529A4">
        <w:rPr>
          <w:lang w:val="en-US"/>
        </w:rPr>
        <w:t xml:space="preserve"> kintant intelektinio kapitalo vertinimo rodikliams, proporcingai kinta ir finansiniai arba nefinansiniai įmonių rodikliai. </w:t>
      </w:r>
      <w:r w:rsidRPr="00A529A4">
        <w:rPr>
          <w:lang w:eastAsia="ja-JP"/>
        </w:rPr>
        <w:t>Atlikta koreliacinė Estijos įmonių intelektinio kapitalo ir finansinių rodiklių ryšio analizė parodė, kad ryšys daugeliu atveju labai stiprus teigiamas. Tai reiškia, kad intelektinio kapitalo sukuriama pridėtinė vertė atitinkamai tolygi įmonių sukuriamai finansinei vertei.</w:t>
      </w:r>
      <w:r w:rsidRPr="00A529A4">
        <w:rPr>
          <w:lang w:val="en-US"/>
        </w:rPr>
        <w:t xml:space="preserve"> Iškeltos hipotezės OMX Talinas atveju pasitvirtino. O lyginant OMX Talinas įmones su atitinkamai sugretintomis OMX Vilnius įmonėmis tik pasitvirtino, kad tarp Lietuvos įmonių analizuojamų rodiklių reikšmingų koreliacinių ryšių neaptinkta.</w:t>
      </w:r>
    </w:p>
    <w:p w:rsidR="00FA4E59" w:rsidRPr="00536246" w:rsidRDefault="00E672B6" w:rsidP="00E672B6">
      <w:pPr>
        <w:widowControl w:val="0"/>
        <w:autoSpaceDE w:val="0"/>
        <w:autoSpaceDN w:val="0"/>
        <w:adjustRightInd w:val="0"/>
        <w:spacing w:line="360" w:lineRule="auto"/>
        <w:ind w:firstLine="567"/>
        <w:jc w:val="center"/>
        <w:rPr>
          <w:lang w:val="en-US"/>
        </w:rPr>
      </w:pPr>
      <w:r>
        <w:rPr>
          <w:lang w:val="en-US"/>
        </w:rPr>
        <w:br w:type="column"/>
      </w:r>
      <w:r w:rsidR="00FA4E59" w:rsidRPr="00536246">
        <w:rPr>
          <w:b/>
          <w:sz w:val="32"/>
          <w:szCs w:val="32"/>
          <w:lang w:eastAsia="ja-JP"/>
        </w:rPr>
        <w:t>IŠVADOS IR SIŪLYMAI</w:t>
      </w:r>
    </w:p>
    <w:p w:rsidR="00FA4E59" w:rsidRPr="00536246" w:rsidRDefault="00FA4E59" w:rsidP="00FA4E59">
      <w:pPr>
        <w:spacing w:line="360" w:lineRule="auto"/>
        <w:ind w:firstLine="567"/>
        <w:jc w:val="center"/>
        <w:rPr>
          <w:b/>
          <w:lang w:eastAsia="ja-JP"/>
        </w:rPr>
      </w:pPr>
    </w:p>
    <w:p w:rsidR="00FA4E59" w:rsidRPr="00536246" w:rsidRDefault="00887D2D" w:rsidP="00227B53">
      <w:pPr>
        <w:widowControl w:val="0"/>
        <w:autoSpaceDE w:val="0"/>
        <w:autoSpaceDN w:val="0"/>
        <w:adjustRightInd w:val="0"/>
        <w:spacing w:line="360" w:lineRule="auto"/>
        <w:ind w:firstLine="567"/>
        <w:jc w:val="both"/>
      </w:pPr>
      <w:r w:rsidRPr="00536246">
        <w:rPr>
          <w:lang w:val="en-US"/>
        </w:rPr>
        <w:t>Šiame magistriniame baigiamajame darbe supažindinama su tokiomis sąvokom</w:t>
      </w:r>
      <w:r w:rsidR="00AC0651" w:rsidRPr="00536246">
        <w:rPr>
          <w:lang w:val="en-US"/>
        </w:rPr>
        <w:t>is, kaip intelektinis kapitalas ir</w:t>
      </w:r>
      <w:r w:rsidRPr="00536246">
        <w:rPr>
          <w:lang w:val="en-US"/>
        </w:rPr>
        <w:t xml:space="preserve"> jo struktūra, </w:t>
      </w:r>
      <w:r w:rsidR="00AC0651" w:rsidRPr="00536246">
        <w:rPr>
          <w:lang w:val="en-US"/>
        </w:rPr>
        <w:t xml:space="preserve">matavimo metodai bei </w:t>
      </w:r>
      <w:r w:rsidRPr="00536246">
        <w:rPr>
          <w:lang w:val="en-US"/>
        </w:rPr>
        <w:t>in</w:t>
      </w:r>
      <w:r w:rsidR="00AC0651" w:rsidRPr="00536246">
        <w:rPr>
          <w:lang w:val="en-US"/>
        </w:rPr>
        <w:t>telektinio kapitalo valdymas</w:t>
      </w:r>
      <w:r w:rsidRPr="00536246">
        <w:rPr>
          <w:lang w:val="en-US"/>
        </w:rPr>
        <w:t xml:space="preserve">. </w:t>
      </w:r>
      <w:r w:rsidR="00AC0651" w:rsidRPr="00536246">
        <w:rPr>
          <w:lang w:val="en-US"/>
        </w:rPr>
        <w:t>P</w:t>
      </w:r>
      <w:r w:rsidRPr="00536246">
        <w:rPr>
          <w:lang w:val="en-US"/>
        </w:rPr>
        <w:t xml:space="preserve">asirinktų vertinimno metodų pagalba </w:t>
      </w:r>
      <w:r w:rsidR="00AC0651" w:rsidRPr="00536246">
        <w:rPr>
          <w:lang w:val="en-US"/>
        </w:rPr>
        <w:t>vertinamas</w:t>
      </w:r>
      <w:r w:rsidRPr="00536246">
        <w:rPr>
          <w:lang w:val="en-US"/>
        </w:rPr>
        <w:t xml:space="preserve"> įmonių intelektinio kapita</w:t>
      </w:r>
      <w:r w:rsidR="00AC0651" w:rsidRPr="00536246">
        <w:rPr>
          <w:lang w:val="en-US"/>
        </w:rPr>
        <w:t>las, jo panaudojimo efektyvumas. Š</w:t>
      </w:r>
      <w:r w:rsidRPr="00536246">
        <w:rPr>
          <w:lang w:val="en-US"/>
        </w:rPr>
        <w:t>ie rodikliai sugretinami su fin</w:t>
      </w:r>
      <w:r w:rsidR="00AC0651" w:rsidRPr="00536246">
        <w:rPr>
          <w:lang w:val="en-US"/>
        </w:rPr>
        <w:t>ansiniais pelningumo rodikliais, siekiant</w:t>
      </w:r>
      <w:r w:rsidRPr="00536246">
        <w:rPr>
          <w:lang w:val="en-US"/>
        </w:rPr>
        <w:t xml:space="preserve"> surasti </w:t>
      </w:r>
      <w:r w:rsidR="00AC0651" w:rsidRPr="00536246">
        <w:rPr>
          <w:lang w:val="en-US"/>
        </w:rPr>
        <w:t>koreliacinius ry</w:t>
      </w:r>
      <w:r w:rsidR="00AC0651" w:rsidRPr="00536246">
        <w:t>šius. Atlikus tyrimą prieita tokių išvadų:</w:t>
      </w:r>
    </w:p>
    <w:p w:rsidR="00A529A4" w:rsidRPr="00536246" w:rsidRDefault="00AC0651" w:rsidP="00536246">
      <w:pPr>
        <w:pStyle w:val="ListParagraph"/>
        <w:numPr>
          <w:ilvl w:val="0"/>
          <w:numId w:val="37"/>
        </w:numPr>
        <w:spacing w:line="360" w:lineRule="auto"/>
        <w:ind w:left="0" w:firstLine="567"/>
        <w:jc w:val="both"/>
        <w:rPr>
          <w:rFonts w:ascii="Times New Roman" w:hAnsi="Times New Roman"/>
          <w:lang w:val="en-US"/>
        </w:rPr>
      </w:pPr>
      <w:r w:rsidRPr="00536246">
        <w:rPr>
          <w:rFonts w:ascii="Times New Roman" w:hAnsi="Times New Roman"/>
          <w:lang w:eastAsia="ja-JP"/>
        </w:rPr>
        <w:t xml:space="preserve">Atlikta intelektinio kapitalo subjekto teorinė analizė parodė, kad </w:t>
      </w:r>
      <w:r w:rsidRPr="00536246">
        <w:rPr>
          <w:rFonts w:ascii="Times New Roman" w:hAnsi="Times New Roman"/>
          <w:lang w:val="en-US"/>
        </w:rPr>
        <w:t>intelektinio kapitalo ir jo struktūros vieningo suvokimo nėra.</w:t>
      </w:r>
      <w:r w:rsidR="00A529A4" w:rsidRPr="00536246">
        <w:rPr>
          <w:rFonts w:ascii="Times New Roman" w:hAnsi="Times New Roman"/>
          <w:lang w:val="en-US"/>
        </w:rPr>
        <w:t xml:space="preserve"> </w:t>
      </w:r>
      <w:r w:rsidRPr="00536246">
        <w:rPr>
          <w:rFonts w:ascii="Times New Roman" w:hAnsi="Times New Roman"/>
          <w:lang w:val="en-US"/>
        </w:rPr>
        <w:t>Daugelis autorių intelektinį kapitalą apibūdina kaip nematerialųjį turtą, žinias, konkurencinį pranašumą</w:t>
      </w:r>
      <w:r w:rsidR="00536246" w:rsidRPr="00536246">
        <w:rPr>
          <w:rFonts w:ascii="Times New Roman" w:hAnsi="Times New Roman"/>
          <w:lang w:val="en-US"/>
        </w:rPr>
        <w:t xml:space="preserve"> bei skirsto jį į žmogiškąjį, struktūrinį ir socialinį kapitalus</w:t>
      </w:r>
      <w:r w:rsidRPr="00536246">
        <w:rPr>
          <w:rFonts w:ascii="Times New Roman" w:hAnsi="Times New Roman"/>
          <w:lang w:val="en-US"/>
        </w:rPr>
        <w:t xml:space="preserve">. Bendrai tai </w:t>
      </w:r>
      <w:r w:rsidR="00A529A4" w:rsidRPr="00536246">
        <w:rPr>
          <w:rFonts w:ascii="Times New Roman" w:hAnsi="Times New Roman"/>
          <w:lang w:val="en-US"/>
        </w:rPr>
        <w:t>yra atitinkamą vert</w:t>
      </w:r>
      <w:r w:rsidR="00A529A4" w:rsidRPr="00536246">
        <w:rPr>
          <w:rFonts w:ascii="Times New Roman" w:hAnsi="Times New Roman"/>
        </w:rPr>
        <w:t>ę</w:t>
      </w:r>
      <w:r w:rsidRPr="00536246">
        <w:rPr>
          <w:rFonts w:ascii="Times New Roman" w:hAnsi="Times New Roman"/>
          <w:lang w:val="en-US"/>
        </w:rPr>
        <w:t xml:space="preserve"> turinčios žinios, o</w:t>
      </w:r>
      <w:r w:rsidR="00A529A4" w:rsidRPr="00536246">
        <w:rPr>
          <w:rFonts w:ascii="Times New Roman" w:hAnsi="Times New Roman"/>
          <w:lang w:val="en-US"/>
        </w:rPr>
        <w:t xml:space="preserve"> pastarųjų įvertinimas ir pritaikymas </w:t>
      </w:r>
      <w:r w:rsidRPr="00536246">
        <w:rPr>
          <w:rFonts w:ascii="Times New Roman" w:hAnsi="Times New Roman"/>
          <w:lang w:val="en-US"/>
        </w:rPr>
        <w:t xml:space="preserve">įmonei </w:t>
      </w:r>
      <w:r w:rsidR="00A529A4" w:rsidRPr="00536246">
        <w:rPr>
          <w:rFonts w:ascii="Times New Roman" w:hAnsi="Times New Roman"/>
          <w:lang w:val="en-US"/>
        </w:rPr>
        <w:t xml:space="preserve">leidžia </w:t>
      </w:r>
      <w:r w:rsidR="00536246" w:rsidRPr="00536246">
        <w:rPr>
          <w:rFonts w:ascii="Times New Roman" w:hAnsi="Times New Roman"/>
          <w:lang w:val="en-US"/>
        </w:rPr>
        <w:t>sukurti didesnę pridėtinę vertę, įgyti konkurencinį pranašumą, su galimybe užsitikrinti</w:t>
      </w:r>
      <w:r w:rsidR="00A529A4" w:rsidRPr="00536246">
        <w:rPr>
          <w:rFonts w:ascii="Times New Roman" w:hAnsi="Times New Roman"/>
          <w:lang w:val="en-US"/>
        </w:rPr>
        <w:t xml:space="preserve"> </w:t>
      </w:r>
      <w:r w:rsidR="00674E2E" w:rsidRPr="00536246">
        <w:rPr>
          <w:rFonts w:ascii="Times New Roman" w:hAnsi="Times New Roman"/>
          <w:lang w:val="en-US"/>
        </w:rPr>
        <w:t>pelningą įmonės veiklą</w:t>
      </w:r>
      <w:r w:rsidRPr="00536246">
        <w:rPr>
          <w:rFonts w:ascii="Times New Roman" w:hAnsi="Times New Roman"/>
          <w:lang w:val="en-US"/>
        </w:rPr>
        <w:t xml:space="preserve">. </w:t>
      </w:r>
      <w:r w:rsidR="00674E2E" w:rsidRPr="00536246">
        <w:rPr>
          <w:rFonts w:ascii="Times New Roman" w:hAnsi="Times New Roman"/>
        </w:rPr>
        <w:t>Intelek</w:t>
      </w:r>
      <w:r w:rsidR="00321E4F">
        <w:rPr>
          <w:rFonts w:ascii="Times New Roman" w:hAnsi="Times New Roman"/>
        </w:rPr>
        <w:t>tinio kapitalo koncepcija apibrėž</w:t>
      </w:r>
      <w:r w:rsidR="00674E2E" w:rsidRPr="00536246">
        <w:rPr>
          <w:rFonts w:ascii="Times New Roman" w:hAnsi="Times New Roman"/>
        </w:rPr>
        <w:t xml:space="preserve">iama kaip </w:t>
      </w:r>
      <w:r w:rsidR="00674E2E" w:rsidRPr="00536246">
        <w:rPr>
          <w:rFonts w:ascii="Times New Roman" w:hAnsi="Times New Roman"/>
          <w:lang w:val="en-US"/>
        </w:rPr>
        <w:t>ino</w:t>
      </w:r>
      <w:r w:rsidR="00321E4F">
        <w:rPr>
          <w:rFonts w:ascii="Times New Roman" w:hAnsi="Times New Roman"/>
          <w:lang w:val="en-US"/>
        </w:rPr>
        <w:t>vacijas skatinantys nematerialū</w:t>
      </w:r>
      <w:r w:rsidR="00674E2E" w:rsidRPr="00536246">
        <w:rPr>
          <w:rFonts w:ascii="Times New Roman" w:hAnsi="Times New Roman"/>
          <w:lang w:val="en-US"/>
        </w:rPr>
        <w:t>s ištekliai</w:t>
      </w:r>
      <w:r w:rsidR="00674E2E" w:rsidRPr="00536246">
        <w:rPr>
          <w:rFonts w:ascii="Times New Roman" w:hAnsi="Times New Roman"/>
        </w:rPr>
        <w:t xml:space="preserve"> ir kaip </w:t>
      </w:r>
      <w:r w:rsidR="00321E4F">
        <w:rPr>
          <w:rFonts w:ascii="Times New Roman" w:hAnsi="Times New Roman"/>
          <w:lang w:val="en-US"/>
        </w:rPr>
        <w:t>naujas požiū</w:t>
      </w:r>
      <w:r w:rsidR="00674E2E" w:rsidRPr="00536246">
        <w:rPr>
          <w:rFonts w:ascii="Times New Roman" w:hAnsi="Times New Roman"/>
          <w:lang w:val="en-US"/>
        </w:rPr>
        <w:t xml:space="preserve">ris į verslą, kurio </w:t>
      </w:r>
      <w:r w:rsidR="00674E2E" w:rsidRPr="00536246">
        <w:rPr>
          <w:rFonts w:ascii="Times New Roman" w:hAnsi="Times New Roman"/>
        </w:rPr>
        <w:t>valdymas</w:t>
      </w:r>
      <w:r w:rsidR="00674E2E" w:rsidRPr="00536246">
        <w:rPr>
          <w:rFonts w:ascii="Times New Roman" w:hAnsi="Times New Roman"/>
          <w:lang w:val="en-US"/>
        </w:rPr>
        <w:t xml:space="preserve"> </w:t>
      </w:r>
      <w:r w:rsidR="00321E4F">
        <w:rPr>
          <w:rFonts w:ascii="Times New Roman" w:hAnsi="Times New Roman"/>
        </w:rPr>
        <w:t>betarpiškai susietas su įmonės vidinių procesų gerinimu ir žmogiškųjų resursų</w:t>
      </w:r>
      <w:r w:rsidR="00674E2E" w:rsidRPr="00536246">
        <w:rPr>
          <w:rFonts w:ascii="Times New Roman" w:hAnsi="Times New Roman"/>
        </w:rPr>
        <w:t xml:space="preserve"> tobulinimu.</w:t>
      </w:r>
      <w:r w:rsidR="00536246" w:rsidRPr="00536246">
        <w:rPr>
          <w:rFonts w:ascii="Times New Roman" w:hAnsi="Times New Roman"/>
        </w:rPr>
        <w:t xml:space="preserve"> </w:t>
      </w:r>
      <w:r w:rsidR="00674E2E" w:rsidRPr="00536246">
        <w:rPr>
          <w:rFonts w:ascii="Times New Roman" w:hAnsi="Times New Roman"/>
          <w:lang w:val="en-US"/>
        </w:rPr>
        <w:t xml:space="preserve">Intelektinio kapitalo vertinimo metodai gali būti tiek kokybiniai, tiek kiekybiniai. </w:t>
      </w:r>
      <w:r w:rsidR="00685BD8" w:rsidRPr="00536246">
        <w:rPr>
          <w:rFonts w:ascii="Times New Roman" w:hAnsi="Times New Roman"/>
        </w:rPr>
        <w:t>Metodai</w:t>
      </w:r>
      <w:r w:rsidR="00674E2E" w:rsidRPr="00536246">
        <w:rPr>
          <w:rFonts w:ascii="Times New Roman" w:hAnsi="Times New Roman"/>
        </w:rPr>
        <w:t xml:space="preserve"> </w:t>
      </w:r>
      <w:r w:rsidR="006C607C" w:rsidRPr="00536246">
        <w:rPr>
          <w:rFonts w:ascii="Times New Roman" w:hAnsi="Times New Roman"/>
        </w:rPr>
        <w:t>skiriasi</w:t>
      </w:r>
      <w:r w:rsidR="00A529A4" w:rsidRPr="00536246">
        <w:rPr>
          <w:rFonts w:ascii="Times New Roman" w:hAnsi="Times New Roman"/>
        </w:rPr>
        <w:t xml:space="preserve"> </w:t>
      </w:r>
      <w:r w:rsidR="00674E2E" w:rsidRPr="00536246">
        <w:rPr>
          <w:rFonts w:ascii="Times New Roman" w:hAnsi="Times New Roman"/>
        </w:rPr>
        <w:t>skaičiavimo metodika</w:t>
      </w:r>
      <w:r w:rsidR="00A529A4" w:rsidRPr="00536246">
        <w:rPr>
          <w:rFonts w:ascii="Times New Roman" w:hAnsi="Times New Roman"/>
        </w:rPr>
        <w:t>, sudėti</w:t>
      </w:r>
      <w:r w:rsidR="00685BD8" w:rsidRPr="00536246">
        <w:rPr>
          <w:rFonts w:ascii="Times New Roman" w:hAnsi="Times New Roman"/>
        </w:rPr>
        <w:t>ngumu, įvertinamais elementais</w:t>
      </w:r>
      <w:r w:rsidR="00A529A4" w:rsidRPr="00536246">
        <w:rPr>
          <w:rFonts w:ascii="Times New Roman" w:hAnsi="Times New Roman"/>
        </w:rPr>
        <w:t>, in</w:t>
      </w:r>
      <w:r w:rsidR="006C607C" w:rsidRPr="00536246">
        <w:rPr>
          <w:rFonts w:ascii="Times New Roman" w:hAnsi="Times New Roman"/>
        </w:rPr>
        <w:t>terpretacijos galimybėmis, gaunamų</w:t>
      </w:r>
      <w:r w:rsidR="00A529A4" w:rsidRPr="00536246">
        <w:rPr>
          <w:rFonts w:ascii="Times New Roman" w:hAnsi="Times New Roman"/>
        </w:rPr>
        <w:t xml:space="preserve"> rezultatų paskirtimi</w:t>
      </w:r>
      <w:r w:rsidR="00685BD8" w:rsidRPr="00536246">
        <w:rPr>
          <w:rFonts w:ascii="Times New Roman" w:hAnsi="Times New Roman"/>
        </w:rPr>
        <w:t xml:space="preserve"> bei panaudojimu. </w:t>
      </w:r>
      <w:r w:rsidR="00A529A4" w:rsidRPr="00536246">
        <w:rPr>
          <w:rFonts w:ascii="Times New Roman" w:hAnsi="Times New Roman"/>
          <w:lang w:val="en-US"/>
        </w:rPr>
        <w:t xml:space="preserve">VAIC™ metodas tapo svarbiu, paprastu ir efektyviu mokslininkų naudojamu rodikliu, matuojant </w:t>
      </w:r>
      <w:r w:rsidR="00685BD8" w:rsidRPr="00536246">
        <w:rPr>
          <w:rFonts w:ascii="Times New Roman" w:hAnsi="Times New Roman"/>
          <w:lang w:val="en-US"/>
        </w:rPr>
        <w:t xml:space="preserve">bei vertinant </w:t>
      </w:r>
      <w:r w:rsidR="00A529A4" w:rsidRPr="00536246">
        <w:rPr>
          <w:rFonts w:ascii="Times New Roman" w:hAnsi="Times New Roman"/>
          <w:lang w:val="en-US"/>
        </w:rPr>
        <w:t xml:space="preserve">intelektinio kapitalo apraiškas versle. </w:t>
      </w:r>
    </w:p>
    <w:p w:rsidR="00685BD8" w:rsidRPr="00536246" w:rsidRDefault="006C607C" w:rsidP="00536246">
      <w:pPr>
        <w:pStyle w:val="ListParagraph"/>
        <w:numPr>
          <w:ilvl w:val="0"/>
          <w:numId w:val="37"/>
        </w:numPr>
        <w:spacing w:line="360" w:lineRule="auto"/>
        <w:ind w:left="0" w:firstLine="567"/>
        <w:jc w:val="both"/>
        <w:rPr>
          <w:rFonts w:ascii="Times New Roman" w:hAnsi="Times New Roman"/>
          <w:lang w:val="en-US"/>
        </w:rPr>
      </w:pPr>
      <w:r w:rsidRPr="00536246">
        <w:rPr>
          <w:rFonts w:ascii="Times New Roman" w:hAnsi="Times New Roman"/>
          <w:lang w:val="en-US"/>
        </w:rPr>
        <w:t>Įsigilinus į teorinius intelektinio kapitalo koncepcijos įvertinimo aspektus, į</w:t>
      </w:r>
      <w:r w:rsidR="00685BD8" w:rsidRPr="00536246">
        <w:rPr>
          <w:rFonts w:ascii="Times New Roman" w:hAnsi="Times New Roman"/>
          <w:lang w:val="en-US"/>
        </w:rPr>
        <w:t>monių vertinimui sukurtas intelektinio kapitalo vertinimo modelis. Hipotezi</w:t>
      </w:r>
      <w:r w:rsidR="00685BD8" w:rsidRPr="00536246">
        <w:rPr>
          <w:rFonts w:ascii="Times New Roman" w:hAnsi="Times New Roman"/>
          <w:lang w:val="lt-LT"/>
        </w:rPr>
        <w:t xml:space="preserve">ų tikrinimui atrinkti intelektinio vertinimo metodai: pridėtinės vertės intelektinio kapitalo koeficientas VAIC™, intelektinio kapitalo efektyvumo koeficientas ICE ir apskaičiuotosios nematerialios vertės CIV metodas. Metodai atrinkti dėl jų išsamaus ir populiaraus naudojimo kituose autorių publikacijose, skaičiavimo metodikos paprastumo ir gautų rezultatų interpretavimo galimybių. Tyrimui atrinktos 10 OMX Vilnius </w:t>
      </w:r>
      <w:r w:rsidRPr="00536246">
        <w:rPr>
          <w:rFonts w:ascii="Times New Roman" w:hAnsi="Times New Roman"/>
          <w:lang w:val="lt-LT"/>
        </w:rPr>
        <w:t>ir 6 OMX Talinas vertybinių popierių biržos</w:t>
      </w:r>
      <w:r w:rsidR="00685BD8" w:rsidRPr="00536246">
        <w:rPr>
          <w:rFonts w:ascii="Times New Roman" w:hAnsi="Times New Roman"/>
          <w:lang w:val="lt-LT"/>
        </w:rPr>
        <w:t xml:space="preserve">e listinguojamos įmonės, </w:t>
      </w:r>
      <w:r w:rsidRPr="00536246">
        <w:rPr>
          <w:rFonts w:ascii="Times New Roman" w:hAnsi="Times New Roman"/>
          <w:lang w:val="lt-LT"/>
        </w:rPr>
        <w:t>su galimybe tarpusavyje palyginti</w:t>
      </w:r>
      <w:r w:rsidR="00685BD8" w:rsidRPr="00536246">
        <w:rPr>
          <w:rFonts w:ascii="Times New Roman" w:hAnsi="Times New Roman"/>
          <w:lang w:val="lt-LT"/>
        </w:rPr>
        <w:t xml:space="preserve"> rezultat</w:t>
      </w:r>
      <w:r w:rsidRPr="00536246">
        <w:rPr>
          <w:rFonts w:ascii="Times New Roman" w:hAnsi="Times New Roman"/>
          <w:lang w:val="lt-LT"/>
        </w:rPr>
        <w:t>us.</w:t>
      </w:r>
    </w:p>
    <w:p w:rsidR="00F9150B" w:rsidRPr="00536246" w:rsidRDefault="00321E4F" w:rsidP="00536246">
      <w:pPr>
        <w:pStyle w:val="ListParagraph"/>
        <w:numPr>
          <w:ilvl w:val="0"/>
          <w:numId w:val="37"/>
        </w:numPr>
        <w:spacing w:line="360" w:lineRule="auto"/>
        <w:ind w:left="0" w:firstLine="567"/>
        <w:jc w:val="both"/>
        <w:rPr>
          <w:rFonts w:ascii="Times New Roman" w:hAnsi="Times New Roman"/>
          <w:lang w:val="en-US"/>
        </w:rPr>
      </w:pPr>
      <w:r>
        <w:rPr>
          <w:rFonts w:ascii="Times New Roman" w:hAnsi="Times New Roman"/>
          <w:lang w:val="en-US"/>
        </w:rPr>
        <w:t>Atli</w:t>
      </w:r>
      <w:r w:rsidR="00685BD8" w:rsidRPr="00536246">
        <w:rPr>
          <w:rFonts w:ascii="Times New Roman" w:hAnsi="Times New Roman"/>
          <w:lang w:val="en-US"/>
        </w:rPr>
        <w:t xml:space="preserve">kus skaičiavimus, bei įvertinus įmonių intelektinio kapitalo lygį pagal pasirinktus metodus, padarytos atitinkamos </w:t>
      </w:r>
      <w:r w:rsidR="006C607C" w:rsidRPr="00536246">
        <w:rPr>
          <w:rFonts w:ascii="Times New Roman" w:hAnsi="Times New Roman"/>
          <w:lang w:val="en-US"/>
        </w:rPr>
        <w:t xml:space="preserve">tyrimo </w:t>
      </w:r>
      <w:r w:rsidR="00685BD8" w:rsidRPr="00536246">
        <w:rPr>
          <w:rFonts w:ascii="Times New Roman" w:hAnsi="Times New Roman"/>
          <w:lang w:val="en-US"/>
        </w:rPr>
        <w:t xml:space="preserve">išvados: remiantis VAIC™ metodo rezultatais, paaiškėjo, kad </w:t>
      </w:r>
      <w:r w:rsidR="00685BD8" w:rsidRPr="00536246">
        <w:rPr>
          <w:rFonts w:ascii="Times New Roman" w:hAnsi="Times New Roman"/>
          <w:lang w:eastAsia="ja-JP"/>
        </w:rPr>
        <w:t>g</w:t>
      </w:r>
      <w:r w:rsidR="00227B53" w:rsidRPr="00536246">
        <w:rPr>
          <w:rFonts w:ascii="Times New Roman" w:hAnsi="Times New Roman"/>
          <w:lang w:eastAsia="ja-JP"/>
        </w:rPr>
        <w:t>eriausią santykį tarp pridėtinės vertės ir samdomo kapitalo išlaiko AB „Vilniaus baldai“, nors ir aukščiausios pridėtinės vertės ir samdomo kapitalo reikšmės priklauso įmonei AB „Lietuvos dujos“. Geriausią santykį tarp pridėtinės vertės ir investicijų į žmogiškąjį ka</w:t>
      </w:r>
      <w:r w:rsidR="00685BD8" w:rsidRPr="00536246">
        <w:rPr>
          <w:rFonts w:ascii="Times New Roman" w:hAnsi="Times New Roman"/>
          <w:lang w:eastAsia="ja-JP"/>
        </w:rPr>
        <w:t xml:space="preserve">pitalą palaiko AB „Grigiškės“. </w:t>
      </w:r>
      <w:r w:rsidR="00227B53" w:rsidRPr="00536246">
        <w:rPr>
          <w:rFonts w:ascii="Times New Roman" w:hAnsi="Times New Roman"/>
          <w:lang w:eastAsia="ja-JP"/>
        </w:rPr>
        <w:t>Ši įmonė palaiko ir geriausią struktūrinio kapitalo proporciją bendroje pridėtinės vertės apskaitoje.</w:t>
      </w:r>
      <w:r w:rsidR="00685BD8" w:rsidRPr="00536246">
        <w:rPr>
          <w:rFonts w:ascii="Times New Roman" w:hAnsi="Times New Roman"/>
          <w:lang w:eastAsia="ja-JP"/>
        </w:rPr>
        <w:t xml:space="preserve"> </w:t>
      </w:r>
      <w:r w:rsidR="00227B53" w:rsidRPr="00536246">
        <w:rPr>
          <w:rFonts w:ascii="Times New Roman" w:hAnsi="Times New Roman"/>
          <w:lang w:eastAsia="ja-JP"/>
        </w:rPr>
        <w:t>Aukščiausią VAIC™ rodiklio lygis bendrai visų įmonių aptinkamas 2011 metais.</w:t>
      </w:r>
      <w:r w:rsidR="00685BD8" w:rsidRPr="00536246">
        <w:rPr>
          <w:rFonts w:ascii="Times New Roman" w:hAnsi="Times New Roman"/>
          <w:lang w:eastAsia="ja-JP"/>
        </w:rPr>
        <w:t xml:space="preserve"> </w:t>
      </w:r>
      <w:r w:rsidR="006C607C" w:rsidRPr="00536246">
        <w:rPr>
          <w:rFonts w:ascii="Times New Roman" w:hAnsi="Times New Roman"/>
          <w:lang w:eastAsia="ja-JP"/>
        </w:rPr>
        <w:t xml:space="preserve">Įvertinus VAIC™ ir ICE metodų rezultatus, paaiškėjo, jog AB „Grigiškės“ ne tik sukuria daugiausiai pridėtinės vertės, bet ir efektyviausiai ją panaudoja. </w:t>
      </w:r>
      <w:r w:rsidR="00F9150B" w:rsidRPr="00536246">
        <w:rPr>
          <w:rFonts w:ascii="Times New Roman" w:hAnsi="Times New Roman"/>
          <w:lang w:eastAsia="ja-JP"/>
        </w:rPr>
        <w:t xml:space="preserve">Visų nagrinėjamų įmonių VAIC™ didžiausias lyginamasis svoris buvo žmogiškojo kapitalo efektyvumo koeficiento, </w:t>
      </w:r>
      <w:r w:rsidR="006C607C" w:rsidRPr="00536246">
        <w:rPr>
          <w:rFonts w:ascii="Times New Roman" w:hAnsi="Times New Roman"/>
          <w:lang w:eastAsia="ja-JP"/>
        </w:rPr>
        <w:t>kuris labiausiai</w:t>
      </w:r>
      <w:r w:rsidR="00F9150B" w:rsidRPr="00536246">
        <w:rPr>
          <w:rFonts w:ascii="Times New Roman" w:hAnsi="Times New Roman"/>
          <w:lang w:eastAsia="ja-JP"/>
        </w:rPr>
        <w:t xml:space="preserve"> įtakoja bendrą VAIC™ koncepcijos rezultatą</w:t>
      </w:r>
      <w:r w:rsidR="006C607C" w:rsidRPr="00536246">
        <w:rPr>
          <w:rFonts w:ascii="Times New Roman" w:hAnsi="Times New Roman"/>
          <w:lang w:eastAsia="ja-JP"/>
        </w:rPr>
        <w:t xml:space="preserve">, o tai gali būti neobjektyviai įvertinama, kadangi koeficineto reikšmę lemia išlaidos darbuotojams. </w:t>
      </w:r>
      <w:r w:rsidR="00F9150B" w:rsidRPr="00536246">
        <w:rPr>
          <w:rFonts w:ascii="Times New Roman" w:hAnsi="Times New Roman"/>
          <w:lang w:eastAsia="ja-JP"/>
        </w:rPr>
        <w:t xml:space="preserve">CIV metodas intelektinį kapitalą parodo pinigine išraiška bei leidžia palyginti įmonės rezultatus su vidutiniu konkurentu. Aukščiausią CIV rodiklio lygį išlaiko įmonės AB “Lietuvos dujos”, ypač 2009 metais. Vis </w:t>
      </w:r>
      <w:r w:rsidR="006C607C" w:rsidRPr="00536246">
        <w:rPr>
          <w:rFonts w:ascii="Times New Roman" w:hAnsi="Times New Roman"/>
          <w:lang w:eastAsia="ja-JP"/>
        </w:rPr>
        <w:t>dėlto ši įmonė rinkoje yra viena</w:t>
      </w:r>
      <w:r w:rsidR="00F9150B" w:rsidRPr="00536246">
        <w:rPr>
          <w:rFonts w:ascii="Times New Roman" w:hAnsi="Times New Roman"/>
          <w:lang w:eastAsia="ja-JP"/>
        </w:rPr>
        <w:t xml:space="preserve"> didžiausių, įmonės rezultatai gali didžiąja dalimi įtakoti šakos rezultatus, ko pasekoje bus mažesnė intelektinio kapitalo vertė ir šiuo metodu apskaičiuoti rodikliai gali būti neobjektyvūs. Rodiklio statistika nėra labai išsami ir dėl to, kad dažnu atveju </w:t>
      </w:r>
      <w:r w:rsidR="006C607C" w:rsidRPr="00536246">
        <w:rPr>
          <w:rFonts w:ascii="Times New Roman" w:hAnsi="Times New Roman"/>
          <w:lang w:eastAsia="ja-JP"/>
        </w:rPr>
        <w:t xml:space="preserve">įmonės turto grąža yra mažesnė nei vidutinio konkurento tokios </w:t>
      </w:r>
      <w:r w:rsidR="00F9150B" w:rsidRPr="00536246">
        <w:rPr>
          <w:rFonts w:ascii="Times New Roman" w:hAnsi="Times New Roman"/>
          <w:lang w:eastAsia="ja-JP"/>
        </w:rPr>
        <w:t>šakos rodiklis (tuomet rodiklis neskaičiuojamas) ir nesuformuoti 2012 metų šakos rodikliai.</w:t>
      </w:r>
      <w:r w:rsidR="00F9150B" w:rsidRPr="00536246">
        <w:rPr>
          <w:lang w:eastAsia="ja-JP"/>
        </w:rPr>
        <w:t xml:space="preserve"> </w:t>
      </w:r>
    </w:p>
    <w:p w:rsidR="00227B53" w:rsidRPr="00536246" w:rsidRDefault="00F9150B" w:rsidP="00536246">
      <w:pPr>
        <w:widowControl w:val="0"/>
        <w:autoSpaceDE w:val="0"/>
        <w:autoSpaceDN w:val="0"/>
        <w:adjustRightInd w:val="0"/>
        <w:spacing w:line="360" w:lineRule="auto"/>
        <w:ind w:firstLine="567"/>
        <w:jc w:val="both"/>
        <w:rPr>
          <w:lang w:val="en-US"/>
        </w:rPr>
      </w:pPr>
      <w:r w:rsidRPr="00536246">
        <w:rPr>
          <w:lang w:eastAsia="ja-JP"/>
        </w:rPr>
        <w:t xml:space="preserve">Siekiant surasti koreliacinius ryšius tarp </w:t>
      </w:r>
      <w:r w:rsidRPr="00536246">
        <w:rPr>
          <w:lang w:val="en-US"/>
        </w:rPr>
        <w:t xml:space="preserve">finansinių rodiklių ROA, ROE, bei nefinansinių rodiklių – VACA, VAHU, STVA, VAIC™, ICE bei CIV paaiškėjo, kad </w:t>
      </w:r>
      <w:r w:rsidRPr="00536246">
        <w:rPr>
          <w:lang w:eastAsia="ja-JP"/>
        </w:rPr>
        <w:t>ne tarp visų rodiklių egzistuoja reikšmingas stiprus ryšys. Atlikta koreliacinė rodiklių ryšio analizė parodė, kad ryšys daugeliu atveju stiprus arba labai stiprus teigiamas ryšys egzistuoja tik tarpusavyje finansinių arba nefinansinių rodiklių</w:t>
      </w:r>
      <w:r w:rsidR="006C607C" w:rsidRPr="00536246">
        <w:rPr>
          <w:lang w:eastAsia="ja-JP"/>
        </w:rPr>
        <w:t>, todėl</w:t>
      </w:r>
      <w:r w:rsidRPr="00536246">
        <w:rPr>
          <w:lang w:val="en-US"/>
        </w:rPr>
        <w:t xml:space="preserve"> iškelta hipotezė, jog keičiantis </w:t>
      </w:r>
      <w:r w:rsidR="006C607C" w:rsidRPr="00536246">
        <w:rPr>
          <w:lang w:val="en-US"/>
        </w:rPr>
        <w:t xml:space="preserve">įmonių </w:t>
      </w:r>
      <w:r w:rsidRPr="00536246">
        <w:rPr>
          <w:lang w:val="en-US"/>
        </w:rPr>
        <w:t>finansiniams rodikliams atitinkamai keisis ir nefinansiniai koeficientai OMX Vilnius atveju atmesta.</w:t>
      </w:r>
      <w:r w:rsidR="006C607C" w:rsidRPr="00536246">
        <w:rPr>
          <w:lang w:val="en-US"/>
        </w:rPr>
        <w:t xml:space="preserve"> </w:t>
      </w:r>
      <w:r w:rsidR="0063541A" w:rsidRPr="00536246">
        <w:t xml:space="preserve">Hipotezė, kad yra santykinis ryšys tarp nefinansinių intelektualiųjų rodiklių, OMX Vilnius atveju pasitvirtino tik iš dalies. </w:t>
      </w:r>
      <w:r w:rsidR="006C607C" w:rsidRPr="00536246">
        <w:rPr>
          <w:lang w:val="en-US"/>
        </w:rPr>
        <w:t xml:space="preserve">Priešingai </w:t>
      </w:r>
      <w:r w:rsidRPr="00536246">
        <w:rPr>
          <w:lang w:val="en-US"/>
        </w:rPr>
        <w:t xml:space="preserve">OMX Talinas </w:t>
      </w:r>
      <w:r w:rsidRPr="00536246">
        <w:t>įmonių atveju</w:t>
      </w:r>
      <w:r w:rsidRPr="00536246">
        <w:rPr>
          <w:lang w:val="en-US"/>
        </w:rPr>
        <w:t xml:space="preserve"> </w:t>
      </w:r>
      <w:r w:rsidR="006C607C" w:rsidRPr="00536246">
        <w:rPr>
          <w:lang w:eastAsia="ja-JP"/>
        </w:rPr>
        <w:t>atliktas tyrimas įrodė tendenciją, kad</w:t>
      </w:r>
      <w:r w:rsidR="006C607C" w:rsidRPr="00536246">
        <w:rPr>
          <w:lang w:val="en-US"/>
        </w:rPr>
        <w:t xml:space="preserve"> </w:t>
      </w:r>
      <w:r w:rsidRPr="00536246">
        <w:rPr>
          <w:lang w:val="en-US"/>
        </w:rPr>
        <w:t xml:space="preserve">kintant intelektinio kapitalo vertinimo rodikliams, proporcingai kinta ir finansiniai arba nefinansiniai įmonių rodikliai. </w:t>
      </w:r>
      <w:r w:rsidRPr="00536246">
        <w:rPr>
          <w:lang w:eastAsia="ja-JP"/>
        </w:rPr>
        <w:t>Atlikta koreliacinė Estijos įmonių intelektinio kapitalo ir finansinių rodiklių ryšio analizė parodė, kad ryšys daugeliu atveju labai stiprus teigiamas. Tai reiškia, kad intelektinio kapitalo sukuriama pridėtinė vertė atitinkamai tolygi įmonių sukuriamai finansinei vertei.</w:t>
      </w:r>
      <w:r w:rsidR="0063541A" w:rsidRPr="00536246">
        <w:rPr>
          <w:lang w:val="en-US"/>
        </w:rPr>
        <w:t xml:space="preserve"> Abi i</w:t>
      </w:r>
      <w:r w:rsidRPr="00536246">
        <w:rPr>
          <w:lang w:val="en-US"/>
        </w:rPr>
        <w:t xml:space="preserve">škeltos hipotezės OMX Talinas atveju pasitvirtino. O </w:t>
      </w:r>
      <w:r w:rsidR="006C607C" w:rsidRPr="00536246">
        <w:rPr>
          <w:lang w:val="en-US"/>
        </w:rPr>
        <w:t xml:space="preserve">palyginus abiejų šalių atitinkamas įmones </w:t>
      </w:r>
      <w:r w:rsidRPr="00536246">
        <w:rPr>
          <w:lang w:val="en-US"/>
        </w:rPr>
        <w:t>tik pasitvirtino, kad tarp Lietuvos įmonių analizuojamų rodiklių reikš</w:t>
      </w:r>
      <w:r w:rsidR="00321E4F">
        <w:rPr>
          <w:lang w:val="en-US"/>
        </w:rPr>
        <w:t>mingų koreliacinių ryšių neapti</w:t>
      </w:r>
      <w:r w:rsidRPr="00536246">
        <w:rPr>
          <w:lang w:val="en-US"/>
        </w:rPr>
        <w:t>kta.</w:t>
      </w:r>
    </w:p>
    <w:p w:rsidR="00227B53" w:rsidRPr="00536246" w:rsidRDefault="006C607C" w:rsidP="008F7127">
      <w:pPr>
        <w:spacing w:line="360" w:lineRule="auto"/>
        <w:ind w:firstLine="567"/>
        <w:jc w:val="both"/>
        <w:rPr>
          <w:lang w:eastAsia="ja-JP"/>
        </w:rPr>
      </w:pPr>
      <w:r w:rsidRPr="00536246">
        <w:rPr>
          <w:lang w:eastAsia="ja-JP"/>
        </w:rPr>
        <w:t>Tyrimo rezultatai pateikia naudingų įžvalgų, todėl įmonėms būtų galima pasiūlytus atitinkamus rodiklius a</w:t>
      </w:r>
      <w:r w:rsidR="00321E4F">
        <w:rPr>
          <w:lang w:eastAsia="ja-JP"/>
        </w:rPr>
        <w:t xml:space="preserve">tspindėti atskaitomybėje, taip </w:t>
      </w:r>
      <w:r w:rsidRPr="00536246">
        <w:rPr>
          <w:lang w:eastAsia="ja-JP"/>
        </w:rPr>
        <w:t>geriau pri</w:t>
      </w:r>
      <w:r w:rsidR="00536246" w:rsidRPr="00536246">
        <w:rPr>
          <w:lang w:eastAsia="ja-JP"/>
        </w:rPr>
        <w:t>statant įmonės intelektinę vertę</w:t>
      </w:r>
      <w:r w:rsidRPr="00536246">
        <w:rPr>
          <w:lang w:eastAsia="ja-JP"/>
        </w:rPr>
        <w:t xml:space="preserve"> sav</w:t>
      </w:r>
      <w:r w:rsidR="00536246" w:rsidRPr="00536246">
        <w:rPr>
          <w:lang w:eastAsia="ja-JP"/>
        </w:rPr>
        <w:t xml:space="preserve">o partneriams, investuotojams bei kitoms suinteresuotoms šalims. O šiame darbe sukurtą intelektinio kapitalo vertinimo modelį gali pritaikyti kiekviena įmonė, kadangi modelis reikalauja tik lengvai prieinamos informacijos iš finansinių ataskaitų bei viešai skelbiamų statistikos institucijų rodiklių. Nors sukurtas vertinimo modelis gana išsamus atskleidžiamos aktualios informacijos požiūriu, tačiau modelis yra tobulintinas - būtų galima įtraukti kokybinį vertinimo metodą, taip įtraukiant ir papildomų vertinamų kriterijų. Tolimesnėse studijose, pritaikius </w:t>
      </w:r>
      <w:r w:rsidR="00321E4F">
        <w:rPr>
          <w:lang w:eastAsia="ja-JP"/>
        </w:rPr>
        <w:t xml:space="preserve">šį modelį, būtų galima ištirti </w:t>
      </w:r>
      <w:r w:rsidR="00536246" w:rsidRPr="00536246">
        <w:rPr>
          <w:lang w:eastAsia="ja-JP"/>
        </w:rPr>
        <w:t xml:space="preserve">įmonių intelektinį kapitalą ir palyginti su išsivysčiusios šalies, aukštesnio ekonominio lygio įmonėmis. </w:t>
      </w:r>
    </w:p>
    <w:p w:rsidR="00693866" w:rsidRPr="00071D1C" w:rsidRDefault="00D657FA" w:rsidP="00693866">
      <w:pPr>
        <w:spacing w:line="360" w:lineRule="auto"/>
        <w:jc w:val="center"/>
        <w:rPr>
          <w:b/>
        </w:rPr>
      </w:pPr>
      <w:r>
        <w:rPr>
          <w:b/>
        </w:rPr>
        <w:br w:type="column"/>
      </w:r>
      <w:r w:rsidR="00693866" w:rsidRPr="00071D1C">
        <w:rPr>
          <w:b/>
        </w:rPr>
        <w:t>LITERATŪRA</w:t>
      </w:r>
    </w:p>
    <w:p w:rsidR="00693866" w:rsidRPr="00290C61" w:rsidRDefault="00693866" w:rsidP="00693866">
      <w:pPr>
        <w:spacing w:line="360" w:lineRule="auto"/>
        <w:jc w:val="both"/>
        <w:rPr>
          <w:color w:val="000090"/>
          <w:lang w:val="en-US"/>
        </w:rPr>
      </w:pPr>
    </w:p>
    <w:p w:rsidR="001B0F87" w:rsidRDefault="009A614C" w:rsidP="001B0F87">
      <w:pPr>
        <w:numPr>
          <w:ilvl w:val="0"/>
          <w:numId w:val="7"/>
        </w:numPr>
        <w:spacing w:line="360" w:lineRule="auto"/>
        <w:ind w:left="0" w:firstLine="0"/>
        <w:jc w:val="both"/>
        <w:rPr>
          <w:lang w:val="en-US"/>
        </w:rPr>
      </w:pPr>
      <w:r w:rsidRPr="001B0F87">
        <w:rPr>
          <w:b/>
          <w:lang w:val="en-US"/>
        </w:rPr>
        <w:t>Abeysekera I., Guthrie, J.</w:t>
      </w:r>
      <w:r w:rsidRPr="001B0F87">
        <w:rPr>
          <w:lang w:val="en-US"/>
        </w:rPr>
        <w:t xml:space="preserve"> “Human capital reporting in a developing nation”, British Accounting Review, 2004, Vol. 36 No. 3, pp. 251-68.</w:t>
      </w:r>
    </w:p>
    <w:p w:rsidR="00F70691" w:rsidRPr="00F70691" w:rsidRDefault="00F70691" w:rsidP="00F70691">
      <w:pPr>
        <w:numPr>
          <w:ilvl w:val="0"/>
          <w:numId w:val="7"/>
        </w:numPr>
        <w:spacing w:line="360" w:lineRule="auto"/>
        <w:ind w:left="0" w:firstLine="0"/>
        <w:jc w:val="both"/>
        <w:rPr>
          <w:lang w:val="en-US"/>
        </w:rPr>
      </w:pPr>
      <w:r w:rsidRPr="00F70691">
        <w:rPr>
          <w:rFonts w:eastAsia="SimSun"/>
          <w:b/>
          <w:lang w:val="en-US" w:eastAsia="en-US"/>
        </w:rPr>
        <w:t>Abeysekera I.</w:t>
      </w:r>
      <w:r>
        <w:rPr>
          <w:rFonts w:eastAsia="SimSun"/>
          <w:lang w:val="en-US" w:eastAsia="en-US"/>
        </w:rPr>
        <w:t xml:space="preserve"> </w:t>
      </w:r>
      <w:r w:rsidRPr="00F70691">
        <w:rPr>
          <w:rFonts w:eastAsia="SimSun"/>
          <w:lang w:val="en-US" w:eastAsia="en-US"/>
        </w:rPr>
        <w:t xml:space="preserve">"The project of intellectual capital disclosure: researching the research", Journal of Intellectual Capital, </w:t>
      </w:r>
      <w:r>
        <w:rPr>
          <w:rFonts w:eastAsia="SimSun"/>
          <w:lang w:val="en-US" w:eastAsia="en-US"/>
        </w:rPr>
        <w:t xml:space="preserve">2006, </w:t>
      </w:r>
      <w:r w:rsidRPr="00F70691">
        <w:rPr>
          <w:rFonts w:eastAsia="SimSun"/>
          <w:lang w:val="en-US" w:eastAsia="en-US"/>
        </w:rPr>
        <w:t xml:space="preserve">Vol. 7 Iss: 1, pp.61 </w:t>
      </w:r>
      <w:r>
        <w:rPr>
          <w:rFonts w:eastAsia="SimSun"/>
          <w:lang w:val="en-US" w:eastAsia="en-US"/>
        </w:rPr>
        <w:t>–</w:t>
      </w:r>
      <w:r w:rsidRPr="00F70691">
        <w:rPr>
          <w:rFonts w:eastAsia="SimSun"/>
          <w:lang w:val="en-US" w:eastAsia="en-US"/>
        </w:rPr>
        <w:t xml:space="preserve"> 77</w:t>
      </w:r>
      <w:r>
        <w:rPr>
          <w:rFonts w:eastAsia="SimSun"/>
          <w:lang w:val="en-US" w:eastAsia="en-US"/>
        </w:rPr>
        <w:t xml:space="preserve">. </w:t>
      </w:r>
      <w:r w:rsidRPr="001B0F87">
        <w:t>ISSN 1469-1930</w:t>
      </w:r>
      <w:r w:rsidRPr="00452B27">
        <w:rPr>
          <w:lang w:val="en-US"/>
        </w:rPr>
        <w:t xml:space="preserve">. </w:t>
      </w:r>
    </w:p>
    <w:p w:rsidR="00F70691" w:rsidRDefault="001B0F87" w:rsidP="00F70691">
      <w:pPr>
        <w:numPr>
          <w:ilvl w:val="0"/>
          <w:numId w:val="7"/>
        </w:numPr>
        <w:spacing w:line="360" w:lineRule="auto"/>
        <w:ind w:left="0" w:firstLine="0"/>
        <w:jc w:val="both"/>
        <w:rPr>
          <w:lang w:val="en-US"/>
        </w:rPr>
      </w:pPr>
      <w:r w:rsidRPr="001B0F87">
        <w:rPr>
          <w:b/>
          <w:lang w:val="en-US"/>
        </w:rPr>
        <w:t>Ahlgren, M.</w:t>
      </w:r>
      <w:r w:rsidRPr="001B0F87">
        <w:rPr>
          <w:lang w:val="en-US"/>
        </w:rPr>
        <w:t xml:space="preserve"> What Is Intellectual Capital? </w:t>
      </w:r>
      <w:r w:rsidRPr="001B0F87">
        <w:rPr>
          <w:iCs/>
          <w:lang w:val="en-US"/>
        </w:rPr>
        <w:t>UNLV Gaming Research &amp; Review Journal, 2011, 5</w:t>
      </w:r>
      <w:r w:rsidRPr="001B0F87">
        <w:rPr>
          <w:lang w:val="en-US"/>
        </w:rPr>
        <w:t xml:space="preserve">(2) p. 17. URL: &lt; </w:t>
      </w:r>
      <w:hyperlink r:id="rId57" w:history="1">
        <w:r w:rsidRPr="001B0F87">
          <w:rPr>
            <w:rStyle w:val="Hyperlink"/>
            <w:color w:val="auto"/>
            <w:lang w:val="en-US"/>
          </w:rPr>
          <w:t>http://digitalscholarship.unlv.edu/grrj/vol15/iss2/4</w:t>
        </w:r>
      </w:hyperlink>
      <w:r w:rsidRPr="001B0F87">
        <w:rPr>
          <w:lang w:val="en-US"/>
        </w:rPr>
        <w:t>&gt;</w:t>
      </w:r>
    </w:p>
    <w:p w:rsidR="00F70691" w:rsidRPr="00F70691" w:rsidRDefault="00F70691" w:rsidP="00F70691">
      <w:pPr>
        <w:numPr>
          <w:ilvl w:val="0"/>
          <w:numId w:val="7"/>
        </w:numPr>
        <w:spacing w:line="360" w:lineRule="auto"/>
        <w:ind w:left="0" w:firstLine="0"/>
        <w:jc w:val="both"/>
        <w:rPr>
          <w:lang w:val="en-US"/>
        </w:rPr>
      </w:pPr>
      <w:r w:rsidRPr="00F70691">
        <w:rPr>
          <w:rFonts w:eastAsia="SimSun"/>
          <w:b/>
          <w:lang w:val="en-US" w:eastAsia="en-US"/>
        </w:rPr>
        <w:t>Aho S. et al.</w:t>
      </w:r>
      <w:r w:rsidRPr="00F70691">
        <w:rPr>
          <w:rFonts w:eastAsia="SimSun"/>
          <w:lang w:val="en-US" w:eastAsia="en-US"/>
        </w:rPr>
        <w:t xml:space="preserve"> "A critical assessment of Stewart's CIV method", Measuring Business Excellence, 2011, Vol. 15 Iss: 4, pp.27 – 35. ISSN: 1368-3047.</w:t>
      </w:r>
    </w:p>
    <w:p w:rsidR="00452B27" w:rsidRPr="00775A4C" w:rsidRDefault="00693866" w:rsidP="00452B27">
      <w:pPr>
        <w:numPr>
          <w:ilvl w:val="0"/>
          <w:numId w:val="7"/>
        </w:numPr>
        <w:spacing w:line="360" w:lineRule="auto"/>
        <w:ind w:left="0" w:firstLine="0"/>
        <w:jc w:val="both"/>
        <w:rPr>
          <w:lang w:val="en-US"/>
        </w:rPr>
      </w:pPr>
      <w:r w:rsidRPr="00452B27">
        <w:rPr>
          <w:b/>
          <w:bCs/>
          <w:lang w:val="en-US"/>
        </w:rPr>
        <w:t>A</w:t>
      </w:r>
      <w:r w:rsidR="00300A6B" w:rsidRPr="00452B27">
        <w:rPr>
          <w:b/>
          <w:bCs/>
          <w:lang w:val="en-US"/>
        </w:rPr>
        <w:t>miri A. N. et al.</w:t>
      </w:r>
      <w:r w:rsidRPr="00452B27">
        <w:rPr>
          <w:bCs/>
          <w:lang w:val="en-US"/>
        </w:rPr>
        <w:t xml:space="preserve"> </w:t>
      </w:r>
      <w:r w:rsidR="00300A6B" w:rsidRPr="00452B27">
        <w:rPr>
          <w:bCs/>
          <w:lang w:val="en-US"/>
        </w:rPr>
        <w:t>“</w:t>
      </w:r>
      <w:r w:rsidRPr="00452B27">
        <w:rPr>
          <w:bCs/>
          <w:lang w:val="en-US"/>
        </w:rPr>
        <w:t>Increasing the Intellectual Capital in Organization: Examining the Role of Organizational Learning</w:t>
      </w:r>
      <w:r w:rsidR="00300A6B" w:rsidRPr="00452B27">
        <w:rPr>
          <w:bCs/>
          <w:lang w:val="en-US"/>
        </w:rPr>
        <w:t>”</w:t>
      </w:r>
      <w:r w:rsidR="00452B27" w:rsidRPr="00452B27">
        <w:rPr>
          <w:bCs/>
          <w:lang w:val="en-US"/>
        </w:rPr>
        <w:t xml:space="preserve">. </w:t>
      </w:r>
      <w:r w:rsidR="00452B27" w:rsidRPr="00452B27">
        <w:rPr>
          <w:rFonts w:eastAsia="SimSun"/>
          <w:iCs/>
          <w:lang w:val="en-US" w:eastAsia="en-US"/>
        </w:rPr>
        <w:t>European Journal of Social Sciences, 2010, Vol. 14, Nr. 1.</w:t>
      </w:r>
    </w:p>
    <w:p w:rsidR="00775A4C" w:rsidRPr="00775A4C" w:rsidRDefault="00775A4C" w:rsidP="00452B27">
      <w:pPr>
        <w:numPr>
          <w:ilvl w:val="0"/>
          <w:numId w:val="7"/>
        </w:numPr>
        <w:spacing w:line="360" w:lineRule="auto"/>
        <w:ind w:left="0" w:firstLine="0"/>
        <w:jc w:val="both"/>
        <w:rPr>
          <w:lang w:val="en-US"/>
        </w:rPr>
      </w:pPr>
      <w:r w:rsidRPr="00775A4C">
        <w:rPr>
          <w:rFonts w:eastAsia="SimSun"/>
          <w:b/>
          <w:lang w:val="en-US" w:eastAsia="en-US"/>
        </w:rPr>
        <w:t>Andriessen D., Tissen R.</w:t>
      </w:r>
      <w:r w:rsidRPr="00775A4C">
        <w:rPr>
          <w:rFonts w:eastAsia="SimSun"/>
          <w:lang w:val="en-US" w:eastAsia="en-US"/>
        </w:rPr>
        <w:t xml:space="preserve"> </w:t>
      </w:r>
      <w:r>
        <w:rPr>
          <w:rFonts w:eastAsia="SimSun"/>
          <w:lang w:val="en-US" w:eastAsia="en-US"/>
        </w:rPr>
        <w:t>“</w:t>
      </w:r>
      <w:r w:rsidRPr="00775A4C">
        <w:rPr>
          <w:rFonts w:eastAsia="SimSun"/>
          <w:lang w:val="en-US" w:eastAsia="en-US"/>
        </w:rPr>
        <w:t>Weightless Wealth: Find Your Real Value in a Future of Intangible Assets</w:t>
      </w:r>
      <w:r>
        <w:rPr>
          <w:rFonts w:eastAsia="SimSun"/>
          <w:lang w:val="en-US" w:eastAsia="en-US"/>
        </w:rPr>
        <w:t>”</w:t>
      </w:r>
      <w:r w:rsidRPr="00775A4C">
        <w:rPr>
          <w:rFonts w:eastAsia="SimSun"/>
          <w:lang w:val="en-US" w:eastAsia="en-US"/>
        </w:rPr>
        <w:t xml:space="preserve">, </w:t>
      </w:r>
      <w:r>
        <w:rPr>
          <w:rFonts w:eastAsia="SimSun"/>
          <w:lang w:val="en-US" w:eastAsia="en-US"/>
        </w:rPr>
        <w:t xml:space="preserve">2000, </w:t>
      </w:r>
      <w:r w:rsidRPr="00775A4C">
        <w:rPr>
          <w:rFonts w:eastAsia="SimSun"/>
          <w:lang w:val="en-US" w:eastAsia="en-US"/>
        </w:rPr>
        <w:t>Financi</w:t>
      </w:r>
      <w:r>
        <w:rPr>
          <w:rFonts w:eastAsia="SimSun"/>
          <w:lang w:val="en-US" w:eastAsia="en-US"/>
        </w:rPr>
        <w:t>al Times/Prentice-Hall, London</w:t>
      </w:r>
      <w:r w:rsidRPr="00775A4C">
        <w:rPr>
          <w:rFonts w:eastAsia="SimSun"/>
          <w:lang w:val="en-US" w:eastAsia="en-US"/>
        </w:rPr>
        <w:t xml:space="preserve">. </w:t>
      </w:r>
    </w:p>
    <w:p w:rsidR="001B0F87" w:rsidRPr="00452B27" w:rsidRDefault="001B0F87" w:rsidP="001B0F87">
      <w:pPr>
        <w:numPr>
          <w:ilvl w:val="0"/>
          <w:numId w:val="7"/>
        </w:numPr>
        <w:spacing w:line="360" w:lineRule="auto"/>
        <w:ind w:left="0" w:firstLine="0"/>
        <w:jc w:val="both"/>
        <w:rPr>
          <w:lang w:val="en-US"/>
        </w:rPr>
      </w:pPr>
      <w:r w:rsidRPr="00452B27">
        <w:rPr>
          <w:b/>
          <w:lang w:val="en-US"/>
        </w:rPr>
        <w:t>Andriesson D.,</w:t>
      </w:r>
      <w:r w:rsidRPr="00452B27">
        <w:rPr>
          <w:lang w:val="en-US"/>
        </w:rPr>
        <w:t xml:space="preserve"> "Implementing the KPMG Value Explorer: Critical success factors for applying IC measurement tools", Journal of Intellectual Capital, 2005, Vol. 6 Iss: 4, pp.474 – 488. </w:t>
      </w:r>
      <w:r w:rsidRPr="001B0F87">
        <w:t>ISSN 1469-1930</w:t>
      </w:r>
      <w:r w:rsidRPr="00452B27">
        <w:rPr>
          <w:lang w:val="en-US"/>
        </w:rPr>
        <w:t xml:space="preserve">. </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hAnsi="Times New Roman"/>
          <w:b/>
          <w:lang w:val="en-US"/>
        </w:rPr>
        <w:t>Bagdonienė, L., ir kt.</w:t>
      </w:r>
      <w:r w:rsidRPr="001B0F87">
        <w:rPr>
          <w:rFonts w:ascii="Times New Roman" w:hAnsi="Times New Roman"/>
          <w:lang w:val="en-US"/>
        </w:rPr>
        <w:t xml:space="preserve"> The </w:t>
      </w:r>
      <w:r w:rsidRPr="001B0F87">
        <w:rPr>
          <w:rFonts w:ascii="Times New Roman" w:hAnsi="Times New Roman"/>
          <w:iCs/>
          <w:lang w:val="en-US"/>
        </w:rPr>
        <w:t xml:space="preserve">Concept of Customer Relationship Marketing as Factor of Competitiveness in the Field of Knowledge Intensive Business Services. Organisations on their way to the knowledge economy. </w:t>
      </w:r>
      <w:r w:rsidRPr="001B0F87">
        <w:rPr>
          <w:rFonts w:ascii="Times New Roman" w:hAnsi="Times New Roman"/>
          <w:lang w:val="en-US"/>
        </w:rPr>
        <w:t>ISSN 1392 – 0758 social sciences / socialiniai mokslai.  2007, Nr.3 (57).</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hAnsi="Times New Roman"/>
          <w:b/>
          <w:lang w:val="en-US"/>
        </w:rPr>
        <w:t>Barkauskas V.</w:t>
      </w:r>
      <w:r w:rsidRPr="001B0F87">
        <w:rPr>
          <w:rFonts w:ascii="Times New Roman" w:hAnsi="Times New Roman"/>
          <w:lang w:val="en-US"/>
        </w:rPr>
        <w:t xml:space="preserve"> “</w:t>
      </w:r>
      <w:r w:rsidRPr="001B0F87">
        <w:rPr>
          <w:rFonts w:ascii="Times New Roman" w:hAnsi="Times New Roman"/>
          <w:iCs/>
          <w:lang w:val="en-US"/>
        </w:rPr>
        <w:t xml:space="preserve">Intelektualaus kapitalo </w:t>
      </w:r>
      <w:r w:rsidRPr="001B0F87">
        <w:rPr>
          <w:rFonts w:ascii="Times New Roman" w:hAnsi="Times New Roman"/>
          <w:lang w:val="en-US"/>
        </w:rPr>
        <w:t>į</w:t>
      </w:r>
      <w:r w:rsidRPr="001B0F87">
        <w:rPr>
          <w:rFonts w:ascii="Times New Roman" w:hAnsi="Times New Roman"/>
          <w:iCs/>
          <w:lang w:val="en-US"/>
        </w:rPr>
        <w:t xml:space="preserve">taka </w:t>
      </w:r>
      <w:r w:rsidRPr="001B0F87">
        <w:rPr>
          <w:rFonts w:ascii="Times New Roman" w:hAnsi="Times New Roman"/>
          <w:lang w:val="en-US"/>
        </w:rPr>
        <w:t>į</w:t>
      </w:r>
      <w:r w:rsidRPr="001B0F87">
        <w:rPr>
          <w:rFonts w:ascii="Times New Roman" w:hAnsi="Times New Roman"/>
          <w:iCs/>
          <w:lang w:val="en-US"/>
        </w:rPr>
        <w:t>moni</w:t>
      </w:r>
      <w:r w:rsidRPr="001B0F87">
        <w:rPr>
          <w:rFonts w:ascii="Times New Roman" w:hAnsi="Times New Roman"/>
          <w:lang w:val="en-US"/>
        </w:rPr>
        <w:t xml:space="preserve">ų </w:t>
      </w:r>
      <w:r w:rsidRPr="001B0F87">
        <w:rPr>
          <w:rFonts w:ascii="Times New Roman" w:hAnsi="Times New Roman"/>
          <w:iCs/>
          <w:lang w:val="en-US"/>
        </w:rPr>
        <w:t xml:space="preserve">konkurencingumui”. Ekonomika ir vadyba. </w:t>
      </w:r>
      <w:r w:rsidRPr="001B0F87">
        <w:rPr>
          <w:rFonts w:ascii="Times New Roman" w:eastAsia="SimSun" w:hAnsi="Times New Roman"/>
          <w:iCs/>
          <w:lang w:val="en-US"/>
        </w:rPr>
        <w:t xml:space="preserve">Kauno technologijos universitetas, Lietuva, </w:t>
      </w:r>
      <w:r w:rsidRPr="001B0F87">
        <w:rPr>
          <w:rFonts w:ascii="Times New Roman" w:hAnsi="Times New Roman"/>
          <w:iCs/>
          <w:lang w:val="en-US"/>
        </w:rPr>
        <w:t>2009, ISSN 1822-6515.</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hAnsi="Times New Roman"/>
          <w:b/>
          <w:lang w:val="en-US"/>
        </w:rPr>
        <w:t>Barsky, N.P., Marchant, G.</w:t>
      </w:r>
      <w:r w:rsidRPr="001B0F87">
        <w:rPr>
          <w:rFonts w:ascii="Times New Roman" w:hAnsi="Times New Roman"/>
          <w:lang w:val="en-US"/>
        </w:rPr>
        <w:t xml:space="preserve"> "The most valuable resource – measuring and managing intellectual capital", Strategic Finance, 2000, Vol. 81 No.8, pp.58-62. </w:t>
      </w:r>
    </w:p>
    <w:p w:rsidR="00A3483D" w:rsidRPr="00927FFA" w:rsidRDefault="00A3483D" w:rsidP="00927FFA">
      <w:pPr>
        <w:numPr>
          <w:ilvl w:val="0"/>
          <w:numId w:val="7"/>
        </w:numPr>
        <w:spacing w:line="360" w:lineRule="auto"/>
        <w:ind w:left="0" w:firstLine="0"/>
        <w:jc w:val="both"/>
        <w:rPr>
          <w:lang w:val="en-US"/>
        </w:rPr>
      </w:pPr>
      <w:r w:rsidRPr="001B0F87">
        <w:rPr>
          <w:b/>
          <w:lang w:val="en-US"/>
        </w:rPr>
        <w:t>Benevene P., M. Cortini.</w:t>
      </w:r>
      <w:r w:rsidRPr="001B0F87">
        <w:rPr>
          <w:lang w:val="en-US"/>
        </w:rPr>
        <w:t xml:space="preserve"> “</w:t>
      </w:r>
      <w:r w:rsidRPr="001B0F87">
        <w:rPr>
          <w:rFonts w:eastAsia="SimSun"/>
          <w:lang w:val="en-US"/>
        </w:rPr>
        <w:t xml:space="preserve">Interaction between structural capital and human capital in Italian NPOs”. </w:t>
      </w:r>
      <w:r w:rsidR="00927FFA">
        <w:rPr>
          <w:rFonts w:eastAsia="SimSun"/>
          <w:lang w:val="en-US"/>
        </w:rPr>
        <w:t>J</w:t>
      </w:r>
      <w:r w:rsidRPr="001B0F87">
        <w:rPr>
          <w:rFonts w:eastAsia="SimSun"/>
          <w:lang w:val="en-US"/>
        </w:rPr>
        <w:t xml:space="preserve">ournal of Intellectual Capital Vol. 11 No. 2, 2010 pp. 123-139. </w:t>
      </w:r>
      <w:r w:rsidR="00927FFA" w:rsidRPr="001B0F87">
        <w:t>ISSN 1469-1930</w:t>
      </w:r>
      <w:r w:rsidR="00927FFA" w:rsidRPr="00452B27">
        <w:rPr>
          <w:lang w:val="en-US"/>
        </w:rPr>
        <w:t xml:space="preserve">. </w:t>
      </w:r>
    </w:p>
    <w:p w:rsidR="001B0F87" w:rsidRPr="001B0F87" w:rsidRDefault="001B0F87" w:rsidP="001B0F87">
      <w:pPr>
        <w:numPr>
          <w:ilvl w:val="0"/>
          <w:numId w:val="7"/>
        </w:numPr>
        <w:spacing w:line="360" w:lineRule="auto"/>
        <w:ind w:left="0" w:firstLine="0"/>
        <w:jc w:val="both"/>
        <w:rPr>
          <w:lang w:val="en-US"/>
        </w:rPr>
      </w:pPr>
      <w:r w:rsidRPr="001B0F87">
        <w:rPr>
          <w:rFonts w:eastAsia="SimSun"/>
          <w:b/>
          <w:lang w:val="en-US" w:eastAsia="en-US"/>
        </w:rPr>
        <w:t>Bontis N.</w:t>
      </w:r>
      <w:r w:rsidRPr="001B0F87">
        <w:rPr>
          <w:rFonts w:eastAsia="SimSun"/>
          <w:lang w:val="en-US" w:eastAsia="en-US"/>
        </w:rPr>
        <w:t xml:space="preserve"> "Intellectual capital: an exploratory study that develops measures and models", Management Decision, 1998, Vol. 36 No.2, pp.63-76. </w:t>
      </w:r>
    </w:p>
    <w:p w:rsidR="001B0F87" w:rsidRPr="001B0F87" w:rsidRDefault="001B0F87" w:rsidP="001B0F87">
      <w:pPr>
        <w:numPr>
          <w:ilvl w:val="0"/>
          <w:numId w:val="7"/>
        </w:numPr>
        <w:spacing w:line="360" w:lineRule="auto"/>
        <w:ind w:left="0" w:firstLine="0"/>
        <w:jc w:val="both"/>
        <w:rPr>
          <w:lang w:val="en-US"/>
        </w:rPr>
      </w:pPr>
      <w:r w:rsidRPr="001B0F87">
        <w:rPr>
          <w:rFonts w:eastAsia="SimSun"/>
          <w:b/>
          <w:lang w:val="en-US" w:eastAsia="en-US"/>
        </w:rPr>
        <w:t>Bontis N., et al.</w:t>
      </w:r>
      <w:r w:rsidRPr="001B0F87">
        <w:rPr>
          <w:rFonts w:eastAsia="SimSun"/>
          <w:lang w:val="en-US" w:eastAsia="en-US"/>
        </w:rPr>
        <w:t xml:space="preserve"> "The knowledge toolbox: a review of the tools available to measure and manage intangible resources", European Management Journal, 1999, Vol. 17 No.4, pp.391-401. </w:t>
      </w:r>
    </w:p>
    <w:p w:rsidR="001B0F87" w:rsidRPr="001B0F87" w:rsidRDefault="001B0F87" w:rsidP="001B0F87">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lang w:val="en-US"/>
        </w:rPr>
      </w:pPr>
      <w:r w:rsidRPr="001B0F87">
        <w:rPr>
          <w:b/>
          <w:lang w:val="en-US"/>
        </w:rPr>
        <w:t>Bontis N. et al.</w:t>
      </w:r>
      <w:r w:rsidRPr="001B0F87">
        <w:rPr>
          <w:lang w:val="en-US"/>
        </w:rPr>
        <w:t xml:space="preserve"> “Intellectual capital and business performance in malaysian industries”, Journal of Intellectual Capital, 2000, Vol. 1 No. 1, pp. 85-100. </w:t>
      </w:r>
      <w:r w:rsidRPr="001B0F87">
        <w:t>ISSN 1469-1930</w:t>
      </w:r>
      <w:r w:rsidRPr="001B0F87">
        <w:rPr>
          <w:lang w:val="en-US"/>
        </w:rPr>
        <w:t>.</w:t>
      </w:r>
    </w:p>
    <w:p w:rsidR="001B0F87" w:rsidRPr="00F70691" w:rsidRDefault="001B0F87" w:rsidP="001B0F87">
      <w:pPr>
        <w:numPr>
          <w:ilvl w:val="0"/>
          <w:numId w:val="7"/>
        </w:numPr>
        <w:spacing w:line="360" w:lineRule="auto"/>
        <w:ind w:left="0" w:firstLine="0"/>
        <w:jc w:val="both"/>
        <w:rPr>
          <w:lang w:val="en-US"/>
        </w:rPr>
      </w:pPr>
      <w:r w:rsidRPr="001B0F87">
        <w:rPr>
          <w:rFonts w:eastAsia="SimSun"/>
          <w:b/>
          <w:lang w:val="en-US" w:eastAsia="en-US"/>
        </w:rPr>
        <w:t>Bontis N.</w:t>
      </w:r>
      <w:r w:rsidRPr="001B0F87">
        <w:rPr>
          <w:rFonts w:eastAsia="SimSun"/>
          <w:lang w:val="en-US" w:eastAsia="en-US"/>
        </w:rPr>
        <w:t xml:space="preserve"> "Assessing knowledge assets: a review of the models used to measure intellectual capital", International Journal of Management Reviews, 2001, Vol. 3 No.1, pp.41-60.</w:t>
      </w:r>
    </w:p>
    <w:p w:rsidR="00F70691" w:rsidRPr="00F70691" w:rsidRDefault="00F70691" w:rsidP="001B0F87">
      <w:pPr>
        <w:numPr>
          <w:ilvl w:val="0"/>
          <w:numId w:val="7"/>
        </w:numPr>
        <w:spacing w:line="360" w:lineRule="auto"/>
        <w:ind w:left="0" w:firstLine="0"/>
        <w:jc w:val="both"/>
        <w:rPr>
          <w:lang w:val="en-US"/>
        </w:rPr>
      </w:pPr>
      <w:r w:rsidRPr="00F70691">
        <w:rPr>
          <w:rFonts w:eastAsia="SimSun"/>
          <w:b/>
          <w:lang w:val="en-US" w:eastAsia="en-US"/>
        </w:rPr>
        <w:t>Bozzolan S. et al.</w:t>
      </w:r>
      <w:r w:rsidRPr="00F70691">
        <w:rPr>
          <w:rFonts w:eastAsia="SimSun"/>
          <w:lang w:val="en-US" w:eastAsia="en-US"/>
        </w:rPr>
        <w:t xml:space="preserve"> "Italian annual intellectual capital disclosure: An empirical analysis", Journal of Intellectual Capital, 2003, Vol. 4 Iss: 4, pp.543 – 558. </w:t>
      </w:r>
      <w:r w:rsidRPr="00F70691">
        <w:t>ISSN 1469-1930</w:t>
      </w:r>
      <w:r w:rsidRPr="00F70691">
        <w:rPr>
          <w:lang w:val="en-US"/>
        </w:rPr>
        <w:t>.</w:t>
      </w:r>
    </w:p>
    <w:p w:rsidR="00452B27" w:rsidRPr="00452B27" w:rsidRDefault="001B0F87" w:rsidP="001B0F87">
      <w:pPr>
        <w:numPr>
          <w:ilvl w:val="0"/>
          <w:numId w:val="7"/>
        </w:numPr>
        <w:spacing w:line="360" w:lineRule="auto"/>
        <w:ind w:left="0" w:firstLine="0"/>
        <w:jc w:val="both"/>
        <w:rPr>
          <w:lang w:val="en-US"/>
        </w:rPr>
      </w:pPr>
      <w:r w:rsidRPr="00452B27">
        <w:rPr>
          <w:rFonts w:eastAsia="SimSun"/>
          <w:b/>
          <w:lang w:val="en-US" w:eastAsia="en-US"/>
        </w:rPr>
        <w:t>Brennan, N.</w:t>
      </w:r>
      <w:r w:rsidRPr="00452B27">
        <w:rPr>
          <w:rFonts w:eastAsia="SimSun"/>
          <w:lang w:val="en-US" w:eastAsia="en-US"/>
        </w:rPr>
        <w:t xml:space="preserve"> "</w:t>
      </w:r>
      <w:r w:rsidR="00452B27" w:rsidRPr="00452B27">
        <w:rPr>
          <w:rFonts w:eastAsia="SimSun"/>
          <w:lang w:val="en-US" w:eastAsia="en-US"/>
        </w:rPr>
        <w:t xml:space="preserve"> Reporting intellectual capital in annual reports: evidence from Ireland", Accounting, Auditing &amp; Accountability Journal, </w:t>
      </w:r>
      <w:r w:rsidR="00452B27">
        <w:rPr>
          <w:rFonts w:eastAsia="SimSun"/>
          <w:lang w:val="en-US" w:eastAsia="en-US"/>
        </w:rPr>
        <w:t xml:space="preserve">2001, </w:t>
      </w:r>
      <w:r w:rsidR="00452B27" w:rsidRPr="00452B27">
        <w:rPr>
          <w:rFonts w:eastAsia="SimSun"/>
          <w:lang w:val="en-US" w:eastAsia="en-US"/>
        </w:rPr>
        <w:t xml:space="preserve">Vol. 14 Iss: 4, pp.423 </w:t>
      </w:r>
      <w:r w:rsidR="00452B27" w:rsidRPr="00C76C8F">
        <w:rPr>
          <w:rFonts w:eastAsia="SimSun"/>
          <w:lang w:val="en-US" w:eastAsia="en-US"/>
        </w:rPr>
        <w:t>– 436</w:t>
      </w:r>
      <w:r w:rsidR="00C76C8F" w:rsidRPr="00C76C8F">
        <w:rPr>
          <w:rFonts w:eastAsia="SimSun"/>
          <w:lang w:val="en-US" w:eastAsia="en-US"/>
        </w:rPr>
        <w:t>. I</w:t>
      </w:r>
      <w:r w:rsidR="00C76C8F" w:rsidRPr="00C76C8F">
        <w:rPr>
          <w:rFonts w:eastAsia="SimSun"/>
          <w:color w:val="393939"/>
          <w:lang w:val="en-US" w:eastAsia="en-US"/>
        </w:rPr>
        <w:t>SSN: 0951-3574.</w:t>
      </w:r>
    </w:p>
    <w:p w:rsidR="001B0F87" w:rsidRPr="00452B27" w:rsidRDefault="001B0F87" w:rsidP="001B0F87">
      <w:pPr>
        <w:numPr>
          <w:ilvl w:val="0"/>
          <w:numId w:val="7"/>
        </w:numPr>
        <w:spacing w:line="360" w:lineRule="auto"/>
        <w:ind w:left="0" w:firstLine="0"/>
        <w:jc w:val="both"/>
        <w:rPr>
          <w:lang w:val="en-US"/>
        </w:rPr>
      </w:pPr>
      <w:r w:rsidRPr="00452B27">
        <w:rPr>
          <w:b/>
          <w:lang w:val="en-US"/>
        </w:rPr>
        <w:t>Brooking, A.</w:t>
      </w:r>
      <w:r w:rsidRPr="00452B27">
        <w:rPr>
          <w:lang w:val="en-US"/>
        </w:rPr>
        <w:t xml:space="preserve"> “Intellectual capital: Core asset for the third millennium enterprise”. London: International Thomson Business Press, 1996.</w:t>
      </w:r>
    </w:p>
    <w:p w:rsidR="001B0F87" w:rsidRPr="009D6EF5" w:rsidRDefault="00C76C8F" w:rsidP="001B0F87">
      <w:pPr>
        <w:numPr>
          <w:ilvl w:val="0"/>
          <w:numId w:val="7"/>
        </w:numPr>
        <w:spacing w:line="360" w:lineRule="auto"/>
        <w:ind w:left="0" w:firstLine="0"/>
        <w:jc w:val="both"/>
        <w:rPr>
          <w:lang w:val="en-US"/>
        </w:rPr>
      </w:pPr>
      <w:r>
        <w:rPr>
          <w:rFonts w:eastAsia="SimSun"/>
          <w:b/>
          <w:lang w:val="en-US" w:eastAsia="en-US"/>
        </w:rPr>
        <w:t>Cahill D. et al.</w:t>
      </w:r>
      <w:r w:rsidR="001B0F87" w:rsidRPr="001B0F87">
        <w:rPr>
          <w:rFonts w:eastAsia="SimSun"/>
          <w:lang w:val="en-US" w:eastAsia="en-US"/>
        </w:rPr>
        <w:t xml:space="preserve"> "Intellectual capital performance in the banking sector: An assessment of Australian owned banks", Journal of Human Resource Costing &amp; Accounting, 2010, Vol. 14 Iss: 2, pp.151 - 170 ISSN: 1401-338X.</w:t>
      </w:r>
    </w:p>
    <w:p w:rsidR="009D6EF5" w:rsidRPr="009D6EF5" w:rsidRDefault="009D6EF5" w:rsidP="001B0F87">
      <w:pPr>
        <w:numPr>
          <w:ilvl w:val="0"/>
          <w:numId w:val="7"/>
        </w:numPr>
        <w:spacing w:line="360" w:lineRule="auto"/>
        <w:ind w:left="0" w:firstLine="0"/>
        <w:jc w:val="both"/>
        <w:rPr>
          <w:lang w:val="en-US"/>
        </w:rPr>
      </w:pPr>
      <w:r w:rsidRPr="009D6EF5">
        <w:rPr>
          <w:rFonts w:eastAsia="SimSun"/>
          <w:b/>
          <w:lang w:val="en-US" w:eastAsia="en-US"/>
        </w:rPr>
        <w:t>Chan K. H.</w:t>
      </w:r>
      <w:r>
        <w:rPr>
          <w:rFonts w:eastAsia="SimSun"/>
          <w:lang w:val="en-US" w:eastAsia="en-US"/>
        </w:rPr>
        <w:t xml:space="preserve"> </w:t>
      </w:r>
      <w:r w:rsidRPr="009D6EF5">
        <w:rPr>
          <w:rFonts w:eastAsia="SimSun"/>
          <w:lang w:val="en-US" w:eastAsia="en-US"/>
        </w:rPr>
        <w:t>"Impact of intellectual capital on organisational performance: An empirical study of companies</w:t>
      </w:r>
      <w:r>
        <w:rPr>
          <w:rFonts w:eastAsia="SimSun"/>
          <w:lang w:val="en-US" w:eastAsia="en-US"/>
        </w:rPr>
        <w:t xml:space="preserve"> in the Hang Seng Index</w:t>
      </w:r>
      <w:r w:rsidRPr="009D6EF5">
        <w:rPr>
          <w:rFonts w:eastAsia="SimSun"/>
          <w:lang w:val="en-US" w:eastAsia="en-US"/>
        </w:rPr>
        <w:t xml:space="preserve">", Learning Organization, The, </w:t>
      </w:r>
      <w:r>
        <w:rPr>
          <w:rFonts w:eastAsia="SimSun"/>
          <w:lang w:val="en-US" w:eastAsia="en-US"/>
        </w:rPr>
        <w:t xml:space="preserve">2009, </w:t>
      </w:r>
      <w:r w:rsidRPr="009D6EF5">
        <w:rPr>
          <w:rFonts w:eastAsia="SimSun"/>
          <w:lang w:val="en-US" w:eastAsia="en-US"/>
        </w:rPr>
        <w:t>Vol. 16 Iss: 1, pp.4 – 21. ISSN: 0969-6474.</w:t>
      </w:r>
    </w:p>
    <w:p w:rsidR="001B0F87" w:rsidRPr="001B0F87" w:rsidRDefault="001B0F87" w:rsidP="001B0F87">
      <w:pPr>
        <w:numPr>
          <w:ilvl w:val="0"/>
          <w:numId w:val="7"/>
        </w:numPr>
        <w:spacing w:line="360" w:lineRule="auto"/>
        <w:ind w:left="0" w:firstLine="0"/>
        <w:jc w:val="both"/>
        <w:rPr>
          <w:lang w:val="en-US"/>
        </w:rPr>
      </w:pPr>
      <w:r w:rsidRPr="001B0F87">
        <w:rPr>
          <w:b/>
          <w:lang w:val="en-US"/>
        </w:rPr>
        <w:t>Chen J. et al.</w:t>
      </w:r>
      <w:r w:rsidRPr="001B0F87">
        <w:rPr>
          <w:lang w:val="en-US"/>
        </w:rPr>
        <w:t xml:space="preserve"> “Measuring intellectual capital: A new model and empirical study”. Journal of Intellectual Capital, 2004, 5 (1), 195–212. </w:t>
      </w:r>
      <w:r w:rsidRPr="001B0F87">
        <w:t>ISSN 1469-1930</w:t>
      </w:r>
      <w:r w:rsidRPr="001B0F87">
        <w:rPr>
          <w:lang w:val="en-US"/>
        </w:rPr>
        <w:t>.</w:t>
      </w:r>
    </w:p>
    <w:p w:rsidR="001B0F87" w:rsidRPr="001B0F87" w:rsidRDefault="001B0F87" w:rsidP="001B0F87">
      <w:pPr>
        <w:numPr>
          <w:ilvl w:val="0"/>
          <w:numId w:val="7"/>
        </w:numPr>
        <w:spacing w:line="360" w:lineRule="auto"/>
        <w:ind w:left="0" w:firstLine="0"/>
        <w:jc w:val="both"/>
        <w:rPr>
          <w:lang w:val="en-US"/>
        </w:rPr>
      </w:pPr>
      <w:r w:rsidRPr="001B0F87">
        <w:rPr>
          <w:b/>
          <w:lang w:val="en-US"/>
        </w:rPr>
        <w:t>Demartini P., Paoloni P.</w:t>
      </w:r>
      <w:r w:rsidRPr="001B0F87">
        <w:rPr>
          <w:lang w:val="en-US"/>
        </w:rPr>
        <w:t xml:space="preserve"> "Implementing an intellectual capital framework in practice", Journal of Intellectual Capital, 2013, Vol. 14 Iss: 1, pp.69 – 83. </w:t>
      </w:r>
      <w:r w:rsidRPr="001B0F87">
        <w:t>ISSN 1469-1930</w:t>
      </w:r>
      <w:r w:rsidRPr="001B0F87">
        <w:rPr>
          <w:lang w:val="en-US"/>
        </w:rPr>
        <w:t xml:space="preserve">. </w:t>
      </w:r>
    </w:p>
    <w:p w:rsidR="001B0F87" w:rsidRPr="001B0F87" w:rsidRDefault="001B0F87" w:rsidP="001B0F87">
      <w:pPr>
        <w:numPr>
          <w:ilvl w:val="0"/>
          <w:numId w:val="7"/>
        </w:numPr>
        <w:spacing w:line="360" w:lineRule="auto"/>
        <w:ind w:left="0" w:firstLine="0"/>
        <w:jc w:val="both"/>
        <w:rPr>
          <w:lang w:val="en-US"/>
        </w:rPr>
      </w:pPr>
      <w:r w:rsidRPr="001B0F87">
        <w:rPr>
          <w:b/>
          <w:lang w:val="en-US"/>
        </w:rPr>
        <w:t>Dzinkowski R.</w:t>
      </w:r>
      <w:r w:rsidRPr="001B0F87">
        <w:rPr>
          <w:lang w:val="en-US"/>
        </w:rPr>
        <w:t xml:space="preserve"> “The value of intellectual capital”, Journal of Business Strategy, 2000, Vol. 2 No. 4, pp. 3-4.</w:t>
      </w:r>
    </w:p>
    <w:p w:rsidR="001B0F87" w:rsidRPr="001B0F87" w:rsidRDefault="001B0F87" w:rsidP="001B0F87">
      <w:pPr>
        <w:numPr>
          <w:ilvl w:val="0"/>
          <w:numId w:val="7"/>
        </w:numPr>
        <w:spacing w:line="360" w:lineRule="auto"/>
        <w:ind w:left="0" w:firstLine="0"/>
        <w:jc w:val="both"/>
        <w:rPr>
          <w:lang w:val="en-US"/>
        </w:rPr>
      </w:pPr>
      <w:r w:rsidRPr="001B0F87">
        <w:rPr>
          <w:rFonts w:eastAsia="SimSun"/>
          <w:b/>
          <w:lang w:val="en-US" w:eastAsia="en-US"/>
        </w:rPr>
        <w:t>Edvinsson L., Sullivan P.</w:t>
      </w:r>
      <w:r w:rsidRPr="001B0F87">
        <w:rPr>
          <w:rFonts w:eastAsia="SimSun"/>
          <w:lang w:val="en-US" w:eastAsia="en-US"/>
        </w:rPr>
        <w:t xml:space="preserve"> “Developing a model for managing intellectual capital”, European Management Journal, 1996, Vol. 14 No. 4, pp. 356-64.</w:t>
      </w:r>
    </w:p>
    <w:p w:rsidR="001B0F87" w:rsidRPr="001B0F87" w:rsidRDefault="001B0F87" w:rsidP="001B0F87">
      <w:pPr>
        <w:numPr>
          <w:ilvl w:val="0"/>
          <w:numId w:val="7"/>
        </w:numPr>
        <w:spacing w:line="360" w:lineRule="auto"/>
        <w:ind w:left="0" w:firstLine="0"/>
        <w:jc w:val="both"/>
        <w:rPr>
          <w:lang w:val="en-US"/>
        </w:rPr>
      </w:pPr>
      <w:r w:rsidRPr="001B0F87">
        <w:rPr>
          <w:rFonts w:eastAsia="SimSun"/>
          <w:b/>
          <w:lang w:val="en-US" w:eastAsia="en-US"/>
        </w:rPr>
        <w:t>Edvinsson L.</w:t>
      </w:r>
      <w:r w:rsidRPr="001B0F87">
        <w:rPr>
          <w:rFonts w:eastAsia="SimSun"/>
          <w:lang w:val="en-US" w:eastAsia="en-US"/>
        </w:rPr>
        <w:t xml:space="preserve">  "Developing intellectual capital at Skandia", Long Range Planning, 1997, Vol. 30 No.3, pp.266-373. </w:t>
      </w:r>
    </w:p>
    <w:p w:rsidR="001B0F87" w:rsidRPr="001B0F87" w:rsidRDefault="001B0F87" w:rsidP="001B0F87">
      <w:pPr>
        <w:numPr>
          <w:ilvl w:val="0"/>
          <w:numId w:val="7"/>
        </w:numPr>
        <w:spacing w:line="360" w:lineRule="auto"/>
        <w:ind w:left="0" w:firstLine="0"/>
        <w:jc w:val="both"/>
        <w:rPr>
          <w:lang w:val="en-US"/>
        </w:rPr>
      </w:pPr>
      <w:r w:rsidRPr="001B0F87">
        <w:rPr>
          <w:b/>
          <w:lang w:val="en-US"/>
        </w:rPr>
        <w:t>Edvinsson, L. et el.</w:t>
      </w:r>
      <w:r w:rsidRPr="001B0F87">
        <w:rPr>
          <w:lang w:val="en-US"/>
        </w:rPr>
        <w:t xml:space="preserve"> “The Next Generation of IC Measurement – The Digital IC-Landscape,” Journal of Intellectual Capital, 2000, Vol. 1, 3, pp. 263-272.</w:t>
      </w:r>
      <w:r w:rsidR="00927FFA">
        <w:rPr>
          <w:lang w:val="en-US"/>
        </w:rPr>
        <w:t xml:space="preserve"> </w:t>
      </w:r>
      <w:r w:rsidR="00927FFA" w:rsidRPr="001B0F87">
        <w:t>ISSN 1469-1930</w:t>
      </w:r>
      <w:r w:rsidR="00927FFA" w:rsidRPr="00452B27">
        <w:rPr>
          <w:lang w:val="en-US"/>
        </w:rPr>
        <w:t>.</w:t>
      </w:r>
    </w:p>
    <w:p w:rsidR="001B0F87" w:rsidRPr="001B0F87" w:rsidRDefault="001B0F87" w:rsidP="001B0F87">
      <w:pPr>
        <w:numPr>
          <w:ilvl w:val="0"/>
          <w:numId w:val="7"/>
        </w:numPr>
        <w:spacing w:line="360" w:lineRule="auto"/>
        <w:ind w:left="0" w:firstLine="0"/>
        <w:jc w:val="both"/>
        <w:rPr>
          <w:lang w:val="en-US"/>
        </w:rPr>
      </w:pPr>
      <w:r w:rsidRPr="001B0F87">
        <w:rPr>
          <w:b/>
          <w:lang w:val="en-US"/>
        </w:rPr>
        <w:t>Edvinsson L., Malone M.,</w:t>
      </w:r>
      <w:r w:rsidRPr="001B0F87">
        <w:rPr>
          <w:lang w:val="en-US"/>
        </w:rPr>
        <w:t xml:space="preserve"> “Intellectual Capital: The Proven Way to Establish Your Company’s Real Value by Measuring Its Brain Power, Harper Collins, NY, (1997).</w:t>
      </w:r>
    </w:p>
    <w:p w:rsidR="001B0F87" w:rsidRPr="001B0F87" w:rsidRDefault="001B0F87" w:rsidP="001B0F87">
      <w:pPr>
        <w:numPr>
          <w:ilvl w:val="0"/>
          <w:numId w:val="7"/>
        </w:numPr>
        <w:spacing w:line="360" w:lineRule="auto"/>
        <w:ind w:left="0" w:firstLine="0"/>
        <w:jc w:val="both"/>
        <w:rPr>
          <w:lang w:val="en-US"/>
        </w:rPr>
      </w:pPr>
      <w:r w:rsidRPr="001B0F87">
        <w:rPr>
          <w:b/>
          <w:lang w:val="en-US"/>
        </w:rPr>
        <w:t>Eesti Statistika</w:t>
      </w:r>
      <w:r w:rsidRPr="001B0F87">
        <w:rPr>
          <w:lang w:val="en-US"/>
        </w:rPr>
        <w:t xml:space="preserve"> </w:t>
      </w:r>
      <w:hyperlink r:id="rId58" w:history="1">
        <w:r w:rsidRPr="001B0F87">
          <w:rPr>
            <w:rStyle w:val="Hyperlink"/>
            <w:color w:val="auto"/>
            <w:lang w:val="en-US"/>
          </w:rPr>
          <w:t>http://pub.stat.ee/px-web.2001/I_Databas/Economy/databasetree.asp</w:t>
        </w:r>
      </w:hyperlink>
      <w:r w:rsidRPr="001B0F87">
        <w:rPr>
          <w:lang w:val="en-US"/>
        </w:rPr>
        <w:t xml:space="preserve"> [žiūrėta 2014 02 21]</w:t>
      </w:r>
    </w:p>
    <w:p w:rsidR="001B0F87" w:rsidRPr="001B0F87" w:rsidRDefault="001B0F87" w:rsidP="001B0F87">
      <w:pPr>
        <w:numPr>
          <w:ilvl w:val="0"/>
          <w:numId w:val="7"/>
        </w:numPr>
        <w:spacing w:line="360" w:lineRule="auto"/>
        <w:ind w:left="0" w:firstLine="0"/>
        <w:jc w:val="both"/>
        <w:rPr>
          <w:lang w:val="en-US"/>
        </w:rPr>
      </w:pPr>
      <w:r w:rsidRPr="001B0F87">
        <w:rPr>
          <w:b/>
          <w:lang w:val="en-US"/>
        </w:rPr>
        <w:t>Ekonominės veiklos rūšių klasifikatorius.</w:t>
      </w:r>
      <w:r w:rsidRPr="001B0F87">
        <w:rPr>
          <w:lang w:val="en-US"/>
        </w:rPr>
        <w:t xml:space="preserve"> Statistikos departamentas, 2008, Vilnius. </w:t>
      </w:r>
      <w:hyperlink r:id="rId59" w:history="1">
        <w:r w:rsidRPr="001B0F87">
          <w:rPr>
            <w:rStyle w:val="Hyperlink"/>
            <w:color w:val="auto"/>
            <w:lang w:val="en-US"/>
          </w:rPr>
          <w:t>http://osp.stat.gov.lt/documents/10180/24308/EVRK2red_klasif_leidinys.pdf/3a57fd72-b001-47af-bf98-62731956a8d7</w:t>
        </w:r>
      </w:hyperlink>
      <w:r w:rsidRPr="001B0F87">
        <w:rPr>
          <w:lang w:val="en-US"/>
        </w:rPr>
        <w:t xml:space="preserve"> [žiūrėta 2014 01 21]</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eastAsia="SimSun" w:hAnsi="Times New Roman"/>
          <w:b/>
          <w:lang w:val="en-US"/>
        </w:rPr>
        <w:t>El-Bannany M.</w:t>
      </w:r>
      <w:r w:rsidRPr="001B0F87">
        <w:rPr>
          <w:rFonts w:ascii="Times New Roman" w:eastAsia="SimSun" w:hAnsi="Times New Roman"/>
          <w:lang w:val="en-US"/>
        </w:rPr>
        <w:t xml:space="preserve"> "A study of determinants of intellectual capital performance in banks: the UK case", Journal of Intellectual Capital, 2008, Vol. 9 Iss: 3, pp.487 – 498. </w:t>
      </w:r>
      <w:r w:rsidR="00927FFA" w:rsidRPr="001B0F87">
        <w:t>ISSN 1469-1930</w:t>
      </w:r>
      <w:r w:rsidR="00927FFA" w:rsidRPr="00452B27">
        <w:rPr>
          <w:lang w:val="en-US"/>
        </w:rPr>
        <w:t>.</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eastAsia="SimSun" w:hAnsi="Times New Roman"/>
          <w:b/>
          <w:lang w:val="en-US"/>
        </w:rPr>
        <w:t>Ferreira A. I., Martinez L. F.</w:t>
      </w:r>
      <w:r w:rsidRPr="001B0F87">
        <w:rPr>
          <w:rFonts w:ascii="Times New Roman" w:eastAsia="SimSun" w:hAnsi="Times New Roman"/>
          <w:lang w:val="en-US"/>
        </w:rPr>
        <w:t xml:space="preserve"> “Intellectual Capital: Productivity and Investment Perceptions”. RAC, Curitiba, v. 15, n. 2, art. 5, pp. 249-260, Mar./Abr. 2011.</w:t>
      </w:r>
    </w:p>
    <w:p w:rsidR="001B0F87" w:rsidRPr="001B0F87" w:rsidRDefault="001B0F87" w:rsidP="001B0F87">
      <w:pPr>
        <w:numPr>
          <w:ilvl w:val="0"/>
          <w:numId w:val="7"/>
        </w:numPr>
        <w:spacing w:line="360" w:lineRule="auto"/>
        <w:ind w:left="0" w:firstLine="0"/>
        <w:jc w:val="both"/>
        <w:rPr>
          <w:lang w:val="en-US"/>
        </w:rPr>
      </w:pPr>
      <w:r w:rsidRPr="001B0F87">
        <w:rPr>
          <w:b/>
          <w:lang w:val="en-US"/>
        </w:rPr>
        <w:t>Firer, S. Williams, M.</w:t>
      </w:r>
      <w:r w:rsidRPr="001B0F87">
        <w:rPr>
          <w:lang w:val="en-US"/>
        </w:rPr>
        <w:t xml:space="preserve"> "Intellectual capital and traditional measures of corporate performance", Journal of Intellectual Capital. - Singapore 2003 Vol. 4 Iss: 3, pp.348 – 360. </w:t>
      </w:r>
      <w:r w:rsidRPr="001B0F87">
        <w:t>ISSN 1469-1930</w:t>
      </w:r>
      <w:r w:rsidRPr="001B0F87">
        <w:rPr>
          <w:lang w:val="en-US"/>
        </w:rPr>
        <w:t xml:space="preserve">. </w:t>
      </w:r>
    </w:p>
    <w:p w:rsidR="00C76C8F" w:rsidRDefault="001B0F87" w:rsidP="00C76C8F">
      <w:pPr>
        <w:numPr>
          <w:ilvl w:val="0"/>
          <w:numId w:val="7"/>
        </w:numPr>
        <w:spacing w:line="360" w:lineRule="auto"/>
        <w:ind w:left="0" w:firstLine="0"/>
        <w:jc w:val="both"/>
        <w:rPr>
          <w:lang w:val="en-US"/>
        </w:rPr>
      </w:pPr>
      <w:r w:rsidRPr="001B0F87">
        <w:rPr>
          <w:rFonts w:eastAsia="SimSun"/>
          <w:b/>
          <w:lang w:val="en-US"/>
        </w:rPr>
        <w:t>Gamerschlag R.</w:t>
      </w:r>
      <w:r w:rsidRPr="001B0F87">
        <w:rPr>
          <w:rFonts w:eastAsia="SimSun"/>
          <w:lang w:val="en-US"/>
        </w:rPr>
        <w:t xml:space="preserve"> "Value relevance of human capital information", Journal of Intellectual Capital, 201</w:t>
      </w:r>
      <w:r w:rsidR="00C76C8F">
        <w:rPr>
          <w:rFonts w:eastAsia="SimSun"/>
          <w:lang w:val="en-US"/>
        </w:rPr>
        <w:t>3, Vol. 14 Iss: 2, pp.325 – 345.</w:t>
      </w:r>
      <w:r w:rsidR="00927FFA">
        <w:rPr>
          <w:rFonts w:eastAsia="SimSun"/>
          <w:lang w:val="en-US"/>
        </w:rPr>
        <w:t xml:space="preserve"> </w:t>
      </w:r>
      <w:r w:rsidR="00927FFA" w:rsidRPr="001B0F87">
        <w:t>ISSN 1469-1930</w:t>
      </w:r>
      <w:r w:rsidR="00927FFA" w:rsidRPr="00452B27">
        <w:rPr>
          <w:lang w:val="en-US"/>
        </w:rPr>
        <w:t>.</w:t>
      </w:r>
    </w:p>
    <w:p w:rsidR="00C76C8F" w:rsidRPr="00C76C8F" w:rsidRDefault="00C76C8F" w:rsidP="00C76C8F">
      <w:pPr>
        <w:numPr>
          <w:ilvl w:val="0"/>
          <w:numId w:val="7"/>
        </w:numPr>
        <w:spacing w:line="360" w:lineRule="auto"/>
        <w:ind w:left="0" w:firstLine="0"/>
        <w:jc w:val="both"/>
        <w:rPr>
          <w:lang w:val="en-US"/>
        </w:rPr>
      </w:pPr>
      <w:r w:rsidRPr="00C76C8F">
        <w:rPr>
          <w:rFonts w:eastAsia="SimSun"/>
          <w:b/>
          <w:lang w:val="en-US"/>
        </w:rPr>
        <w:t>Goh P.</w:t>
      </w:r>
      <w:r w:rsidRPr="00C76C8F">
        <w:rPr>
          <w:lang w:val="en-US"/>
        </w:rPr>
        <w:t xml:space="preserve"> C. “</w:t>
      </w:r>
      <w:r w:rsidRPr="00C76C8F">
        <w:rPr>
          <w:rFonts w:eastAsia="SimSun"/>
          <w:lang w:val="en-US" w:eastAsia="en-US"/>
        </w:rPr>
        <w:t xml:space="preserve">Intellectual capital performance of commercial banks in Malaysia Journal of Intellectual Capital”. 2005, Vol. 6 No. 3, pp. 385-396. </w:t>
      </w:r>
      <w:r w:rsidR="00927FFA" w:rsidRPr="001B0F87">
        <w:t>ISSN 1469-1930</w:t>
      </w:r>
      <w:r w:rsidR="00927FFA" w:rsidRPr="00452B27">
        <w:rPr>
          <w:lang w:val="en-US"/>
        </w:rPr>
        <w:t>.</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hAnsi="Times New Roman"/>
          <w:b/>
          <w:lang w:val="en-US"/>
        </w:rPr>
        <w:t xml:space="preserve">Gröjer J.E. </w:t>
      </w:r>
      <w:r w:rsidRPr="001B0F87">
        <w:rPr>
          <w:rFonts w:ascii="Times New Roman" w:hAnsi="Times New Roman"/>
          <w:lang w:val="en-US"/>
        </w:rPr>
        <w:t>"Intangibles and accounting classifications: in search of a classification strategy", Accounting, Organizations and Society, 2001 Vol. 26 No.78, pp.695-713.</w:t>
      </w:r>
    </w:p>
    <w:p w:rsidR="001B0F87" w:rsidRPr="001B0F87" w:rsidRDefault="001B0F87" w:rsidP="001B0F87">
      <w:pPr>
        <w:numPr>
          <w:ilvl w:val="0"/>
          <w:numId w:val="7"/>
        </w:numPr>
        <w:spacing w:line="360" w:lineRule="auto"/>
        <w:ind w:left="0" w:firstLine="0"/>
        <w:jc w:val="both"/>
        <w:rPr>
          <w:lang w:val="en-US"/>
        </w:rPr>
      </w:pPr>
      <w:r w:rsidRPr="001B0F87">
        <w:rPr>
          <w:b/>
          <w:lang w:val="en-US"/>
        </w:rPr>
        <w:t>Guthrie J.et al.</w:t>
      </w:r>
      <w:r w:rsidRPr="001B0F87">
        <w:rPr>
          <w:lang w:val="en-US"/>
        </w:rPr>
        <w:t xml:space="preserve"> “The voluntary reporting of intellectual capital: Comparing evidence from Hong Kong and Australia”. Journal of Intellectual Capital, 2006, Vol. 7(2), 254–271. </w:t>
      </w:r>
      <w:r w:rsidRPr="001B0F87">
        <w:t>ISSN 1469-1930</w:t>
      </w:r>
      <w:r w:rsidRPr="001B0F87">
        <w:rPr>
          <w:lang w:val="en-US"/>
        </w:rPr>
        <w:t xml:space="preserve">. </w:t>
      </w:r>
    </w:p>
    <w:p w:rsidR="001B0F87" w:rsidRPr="001B0F87" w:rsidRDefault="001B0F87" w:rsidP="001B0F87">
      <w:pPr>
        <w:numPr>
          <w:ilvl w:val="0"/>
          <w:numId w:val="7"/>
        </w:numPr>
        <w:spacing w:line="360" w:lineRule="auto"/>
        <w:ind w:left="0" w:firstLine="0"/>
        <w:jc w:val="both"/>
        <w:rPr>
          <w:lang w:val="en-US"/>
        </w:rPr>
      </w:pPr>
      <w:r w:rsidRPr="001B0F87">
        <w:rPr>
          <w:b/>
          <w:lang w:val="en-US"/>
        </w:rPr>
        <w:t>Hancock, P. et al.</w:t>
      </w:r>
      <w:r w:rsidRPr="001B0F87">
        <w:rPr>
          <w:lang w:val="en-US"/>
        </w:rPr>
        <w:t xml:space="preserve"> “Intellectual capital and financial returns of companies”. </w:t>
      </w:r>
      <w:r w:rsidRPr="001B0F87">
        <w:rPr>
          <w:iCs/>
          <w:lang w:val="en-US"/>
        </w:rPr>
        <w:t>Journal of Intellectual</w:t>
      </w:r>
      <w:r w:rsidRPr="001B0F87">
        <w:rPr>
          <w:lang w:val="en-US"/>
        </w:rPr>
        <w:t xml:space="preserve"> </w:t>
      </w:r>
      <w:r w:rsidRPr="001B0F87">
        <w:rPr>
          <w:iCs/>
          <w:lang w:val="en-US"/>
        </w:rPr>
        <w:t xml:space="preserve">Capital, 2007, </w:t>
      </w:r>
      <w:r w:rsidRPr="001B0F87">
        <w:rPr>
          <w:rFonts w:eastAsia="SimSun"/>
          <w:lang w:val="en-US" w:eastAsia="en-US"/>
        </w:rPr>
        <w:t>Vol. 8 Iss: 1, pp.76 – 95.</w:t>
      </w:r>
      <w:r w:rsidR="00927FFA">
        <w:rPr>
          <w:rFonts w:eastAsia="SimSun"/>
          <w:lang w:val="en-US" w:eastAsia="en-US"/>
        </w:rPr>
        <w:t xml:space="preserve"> </w:t>
      </w:r>
      <w:r w:rsidR="00927FFA" w:rsidRPr="001B0F87">
        <w:t>ISSN 1469-1930</w:t>
      </w:r>
      <w:r w:rsidR="00927FFA" w:rsidRPr="00452B27">
        <w:rPr>
          <w:lang w:val="en-US"/>
        </w:rPr>
        <w:t>.</w:t>
      </w:r>
    </w:p>
    <w:p w:rsidR="001B0F87" w:rsidRPr="001B0F87" w:rsidRDefault="001B0F87" w:rsidP="001B0F87">
      <w:pPr>
        <w:numPr>
          <w:ilvl w:val="0"/>
          <w:numId w:val="7"/>
        </w:numPr>
        <w:spacing w:line="360" w:lineRule="auto"/>
        <w:ind w:left="0" w:firstLine="0"/>
        <w:jc w:val="both"/>
        <w:rPr>
          <w:lang w:val="en-US"/>
        </w:rPr>
      </w:pPr>
      <w:r w:rsidRPr="001B0F87">
        <w:rPr>
          <w:b/>
          <w:lang w:val="en-US"/>
        </w:rPr>
        <w:t>Hsu Y., Fang W.</w:t>
      </w:r>
      <w:r w:rsidRPr="001B0F87">
        <w:rPr>
          <w:lang w:val="en-US"/>
        </w:rPr>
        <w:t xml:space="preserve"> "Intellectual Capital and New Product Development Performance: The Mediating Role of Organizational Learning Capability", </w:t>
      </w:r>
      <w:r w:rsidRPr="001B0F87">
        <w:rPr>
          <w:iCs/>
          <w:lang w:val="en-US"/>
        </w:rPr>
        <w:t>Technological Forecasting &amp; Social Change</w:t>
      </w:r>
      <w:r w:rsidRPr="001B0F87">
        <w:rPr>
          <w:lang w:val="en-US"/>
        </w:rPr>
        <w:t xml:space="preserve">, 2009, Vol 76, No. 5, pp 664–677. </w:t>
      </w:r>
    </w:p>
    <w:p w:rsidR="001B0F87" w:rsidRPr="001B0F87" w:rsidRDefault="001B0F87" w:rsidP="001B0F87">
      <w:pPr>
        <w:numPr>
          <w:ilvl w:val="0"/>
          <w:numId w:val="7"/>
        </w:numPr>
        <w:spacing w:line="360" w:lineRule="auto"/>
        <w:ind w:left="0" w:firstLine="0"/>
        <w:jc w:val="both"/>
        <w:rPr>
          <w:lang w:val="en-US"/>
        </w:rPr>
      </w:pPr>
      <w:r w:rsidRPr="001B0F87">
        <w:rPr>
          <w:rFonts w:eastAsia="SimSun"/>
          <w:b/>
          <w:lang w:val="en-US" w:eastAsia="en-US"/>
        </w:rPr>
        <w:t>Huggins R., Weir M.</w:t>
      </w:r>
      <w:r w:rsidRPr="001B0F87">
        <w:rPr>
          <w:rFonts w:eastAsia="SimSun"/>
          <w:lang w:val="en-US" w:eastAsia="en-US"/>
        </w:rPr>
        <w:t xml:space="preserve"> "Intellectual assets and small knowledge-intensive business service firms", Journal of Small Business and Enterprise Development, 2012, Vol. 19 Iss: 1, pp.92 - 113 ISSN: 1462-6004</w:t>
      </w:r>
      <w:r w:rsidR="00242BC6">
        <w:rPr>
          <w:rFonts w:eastAsia="SimSun"/>
          <w:lang w:val="en-US" w:eastAsia="en-US"/>
        </w:rPr>
        <w:t>.</w:t>
      </w:r>
    </w:p>
    <w:p w:rsidR="001B0F87" w:rsidRPr="001B0F87" w:rsidRDefault="001B0F87" w:rsidP="001B0F87">
      <w:pPr>
        <w:numPr>
          <w:ilvl w:val="0"/>
          <w:numId w:val="7"/>
        </w:numPr>
        <w:spacing w:line="360" w:lineRule="auto"/>
        <w:ind w:left="0" w:firstLine="0"/>
        <w:jc w:val="both"/>
        <w:rPr>
          <w:lang w:val="en-US"/>
        </w:rPr>
      </w:pPr>
      <w:r w:rsidRPr="001B0F87">
        <w:rPr>
          <w:b/>
          <w:lang w:val="en-US"/>
        </w:rPr>
        <w:t xml:space="preserve">Ileanu V. B., Tanasoiu E. O. </w:t>
      </w:r>
      <w:r w:rsidRPr="001B0F87">
        <w:rPr>
          <w:lang w:val="en-US"/>
        </w:rPr>
        <w:t>“Factors of the earning functions and their influence on the intellectual capital of an organization”. // Romania: Journal of applied quantitative methods, 2008, Vol 3 No. 4. p. 366-376.</w:t>
      </w:r>
    </w:p>
    <w:p w:rsidR="001B0F87" w:rsidRPr="001B0F87" w:rsidRDefault="001B0F87" w:rsidP="001B0F87">
      <w:pPr>
        <w:numPr>
          <w:ilvl w:val="0"/>
          <w:numId w:val="7"/>
        </w:numPr>
        <w:spacing w:line="360" w:lineRule="auto"/>
        <w:ind w:left="0" w:firstLine="0"/>
        <w:jc w:val="both"/>
        <w:rPr>
          <w:lang w:val="en-US"/>
        </w:rPr>
      </w:pPr>
      <w:r w:rsidRPr="001B0F87">
        <w:rPr>
          <w:rFonts w:eastAsia="SimSun"/>
          <w:b/>
          <w:lang w:val="en-US" w:eastAsia="en-US"/>
        </w:rPr>
        <w:t>International Federation of Accountants</w:t>
      </w:r>
      <w:r w:rsidRPr="001B0F87">
        <w:rPr>
          <w:rFonts w:eastAsia="SimSun"/>
          <w:lang w:val="en-US" w:eastAsia="en-US"/>
        </w:rPr>
        <w:t>, “</w:t>
      </w:r>
      <w:r w:rsidRPr="001B0F87">
        <w:rPr>
          <w:rFonts w:eastAsia="SimSun"/>
          <w:iCs/>
          <w:lang w:val="en-US" w:eastAsia="en-US"/>
        </w:rPr>
        <w:t>The Measurement and Management of Intellectual Capita”l</w:t>
      </w:r>
      <w:r w:rsidRPr="001B0F87">
        <w:rPr>
          <w:rFonts w:eastAsia="SimSun"/>
          <w:lang w:val="en-US" w:eastAsia="en-US"/>
        </w:rPr>
        <w:t>, International Federation of Accountants (IFAC), New York, NY, 1998.</w:t>
      </w:r>
    </w:p>
    <w:p w:rsidR="001B0F87" w:rsidRPr="001B0F87" w:rsidRDefault="001B0F87" w:rsidP="001B0F87">
      <w:pPr>
        <w:numPr>
          <w:ilvl w:val="0"/>
          <w:numId w:val="7"/>
        </w:numPr>
        <w:spacing w:line="360" w:lineRule="auto"/>
        <w:ind w:left="0" w:firstLine="0"/>
        <w:jc w:val="both"/>
        <w:rPr>
          <w:lang w:val="en-US"/>
        </w:rPr>
      </w:pPr>
      <w:r w:rsidRPr="001B0F87">
        <w:rPr>
          <w:b/>
          <w:lang w:val="en-US"/>
        </w:rPr>
        <w:t>Jakutytė-Sungailienė A.</w:t>
      </w:r>
      <w:r w:rsidRPr="001B0F87">
        <w:rPr>
          <w:lang w:val="en-US"/>
        </w:rPr>
        <w:t xml:space="preserve"> “</w:t>
      </w:r>
      <w:r w:rsidRPr="001B0F87">
        <w:rPr>
          <w:rFonts w:eastAsia="SimSun"/>
          <w:iCs/>
          <w:lang w:val="en-US" w:eastAsia="en-US"/>
        </w:rPr>
        <w:t>Intellectual Capital – New Object Regulated by Property Law?” Jurisprudencija. 2009, 3(117): 339–355. -</w:t>
      </w:r>
      <w:r w:rsidRPr="001B0F87">
        <w:rPr>
          <w:rFonts w:eastAsia="SimSun"/>
          <w:lang w:val="en-US" w:eastAsia="en-US"/>
        </w:rPr>
        <w:t>ISSN 2029–2058.</w:t>
      </w:r>
    </w:p>
    <w:p w:rsidR="001B0F87" w:rsidRPr="001B0F87" w:rsidRDefault="001B0F87" w:rsidP="001B0F87">
      <w:pPr>
        <w:pStyle w:val="ListParagraph"/>
        <w:numPr>
          <w:ilvl w:val="0"/>
          <w:numId w:val="7"/>
        </w:numPr>
        <w:spacing w:line="360" w:lineRule="auto"/>
        <w:ind w:left="0" w:firstLine="0"/>
        <w:jc w:val="both"/>
        <w:rPr>
          <w:rFonts w:ascii="Times New Roman" w:eastAsiaTheme="minorEastAsia" w:hAnsi="Times New Roman"/>
          <w:lang w:val="en-US"/>
        </w:rPr>
      </w:pPr>
      <w:r w:rsidRPr="001B0F87">
        <w:rPr>
          <w:rFonts w:ascii="Times New Roman" w:eastAsiaTheme="minorEastAsia" w:hAnsi="Times New Roman"/>
          <w:b/>
          <w:lang w:val="en-US"/>
        </w:rPr>
        <w:t>Johnson, W. H. A.</w:t>
      </w:r>
      <w:r w:rsidRPr="001B0F87">
        <w:rPr>
          <w:rFonts w:ascii="Times New Roman" w:eastAsiaTheme="minorEastAsia" w:hAnsi="Times New Roman"/>
          <w:lang w:val="en-US"/>
        </w:rPr>
        <w:t xml:space="preserve"> “An integrative taxonomy of intellectual capital: measuring the stock and flow of intellectual capital components in the firm”. International Journal of Technology Management, 1999, Vol. 18 Nos 5-8, pp. 562-75.</w:t>
      </w:r>
    </w:p>
    <w:p w:rsidR="00C76C8F" w:rsidRPr="00C76C8F" w:rsidRDefault="001B0F87" w:rsidP="00C76C8F">
      <w:pPr>
        <w:numPr>
          <w:ilvl w:val="0"/>
          <w:numId w:val="7"/>
        </w:numPr>
        <w:spacing w:line="360" w:lineRule="auto"/>
        <w:ind w:left="0" w:firstLine="0"/>
        <w:jc w:val="both"/>
        <w:rPr>
          <w:lang w:val="en-US"/>
        </w:rPr>
      </w:pPr>
      <w:r w:rsidRPr="001B0F87">
        <w:rPr>
          <w:b/>
          <w:lang w:val="en-US"/>
        </w:rPr>
        <w:t>Joia L. A.</w:t>
      </w:r>
      <w:r w:rsidRPr="001B0F87">
        <w:rPr>
          <w:lang w:val="en-US"/>
        </w:rPr>
        <w:t xml:space="preserve"> "Measuring intangible corporate assets: Linking business strategy with intellectual capital", Journal of Intellectual Capital, 2000, Vol. 1 Iss: 1, pp.68 – 84. </w:t>
      </w:r>
      <w:r w:rsidRPr="001B0F87">
        <w:t>ISSN 1469-1930</w:t>
      </w:r>
      <w:r w:rsidRPr="001B0F87">
        <w:rPr>
          <w:lang w:val="en-US"/>
        </w:rPr>
        <w:t>.</w:t>
      </w:r>
    </w:p>
    <w:p w:rsidR="001B0F87" w:rsidRPr="001B0F87" w:rsidRDefault="001B0F87" w:rsidP="001B0F87">
      <w:pPr>
        <w:numPr>
          <w:ilvl w:val="0"/>
          <w:numId w:val="7"/>
        </w:numPr>
        <w:spacing w:line="360" w:lineRule="auto"/>
        <w:ind w:left="0" w:firstLine="0"/>
        <w:jc w:val="both"/>
        <w:rPr>
          <w:lang w:val="en-US"/>
        </w:rPr>
      </w:pPr>
      <w:r w:rsidRPr="001B0F87">
        <w:rPr>
          <w:b/>
          <w:lang w:val="en-US"/>
        </w:rPr>
        <w:t>Kale S., Civici T.</w:t>
      </w:r>
      <w:r w:rsidRPr="001B0F87">
        <w:rPr>
          <w:lang w:val="en-US"/>
        </w:rPr>
        <w:t xml:space="preserve"> “Managing intellectual capital in construction firms”, 2003</w:t>
      </w:r>
    </w:p>
    <w:p w:rsidR="001B0F87" w:rsidRPr="001B0F87" w:rsidRDefault="001B0F87" w:rsidP="001B0F87">
      <w:pPr>
        <w:numPr>
          <w:ilvl w:val="0"/>
          <w:numId w:val="7"/>
        </w:numPr>
        <w:spacing w:line="360" w:lineRule="auto"/>
        <w:ind w:left="0" w:firstLine="0"/>
        <w:jc w:val="both"/>
        <w:rPr>
          <w:lang w:val="en-US"/>
        </w:rPr>
      </w:pPr>
      <w:r w:rsidRPr="001B0F87">
        <w:rPr>
          <w:rFonts w:eastAsia="SimSun"/>
          <w:b/>
          <w:lang w:val="en-US" w:eastAsia="en-US"/>
        </w:rPr>
        <w:t>Kamath G. B.</w:t>
      </w:r>
      <w:r w:rsidRPr="001B0F87">
        <w:rPr>
          <w:rFonts w:eastAsia="SimSun"/>
          <w:lang w:val="en-US" w:eastAsia="en-US"/>
        </w:rPr>
        <w:t xml:space="preserve"> "The intellectual capital performance of the Indian banking sector", Journal of Intellectual Capital, 2007 Vol. 8 Iss: 1, pp.96 – 123.</w:t>
      </w:r>
      <w:r w:rsidR="00927FFA">
        <w:rPr>
          <w:rFonts w:eastAsia="SimSun"/>
          <w:lang w:val="en-US" w:eastAsia="en-US"/>
        </w:rPr>
        <w:t xml:space="preserve"> </w:t>
      </w:r>
      <w:r w:rsidR="00927FFA" w:rsidRPr="001B0F87">
        <w:t>ISSN 1469-1930</w:t>
      </w:r>
      <w:r w:rsidR="00927FFA" w:rsidRPr="00452B27">
        <w:rPr>
          <w:lang w:val="en-US"/>
        </w:rPr>
        <w:t>.</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eastAsia="SimSun" w:hAnsi="Times New Roman"/>
          <w:b/>
          <w:lang w:val="en-US"/>
        </w:rPr>
        <w:t>Kaplan R.S., Norton, D.P.</w:t>
      </w:r>
      <w:r w:rsidRPr="001B0F87">
        <w:rPr>
          <w:rFonts w:ascii="Times New Roman" w:eastAsia="SimSun" w:hAnsi="Times New Roman"/>
          <w:lang w:val="en-US"/>
        </w:rPr>
        <w:t xml:space="preserve"> "Using the Balanced Scorecard as a strategic management system", Harvard Business Review, 1996, Vol. January/February pp.75-85. </w:t>
      </w:r>
    </w:p>
    <w:p w:rsidR="001B0F87" w:rsidRPr="001B0F87" w:rsidRDefault="001B0F87" w:rsidP="001B0F87">
      <w:pPr>
        <w:numPr>
          <w:ilvl w:val="0"/>
          <w:numId w:val="7"/>
        </w:numPr>
        <w:spacing w:line="360" w:lineRule="auto"/>
        <w:ind w:left="0" w:firstLine="0"/>
        <w:jc w:val="both"/>
        <w:rPr>
          <w:lang w:val="en-US"/>
        </w:rPr>
      </w:pPr>
      <w:r w:rsidRPr="001B0F87">
        <w:rPr>
          <w:b/>
          <w:lang w:val="en-US"/>
        </w:rPr>
        <w:t>Kristandl, G. and N. Bontis.</w:t>
      </w:r>
      <w:r w:rsidRPr="001B0F87">
        <w:rPr>
          <w:lang w:val="en-US"/>
        </w:rPr>
        <w:t xml:space="preserve"> “The impact of voluntary disclosure on cost of equity capital and risk premium estimates in a temporal setting”, Journal of Intellectual Capital, 2007, Vol. 8, Iss: 4, pp. 577-594. </w:t>
      </w:r>
      <w:r w:rsidRPr="001B0F87">
        <w:t>ISSN 1469-1930</w:t>
      </w:r>
      <w:r w:rsidRPr="001B0F87">
        <w:rPr>
          <w:lang w:val="en-US"/>
        </w:rPr>
        <w:t xml:space="preserve">. </w:t>
      </w:r>
    </w:p>
    <w:p w:rsidR="001B0F87" w:rsidRDefault="001B0F87" w:rsidP="001B0F87">
      <w:pPr>
        <w:numPr>
          <w:ilvl w:val="0"/>
          <w:numId w:val="7"/>
        </w:numPr>
        <w:spacing w:line="360" w:lineRule="auto"/>
        <w:ind w:left="0" w:firstLine="0"/>
        <w:jc w:val="both"/>
        <w:rPr>
          <w:lang w:val="en-US"/>
        </w:rPr>
      </w:pPr>
      <w:r w:rsidRPr="001B0F87">
        <w:rPr>
          <w:b/>
        </w:rPr>
        <w:t>Kujanvisu P., Lonnqvist A</w:t>
      </w:r>
      <w:r w:rsidRPr="001B0F87">
        <w:t>. Investigating the value and efficiency of intellectual capital // Journal of intellectual capital. – 2007 Nr. 2 Vol 8, p.272-287. – ISSN 1469-1930</w:t>
      </w:r>
      <w:r w:rsidR="00C76C8F">
        <w:rPr>
          <w:lang w:val="en-US"/>
        </w:rPr>
        <w:t>.</w:t>
      </w:r>
    </w:p>
    <w:p w:rsidR="00C76C8F" w:rsidRPr="001B0F87" w:rsidRDefault="00C76C8F" w:rsidP="001B0F87">
      <w:pPr>
        <w:numPr>
          <w:ilvl w:val="0"/>
          <w:numId w:val="7"/>
        </w:numPr>
        <w:spacing w:line="360" w:lineRule="auto"/>
        <w:ind w:left="0" w:firstLine="0"/>
        <w:jc w:val="both"/>
        <w:rPr>
          <w:lang w:val="en-US"/>
        </w:rPr>
      </w:pPr>
      <w:r>
        <w:rPr>
          <w:b/>
        </w:rPr>
        <w:t>Lev, B</w:t>
      </w:r>
      <w:r w:rsidRPr="00C76C8F">
        <w:rPr>
          <w:lang w:val="en-US"/>
        </w:rPr>
        <w:t>.</w:t>
      </w:r>
      <w:r>
        <w:rPr>
          <w:lang w:val="en-US"/>
        </w:rPr>
        <w:t xml:space="preserve"> 1999.</w:t>
      </w:r>
    </w:p>
    <w:p w:rsidR="00A3483D" w:rsidRPr="001B0F87" w:rsidRDefault="001B0F87" w:rsidP="001B0F87">
      <w:pPr>
        <w:numPr>
          <w:ilvl w:val="0"/>
          <w:numId w:val="7"/>
        </w:numPr>
        <w:spacing w:line="360" w:lineRule="auto"/>
        <w:ind w:left="0" w:firstLine="0"/>
        <w:jc w:val="both"/>
        <w:rPr>
          <w:lang w:val="en-US"/>
        </w:rPr>
      </w:pPr>
      <w:r w:rsidRPr="001B0F87">
        <w:rPr>
          <w:b/>
          <w:lang w:val="en-US"/>
        </w:rPr>
        <w:t>Lev, B</w:t>
      </w:r>
      <w:r w:rsidRPr="001B0F87">
        <w:rPr>
          <w:lang w:val="en-US"/>
        </w:rPr>
        <w:t>. Intangibles: Management, measurement, and reporting. Washington, DC: Brooking Institution Press, San Francisco, CA, 2001.</w:t>
      </w:r>
    </w:p>
    <w:p w:rsidR="008037E7" w:rsidRPr="001B0F87" w:rsidRDefault="00A3483D" w:rsidP="001B0F87">
      <w:pPr>
        <w:numPr>
          <w:ilvl w:val="0"/>
          <w:numId w:val="7"/>
        </w:numPr>
        <w:spacing w:line="360" w:lineRule="auto"/>
        <w:ind w:left="0" w:firstLine="0"/>
        <w:jc w:val="both"/>
        <w:rPr>
          <w:lang w:val="en-US"/>
        </w:rPr>
      </w:pPr>
      <w:r w:rsidRPr="001B0F87">
        <w:rPr>
          <w:b/>
          <w:lang w:val="en-US"/>
        </w:rPr>
        <w:t>Mačerinskienė I., Bartuševičienė I.</w:t>
      </w:r>
      <w:r w:rsidRPr="001B0F87">
        <w:rPr>
          <w:lang w:val="en-US"/>
        </w:rPr>
        <w:t xml:space="preserve"> “</w:t>
      </w:r>
      <w:r w:rsidRPr="001B0F87">
        <w:rPr>
          <w:rFonts w:eastAsia="SimSun"/>
          <w:lang w:val="en-US" w:eastAsia="en-US"/>
        </w:rPr>
        <w:t>Įmonės intelektinio kapitalo vertinimo modelio taikymo ypatumai”. Mykolo Riomerio Universitetas, BUSINESS SYSTEMS and ECONOMICS No. 2 (2), 2012, ISSN 2029-8234.</w:t>
      </w:r>
    </w:p>
    <w:p w:rsidR="001B0F87" w:rsidRPr="00775A4C"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hAnsi="Times New Roman"/>
          <w:b/>
          <w:lang w:val="en-US"/>
        </w:rPr>
        <w:t>Mačerinskienė I., Survilaitė S.</w:t>
      </w:r>
      <w:r w:rsidRPr="001B0F87">
        <w:rPr>
          <w:rFonts w:ascii="Times New Roman" w:hAnsi="Times New Roman"/>
          <w:lang w:val="en-US"/>
        </w:rPr>
        <w:t xml:space="preserve"> “Intellectual capital as the main factor of company‘s value added”. </w:t>
      </w:r>
      <w:r w:rsidRPr="001B0F87">
        <w:rPr>
          <w:rFonts w:ascii="Times New Roman" w:eastAsia="SimSun" w:hAnsi="Times New Roman"/>
          <w:lang w:val="en-US"/>
        </w:rPr>
        <w:t>Mykolas Romeris University, Faculty of Economics and Finance Management, Vilnius, Lithuania. 2011, Vol. 5, No. 4(12), p. 560–574. ISSN 1822-8038.</w:t>
      </w:r>
    </w:p>
    <w:p w:rsidR="00775A4C" w:rsidRPr="00775A4C" w:rsidRDefault="00775A4C" w:rsidP="00775A4C">
      <w:pPr>
        <w:numPr>
          <w:ilvl w:val="0"/>
          <w:numId w:val="7"/>
        </w:numPr>
        <w:spacing w:line="360" w:lineRule="auto"/>
        <w:ind w:left="0" w:firstLine="0"/>
        <w:jc w:val="both"/>
        <w:rPr>
          <w:lang w:val="en-US"/>
        </w:rPr>
      </w:pPr>
      <w:r w:rsidRPr="00775A4C">
        <w:rPr>
          <w:rFonts w:eastAsia="SimSun"/>
          <w:b/>
          <w:lang w:val="en-US" w:eastAsia="en-US"/>
        </w:rPr>
        <w:t>Marr</w:t>
      </w:r>
      <w:r w:rsidRPr="00775A4C">
        <w:rPr>
          <w:rFonts w:eastAsia="SimSun"/>
          <w:b/>
          <w:lang w:val="en-US"/>
        </w:rPr>
        <w:t xml:space="preserve"> B.</w:t>
      </w:r>
      <w:r w:rsidRPr="00775A4C">
        <w:rPr>
          <w:rFonts w:eastAsia="SimSun"/>
          <w:lang w:val="en-US" w:eastAsia="en-US"/>
        </w:rPr>
        <w:t xml:space="preserve"> "Measuring and benchmarking intellectual capital", Benchmarking: An International Journa</w:t>
      </w:r>
      <w:r w:rsidRPr="00775A4C">
        <w:rPr>
          <w:rFonts w:eastAsia="SimSun"/>
          <w:lang w:val="en-US"/>
        </w:rPr>
        <w:t xml:space="preserve">l, </w:t>
      </w:r>
      <w:r>
        <w:rPr>
          <w:rFonts w:eastAsia="SimSun"/>
          <w:lang w:val="en-US"/>
        </w:rPr>
        <w:t xml:space="preserve">2004, </w:t>
      </w:r>
      <w:r w:rsidRPr="00775A4C">
        <w:rPr>
          <w:rFonts w:eastAsia="SimSun"/>
          <w:lang w:val="en-US"/>
        </w:rPr>
        <w:t>Vol. 11 Iss: 6, pp.559 – 570.</w:t>
      </w:r>
      <w:r>
        <w:rPr>
          <w:rFonts w:eastAsia="SimSun"/>
          <w:lang w:val="en-US"/>
        </w:rPr>
        <w:t xml:space="preserve"> </w:t>
      </w:r>
      <w:r w:rsidRPr="001B0F87">
        <w:t>ISSN 1469-1930</w:t>
      </w:r>
      <w:r w:rsidRPr="001B0F87">
        <w:rPr>
          <w:lang w:val="en-US"/>
        </w:rPr>
        <w:t xml:space="preserve">. </w:t>
      </w:r>
    </w:p>
    <w:p w:rsidR="001B0F87" w:rsidRPr="001B0F87" w:rsidRDefault="001B0F87" w:rsidP="001B0F87">
      <w:pPr>
        <w:numPr>
          <w:ilvl w:val="0"/>
          <w:numId w:val="7"/>
        </w:numPr>
        <w:spacing w:line="360" w:lineRule="auto"/>
        <w:ind w:left="0" w:firstLine="0"/>
        <w:jc w:val="both"/>
        <w:rPr>
          <w:lang w:val="en-US"/>
        </w:rPr>
      </w:pPr>
      <w:r w:rsidRPr="001B0F87">
        <w:rPr>
          <w:b/>
          <w:lang w:val="en-US"/>
        </w:rPr>
        <w:t>Marr, B. et al.</w:t>
      </w:r>
      <w:r w:rsidRPr="001B0F87">
        <w:rPr>
          <w:lang w:val="en-US"/>
        </w:rPr>
        <w:t xml:space="preserve"> "Why do firms measure their intellectual capital?", Journal of Intellectual Capital, 2003 Vol. 4 Iss: 4, pp. 441 - 464 . </w:t>
      </w:r>
      <w:r w:rsidRPr="001B0F87">
        <w:t>ISSN 1469-1930</w:t>
      </w:r>
      <w:r w:rsidRPr="001B0F87">
        <w:rPr>
          <w:lang w:val="en-US"/>
        </w:rPr>
        <w:t xml:space="preserve">. </w:t>
      </w:r>
    </w:p>
    <w:p w:rsidR="001B0F87" w:rsidRPr="001B0F87" w:rsidRDefault="001B0F87" w:rsidP="001B0F87">
      <w:pPr>
        <w:numPr>
          <w:ilvl w:val="0"/>
          <w:numId w:val="7"/>
        </w:numPr>
        <w:spacing w:line="360" w:lineRule="auto"/>
        <w:ind w:left="0" w:firstLine="0"/>
        <w:jc w:val="both"/>
        <w:rPr>
          <w:lang w:val="en-US"/>
        </w:rPr>
      </w:pPr>
      <w:r w:rsidRPr="001B0F87">
        <w:rPr>
          <w:b/>
          <w:lang w:val="en-US"/>
        </w:rPr>
        <w:t>Mikulėnienė R.</w:t>
      </w:r>
      <w:r w:rsidRPr="001B0F87">
        <w:rPr>
          <w:lang w:val="en-US"/>
        </w:rPr>
        <w:t xml:space="preserve"> “</w:t>
      </w:r>
      <w:r w:rsidRPr="001B0F87">
        <w:rPr>
          <w:rFonts w:eastAsia="SimSun"/>
          <w:lang w:val="en-US"/>
        </w:rPr>
        <w:t>Intellectual capital management: strategic aspect”. Summary of doctoral dissertation, Strategic Management Department, Faculty of Social Sciences, Kaunas University of Technology, 2004.</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hAnsi="Times New Roman"/>
          <w:b/>
          <w:lang w:val="en-US"/>
        </w:rPr>
        <w:t>Mikulėnienė, R.; Jucevičius, R.</w:t>
      </w:r>
      <w:r w:rsidRPr="001B0F87">
        <w:rPr>
          <w:rFonts w:ascii="Times New Roman" w:hAnsi="Times New Roman"/>
          <w:lang w:val="en-US"/>
        </w:rPr>
        <w:t xml:space="preserve"> „Organizacijos intelektinis kapitalas: sandaros ir pagrindinių sąvokų interpretacijos“, Socialiniai mokslai. 2000, 3(24): 65–76.ISIN 1392-0758.</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Style w:val="Hyperlink"/>
          <w:rFonts w:ascii="Times New Roman" w:hAnsi="Times New Roman"/>
          <w:color w:val="auto"/>
          <w:lang w:val="en-US"/>
        </w:rPr>
      </w:pPr>
      <w:r w:rsidRPr="001B0F87">
        <w:rPr>
          <w:rFonts w:ascii="Times New Roman" w:hAnsi="Times New Roman"/>
          <w:b/>
          <w:lang w:val="en-US"/>
        </w:rPr>
        <w:t>Mouritsen J. et al.</w:t>
      </w:r>
      <w:r w:rsidRPr="001B0F87">
        <w:rPr>
          <w:rFonts w:ascii="Times New Roman" w:hAnsi="Times New Roman"/>
          <w:lang w:val="en-US"/>
        </w:rPr>
        <w:t xml:space="preserve"> "Developing and managing knowledge through intellectual capital statements", Journal of Intellectual Capital, 2002, Vol. 3 No.1, pp.10-29. </w:t>
      </w:r>
      <w:r w:rsidRPr="001B0F87">
        <w:rPr>
          <w:rFonts w:ascii="Times New Roman" w:hAnsi="Times New Roman"/>
        </w:rPr>
        <w:t>ISSN 1469-1930</w:t>
      </w:r>
      <w:r w:rsidRPr="001B0F87">
        <w:rPr>
          <w:rFonts w:ascii="Times New Roman" w:hAnsi="Times New Roman"/>
          <w:lang w:val="en-US"/>
        </w:rPr>
        <w:t>.</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hAnsi="Times New Roman"/>
          <w:b/>
          <w:lang w:val="en-US"/>
        </w:rPr>
        <w:t>Mouritsen J.</w:t>
      </w:r>
      <w:r w:rsidRPr="001B0F87">
        <w:rPr>
          <w:rFonts w:ascii="Times New Roman" w:hAnsi="Times New Roman"/>
          <w:lang w:val="en-US"/>
        </w:rPr>
        <w:t xml:space="preserve"> "Classification, measurement and the ontology of intellectual capital entities", Journal of Human Resource Costing &amp; Accounting, 2009 Vol. 13 Iss: 2, pp.154 – 162.</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hAnsi="Times New Roman"/>
          <w:b/>
          <w:lang w:val="en-US"/>
        </w:rPr>
        <w:t>Murthy V., Mouritsen J.</w:t>
      </w:r>
      <w:r w:rsidRPr="001B0F87">
        <w:rPr>
          <w:rFonts w:ascii="Times New Roman" w:hAnsi="Times New Roman"/>
          <w:lang w:val="en-US"/>
        </w:rPr>
        <w:t xml:space="preserve"> "The performance of intellectual capital: Mobilising relationships between intellectual and financial capital in a bank", Accounting, Auditing &amp; Accountability Journal, 2011, Vol. 24 Iss: 5, pp.622 – 646.</w:t>
      </w:r>
    </w:p>
    <w:p w:rsidR="001B0F87" w:rsidRPr="001B0F87" w:rsidRDefault="001B0F87" w:rsidP="001B0F87">
      <w:pPr>
        <w:numPr>
          <w:ilvl w:val="0"/>
          <w:numId w:val="7"/>
        </w:numPr>
        <w:spacing w:line="360" w:lineRule="auto"/>
        <w:ind w:left="0" w:firstLine="0"/>
        <w:jc w:val="both"/>
        <w:rPr>
          <w:lang w:val="en-US"/>
        </w:rPr>
      </w:pPr>
      <w:r w:rsidRPr="001B0F87">
        <w:rPr>
          <w:b/>
        </w:rPr>
        <w:t>NASDAQ OMX.</w:t>
      </w:r>
      <w:r w:rsidRPr="001B0F87">
        <w:t xml:space="preserve"> OMX Vilnius ir OMX Talinas Oficialusis prekybos sąrašas. Emitentų finansinės ataskaitos. URL: &lt;</w:t>
      </w:r>
      <w:hyperlink r:id="rId60" w:history="1">
        <w:r w:rsidRPr="001B0F87">
          <w:rPr>
            <w:rStyle w:val="Hyperlink"/>
            <w:color w:val="auto"/>
            <w:lang w:val="en-US"/>
          </w:rPr>
          <w:t>http://www.nasdaqomxbaltic.com/market/?pg=issuers&amp;lang=lt</w:t>
        </w:r>
      </w:hyperlink>
      <w:r w:rsidRPr="001B0F87">
        <w:rPr>
          <w:rStyle w:val="Hyperlink"/>
          <w:color w:val="auto"/>
          <w:lang w:val="en-US"/>
        </w:rPr>
        <w:t xml:space="preserve"> &gt;</w:t>
      </w:r>
    </w:p>
    <w:p w:rsidR="001B0F87" w:rsidRPr="001B0F87" w:rsidRDefault="001B0F87" w:rsidP="001B0F87">
      <w:pPr>
        <w:numPr>
          <w:ilvl w:val="0"/>
          <w:numId w:val="7"/>
        </w:numPr>
        <w:spacing w:line="360" w:lineRule="auto"/>
        <w:ind w:left="0" w:firstLine="0"/>
        <w:jc w:val="both"/>
        <w:rPr>
          <w:lang w:val="en-US"/>
        </w:rPr>
      </w:pPr>
      <w:r w:rsidRPr="001B0F87">
        <w:rPr>
          <w:rFonts w:eastAsia="SimSun"/>
          <w:b/>
          <w:lang w:val="en-US" w:eastAsia="en-US"/>
        </w:rPr>
        <w:t>Nazari J.A., Herremans I. M.</w:t>
      </w:r>
      <w:r w:rsidRPr="001B0F87">
        <w:rPr>
          <w:rFonts w:eastAsia="SimSun"/>
          <w:lang w:val="en-US" w:eastAsia="en-US"/>
        </w:rPr>
        <w:t xml:space="preserve"> "Extended VAIC model: measuring intellectual capital components", Journal of Intellectual Capital, 2007, Vol. 8 Iss: 4, pp. 595 – 609.</w:t>
      </w:r>
      <w:r w:rsidR="00927FFA">
        <w:rPr>
          <w:rFonts w:eastAsia="SimSun"/>
          <w:lang w:val="en-US" w:eastAsia="en-US"/>
        </w:rPr>
        <w:t xml:space="preserve"> </w:t>
      </w:r>
      <w:r w:rsidR="00927FFA" w:rsidRPr="001B0F87">
        <w:t>ISSN 1469-1930</w:t>
      </w:r>
      <w:r w:rsidR="00927FFA" w:rsidRPr="00452B27">
        <w:rPr>
          <w:lang w:val="en-US"/>
        </w:rPr>
        <w:t>.</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eastAsia="SimSun" w:hAnsi="Times New Roman"/>
          <w:b/>
          <w:lang w:val="en-US"/>
        </w:rPr>
        <w:t>Ordónez de Pablos P.</w:t>
      </w:r>
      <w:r w:rsidRPr="001B0F87">
        <w:rPr>
          <w:rFonts w:ascii="Times New Roman" w:eastAsia="SimSun" w:hAnsi="Times New Roman"/>
          <w:lang w:val="en-US"/>
        </w:rPr>
        <w:t xml:space="preserve"> "Evidence of intellectual capital measurement from Asia, Europe and the Middle East", Journal of Intellectual Capital, 2002, Vol. 3 Iss: 3, pp.287 – 302.</w:t>
      </w:r>
      <w:r w:rsidR="00927FFA">
        <w:rPr>
          <w:rFonts w:ascii="Times New Roman" w:eastAsia="SimSun" w:hAnsi="Times New Roman"/>
          <w:lang w:val="en-US"/>
        </w:rPr>
        <w:t xml:space="preserve"> </w:t>
      </w:r>
      <w:r w:rsidR="00927FFA" w:rsidRPr="001B0F87">
        <w:t>ISSN 1469-1930</w:t>
      </w:r>
      <w:r w:rsidR="00927FFA" w:rsidRPr="00452B27">
        <w:rPr>
          <w:lang w:val="en-US"/>
        </w:rPr>
        <w:t>.</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hAnsi="Times New Roman"/>
          <w:b/>
        </w:rPr>
        <w:t>Palumickaitė J., Matuzevičiūtė K.</w:t>
      </w:r>
      <w:r w:rsidRPr="001B0F87">
        <w:rPr>
          <w:rFonts w:ascii="Times New Roman" w:hAnsi="Times New Roman"/>
        </w:rPr>
        <w:t xml:space="preserve"> Intelektinis kapitalas ir vertės kūrimas: teorinis aspektas. Ekonomika ir vadyba: aktualijos ir perspektyvos. – Šiaulių universiteto leidykla, 2007 Nr. 1 (8), p. 206-211.  ISSN 1648-9098.</w:t>
      </w:r>
    </w:p>
    <w:p w:rsidR="00775A4C" w:rsidRDefault="008037E7" w:rsidP="00775A4C">
      <w:pPr>
        <w:numPr>
          <w:ilvl w:val="0"/>
          <w:numId w:val="7"/>
        </w:numPr>
        <w:spacing w:line="360" w:lineRule="auto"/>
        <w:ind w:left="0" w:firstLine="0"/>
        <w:jc w:val="both"/>
        <w:rPr>
          <w:lang w:val="en-US"/>
        </w:rPr>
      </w:pPr>
      <w:r w:rsidRPr="001B0F87">
        <w:rPr>
          <w:rFonts w:eastAsia="SimSun"/>
          <w:b/>
          <w:lang w:val="en-US"/>
        </w:rPr>
        <w:t>Pečkaitis J. S., Mačerinskienė I.</w:t>
      </w:r>
      <w:r w:rsidRPr="001B0F87">
        <w:rPr>
          <w:rFonts w:eastAsia="SimSun"/>
          <w:lang w:val="en-US"/>
        </w:rPr>
        <w:t xml:space="preserve"> Magistro baigiamojo darbo rengimo tvarka: mokomasis</w:t>
      </w:r>
      <w:r w:rsidRPr="001B0F87">
        <w:rPr>
          <w:lang w:val="en-US"/>
        </w:rPr>
        <w:t xml:space="preserve"> </w:t>
      </w:r>
      <w:r w:rsidRPr="001B0F87">
        <w:rPr>
          <w:rFonts w:eastAsia="SimSun"/>
          <w:lang w:val="en-US"/>
        </w:rPr>
        <w:t>leidinys. – Vilnius: Mykolo Romerio Universitetas, 2008.</w:t>
      </w:r>
    </w:p>
    <w:p w:rsidR="00775A4C" w:rsidRPr="00220D18" w:rsidRDefault="00775A4C" w:rsidP="00775A4C">
      <w:pPr>
        <w:numPr>
          <w:ilvl w:val="0"/>
          <w:numId w:val="7"/>
        </w:numPr>
        <w:spacing w:line="360" w:lineRule="auto"/>
        <w:ind w:left="0" w:firstLine="0"/>
        <w:jc w:val="both"/>
        <w:rPr>
          <w:lang w:val="en-US"/>
        </w:rPr>
      </w:pPr>
      <w:r w:rsidRPr="00775A4C">
        <w:rPr>
          <w:rFonts w:eastAsia="SimSun"/>
          <w:b/>
          <w:lang w:val="en-US" w:eastAsia="en-US"/>
        </w:rPr>
        <w:t>Petty R. Guthrie J.</w:t>
      </w:r>
      <w:r w:rsidRPr="00775A4C">
        <w:rPr>
          <w:rFonts w:eastAsia="SimSun"/>
          <w:lang w:val="en-US" w:eastAsia="en-US"/>
        </w:rPr>
        <w:t xml:space="preserve"> "Intellectual capital literature review: measurement, reporting and management", </w:t>
      </w:r>
      <w:r w:rsidRPr="00775A4C">
        <w:rPr>
          <w:rFonts w:eastAsia="SimSun"/>
          <w:iCs/>
          <w:lang w:val="en-US" w:eastAsia="en-US"/>
        </w:rPr>
        <w:t>Journal of Intellectual Capital</w:t>
      </w:r>
      <w:r w:rsidRPr="00775A4C">
        <w:rPr>
          <w:rFonts w:eastAsia="SimSun"/>
          <w:lang w:val="en-US" w:eastAsia="en-US"/>
        </w:rPr>
        <w:t>, 2000, Vol. 1 No.2</w:t>
      </w:r>
      <w:r>
        <w:rPr>
          <w:rFonts w:eastAsia="SimSun"/>
          <w:lang w:val="en-US" w:eastAsia="en-US"/>
        </w:rPr>
        <w:t xml:space="preserve">. </w:t>
      </w:r>
      <w:r w:rsidRPr="001B0F87">
        <w:t>ISSN 1469-1930</w:t>
      </w:r>
      <w:r w:rsidRPr="001B0F87">
        <w:rPr>
          <w:lang w:val="en-US"/>
        </w:rPr>
        <w:t>.</w:t>
      </w:r>
    </w:p>
    <w:p w:rsidR="00220D18" w:rsidRPr="00220D18" w:rsidRDefault="001B0F87" w:rsidP="00220D18">
      <w:pPr>
        <w:numPr>
          <w:ilvl w:val="0"/>
          <w:numId w:val="7"/>
        </w:numPr>
        <w:spacing w:line="360" w:lineRule="auto"/>
        <w:ind w:left="0" w:firstLine="0"/>
        <w:jc w:val="both"/>
        <w:rPr>
          <w:lang w:val="en-US"/>
        </w:rPr>
      </w:pPr>
      <w:r w:rsidRPr="001B0F87">
        <w:rPr>
          <w:b/>
          <w:lang w:val="en-US"/>
        </w:rPr>
        <w:t>Pike S., Roos G.</w:t>
      </w:r>
      <w:r w:rsidRPr="001B0F87">
        <w:rPr>
          <w:lang w:val="en-US"/>
        </w:rPr>
        <w:t xml:space="preserve"> “Intellectual Capital Measurement and Holistic Value Approach,” Works Institute Journal, 2000, Vol. 42, 6, pp. 21-7.</w:t>
      </w:r>
    </w:p>
    <w:p w:rsidR="00220D18" w:rsidRPr="00220D18" w:rsidRDefault="00220D18" w:rsidP="001B0F87">
      <w:pPr>
        <w:numPr>
          <w:ilvl w:val="0"/>
          <w:numId w:val="7"/>
        </w:numPr>
        <w:spacing w:line="360" w:lineRule="auto"/>
        <w:ind w:left="0" w:firstLine="0"/>
        <w:jc w:val="both"/>
        <w:rPr>
          <w:lang w:val="en-US"/>
        </w:rPr>
      </w:pPr>
      <w:r w:rsidRPr="00220D18">
        <w:rPr>
          <w:rFonts w:eastAsia="SimSun"/>
          <w:b/>
          <w:lang w:val="en-US" w:eastAsia="en-US"/>
        </w:rPr>
        <w:t>Pucar S.</w:t>
      </w:r>
      <w:r w:rsidRPr="00220D18">
        <w:rPr>
          <w:rFonts w:eastAsia="SimSun"/>
          <w:lang w:val="en-US" w:eastAsia="en-US"/>
        </w:rPr>
        <w:t xml:space="preserve"> "The influence of intellectual capital on export performance", Journal of Intellectual Capital, </w:t>
      </w:r>
      <w:r>
        <w:rPr>
          <w:rFonts w:eastAsia="SimSun"/>
          <w:lang w:val="en-US" w:eastAsia="en-US"/>
        </w:rPr>
        <w:t xml:space="preserve">2012, </w:t>
      </w:r>
      <w:r w:rsidRPr="00220D18">
        <w:rPr>
          <w:rFonts w:eastAsia="SimSun"/>
          <w:lang w:val="en-US" w:eastAsia="en-US"/>
        </w:rPr>
        <w:t xml:space="preserve">Vol. 13 Iss: 2, pp.248 - 261. </w:t>
      </w:r>
      <w:r w:rsidRPr="00220D18">
        <w:t>ISSN: 1469-1930.</w:t>
      </w:r>
    </w:p>
    <w:p w:rsidR="001B0F87" w:rsidRPr="001B0F87" w:rsidRDefault="001B0F87" w:rsidP="001B0F87">
      <w:pPr>
        <w:numPr>
          <w:ilvl w:val="0"/>
          <w:numId w:val="7"/>
        </w:numPr>
        <w:spacing w:line="360" w:lineRule="auto"/>
        <w:ind w:left="0" w:firstLine="0"/>
        <w:jc w:val="both"/>
        <w:rPr>
          <w:lang w:val="en-US"/>
        </w:rPr>
      </w:pPr>
      <w:r w:rsidRPr="001B0F87">
        <w:rPr>
          <w:rFonts w:eastAsia="SimSun"/>
          <w:b/>
          <w:lang w:val="en-US" w:eastAsia="en-US"/>
        </w:rPr>
        <w:t>Pulic, A.</w:t>
      </w:r>
      <w:r w:rsidRPr="001B0F87">
        <w:rPr>
          <w:rFonts w:eastAsia="SimSun"/>
          <w:lang w:val="en-US" w:eastAsia="en-US"/>
        </w:rPr>
        <w:t xml:space="preserve"> "Measuring the performance of intellectual potential in the knowledge economy", 1998, URL:&lt; </w:t>
      </w:r>
      <w:hyperlink r:id="rId61" w:history="1">
        <w:r w:rsidRPr="001B0F87">
          <w:rPr>
            <w:rStyle w:val="Hyperlink"/>
            <w:rFonts w:eastAsia="SimSun"/>
            <w:color w:val="auto"/>
            <w:lang w:val="en-US" w:eastAsia="en-US"/>
          </w:rPr>
          <w:t>www.measuring-ip.at</w:t>
        </w:r>
      </w:hyperlink>
      <w:r w:rsidRPr="001B0F87">
        <w:rPr>
          <w:rFonts w:eastAsia="SimSun"/>
          <w:lang w:val="en-US" w:eastAsia="en-US"/>
        </w:rPr>
        <w:t>&gt;.</w:t>
      </w:r>
    </w:p>
    <w:p w:rsidR="001B0F87" w:rsidRPr="001B0F87" w:rsidRDefault="001B0F87" w:rsidP="001B0F87">
      <w:pPr>
        <w:numPr>
          <w:ilvl w:val="0"/>
          <w:numId w:val="7"/>
        </w:numPr>
        <w:spacing w:line="360" w:lineRule="auto"/>
        <w:ind w:left="0" w:firstLine="0"/>
        <w:jc w:val="both"/>
        <w:rPr>
          <w:lang w:val="en-US"/>
        </w:rPr>
      </w:pPr>
      <w:r w:rsidRPr="001B0F87">
        <w:rPr>
          <w:rFonts w:eastAsia="SimSun"/>
          <w:b/>
          <w:lang w:val="en-US" w:eastAsia="en-US"/>
        </w:rPr>
        <w:t>Pulic, A.</w:t>
      </w:r>
      <w:r w:rsidRPr="001B0F87">
        <w:rPr>
          <w:rFonts w:eastAsia="SimSun"/>
          <w:lang w:val="en-US" w:eastAsia="en-US"/>
        </w:rPr>
        <w:t xml:space="preserve"> "VAIC™ – an accounting tool for IC management", 2000, URL: &lt;</w:t>
      </w:r>
      <w:hyperlink r:id="rId62" w:history="1">
        <w:r w:rsidRPr="001B0F87">
          <w:rPr>
            <w:rStyle w:val="Hyperlink"/>
            <w:rFonts w:eastAsia="SimSun"/>
            <w:color w:val="auto"/>
            <w:lang w:val="en-US" w:eastAsia="en-US"/>
          </w:rPr>
          <w:t>www.measuring-ip.at/Papers/ham99txt.htm</w:t>
        </w:r>
      </w:hyperlink>
      <w:r w:rsidRPr="001B0F87">
        <w:rPr>
          <w:rFonts w:eastAsia="SimSun"/>
          <w:lang w:val="en-US" w:eastAsia="en-US"/>
        </w:rPr>
        <w:t xml:space="preserve"> &gt;</w:t>
      </w:r>
    </w:p>
    <w:p w:rsidR="001B0F87" w:rsidRPr="001B0F87" w:rsidRDefault="001B0F87" w:rsidP="001B0F87">
      <w:pPr>
        <w:numPr>
          <w:ilvl w:val="0"/>
          <w:numId w:val="7"/>
        </w:numPr>
        <w:spacing w:line="360" w:lineRule="auto"/>
        <w:ind w:left="0" w:firstLine="0"/>
        <w:jc w:val="both"/>
        <w:rPr>
          <w:lang w:val="en-US"/>
        </w:rPr>
      </w:pPr>
      <w:r w:rsidRPr="001B0F87">
        <w:rPr>
          <w:rFonts w:eastAsia="SimSun"/>
          <w:b/>
          <w:lang w:val="en-US" w:eastAsia="en-US"/>
        </w:rPr>
        <w:t>Pulic, A.</w:t>
      </w:r>
      <w:r w:rsidRPr="001B0F87">
        <w:rPr>
          <w:rFonts w:eastAsia="SimSun"/>
          <w:lang w:val="en-US" w:eastAsia="en-US"/>
        </w:rPr>
        <w:t xml:space="preserve"> "Are we creating or destroying value?". 2002. URL:&lt;: </w:t>
      </w:r>
      <w:hyperlink r:id="rId63" w:history="1">
        <w:r w:rsidRPr="001B0F87">
          <w:rPr>
            <w:rStyle w:val="Hyperlink"/>
            <w:rFonts w:eastAsia="SimSun"/>
            <w:color w:val="auto"/>
            <w:lang w:val="en-US" w:eastAsia="en-US"/>
          </w:rPr>
          <w:t>www.vaic-on.net</w:t>
        </w:r>
      </w:hyperlink>
      <w:r w:rsidRPr="001B0F87">
        <w:rPr>
          <w:rFonts w:eastAsia="SimSun"/>
          <w:lang w:val="en-US" w:eastAsia="en-US"/>
        </w:rPr>
        <w:t>&gt;.</w:t>
      </w:r>
    </w:p>
    <w:p w:rsidR="001B0F87" w:rsidRPr="001B0F87" w:rsidRDefault="001B0F87" w:rsidP="001B0F87">
      <w:pPr>
        <w:numPr>
          <w:ilvl w:val="0"/>
          <w:numId w:val="7"/>
        </w:numPr>
        <w:spacing w:line="360" w:lineRule="auto"/>
        <w:ind w:left="0" w:firstLine="0"/>
        <w:jc w:val="both"/>
        <w:rPr>
          <w:lang w:val="en-US"/>
        </w:rPr>
      </w:pPr>
      <w:r w:rsidRPr="001B0F87">
        <w:rPr>
          <w:rFonts w:eastAsia="SimSun"/>
          <w:b/>
          <w:lang w:val="en-US" w:eastAsia="en-US"/>
        </w:rPr>
        <w:t>Pulic A.</w:t>
      </w:r>
      <w:r w:rsidRPr="001B0F87">
        <w:rPr>
          <w:rFonts w:eastAsia="SimSun"/>
          <w:lang w:val="en-US" w:eastAsia="en-US"/>
        </w:rPr>
        <w:t xml:space="preserve"> “Intellectual capital – does it creat or destroy value?”. Measuring Business Excellence, 2004, Vol. 8, No. 1. </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eastAsia="SimSun" w:hAnsi="Times New Roman"/>
          <w:b/>
          <w:lang w:val="en-US"/>
        </w:rPr>
        <w:t>Pulic A.B., Bornemann M.</w:t>
      </w:r>
      <w:r w:rsidRPr="001B0F87">
        <w:rPr>
          <w:rFonts w:ascii="Times New Roman" w:eastAsia="SimSun" w:hAnsi="Times New Roman"/>
          <w:lang w:val="en-US"/>
        </w:rPr>
        <w:t xml:space="preserve"> ”The physical and intellectual capital of Austrian banks”, 2001, URL: &lt; www.measuring-ip.at&gt;. </w:t>
      </w:r>
    </w:p>
    <w:p w:rsidR="001B0F87" w:rsidRPr="001B0F87" w:rsidRDefault="001B0F87" w:rsidP="001B0F87">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lang w:val="en-US"/>
        </w:rPr>
      </w:pPr>
      <w:r w:rsidRPr="001B0F87">
        <w:rPr>
          <w:b/>
          <w:lang w:val="en-US"/>
        </w:rPr>
        <w:t>Riahi-Belkaoui, A.</w:t>
      </w:r>
      <w:r w:rsidRPr="001B0F87">
        <w:rPr>
          <w:lang w:val="en-US"/>
        </w:rPr>
        <w:t xml:space="preserve"> “Intellectual capital and firm performance of US multinational firms”, Journal of Intellectual Capital, 2003, Vol. 4 No. 2, pp. 215-26. </w:t>
      </w:r>
      <w:r w:rsidRPr="001B0F87">
        <w:t>ISSN 1469-1930</w:t>
      </w:r>
      <w:r w:rsidRPr="001B0F87">
        <w:rPr>
          <w:lang w:val="en-US"/>
        </w:rPr>
        <w:t>.</w:t>
      </w:r>
    </w:p>
    <w:p w:rsidR="001B0F87" w:rsidRPr="00220D18" w:rsidRDefault="001B0F87" w:rsidP="001B0F87">
      <w:pPr>
        <w:numPr>
          <w:ilvl w:val="0"/>
          <w:numId w:val="7"/>
        </w:numPr>
        <w:spacing w:line="360" w:lineRule="auto"/>
        <w:ind w:left="0" w:firstLine="0"/>
        <w:jc w:val="both"/>
        <w:rPr>
          <w:lang w:val="en-US"/>
        </w:rPr>
      </w:pPr>
      <w:r w:rsidRPr="001B0F87">
        <w:rPr>
          <w:rFonts w:eastAsia="SimSun"/>
          <w:b/>
          <w:lang w:val="en-US"/>
        </w:rPr>
        <w:t>Rimmel G. et al.</w:t>
      </w:r>
      <w:r w:rsidRPr="001B0F87">
        <w:rPr>
          <w:rFonts w:eastAsia="SimSun"/>
          <w:lang w:val="en-US"/>
        </w:rPr>
        <w:t xml:space="preserve"> “Human resources disclosure in Danish intellectual capital statements Enhancing comparability of business models a decade ago”. Journal of Human Resource Costing &amp; Accounting. 2013, Vol. 16 No. 2, 2012 pp. 112-141. </w:t>
      </w:r>
    </w:p>
    <w:p w:rsidR="00220D18" w:rsidRPr="00220D18" w:rsidRDefault="00220D18" w:rsidP="001B0F87">
      <w:pPr>
        <w:numPr>
          <w:ilvl w:val="0"/>
          <w:numId w:val="7"/>
        </w:numPr>
        <w:spacing w:line="360" w:lineRule="auto"/>
        <w:ind w:left="0" w:firstLine="0"/>
        <w:jc w:val="both"/>
        <w:rPr>
          <w:lang w:val="en-US"/>
        </w:rPr>
      </w:pPr>
      <w:r w:rsidRPr="00220D18">
        <w:rPr>
          <w:rFonts w:eastAsia="SimSun"/>
          <w:b/>
          <w:lang w:val="en-US" w:eastAsia="en-US"/>
        </w:rPr>
        <w:t>Robson A. et al.</w:t>
      </w:r>
      <w:r w:rsidRPr="00220D18">
        <w:rPr>
          <w:rFonts w:eastAsia="SimSun"/>
          <w:lang w:val="en-US" w:eastAsia="en-US"/>
        </w:rPr>
        <w:t xml:space="preserve"> "Achieving service excellence – measuring the impact of leadership and senior management commitment", Managing Service Quality, 2000, Vol. 10 Iss: 5, pp.307 – 317. SSN: 0960-4529.</w:t>
      </w:r>
    </w:p>
    <w:p w:rsidR="001B0F87" w:rsidRPr="001B0F87" w:rsidRDefault="001B0F87" w:rsidP="001B0F87">
      <w:pPr>
        <w:numPr>
          <w:ilvl w:val="0"/>
          <w:numId w:val="7"/>
        </w:numPr>
        <w:spacing w:line="360" w:lineRule="auto"/>
        <w:ind w:left="0" w:firstLine="0"/>
        <w:jc w:val="both"/>
        <w:rPr>
          <w:lang w:val="en-US"/>
        </w:rPr>
      </w:pPr>
      <w:r w:rsidRPr="001B0F87">
        <w:rPr>
          <w:b/>
          <w:lang w:val="en-US"/>
        </w:rPr>
        <w:t>Roos J. et al.</w:t>
      </w:r>
      <w:r w:rsidRPr="001B0F87">
        <w:rPr>
          <w:lang w:val="en-US"/>
        </w:rPr>
        <w:t xml:space="preserve"> “Intellectual Navigating the New Business Landscape”, Macmillan Press (1997).</w:t>
      </w:r>
    </w:p>
    <w:p w:rsidR="001B0F87" w:rsidRPr="001B0F87" w:rsidRDefault="001B0F87" w:rsidP="001B0F87">
      <w:pPr>
        <w:numPr>
          <w:ilvl w:val="0"/>
          <w:numId w:val="7"/>
        </w:numPr>
        <w:spacing w:line="360" w:lineRule="auto"/>
        <w:ind w:left="0" w:firstLine="0"/>
        <w:jc w:val="both"/>
        <w:rPr>
          <w:lang w:val="en-US"/>
        </w:rPr>
      </w:pPr>
      <w:r w:rsidRPr="001B0F87">
        <w:rPr>
          <w:b/>
          <w:lang w:val="en-US"/>
        </w:rPr>
        <w:t>Roos G., Roos J.,</w:t>
      </w:r>
      <w:r w:rsidRPr="001B0F87">
        <w:rPr>
          <w:lang w:val="en-US"/>
        </w:rPr>
        <w:t xml:space="preserve"> “Measuring Your Company’s Intellectual Performance,” Long Range Planning, 1997 June, Vol. 30, 3, pp. 413-426.</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eastAsia="SimSun" w:hAnsi="Times New Roman"/>
          <w:b/>
          <w:bCs/>
          <w:lang w:val="en-US"/>
        </w:rPr>
        <w:t>Rudytė D., Bužinskienė R.</w:t>
      </w:r>
      <w:r w:rsidRPr="001B0F87">
        <w:rPr>
          <w:rFonts w:ascii="Times New Roman" w:eastAsia="SimSun" w:hAnsi="Times New Roman"/>
          <w:bCs/>
          <w:lang w:val="en-US"/>
        </w:rPr>
        <w:t xml:space="preserve"> “Nematerialiųjų išteklių vertinimo metodai organizacijos išteklių apskaitoje”. </w:t>
      </w:r>
      <w:r w:rsidRPr="001B0F87">
        <w:rPr>
          <w:rFonts w:ascii="Times New Roman" w:eastAsia="SimSun" w:hAnsi="Times New Roman"/>
          <w:iCs/>
          <w:lang w:val="en-US"/>
        </w:rPr>
        <w:t xml:space="preserve">Ekonomika ir vadyba: aktualijos ir perspektyvos, </w:t>
      </w:r>
      <w:r w:rsidRPr="001B0F87">
        <w:rPr>
          <w:rFonts w:ascii="Times New Roman" w:eastAsia="SimSun" w:hAnsi="Times New Roman"/>
          <w:iCs/>
        </w:rPr>
        <w:t>Šiaulių universitetas</w:t>
      </w:r>
      <w:r w:rsidRPr="001B0F87">
        <w:rPr>
          <w:rFonts w:ascii="Times New Roman" w:eastAsia="SimSun" w:hAnsi="Times New Roman"/>
          <w:iCs/>
          <w:lang w:val="en-US"/>
        </w:rPr>
        <w:t>. 2012. 2 (26). 104–111. ISSN 1648-9098.</w:t>
      </w:r>
    </w:p>
    <w:p w:rsid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hAnsi="Times New Roman"/>
          <w:b/>
          <w:lang w:val="en-US"/>
        </w:rPr>
        <w:t>Schneider U.</w:t>
      </w:r>
      <w:r w:rsidRPr="001B0F87">
        <w:rPr>
          <w:rFonts w:ascii="Times New Roman" w:hAnsi="Times New Roman"/>
          <w:lang w:val="en-US"/>
        </w:rPr>
        <w:t xml:space="preserve"> "The Austrian approach to the measurement </w:t>
      </w:r>
      <w:r w:rsidR="00C76C8F">
        <w:rPr>
          <w:rFonts w:ascii="Times New Roman" w:hAnsi="Times New Roman"/>
          <w:lang w:val="en-US"/>
        </w:rPr>
        <w:t>of intellectual potential", 1999</w:t>
      </w:r>
      <w:r w:rsidRPr="001B0F87">
        <w:rPr>
          <w:rFonts w:ascii="Times New Roman" w:hAnsi="Times New Roman"/>
          <w:lang w:val="en-US"/>
        </w:rPr>
        <w:t>.</w:t>
      </w:r>
    </w:p>
    <w:p w:rsidR="00220D18" w:rsidRPr="00220D18" w:rsidRDefault="00220D18"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220D18">
        <w:rPr>
          <w:rFonts w:ascii="Times New Roman" w:eastAsia="SimSun" w:hAnsi="Times New Roman"/>
          <w:b/>
          <w:lang w:val="en-US"/>
        </w:rPr>
        <w:t>Shih H-A., Susanto E.</w:t>
      </w:r>
      <w:r w:rsidRPr="00220D18">
        <w:rPr>
          <w:rFonts w:ascii="Times New Roman" w:eastAsia="SimSun" w:hAnsi="Times New Roman"/>
          <w:lang w:val="en-US"/>
        </w:rPr>
        <w:t xml:space="preserve"> "Is innovative behavior really good for the firm?: Innovative work behavior, conflict with coworkers and turnover intention: moderating roles of perceived distributive fairness", International Journal of Conflict Management, 2011, Vol. 22 Iss: 2, pp.111 - 130 ISSN: 1044-4068.</w:t>
      </w:r>
    </w:p>
    <w:p w:rsidR="001B0F87" w:rsidRPr="001B0F87" w:rsidRDefault="001B0F87" w:rsidP="001B0F87">
      <w:pPr>
        <w:pStyle w:val="ListParagraph"/>
        <w:numPr>
          <w:ilvl w:val="0"/>
          <w:numId w:val="7"/>
        </w:numPr>
        <w:autoSpaceDE w:val="0"/>
        <w:autoSpaceDN w:val="0"/>
        <w:adjustRightInd w:val="0"/>
        <w:spacing w:line="360" w:lineRule="auto"/>
        <w:ind w:left="0" w:firstLine="0"/>
        <w:jc w:val="both"/>
        <w:rPr>
          <w:rFonts w:ascii="Times New Roman" w:eastAsia="TimesNewRoman" w:hAnsi="Times New Roman"/>
          <w:lang w:val="en-US"/>
        </w:rPr>
      </w:pPr>
      <w:r w:rsidRPr="001B0F87">
        <w:rPr>
          <w:rFonts w:ascii="Times New Roman" w:hAnsi="Times New Roman"/>
          <w:b/>
        </w:rPr>
        <w:t>Seetharaman et al.</w:t>
      </w:r>
      <w:r w:rsidRPr="001B0F87">
        <w:rPr>
          <w:rFonts w:ascii="Times New Roman" w:hAnsi="Times New Roman"/>
        </w:rPr>
        <w:t xml:space="preserve"> „Intellectual capital accounting and reporting in the knowledge economy“, Journal of Intellectual Capital, 2002, ISSN: 1469-1930</w:t>
      </w:r>
      <w:r w:rsidR="00927FFA">
        <w:rPr>
          <w:rFonts w:ascii="Times New Roman" w:hAnsi="Times New Roman"/>
        </w:rPr>
        <w:t>.</w:t>
      </w:r>
    </w:p>
    <w:p w:rsidR="001B0F87" w:rsidRPr="00775A4C" w:rsidRDefault="001B0F87" w:rsidP="001B0F87">
      <w:pPr>
        <w:numPr>
          <w:ilvl w:val="0"/>
          <w:numId w:val="7"/>
        </w:numPr>
        <w:spacing w:line="360" w:lineRule="auto"/>
        <w:ind w:left="0" w:firstLine="0"/>
        <w:jc w:val="both"/>
        <w:rPr>
          <w:lang w:val="en-US"/>
        </w:rPr>
      </w:pPr>
      <w:r w:rsidRPr="001B0F87">
        <w:rPr>
          <w:rFonts w:eastAsia="SimSun"/>
          <w:b/>
          <w:lang w:val="en-US" w:eastAsia="en-US"/>
        </w:rPr>
        <w:t>Skandia (1994),</w:t>
      </w:r>
      <w:r w:rsidRPr="001B0F87">
        <w:rPr>
          <w:rFonts w:eastAsia="SimSun"/>
          <w:lang w:val="en-US" w:eastAsia="en-US"/>
        </w:rPr>
        <w:t xml:space="preserve"> Visualising Intellectual Capital at Skandia: Supplement to Skandia's 1994 Annual Report, Skandia Insurance Company, Stockholm.</w:t>
      </w:r>
    </w:p>
    <w:p w:rsidR="00775A4C" w:rsidRPr="00775A4C" w:rsidRDefault="00775A4C" w:rsidP="001B0F87">
      <w:pPr>
        <w:numPr>
          <w:ilvl w:val="0"/>
          <w:numId w:val="7"/>
        </w:numPr>
        <w:spacing w:line="360" w:lineRule="auto"/>
        <w:ind w:left="0" w:firstLine="0"/>
        <w:jc w:val="both"/>
        <w:rPr>
          <w:lang w:val="en-US"/>
        </w:rPr>
      </w:pPr>
      <w:r w:rsidRPr="00775A4C">
        <w:rPr>
          <w:rFonts w:eastAsia="SimSun"/>
          <w:b/>
          <w:lang w:val="en-US" w:eastAsia="en-US"/>
        </w:rPr>
        <w:t>Spender J.-C., Grant R.M.</w:t>
      </w:r>
      <w:r w:rsidRPr="00775A4C">
        <w:rPr>
          <w:rFonts w:eastAsia="SimSun"/>
          <w:lang w:val="en-US" w:eastAsia="en-US"/>
        </w:rPr>
        <w:t xml:space="preserve"> "Knowledge and the firm: overview", Strategic Management Journal, 1996, Vol. 17 No.Winter, pp.5-9. </w:t>
      </w:r>
    </w:p>
    <w:p w:rsidR="001B0F87" w:rsidRPr="001B0F87" w:rsidRDefault="001B0F87" w:rsidP="001B0F87">
      <w:pPr>
        <w:numPr>
          <w:ilvl w:val="0"/>
          <w:numId w:val="7"/>
        </w:numPr>
        <w:spacing w:line="360" w:lineRule="auto"/>
        <w:ind w:left="0" w:firstLine="0"/>
        <w:jc w:val="both"/>
        <w:rPr>
          <w:lang w:val="en-US"/>
        </w:rPr>
      </w:pPr>
      <w:r w:rsidRPr="001B0F87">
        <w:rPr>
          <w:b/>
          <w:lang w:val="en-US"/>
        </w:rPr>
        <w:t>Stankevičienė A., Liucvaitienė A</w:t>
      </w:r>
      <w:r w:rsidRPr="001B0F87">
        <w:rPr>
          <w:lang w:val="en-US"/>
        </w:rPr>
        <w:t>. “</w:t>
      </w:r>
      <w:r w:rsidRPr="001B0F87">
        <w:t>Intelektinio Kapitalo Vertinimo Aspektai” 2012.</w:t>
      </w:r>
    </w:p>
    <w:p w:rsidR="001B0F87" w:rsidRPr="001B0F87" w:rsidRDefault="001B0F87" w:rsidP="001B0F87">
      <w:pPr>
        <w:pStyle w:val="ListParagraph"/>
        <w:numPr>
          <w:ilvl w:val="0"/>
          <w:numId w:val="7"/>
        </w:numPr>
        <w:spacing w:line="360" w:lineRule="auto"/>
        <w:ind w:left="0" w:firstLine="0"/>
        <w:jc w:val="both"/>
        <w:rPr>
          <w:rFonts w:ascii="Times New Roman" w:hAnsi="Times New Roman"/>
          <w:lang w:val="en-US"/>
        </w:rPr>
      </w:pPr>
      <w:r w:rsidRPr="001B0F87">
        <w:rPr>
          <w:rFonts w:ascii="Times New Roman" w:hAnsi="Times New Roman"/>
          <w:b/>
          <w:lang w:val="en-US"/>
        </w:rPr>
        <w:t>Stewart, T.</w:t>
      </w:r>
      <w:r w:rsidRPr="001B0F87">
        <w:rPr>
          <w:rFonts w:ascii="Times New Roman" w:hAnsi="Times New Roman"/>
          <w:lang w:val="en-US"/>
        </w:rPr>
        <w:t xml:space="preserve"> Intellectual capital: the new wealth of organizations. // New York, NY: Doubleday. 1997, 67 p. </w:t>
      </w:r>
    </w:p>
    <w:p w:rsidR="001B0F87" w:rsidRPr="001B0F87" w:rsidRDefault="001B0F87" w:rsidP="001B0F87">
      <w:pPr>
        <w:numPr>
          <w:ilvl w:val="0"/>
          <w:numId w:val="7"/>
        </w:numPr>
        <w:spacing w:line="360" w:lineRule="auto"/>
        <w:ind w:left="0" w:firstLine="0"/>
        <w:jc w:val="both"/>
        <w:rPr>
          <w:lang w:val="en-US"/>
        </w:rPr>
      </w:pPr>
      <w:r w:rsidRPr="001B0F87">
        <w:rPr>
          <w:b/>
          <w:lang w:val="en-US"/>
        </w:rPr>
        <w:t>Sveiby K. E.,</w:t>
      </w:r>
      <w:r w:rsidRPr="001B0F87">
        <w:rPr>
          <w:lang w:val="en-US"/>
        </w:rPr>
        <w:t xml:space="preserve"> “The Intangible Asset Monitor,” Journal of Human Resource Costing and Accounting, 1997, Vol. 2, 1, pp. 73-97.</w:t>
      </w:r>
    </w:p>
    <w:p w:rsidR="001B0F87" w:rsidRPr="001B0F87" w:rsidRDefault="001B0F87" w:rsidP="001B0F87">
      <w:pPr>
        <w:numPr>
          <w:ilvl w:val="0"/>
          <w:numId w:val="7"/>
        </w:numPr>
        <w:spacing w:line="360" w:lineRule="auto"/>
        <w:ind w:left="0" w:firstLine="0"/>
        <w:jc w:val="both"/>
        <w:rPr>
          <w:lang w:val="en-US"/>
        </w:rPr>
      </w:pPr>
      <w:r w:rsidRPr="001B0F87">
        <w:rPr>
          <w:b/>
          <w:lang w:val="en-US"/>
        </w:rPr>
        <w:t>Sveiby K.E.</w:t>
      </w:r>
      <w:r w:rsidRPr="001B0F87">
        <w:rPr>
          <w:lang w:val="en-US"/>
        </w:rPr>
        <w:t xml:space="preserve"> “The New Organizational Wealth: Managing and Measuring Knowledge-based Assets”, Berrett-Koehler, San Francisco, CA, 1997.</w:t>
      </w:r>
    </w:p>
    <w:p w:rsidR="001B0F87" w:rsidRPr="001B0F87" w:rsidRDefault="001B0F87" w:rsidP="001B0F87">
      <w:pPr>
        <w:numPr>
          <w:ilvl w:val="0"/>
          <w:numId w:val="7"/>
        </w:numPr>
        <w:spacing w:line="360" w:lineRule="auto"/>
        <w:ind w:left="0" w:firstLine="0"/>
        <w:jc w:val="both"/>
        <w:rPr>
          <w:lang w:val="en-US"/>
        </w:rPr>
      </w:pPr>
      <w:r w:rsidRPr="001B0F87">
        <w:rPr>
          <w:rFonts w:eastAsia="SimSun"/>
          <w:b/>
          <w:lang w:val="en-US" w:eastAsia="en-US"/>
        </w:rPr>
        <w:t>Sveiby, K.-E.</w:t>
      </w:r>
      <w:r w:rsidRPr="001B0F87">
        <w:rPr>
          <w:rFonts w:eastAsia="SimSun"/>
          <w:lang w:val="en-US" w:eastAsia="en-US"/>
        </w:rPr>
        <w:t xml:space="preserve"> “The Invisible Balance Sheet”, Ledarskap, Stockholm, 1989. </w:t>
      </w:r>
    </w:p>
    <w:p w:rsidR="001B0F87" w:rsidRPr="001B0F87" w:rsidRDefault="001B0F87" w:rsidP="001B0F87">
      <w:pPr>
        <w:numPr>
          <w:ilvl w:val="0"/>
          <w:numId w:val="7"/>
        </w:numPr>
        <w:spacing w:line="360" w:lineRule="auto"/>
        <w:ind w:left="0" w:firstLine="0"/>
        <w:jc w:val="both"/>
        <w:rPr>
          <w:lang w:val="en-US"/>
        </w:rPr>
      </w:pPr>
      <w:r w:rsidRPr="001B0F87">
        <w:rPr>
          <w:rFonts w:eastAsia="SimSun"/>
          <w:b/>
          <w:lang w:val="en-US" w:eastAsia="en-US"/>
        </w:rPr>
        <w:t>Sveiby K-E.</w:t>
      </w:r>
      <w:r w:rsidRPr="001B0F87">
        <w:rPr>
          <w:rFonts w:eastAsia="SimSun"/>
          <w:lang w:val="en-US" w:eastAsia="en-US"/>
        </w:rPr>
        <w:t xml:space="preserve"> "A knowledge-based theory of the firm to guide in strategy formulation", Journal of Intellectual Capital, 2001, Vol. 2 Iss: 4, pp.344 – 358.</w:t>
      </w:r>
      <w:r w:rsidR="00927FFA">
        <w:rPr>
          <w:rFonts w:eastAsia="SimSun"/>
          <w:lang w:val="en-US" w:eastAsia="en-US"/>
        </w:rPr>
        <w:t xml:space="preserve"> </w:t>
      </w:r>
      <w:r w:rsidR="00927FFA" w:rsidRPr="001B0F87">
        <w:t>ISSN 1469-1930</w:t>
      </w:r>
      <w:r w:rsidR="00927FFA" w:rsidRPr="00452B27">
        <w:rPr>
          <w:lang w:val="en-US"/>
        </w:rPr>
        <w:t>.</w:t>
      </w:r>
    </w:p>
    <w:p w:rsidR="001B0F87" w:rsidRPr="001B0F87" w:rsidRDefault="008037E7" w:rsidP="001B0F87">
      <w:pPr>
        <w:numPr>
          <w:ilvl w:val="0"/>
          <w:numId w:val="7"/>
        </w:numPr>
        <w:spacing w:line="360" w:lineRule="auto"/>
        <w:ind w:left="0" w:firstLine="0"/>
        <w:jc w:val="both"/>
        <w:rPr>
          <w:lang w:val="en-US"/>
        </w:rPr>
      </w:pPr>
      <w:r w:rsidRPr="001B0F87">
        <w:rPr>
          <w:rFonts w:eastAsia="SimSun"/>
          <w:b/>
          <w:lang w:val="en-US" w:eastAsia="en-US"/>
        </w:rPr>
        <w:t>Sveiby K.-E.</w:t>
      </w:r>
      <w:r w:rsidRPr="001B0F87">
        <w:rPr>
          <w:rFonts w:eastAsia="SimSun"/>
          <w:lang w:val="en-US" w:eastAsia="en-US"/>
        </w:rPr>
        <w:t xml:space="preserve"> “Intellectual capital and knowledge management”. 2000.</w:t>
      </w:r>
    </w:p>
    <w:p w:rsidR="008037E7" w:rsidRPr="001B0F87" w:rsidRDefault="008037E7" w:rsidP="001B0F87">
      <w:pPr>
        <w:numPr>
          <w:ilvl w:val="0"/>
          <w:numId w:val="7"/>
        </w:numPr>
        <w:spacing w:line="360" w:lineRule="auto"/>
        <w:ind w:left="0" w:firstLine="0"/>
        <w:jc w:val="both"/>
        <w:rPr>
          <w:lang w:val="en-US"/>
        </w:rPr>
      </w:pPr>
      <w:r w:rsidRPr="001B0F87">
        <w:rPr>
          <w:rFonts w:eastAsia="SimSun"/>
          <w:b/>
          <w:lang w:val="en-US" w:eastAsia="en-US"/>
        </w:rPr>
        <w:t>Sveiby K.-E.</w:t>
      </w:r>
      <w:r w:rsidRPr="001B0F87">
        <w:rPr>
          <w:rFonts w:eastAsia="SimSun"/>
          <w:lang w:val="en-US" w:eastAsia="en-US"/>
        </w:rPr>
        <w:t xml:space="preserve"> “Methods for measuring intangible assets” 2001.</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hAnsi="Times New Roman"/>
          <w:b/>
          <w:lang w:val="en-US"/>
        </w:rPr>
        <w:t>Sullivan P. H. Jr, Sullivan P. H. Sr.</w:t>
      </w:r>
      <w:r w:rsidRPr="001B0F87">
        <w:rPr>
          <w:rFonts w:ascii="Times New Roman" w:hAnsi="Times New Roman"/>
          <w:lang w:val="en-US"/>
        </w:rPr>
        <w:t xml:space="preserve"> "Valuing intangibles companies – An intellectual capital approach", Journal of Intellectual Capital, 2000, Vol. 1 Iss: 4, pp.328 – 340. </w:t>
      </w:r>
      <w:r w:rsidRPr="001B0F87">
        <w:rPr>
          <w:rFonts w:ascii="Times New Roman" w:hAnsi="Times New Roman"/>
        </w:rPr>
        <w:t>ISSN 1469-1930</w:t>
      </w:r>
      <w:r w:rsidRPr="001B0F87">
        <w:rPr>
          <w:rFonts w:ascii="Times New Roman" w:hAnsi="Times New Roman"/>
          <w:lang w:val="en-US"/>
        </w:rPr>
        <w:t>.</w:t>
      </w:r>
    </w:p>
    <w:p w:rsidR="001B0F87" w:rsidRPr="001B0F87" w:rsidRDefault="001B0F87" w:rsidP="001B0F87">
      <w:pPr>
        <w:numPr>
          <w:ilvl w:val="0"/>
          <w:numId w:val="7"/>
        </w:numPr>
        <w:spacing w:line="360" w:lineRule="auto"/>
        <w:ind w:left="0" w:firstLine="0"/>
        <w:jc w:val="both"/>
        <w:rPr>
          <w:lang w:val="en-US"/>
        </w:rPr>
      </w:pPr>
      <w:r w:rsidRPr="001B0F87">
        <w:rPr>
          <w:b/>
          <w:lang w:val="en-US"/>
        </w:rPr>
        <w:t>Sussan F.</w:t>
      </w:r>
      <w:r w:rsidRPr="001B0F87">
        <w:rPr>
          <w:lang w:val="en-US"/>
        </w:rPr>
        <w:t xml:space="preserve"> “</w:t>
      </w:r>
      <w:r w:rsidRPr="001B0F87">
        <w:rPr>
          <w:rFonts w:eastAsia="SimSun"/>
          <w:lang w:val="en-US"/>
        </w:rPr>
        <w:t>Consumer interaction as intellectual capital”. Journal of Intellectual Capital</w:t>
      </w:r>
      <w:r w:rsidR="00927FFA">
        <w:rPr>
          <w:rFonts w:eastAsia="SimSun"/>
          <w:lang w:val="en-US"/>
        </w:rPr>
        <w:t xml:space="preserve">, 2012 Vol. 13 No. 1, </w:t>
      </w:r>
      <w:r w:rsidRPr="001B0F87">
        <w:rPr>
          <w:rFonts w:eastAsia="SimSun"/>
          <w:lang w:val="en-US"/>
        </w:rPr>
        <w:t>pp. 81-105</w:t>
      </w:r>
      <w:r w:rsidR="00927FFA">
        <w:rPr>
          <w:b/>
          <w:lang w:val="en-US"/>
        </w:rPr>
        <w:t xml:space="preserve">. </w:t>
      </w:r>
      <w:r w:rsidR="00927FFA" w:rsidRPr="001B0F87">
        <w:t>ISSN 1469-1930</w:t>
      </w:r>
      <w:r w:rsidR="00927FFA" w:rsidRPr="00452B27">
        <w:rPr>
          <w:lang w:val="en-US"/>
        </w:rPr>
        <w:t>.</w:t>
      </w:r>
    </w:p>
    <w:p w:rsidR="00775A4C" w:rsidRPr="00775A4C" w:rsidRDefault="008037E7" w:rsidP="00775A4C">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hAnsi="Times New Roman"/>
          <w:b/>
          <w:lang w:val="en-US"/>
        </w:rPr>
        <w:t xml:space="preserve">Tamošiūnaitė R. ir kt. </w:t>
      </w:r>
      <w:r w:rsidRPr="001B0F87">
        <w:rPr>
          <w:rFonts w:ascii="Times New Roman" w:hAnsi="Times New Roman"/>
          <w:lang w:val="en-US"/>
        </w:rPr>
        <w:t xml:space="preserve">“Intelektinio kpaitalo koncepcija”. Akademinė vadybos ir administravimo asociacija, Mykolo Riomerio universitetas, 2012. - </w:t>
      </w:r>
      <w:r w:rsidRPr="001B0F87">
        <w:rPr>
          <w:rFonts w:ascii="Times New Roman" w:eastAsia="SimSun" w:hAnsi="Times New Roman"/>
          <w:lang w:val="en-US"/>
        </w:rPr>
        <w:t>ISBN 978-609-95468-0-3.</w:t>
      </w:r>
    </w:p>
    <w:p w:rsidR="00775A4C" w:rsidRPr="00775A4C" w:rsidRDefault="00775A4C" w:rsidP="00775A4C">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775A4C">
        <w:rPr>
          <w:rFonts w:ascii="Times New Roman" w:eastAsia="SimSun" w:hAnsi="Times New Roman"/>
          <w:b/>
          <w:lang w:val="en-US"/>
        </w:rPr>
        <w:t>Teece D. J.</w:t>
      </w:r>
      <w:r w:rsidRPr="00775A4C">
        <w:rPr>
          <w:rFonts w:ascii="Times New Roman" w:eastAsia="SimSun" w:hAnsi="Times New Roman"/>
          <w:lang w:val="en-US"/>
        </w:rPr>
        <w:t xml:space="preserve"> "Capturing value from knowledge assets: the new economy, markets for know-how, and intangible assets", California Management Review, 1998, Vol. 40 pp.55-79. </w:t>
      </w:r>
    </w:p>
    <w:p w:rsidR="001B0F87" w:rsidRPr="00C76C8F"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hAnsi="Times New Roman"/>
          <w:b/>
          <w:lang w:val="en-US"/>
        </w:rPr>
        <w:t>Teece D. J.</w:t>
      </w:r>
      <w:r w:rsidRPr="001B0F87">
        <w:rPr>
          <w:rFonts w:ascii="Times New Roman" w:hAnsi="Times New Roman"/>
          <w:lang w:val="en-US"/>
        </w:rPr>
        <w:t xml:space="preserve"> “</w:t>
      </w:r>
      <w:hyperlink r:id="rId64" w:history="1">
        <w:r w:rsidRPr="001B0F87">
          <w:rPr>
            <w:rFonts w:ascii="Times New Roman" w:hAnsi="Times New Roman"/>
            <w:bCs/>
            <w:lang w:val="en-US"/>
          </w:rPr>
          <w:t>Managing Intellectual Capital: Organizational, Strategic, and Policy Dimensions</w:t>
        </w:r>
      </w:hyperlink>
      <w:r w:rsidRPr="001B0F87">
        <w:rPr>
          <w:rFonts w:ascii="Times New Roman" w:hAnsi="Times New Roman"/>
          <w:bCs/>
          <w:lang w:val="en-US"/>
        </w:rPr>
        <w:t>”,</w:t>
      </w:r>
      <w:r w:rsidRPr="001B0F87">
        <w:rPr>
          <w:rFonts w:ascii="Times New Roman" w:hAnsi="Times New Roman"/>
          <w:lang w:val="en-US"/>
        </w:rPr>
        <w:t xml:space="preserve"> </w:t>
      </w:r>
      <w:r w:rsidRPr="001B0F87">
        <w:rPr>
          <w:rFonts w:ascii="Times New Roman" w:hAnsi="Times New Roman"/>
          <w:iCs/>
          <w:lang w:val="en-US"/>
        </w:rPr>
        <w:t>Oxford University Press, 2002.</w:t>
      </w:r>
    </w:p>
    <w:p w:rsidR="00C76C8F" w:rsidRPr="001B0F87" w:rsidRDefault="00C76C8F" w:rsidP="00C76C8F">
      <w:pPr>
        <w:numPr>
          <w:ilvl w:val="0"/>
          <w:numId w:val="7"/>
        </w:numPr>
        <w:spacing w:line="360" w:lineRule="auto"/>
        <w:ind w:left="0" w:firstLine="0"/>
        <w:jc w:val="both"/>
        <w:rPr>
          <w:lang w:val="en-US"/>
        </w:rPr>
      </w:pPr>
      <w:r>
        <w:rPr>
          <w:b/>
          <w:bCs/>
        </w:rPr>
        <w:t>Uz</w:t>
      </w:r>
      <w:r w:rsidRPr="001B0F87">
        <w:rPr>
          <w:b/>
          <w:bCs/>
        </w:rPr>
        <w:t>iene, L.</w:t>
      </w:r>
      <w:r w:rsidRPr="001B0F87">
        <w:rPr>
          <w:bCs/>
        </w:rPr>
        <w:t xml:space="preserve"> </w:t>
      </w:r>
      <w:r w:rsidRPr="001B0F87">
        <w:rPr>
          <w:iCs/>
        </w:rPr>
        <w:t xml:space="preserve">Model of Organization’s Intellectual Capital Measurement. </w:t>
      </w:r>
      <w:r w:rsidRPr="001B0F87">
        <w:rPr>
          <w:bCs/>
          <w:iCs/>
        </w:rPr>
        <w:t xml:space="preserve">Inzinerine Ekonomika-Engineering Economics, </w:t>
      </w:r>
      <w:r w:rsidRPr="001B0F87">
        <w:rPr>
          <w:iCs/>
        </w:rPr>
        <w:t>Kaunas University of Technology, Kaunas</w:t>
      </w:r>
      <w:r w:rsidRPr="001B0F87">
        <w:rPr>
          <w:bCs/>
        </w:rPr>
        <w:t xml:space="preserve"> 2010, 21(2), 151-159, </w:t>
      </w:r>
      <w:r w:rsidRPr="001B0F87">
        <w:rPr>
          <w:bCs/>
          <w:iCs/>
        </w:rPr>
        <w:t>ISSN 1392 – 2785.</w:t>
      </w:r>
      <w:r>
        <w:rPr>
          <w:bCs/>
          <w:iCs/>
        </w:rPr>
        <w:t xml:space="preserve"> URL: &lt;</w:t>
      </w:r>
      <w:r w:rsidRPr="001B0F87">
        <w:rPr>
          <w:bCs/>
          <w:iCs/>
        </w:rPr>
        <w:t xml:space="preserve"> </w:t>
      </w:r>
      <w:hyperlink r:id="rId65" w:history="1">
        <w:r w:rsidRPr="001B0F87">
          <w:rPr>
            <w:rStyle w:val="Hyperlink"/>
            <w:bCs/>
            <w:iCs/>
            <w:color w:val="auto"/>
          </w:rPr>
          <w:t>http://www.ktu.lt/lt/mokslas/zurnalai/inzeko/67/1392-2758-2010-22-2-151.pdf</w:t>
        </w:r>
      </w:hyperlink>
      <w:r w:rsidRPr="001B0F87">
        <w:rPr>
          <w:bCs/>
          <w:iCs/>
        </w:rPr>
        <w:t xml:space="preserve"> </w:t>
      </w:r>
      <w:r>
        <w:rPr>
          <w:bCs/>
          <w:iCs/>
        </w:rPr>
        <w:t>&gt;</w:t>
      </w:r>
    </w:p>
    <w:p w:rsidR="00C76C8F" w:rsidRPr="00C76C8F" w:rsidRDefault="00C76C8F" w:rsidP="00C76C8F">
      <w:pPr>
        <w:numPr>
          <w:ilvl w:val="0"/>
          <w:numId w:val="7"/>
        </w:numPr>
        <w:spacing w:line="360" w:lineRule="auto"/>
        <w:ind w:left="0" w:firstLine="0"/>
        <w:jc w:val="both"/>
        <w:rPr>
          <w:lang w:val="en-US"/>
        </w:rPr>
      </w:pPr>
      <w:r>
        <w:rPr>
          <w:rFonts w:eastAsia="SimSun"/>
          <w:b/>
          <w:bCs/>
          <w:lang w:val="en-US"/>
        </w:rPr>
        <w:t>Ū</w:t>
      </w:r>
      <w:r w:rsidRPr="001B0F87">
        <w:rPr>
          <w:rFonts w:eastAsia="SimSun"/>
          <w:b/>
          <w:bCs/>
          <w:lang w:val="en-US"/>
        </w:rPr>
        <w:t>žienė L., Staliūnienė J. D.</w:t>
      </w:r>
      <w:r w:rsidRPr="001B0F87">
        <w:rPr>
          <w:rFonts w:eastAsia="SimSun"/>
          <w:bCs/>
          <w:lang w:val="en-US"/>
        </w:rPr>
        <w:t xml:space="preserve"> “Intelektinio kapitalo auditas: samprata, uždaviniai ir realios galimybės”. Ekonomika ir vadyba: 2009. 14. ISSN 1822-6515.</w:t>
      </w:r>
    </w:p>
    <w:p w:rsidR="001B0F87" w:rsidRPr="001B0F87" w:rsidRDefault="001B0F87" w:rsidP="001B0F87">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1B0F87">
        <w:rPr>
          <w:rFonts w:ascii="Times New Roman" w:hAnsi="Times New Roman"/>
          <w:b/>
        </w:rPr>
        <w:t>Vaškelienė L.</w:t>
      </w:r>
      <w:r w:rsidRPr="001B0F87">
        <w:rPr>
          <w:rFonts w:ascii="Times New Roman" w:hAnsi="Times New Roman"/>
        </w:rPr>
        <w:t>, Development of organizational intellectual capital measurement methodology: problems and solutions. Ekonomika ir vadyba. – Kaunas, Technologija, 2007 Nr.12, p.165-173. ISSN 1822-6515.</w:t>
      </w:r>
    </w:p>
    <w:p w:rsidR="001B0F87" w:rsidRPr="001B0F87" w:rsidRDefault="001B0F87" w:rsidP="001B0F87">
      <w:pPr>
        <w:numPr>
          <w:ilvl w:val="0"/>
          <w:numId w:val="7"/>
        </w:numPr>
        <w:spacing w:line="360" w:lineRule="auto"/>
        <w:ind w:left="0" w:firstLine="0"/>
        <w:jc w:val="both"/>
        <w:rPr>
          <w:lang w:val="en-US"/>
        </w:rPr>
      </w:pPr>
      <w:r w:rsidRPr="001B0F87">
        <w:rPr>
          <w:b/>
          <w:lang w:val="en-US"/>
        </w:rPr>
        <w:t>Venugopal D., Subha M. V.</w:t>
      </w:r>
      <w:r w:rsidRPr="001B0F87">
        <w:rPr>
          <w:lang w:val="en-US"/>
        </w:rPr>
        <w:t xml:space="preserve"> “</w:t>
      </w:r>
      <w:r w:rsidRPr="001B0F87">
        <w:rPr>
          <w:rFonts w:eastAsia="SimSun"/>
          <w:bCs/>
          <w:lang w:val="en-US"/>
        </w:rPr>
        <w:t>Intellectual Capital and Value Creation Efficiency- An Empirical Investigation into the Intellectual Capital and Financial Performance of Indian Software Industry”.</w:t>
      </w:r>
      <w:r w:rsidRPr="001B0F87">
        <w:rPr>
          <w:rFonts w:eastAsia="SimSun"/>
          <w:lang w:val="en-US"/>
        </w:rPr>
        <w:t xml:space="preserve"> European Journal of Social Sciences, 2012,  Vol.33 No.1, pp. 119-132. ISSN 1450-2267.</w:t>
      </w:r>
    </w:p>
    <w:p w:rsidR="001B0F87" w:rsidRPr="001B0F87" w:rsidRDefault="001B0F87" w:rsidP="001B0F87">
      <w:pPr>
        <w:numPr>
          <w:ilvl w:val="0"/>
          <w:numId w:val="7"/>
        </w:numPr>
        <w:spacing w:line="360" w:lineRule="auto"/>
        <w:ind w:left="0" w:firstLine="0"/>
        <w:jc w:val="both"/>
        <w:rPr>
          <w:lang w:val="en-US"/>
        </w:rPr>
      </w:pPr>
      <w:r w:rsidRPr="001B0F87">
        <w:rPr>
          <w:b/>
          <w:lang w:val="en-US"/>
        </w:rPr>
        <w:t>Verslo struktūra ir finansai, šakos rodikliai.</w:t>
      </w:r>
      <w:r w:rsidRPr="001B0F87">
        <w:rPr>
          <w:lang w:val="en-US"/>
        </w:rPr>
        <w:t xml:space="preserve"> Statistikos departamentas. Požymiai: Šakos pelnas pries apmokestinimą, šakos turtas, šakos nematerialusis turtas, šakos ROA. </w:t>
      </w:r>
      <w:hyperlink r:id="rId66" w:history="1">
        <w:r>
          <w:t>&lt;</w:t>
        </w:r>
        <w:r w:rsidRPr="001B0F87">
          <w:rPr>
            <w:rStyle w:val="Hyperlink"/>
            <w:color w:val="auto"/>
            <w:lang w:val="en-US"/>
          </w:rPr>
          <w:t>http://osp.stat.gov.lt</w:t>
        </w:r>
        <w:r w:rsidR="00242BC6">
          <w:rPr>
            <w:rStyle w:val="Hyperlink"/>
            <w:color w:val="auto"/>
            <w:lang w:val="en-US"/>
          </w:rPr>
          <w:t>/web/guest/statistiniurodikliu</w:t>
        </w:r>
        <w:r w:rsidRPr="001B0F87">
          <w:rPr>
            <w:rStyle w:val="Hyperlink"/>
            <w:color w:val="auto"/>
            <w:lang w:val="en-US"/>
          </w:rPr>
          <w:t>analize?portletFormName=visualization&amp;hash=f0a518ad-7402-4f43-884e-44c55b273455</w:t>
        </w:r>
      </w:hyperlink>
      <w:r w:rsidRPr="001B0F87">
        <w:rPr>
          <w:lang w:val="en-US"/>
        </w:rPr>
        <w:t xml:space="preserve"> </w:t>
      </w:r>
      <w:r w:rsidR="00242BC6">
        <w:rPr>
          <w:lang w:val="en-US"/>
        </w:rPr>
        <w:t>&gt;</w:t>
      </w:r>
      <w:r w:rsidRPr="001B0F87">
        <w:rPr>
          <w:lang w:val="en-US"/>
        </w:rPr>
        <w:t>[žiūrėta 2014 01 21]</w:t>
      </w:r>
    </w:p>
    <w:p w:rsidR="001B0F87" w:rsidRPr="00C76C8F" w:rsidRDefault="001B0F87" w:rsidP="001B0F87">
      <w:pPr>
        <w:numPr>
          <w:ilvl w:val="0"/>
          <w:numId w:val="7"/>
        </w:numPr>
        <w:spacing w:line="360" w:lineRule="auto"/>
        <w:ind w:left="0" w:firstLine="0"/>
        <w:jc w:val="both"/>
        <w:rPr>
          <w:lang w:val="en-US"/>
        </w:rPr>
      </w:pPr>
      <w:r w:rsidRPr="00C76C8F">
        <w:rPr>
          <w:b/>
          <w:lang w:val="en-US"/>
        </w:rPr>
        <w:t>Wang W.-Y., Chang C</w:t>
      </w:r>
      <w:r w:rsidRPr="00C76C8F">
        <w:rPr>
          <w:lang w:val="en-US"/>
        </w:rPr>
        <w:t xml:space="preserve">., "Intellectual capital and performance in causal model", Journal of Intellectual Capital, 2005 Vol. 6 No.2, pp.222-36. </w:t>
      </w:r>
      <w:r w:rsidRPr="00C76C8F">
        <w:t>ISSN 1469-1930</w:t>
      </w:r>
      <w:r w:rsidRPr="00C76C8F">
        <w:rPr>
          <w:lang w:val="en-US"/>
        </w:rPr>
        <w:t xml:space="preserve">. </w:t>
      </w:r>
    </w:p>
    <w:p w:rsidR="001B0F87" w:rsidRPr="00C76C8F" w:rsidRDefault="001B0F87" w:rsidP="001B0F87">
      <w:pPr>
        <w:numPr>
          <w:ilvl w:val="0"/>
          <w:numId w:val="7"/>
        </w:numPr>
        <w:spacing w:line="360" w:lineRule="auto"/>
        <w:ind w:left="0" w:firstLine="0"/>
        <w:jc w:val="both"/>
        <w:rPr>
          <w:lang w:val="en-US"/>
        </w:rPr>
      </w:pPr>
      <w:r w:rsidRPr="00C76C8F">
        <w:rPr>
          <w:b/>
          <w:bCs/>
          <w:lang w:val="en-US"/>
        </w:rPr>
        <w:t>Yitmen I</w:t>
      </w:r>
      <w:r w:rsidRPr="00C76C8F">
        <w:rPr>
          <w:b/>
          <w:lang w:val="en-US"/>
        </w:rPr>
        <w:t>.</w:t>
      </w:r>
      <w:r w:rsidRPr="00C76C8F">
        <w:rPr>
          <w:lang w:val="en-US"/>
        </w:rPr>
        <w:t xml:space="preserve"> “</w:t>
      </w:r>
      <w:r w:rsidRPr="00C76C8F">
        <w:rPr>
          <w:bCs/>
          <w:lang w:val="en-US"/>
        </w:rPr>
        <w:t xml:space="preserve">Intellectual Capital: A Competitive Asset for Driving Innovation In Engineering Design Firms”. </w:t>
      </w:r>
      <w:r w:rsidRPr="00C76C8F">
        <w:rPr>
          <w:rFonts w:eastAsia="SimSun"/>
          <w:kern w:val="1"/>
          <w:lang w:val="en-US" w:eastAsia="en-US"/>
        </w:rPr>
        <w:t>Engineering Management Journal,</w:t>
      </w:r>
      <w:r w:rsidRPr="00C76C8F">
        <w:rPr>
          <w:lang w:val="en-US"/>
        </w:rPr>
        <w:t xml:space="preserve"> </w:t>
      </w:r>
      <w:r w:rsidRPr="00C76C8F">
        <w:rPr>
          <w:bCs/>
          <w:lang w:val="en-US"/>
        </w:rPr>
        <w:t>2011,</w:t>
      </w:r>
      <w:r w:rsidRPr="00C76C8F">
        <w:rPr>
          <w:lang w:val="en-US"/>
        </w:rPr>
        <w:t xml:space="preserve"> Vol. 23, No 2. p. 3.</w:t>
      </w:r>
    </w:p>
    <w:p w:rsidR="00C76C8F" w:rsidRPr="00C76C8F" w:rsidRDefault="001B0F87" w:rsidP="00C76C8F">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C76C8F">
        <w:rPr>
          <w:rFonts w:ascii="Times New Roman" w:hAnsi="Times New Roman"/>
          <w:b/>
          <w:lang w:val="en-US"/>
        </w:rPr>
        <w:t>Youndt M. et al.</w:t>
      </w:r>
      <w:r w:rsidRPr="00C76C8F">
        <w:rPr>
          <w:rFonts w:ascii="Times New Roman" w:hAnsi="Times New Roman"/>
          <w:lang w:val="en-US"/>
        </w:rPr>
        <w:t xml:space="preserve"> "Intellectual capital profiles: an examination of investment and returns", </w:t>
      </w:r>
      <w:r w:rsidRPr="00C76C8F">
        <w:rPr>
          <w:rFonts w:ascii="Times New Roman" w:hAnsi="Times New Roman"/>
          <w:iCs/>
          <w:lang w:val="en-US"/>
        </w:rPr>
        <w:t>Journal of Management Studies</w:t>
      </w:r>
      <w:r w:rsidRPr="00C76C8F">
        <w:rPr>
          <w:rFonts w:ascii="Times New Roman" w:hAnsi="Times New Roman"/>
          <w:lang w:val="en-US"/>
        </w:rPr>
        <w:t>, 2004 Vol. 41 No.2, pp.335-61.</w:t>
      </w:r>
    </w:p>
    <w:p w:rsidR="00C76C8F" w:rsidRPr="00C76C8F" w:rsidRDefault="00C76C8F" w:rsidP="00C76C8F">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C76C8F">
        <w:rPr>
          <w:rFonts w:ascii="Times New Roman" w:hAnsi="Times New Roman"/>
          <w:b/>
          <w:lang w:val="en-US"/>
        </w:rPr>
        <w:t>Young C. S. et al.</w:t>
      </w:r>
      <w:r w:rsidRPr="00C76C8F">
        <w:rPr>
          <w:rFonts w:ascii="Times New Roman" w:hAnsi="Times New Roman"/>
          <w:lang w:val="en-US"/>
        </w:rPr>
        <w:t xml:space="preserve"> “</w:t>
      </w:r>
      <w:r w:rsidRPr="00C76C8F">
        <w:rPr>
          <w:rFonts w:ascii="Times New Roman" w:eastAsia="SimSun" w:hAnsi="Times New Roman"/>
          <w:lang w:val="en-US"/>
        </w:rPr>
        <w:t>Cross-country comparison of intellectual capital performance of commercial banks in Asian economies”. The Service Industries Journal, 2009, Vol. 29, No. 11, 1565–1579. ISSN 1743-9507.</w:t>
      </w:r>
    </w:p>
    <w:p w:rsidR="00C76C8F" w:rsidRPr="00C76C8F" w:rsidRDefault="001B0F87" w:rsidP="00C76C8F">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C76C8F">
        <w:rPr>
          <w:rFonts w:ascii="Times New Roman" w:hAnsi="Times New Roman"/>
          <w:b/>
          <w:lang w:val="en-US"/>
        </w:rPr>
        <w:t>Zhou A. Z., Fink D.</w:t>
      </w:r>
      <w:r w:rsidRPr="00C76C8F">
        <w:rPr>
          <w:rFonts w:ascii="Times New Roman" w:hAnsi="Times New Roman"/>
          <w:lang w:val="en-US"/>
        </w:rPr>
        <w:t xml:space="preserve"> “The intellectual capital web: A systematic linking of intellectual capital and knowledge management”. Journal of Intellectual Capital, 2003, Vol. 4, No. 1. </w:t>
      </w:r>
      <w:r w:rsidRPr="00C76C8F">
        <w:rPr>
          <w:rFonts w:ascii="Times New Roman" w:hAnsi="Times New Roman"/>
        </w:rPr>
        <w:t>ISSN 1469-1930</w:t>
      </w:r>
      <w:r w:rsidR="00C76C8F" w:rsidRPr="00C76C8F">
        <w:rPr>
          <w:rFonts w:ascii="Times New Roman" w:hAnsi="Times New Roman"/>
          <w:lang w:val="en-US"/>
        </w:rPr>
        <w:t>.</w:t>
      </w:r>
    </w:p>
    <w:p w:rsidR="001B0F87" w:rsidRPr="00927FFA" w:rsidRDefault="00C76C8F" w:rsidP="00927FFA">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New Roman" w:hAnsi="Times New Roman"/>
          <w:lang w:val="en-US"/>
        </w:rPr>
      </w:pPr>
      <w:r w:rsidRPr="00C76C8F">
        <w:rPr>
          <w:rFonts w:ascii="Times New Roman" w:hAnsi="Times New Roman"/>
          <w:b/>
        </w:rPr>
        <w:t>Znakovaitė A., Pabedinskaitė A.</w:t>
      </w:r>
      <w:r w:rsidRPr="00C76C8F">
        <w:rPr>
          <w:rFonts w:ascii="Times New Roman" w:hAnsi="Times New Roman"/>
        </w:rPr>
        <w:t xml:space="preserve"> Intelektinio kapitalo valdymas transporto sektoriuje. Mokslas – Lietuvos ateitis. – Vilnius: VGTU leidykla 2010 Nr.2, p.126-133.  ISSN 2029-2252.</w:t>
      </w:r>
    </w:p>
    <w:p w:rsidR="001B0F87" w:rsidRPr="008037E7" w:rsidRDefault="001B0F87" w:rsidP="001B0F87">
      <w:pPr>
        <w:spacing w:line="276" w:lineRule="auto"/>
        <w:jc w:val="both"/>
        <w:rPr>
          <w:color w:val="000090"/>
          <w:lang w:val="en-US"/>
        </w:rPr>
      </w:pPr>
    </w:p>
    <w:p w:rsidR="00693866" w:rsidRPr="00693866" w:rsidRDefault="00693866" w:rsidP="00693866">
      <w:pPr>
        <w:spacing w:line="276" w:lineRule="auto"/>
        <w:jc w:val="both"/>
        <w:rPr>
          <w:color w:val="000090"/>
          <w:lang w:val="en-US"/>
        </w:rPr>
      </w:pPr>
    </w:p>
    <w:p w:rsidR="006837EC" w:rsidRDefault="006837EC" w:rsidP="00275D67">
      <w:pPr>
        <w:spacing w:line="360" w:lineRule="auto"/>
        <w:ind w:firstLine="567"/>
        <w:jc w:val="both"/>
        <w:rPr>
          <w:b/>
        </w:rPr>
      </w:pPr>
    </w:p>
    <w:p w:rsidR="00D657FA" w:rsidRPr="001B0F87" w:rsidRDefault="006837EC" w:rsidP="00275D67">
      <w:pPr>
        <w:spacing w:line="360" w:lineRule="auto"/>
        <w:ind w:firstLine="567"/>
        <w:jc w:val="both"/>
      </w:pPr>
      <w:r>
        <w:rPr>
          <w:b/>
        </w:rPr>
        <w:br w:type="column"/>
      </w:r>
      <w:r w:rsidR="00D657FA" w:rsidRPr="00D657FA">
        <w:rPr>
          <w:b/>
        </w:rPr>
        <w:t>Giržadienė S.</w:t>
      </w:r>
      <w:r w:rsidR="00B44D27">
        <w:t xml:space="preserve"> Vertybinių popierių b</w:t>
      </w:r>
      <w:r w:rsidR="00D657FA" w:rsidRPr="00D657FA">
        <w:t xml:space="preserve">iržoje listinguojamų įmonių intelektinio kapitalo vertinimas / Finansų rinkų magistro baigiamasis darbas. Vadovas doc. dr. A. Linartas. – Vilnius: Mykolo Romerio universitetas, Ekonomikos </w:t>
      </w:r>
      <w:r w:rsidR="00887D2D">
        <w:t xml:space="preserve">ir finansų valdymo fakultetas, </w:t>
      </w:r>
      <w:r w:rsidR="00D657FA" w:rsidRPr="001B0F87">
        <w:t xml:space="preserve">2014. – </w:t>
      </w:r>
      <w:r w:rsidR="00321E4F">
        <w:t>74</w:t>
      </w:r>
      <w:r w:rsidR="00D657FA" w:rsidRPr="001B0F87">
        <w:t xml:space="preserve"> p.</w:t>
      </w:r>
    </w:p>
    <w:p w:rsidR="00D657FA" w:rsidRPr="00D657FA" w:rsidRDefault="00D657FA" w:rsidP="00D657FA">
      <w:pPr>
        <w:spacing w:line="360" w:lineRule="auto"/>
        <w:jc w:val="both"/>
      </w:pPr>
    </w:p>
    <w:p w:rsidR="00D657FA" w:rsidRPr="00D657FA" w:rsidRDefault="00D657FA" w:rsidP="00275D67">
      <w:pPr>
        <w:pStyle w:val="Heading1"/>
        <w:spacing w:line="360" w:lineRule="auto"/>
        <w:ind w:left="0"/>
        <w:rPr>
          <w:color w:val="auto"/>
          <w:sz w:val="24"/>
          <w:szCs w:val="24"/>
        </w:rPr>
      </w:pPr>
      <w:bookmarkStart w:id="1" w:name="_Toc320513858"/>
      <w:r w:rsidRPr="00D657FA">
        <w:rPr>
          <w:color w:val="auto"/>
          <w:sz w:val="24"/>
          <w:szCs w:val="24"/>
        </w:rPr>
        <w:t>ANOTACIJA</w:t>
      </w:r>
      <w:bookmarkEnd w:id="1"/>
    </w:p>
    <w:p w:rsidR="00D657FA" w:rsidRDefault="00D657FA" w:rsidP="00D657FA">
      <w:pPr>
        <w:spacing w:line="360" w:lineRule="auto"/>
        <w:jc w:val="both"/>
      </w:pPr>
    </w:p>
    <w:p w:rsidR="00275D67" w:rsidRPr="00275D67" w:rsidRDefault="00275D67" w:rsidP="00275D67">
      <w:pPr>
        <w:spacing w:line="360" w:lineRule="auto"/>
        <w:ind w:firstLine="567"/>
        <w:jc w:val="both"/>
      </w:pPr>
      <w:r w:rsidRPr="00275D67">
        <w:t xml:space="preserve">Magistro baigiamajame darbe išnagrinėta įmonių intelektinio kapitalo vertinimo koncepcija. Pirmoje darbo dalyje teoriniu požiūriu </w:t>
      </w:r>
      <w:r w:rsidRPr="00275D67">
        <w:rPr>
          <w:lang w:val="en-US"/>
        </w:rPr>
        <w:t>remiantis tiek moksline lietuvių, tiek užsienio autorių literatūra.</w:t>
      </w:r>
      <w:r w:rsidRPr="00275D67">
        <w:t xml:space="preserve"> Analizuojama intelektinio kapitalo, kaip subjekto, koncepcija, struktūra, įmonių intelektinio kapitalo vertinimo metodai. Antroje darbo dalyje aptariamas intelektinio kapitalo vertinimo būtinumas, procesas, metodika. Sukurtas įmonės intelektinio kapitalo vertinimo modelis, pateikiami vertinimo metodai hipotezių tikrinimui: turto grąža (ROA), nuosavo kapitalo grąža (ROE), pridėtinės vertės intelektualusis koeficientas (VAIC</w:t>
      </w:r>
      <w:r w:rsidRPr="00275D67">
        <w:rPr>
          <w:vertAlign w:val="superscript"/>
        </w:rPr>
        <w:t>TM</w:t>
      </w:r>
      <w:r w:rsidRPr="00275D67">
        <w:t xml:space="preserve">), intelektinio kapitalo efektyvumo koeficientas (ICE), apskaičiuojamoji nematerialioji vertė (CIV), tikrinami koreliaciniai ryšiai tarp rodiklių. Tyrmui atlikti atrinkos 10 OMX Vilnius ir 6 OMX Talinas vertybinių popierių biržose listinguojamos Oficialiojo sąrašo įmonės. Trečioje darbo dalyje </w:t>
      </w:r>
      <w:r w:rsidRPr="00275D67">
        <w:rPr>
          <w:lang w:val="en-US"/>
        </w:rPr>
        <w:t xml:space="preserve">atliekamas empirinis tyrimas, </w:t>
      </w:r>
      <w:r w:rsidRPr="00275D67">
        <w:t>pateikiami biržoje listinguojamų įmonių intelektinio kapitalo vertinimo rezultatai 2009 – 2012 metais, intelektinio kapitalo lygio rodiklių koreliaciniai ryšiai tarpusavyje ir su įmonių turto grąžos ROA ir nuosavo kapitalo grąžos ROE finansiniais rodikliais. Gauti vertinimo rezul</w:t>
      </w:r>
      <w:r w:rsidR="00321E4F">
        <w:t>tata</w:t>
      </w:r>
      <w:r w:rsidRPr="00275D67">
        <w:t>i lyginami su OMX Talinas vertybinių popierių biržoje listinguojamų įmonių rezultatais. Darbo pabaigoje pateikiamos išvados ir siūlymai sudaryto modelio gerinimui.</w:t>
      </w:r>
    </w:p>
    <w:p w:rsidR="00D657FA" w:rsidRPr="00D657FA" w:rsidRDefault="00D657FA" w:rsidP="00D657FA">
      <w:pPr>
        <w:spacing w:line="360" w:lineRule="auto"/>
        <w:jc w:val="both"/>
      </w:pPr>
    </w:p>
    <w:p w:rsidR="00D657FA" w:rsidRPr="00D657FA" w:rsidRDefault="00D657FA" w:rsidP="00275D67">
      <w:pPr>
        <w:spacing w:line="360" w:lineRule="auto"/>
        <w:ind w:firstLine="567"/>
        <w:jc w:val="both"/>
      </w:pPr>
      <w:r w:rsidRPr="00D657FA">
        <w:rPr>
          <w:b/>
        </w:rPr>
        <w:t>Pagrindiniai žodžiai:</w:t>
      </w:r>
      <w:r w:rsidRPr="00D657FA">
        <w:t xml:space="preserve"> nematerialusis turtas, intelektinis kapitalas, įmonių intelektinio kapitalo vertinimo metodai, pridėtinės vertės intelektualusis koeficientas.</w:t>
      </w:r>
    </w:p>
    <w:p w:rsidR="00B44D27" w:rsidRPr="00B44D27" w:rsidRDefault="00B44D27" w:rsidP="008F7127">
      <w:pPr>
        <w:spacing w:line="360" w:lineRule="auto"/>
        <w:ind w:firstLine="567"/>
        <w:jc w:val="both"/>
      </w:pPr>
      <w:r>
        <w:br w:type="column"/>
      </w:r>
      <w:r w:rsidRPr="00B44D27">
        <w:rPr>
          <w:b/>
        </w:rPr>
        <w:t>Girzadiene S.</w:t>
      </w:r>
      <w:r w:rsidRPr="00B44D27">
        <w:t xml:space="preserve"> </w:t>
      </w:r>
      <w:r w:rsidRPr="00B44D27">
        <w:rPr>
          <w:lang w:val="en-GB"/>
        </w:rPr>
        <w:t>Intellectual capital valuation of listed companies</w:t>
      </w:r>
      <w:r>
        <w:rPr>
          <w:lang w:val="en-GB"/>
        </w:rPr>
        <w:t xml:space="preserve"> </w:t>
      </w:r>
      <w:r w:rsidRPr="00B44D27">
        <w:t xml:space="preserve">/ </w:t>
      </w:r>
      <w:r>
        <w:t>M</w:t>
      </w:r>
      <w:r w:rsidRPr="00B44D27">
        <w:t>aster</w:t>
      </w:r>
      <w:r>
        <w:t>’s</w:t>
      </w:r>
      <w:r w:rsidRPr="00B44D27">
        <w:t xml:space="preserve"> thesis</w:t>
      </w:r>
      <w:r>
        <w:t xml:space="preserve"> in Financial markets</w:t>
      </w:r>
      <w:r w:rsidRPr="00B44D27">
        <w:t>. Supervisos assoc. doc. dr. A. Linartas. – Vilnius: Faculty of Economics and Finance</w:t>
      </w:r>
      <w:r>
        <w:t xml:space="preserve"> Management</w:t>
      </w:r>
      <w:r w:rsidRPr="00B44D27">
        <w:t xml:space="preserve">, Mykolas Romeris </w:t>
      </w:r>
      <w:r w:rsidRPr="001B0F87">
        <w:t xml:space="preserve">University, </w:t>
      </w:r>
      <w:r w:rsidRPr="00321E4F">
        <w:t xml:space="preserve">2014. – </w:t>
      </w:r>
      <w:r w:rsidR="00536246" w:rsidRPr="00321E4F">
        <w:t>7</w:t>
      </w:r>
      <w:r w:rsidR="00321E4F" w:rsidRPr="00321E4F">
        <w:t>4</w:t>
      </w:r>
      <w:r w:rsidRPr="00321E4F">
        <w:rPr>
          <w:sz w:val="32"/>
          <w:szCs w:val="32"/>
        </w:rPr>
        <w:t xml:space="preserve"> </w:t>
      </w:r>
      <w:r w:rsidRPr="00321E4F">
        <w:t>p.</w:t>
      </w:r>
      <w:bookmarkStart w:id="2" w:name="_Toc320513859"/>
    </w:p>
    <w:p w:rsidR="00B44D27" w:rsidRPr="00B44D27" w:rsidRDefault="00B44D27" w:rsidP="00B44D27">
      <w:pPr>
        <w:spacing w:line="360" w:lineRule="auto"/>
        <w:jc w:val="center"/>
        <w:rPr>
          <w:b/>
          <w:sz w:val="28"/>
          <w:szCs w:val="28"/>
        </w:rPr>
      </w:pPr>
    </w:p>
    <w:p w:rsidR="00B44D27" w:rsidRPr="00B44D27" w:rsidRDefault="00B44D27" w:rsidP="00B44D27">
      <w:pPr>
        <w:spacing w:line="360" w:lineRule="auto"/>
        <w:jc w:val="center"/>
        <w:rPr>
          <w:b/>
          <w:sz w:val="28"/>
          <w:szCs w:val="28"/>
        </w:rPr>
      </w:pPr>
      <w:r w:rsidRPr="00B44D27">
        <w:rPr>
          <w:b/>
          <w:sz w:val="28"/>
          <w:szCs w:val="28"/>
        </w:rPr>
        <w:t>ANOTATION</w:t>
      </w:r>
      <w:bookmarkEnd w:id="2"/>
    </w:p>
    <w:p w:rsidR="00B44D27" w:rsidRPr="00B44D27" w:rsidRDefault="00B44D27" w:rsidP="00B44D27">
      <w:pPr>
        <w:spacing w:line="360" w:lineRule="auto"/>
        <w:jc w:val="both"/>
        <w:rPr>
          <w:b/>
        </w:rPr>
      </w:pPr>
    </w:p>
    <w:p w:rsidR="00B44D27" w:rsidRPr="00B44D27" w:rsidRDefault="00B44D27" w:rsidP="00B44D27">
      <w:pPr>
        <w:spacing w:line="360" w:lineRule="auto"/>
        <w:ind w:firstLine="567"/>
        <w:jc w:val="both"/>
        <w:rPr>
          <w:lang w:val="en-GB"/>
        </w:rPr>
      </w:pPr>
      <w:r w:rsidRPr="00B44D27">
        <w:rPr>
          <w:lang w:val="en-GB"/>
        </w:rPr>
        <w:t>This Master’s thesis examines the concept of intellectual capital valuation of listed companies. The first part of the thesis analyses the concept of intellectual capital as a subject, its structure and methods of intellectual capital valuation from the theoretical point of view on the basis of scientific literature of both Lithuanian and foreign authors. The second part of the thesis discusses the necessity, process and methodology of intellectual capital valuation. Intellectual capital valuation model of a company is created and valuation methods to test hypotheses are presented: return on assets (ROA), return on equity (ROE), value added intellectual coefficient (VAIC</w:t>
      </w:r>
      <w:r w:rsidRPr="00B44D27">
        <w:rPr>
          <w:vertAlign w:val="superscript"/>
          <w:lang w:val="en-GB"/>
        </w:rPr>
        <w:t>TM</w:t>
      </w:r>
      <w:r w:rsidRPr="00B44D27">
        <w:rPr>
          <w:lang w:val="en-GB"/>
        </w:rPr>
        <w:t>), intellectual capital efficiency ratio (ICE), calculated intangible value (CIV), correlations between the indicators are examined. 10 companies listed in the Official List of OMX Vilnius and 6 of OMX Tallinn have been selected for the research. The empirical study is carried out in the third part of the thesis, where the results of intellectual capital valuation of listed companies in 2009 – 2012 as well as intercorrelations of the indicators of intellectual capital level and correlations among return on assets ROA and return on equity ROE financial indicators of the companies are presented. The obtained valuation results are compared to the results of companies listed in OMX Tallinn Stock Exchange. Finally, the conclusions and recommendations to improve the formed model are provided at the end of the thesis.</w:t>
      </w:r>
    </w:p>
    <w:p w:rsidR="00B44D27" w:rsidRPr="00B44D27" w:rsidRDefault="00B44D27" w:rsidP="00B44D27">
      <w:pPr>
        <w:spacing w:line="360" w:lineRule="auto"/>
        <w:jc w:val="both"/>
        <w:rPr>
          <w:b/>
        </w:rPr>
      </w:pPr>
    </w:p>
    <w:p w:rsidR="00D657FA" w:rsidRPr="00B44D27" w:rsidRDefault="00B44D27" w:rsidP="00B44D27">
      <w:pPr>
        <w:spacing w:line="360" w:lineRule="auto"/>
        <w:ind w:firstLine="567"/>
        <w:jc w:val="both"/>
        <w:rPr>
          <w:lang w:val="en-US"/>
        </w:rPr>
      </w:pPr>
      <w:r w:rsidRPr="00B44D27">
        <w:rPr>
          <w:b/>
          <w:lang w:val="en-US"/>
        </w:rPr>
        <w:t>Key Words:</w:t>
      </w:r>
      <w:r w:rsidRPr="00B44D27">
        <w:rPr>
          <w:lang w:val="en-US"/>
        </w:rPr>
        <w:t xml:space="preserve"> intangible assets, intellectual capital, methods for measuring value of company’s intellectual capital, Value Added Intellectual Coefficient. </w:t>
      </w:r>
    </w:p>
    <w:p w:rsidR="00BE2A22" w:rsidRPr="003E7CAC" w:rsidRDefault="00D657FA" w:rsidP="00D657FA">
      <w:pPr>
        <w:jc w:val="both"/>
        <w:rPr>
          <w:b/>
        </w:rPr>
      </w:pPr>
      <w:r w:rsidRPr="00056C1A">
        <w:br w:type="column"/>
      </w:r>
    </w:p>
    <w:p w:rsidR="00052198" w:rsidRPr="00052198" w:rsidRDefault="00052198" w:rsidP="00052198">
      <w:pPr>
        <w:spacing w:line="360" w:lineRule="auto"/>
        <w:ind w:firstLine="567"/>
        <w:jc w:val="both"/>
      </w:pPr>
      <w:r w:rsidRPr="00052198">
        <w:rPr>
          <w:b/>
        </w:rPr>
        <w:t>Giržadienė S.</w:t>
      </w:r>
      <w:r w:rsidR="00B44D27">
        <w:t xml:space="preserve"> Vertybinių popierių b</w:t>
      </w:r>
      <w:r w:rsidRPr="00052198">
        <w:t xml:space="preserve">iržoje listinguojamų įmonių intelektinio kapitalo vertinimas / Finansų rinkų magistro baigiamasis darbas. Vadovas doc. dr. A. Linartas . – Vilnius: Mykolo Romerio universitetas, Ekonomikos ir finansų valdymo </w:t>
      </w:r>
      <w:r w:rsidRPr="001B0F87">
        <w:t xml:space="preserve">fakultetas,  2014. – </w:t>
      </w:r>
      <w:r w:rsidR="00536246" w:rsidRPr="001B0F87">
        <w:t>7</w:t>
      </w:r>
      <w:r w:rsidR="00321E4F">
        <w:t>4</w:t>
      </w:r>
      <w:r w:rsidRPr="001B0F87">
        <w:t xml:space="preserve"> p.</w:t>
      </w:r>
    </w:p>
    <w:p w:rsidR="00052198" w:rsidRPr="00052198" w:rsidRDefault="00052198" w:rsidP="00052198">
      <w:pPr>
        <w:spacing w:line="360" w:lineRule="auto"/>
        <w:jc w:val="both"/>
      </w:pPr>
    </w:p>
    <w:p w:rsidR="00052198" w:rsidRPr="00052198" w:rsidRDefault="00052198" w:rsidP="00052198">
      <w:pPr>
        <w:pStyle w:val="Heading1"/>
        <w:rPr>
          <w:color w:val="auto"/>
          <w:sz w:val="24"/>
          <w:szCs w:val="24"/>
        </w:rPr>
      </w:pPr>
      <w:bookmarkStart w:id="3" w:name="_Toc320513860"/>
      <w:r w:rsidRPr="00052198">
        <w:rPr>
          <w:color w:val="auto"/>
          <w:sz w:val="24"/>
          <w:szCs w:val="24"/>
        </w:rPr>
        <w:t>SANTRAUKA</w:t>
      </w:r>
      <w:bookmarkEnd w:id="3"/>
    </w:p>
    <w:p w:rsidR="00052198" w:rsidRPr="00052198" w:rsidRDefault="00052198" w:rsidP="00052198"/>
    <w:p w:rsidR="00052198" w:rsidRPr="00052198" w:rsidRDefault="00052198" w:rsidP="00052198">
      <w:pPr>
        <w:spacing w:line="360" w:lineRule="auto"/>
        <w:ind w:firstLine="567"/>
        <w:jc w:val="both"/>
      </w:pPr>
      <w:r w:rsidRPr="00052198">
        <w:rPr>
          <w:lang w:val="en-US"/>
        </w:rPr>
        <w:t xml:space="preserve">Magistrinio darbo </w:t>
      </w:r>
      <w:r w:rsidR="00E06CB3">
        <w:rPr>
          <w:lang w:val="en-US"/>
        </w:rPr>
        <w:t>tema yra aktuali, nes vis  didė</w:t>
      </w:r>
      <w:r w:rsidRPr="00052198">
        <w:rPr>
          <w:lang w:val="en-US"/>
        </w:rPr>
        <w:t xml:space="preserve">ja dėmesys į įmonės intelektualiuosius išteklius, kadangi  tradiciniai finansiniai </w:t>
      </w:r>
      <w:r w:rsidR="00E06CB3">
        <w:rPr>
          <w:lang w:val="en-US"/>
        </w:rPr>
        <w:t>rodikliai tiksliai nebeatspindė</w:t>
      </w:r>
      <w:r w:rsidRPr="00052198">
        <w:rPr>
          <w:lang w:val="en-US"/>
        </w:rPr>
        <w:t>ti esamos įmonės vertės. O intelektinis kapitalas turi potencialą kurti vertę ir padeda įmonei įgauti konkurencinį pranašumą. Temos naujumas akivaizdus, nes magistriniame darbe yra vertinamas intelektinio kapitalo lygis,</w:t>
      </w:r>
      <w:r w:rsidR="00E06CB3">
        <w:rPr>
          <w:lang w:val="en-US"/>
        </w:rPr>
        <w:t xml:space="preserve"> ieškomas ryšys tarp tradicinių</w:t>
      </w:r>
      <w:r w:rsidRPr="00052198">
        <w:rPr>
          <w:lang w:val="en-US"/>
        </w:rPr>
        <w:t xml:space="preserve"> fina</w:t>
      </w:r>
      <w:r w:rsidR="00E06CB3">
        <w:rPr>
          <w:lang w:val="en-US"/>
        </w:rPr>
        <w:t>nsinių rodiklių ir nefinansinių intelektinių skaičiavimo metodų</w:t>
      </w:r>
      <w:r w:rsidRPr="00052198">
        <w:rPr>
          <w:lang w:val="en-US"/>
        </w:rPr>
        <w:t xml:space="preserve">, siekiant nustatyti, ar nefinansiniai rodikliai gali </w:t>
      </w:r>
      <w:r w:rsidRPr="00052198">
        <w:t>įmonių pridėtinės vertės kūrimąsi, rezultatus ir optimistines perspektyvas.</w:t>
      </w:r>
    </w:p>
    <w:p w:rsidR="00052198" w:rsidRPr="00052198" w:rsidRDefault="00052198" w:rsidP="00052198">
      <w:pPr>
        <w:spacing w:line="360" w:lineRule="auto"/>
        <w:ind w:firstLine="567"/>
        <w:jc w:val="both"/>
        <w:rPr>
          <w:bCs/>
        </w:rPr>
      </w:pPr>
      <w:r w:rsidRPr="00052198">
        <w:rPr>
          <w:b/>
          <w:lang w:val="en-US"/>
        </w:rPr>
        <w:t xml:space="preserve">Problema: </w:t>
      </w:r>
      <w:r w:rsidRPr="00052198">
        <w:rPr>
          <w:bCs/>
        </w:rPr>
        <w:t>Kaip vertinti intelektinio kapitalą biržoje listinguojamose įmonėse?</w:t>
      </w:r>
    </w:p>
    <w:p w:rsidR="00052198" w:rsidRPr="00052198" w:rsidRDefault="00052198" w:rsidP="00052198">
      <w:pPr>
        <w:spacing w:line="360" w:lineRule="auto"/>
        <w:ind w:firstLine="567"/>
        <w:jc w:val="both"/>
        <w:rPr>
          <w:bCs/>
        </w:rPr>
      </w:pPr>
      <w:r w:rsidRPr="00052198">
        <w:rPr>
          <w:b/>
          <w:bCs/>
        </w:rPr>
        <w:t xml:space="preserve">Tyrimo objektas. </w:t>
      </w:r>
      <w:r w:rsidRPr="00052198">
        <w:rPr>
          <w:bCs/>
        </w:rPr>
        <w:t>Biržoje listinguojamų įmonių intelektinis kapitalas.</w:t>
      </w:r>
    </w:p>
    <w:p w:rsidR="00D516A7" w:rsidRDefault="00052198" w:rsidP="00D516A7">
      <w:pPr>
        <w:spacing w:line="360" w:lineRule="auto"/>
        <w:ind w:firstLine="567"/>
        <w:jc w:val="both"/>
      </w:pPr>
      <w:r w:rsidRPr="00052198">
        <w:rPr>
          <w:b/>
          <w:bCs/>
        </w:rPr>
        <w:t>Tyrimo hipotezė</w:t>
      </w:r>
      <w:r w:rsidR="003358D1">
        <w:rPr>
          <w:b/>
          <w:bCs/>
        </w:rPr>
        <w:t>s</w:t>
      </w:r>
      <w:r w:rsidRPr="00052198">
        <w:rPr>
          <w:b/>
          <w:bCs/>
        </w:rPr>
        <w:t xml:space="preserve">: </w:t>
      </w:r>
      <w:r w:rsidR="003358D1">
        <w:t xml:space="preserve">H1: </w:t>
      </w:r>
      <w:r w:rsidR="00242BC6">
        <w:t>Y</w:t>
      </w:r>
      <w:r w:rsidR="003358D1" w:rsidRPr="00D46E4A">
        <w:t>ra teigia</w:t>
      </w:r>
      <w:r w:rsidR="003358D1">
        <w:t>mas ryšys tarp finansinių ir nef</w:t>
      </w:r>
      <w:r w:rsidR="003358D1" w:rsidRPr="00D46E4A">
        <w:t>inansinių rodiklių</w:t>
      </w:r>
      <w:r w:rsidR="00242BC6">
        <w:t>, vertinančių intelektinį kapitalą</w:t>
      </w:r>
      <w:r w:rsidR="003358D1" w:rsidRPr="00D46E4A">
        <w:t>.</w:t>
      </w:r>
      <w:r w:rsidR="00D516A7">
        <w:t xml:space="preserve"> </w:t>
      </w:r>
    </w:p>
    <w:p w:rsidR="00052198" w:rsidRPr="003358D1" w:rsidRDefault="003358D1" w:rsidP="00D516A7">
      <w:pPr>
        <w:spacing w:line="360" w:lineRule="auto"/>
        <w:ind w:firstLine="567"/>
        <w:jc w:val="both"/>
      </w:pPr>
      <w:r>
        <w:t>H2:</w:t>
      </w:r>
      <w:r w:rsidRPr="00D46E4A">
        <w:t xml:space="preserve"> </w:t>
      </w:r>
      <w:r w:rsidR="00242BC6">
        <w:t>Yra</w:t>
      </w:r>
      <w:r w:rsidRPr="00D46E4A">
        <w:t xml:space="preserve"> teigiamas ryšys tarp nefinansinių rodiklių</w:t>
      </w:r>
      <w:r w:rsidR="00242BC6">
        <w:t>, vertinančių intelektinį kapitalą</w:t>
      </w:r>
      <w:r w:rsidRPr="00D46E4A">
        <w:t>.</w:t>
      </w:r>
    </w:p>
    <w:p w:rsidR="00052198" w:rsidRPr="00052198" w:rsidRDefault="00052198" w:rsidP="000521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bCs/>
        </w:rPr>
      </w:pPr>
      <w:r w:rsidRPr="00052198">
        <w:rPr>
          <w:b/>
          <w:bCs/>
        </w:rPr>
        <w:t xml:space="preserve">Tyrimo tikslas. </w:t>
      </w:r>
      <w:r w:rsidRPr="00052198">
        <w:rPr>
          <w:bCs/>
        </w:rPr>
        <w:t>Atskleisti intelektinio kapitalo koncepciją ir įvertinti biržoje listinguojamų įmonių intelektinį kapitalą.</w:t>
      </w:r>
    </w:p>
    <w:p w:rsidR="00052198" w:rsidRPr="00052198" w:rsidRDefault="00052198" w:rsidP="00052198">
      <w:pPr>
        <w:spacing w:line="360" w:lineRule="auto"/>
        <w:ind w:firstLine="567"/>
        <w:jc w:val="both"/>
        <w:rPr>
          <w:b/>
          <w:bCs/>
          <w:lang w:val="en-US"/>
        </w:rPr>
      </w:pPr>
      <w:r w:rsidRPr="00052198">
        <w:rPr>
          <w:b/>
          <w:bCs/>
        </w:rPr>
        <w:t>Tyrimo uždaviniai:</w:t>
      </w:r>
      <w:r w:rsidRPr="00052198">
        <w:rPr>
          <w:b/>
          <w:bCs/>
          <w:lang w:val="en-US"/>
        </w:rPr>
        <w:t xml:space="preserve"> </w:t>
      </w:r>
    </w:p>
    <w:p w:rsidR="00D516A7" w:rsidRPr="00D516A7" w:rsidRDefault="00052198" w:rsidP="00D516A7">
      <w:pPr>
        <w:pStyle w:val="ListParagraph"/>
        <w:numPr>
          <w:ilvl w:val="0"/>
          <w:numId w:val="38"/>
        </w:numPr>
        <w:spacing w:line="360" w:lineRule="auto"/>
        <w:ind w:left="0" w:firstLine="567"/>
        <w:jc w:val="both"/>
        <w:rPr>
          <w:rFonts w:ascii="Times New Roman" w:hAnsi="Times New Roman"/>
          <w:bCs/>
          <w:lang w:val="en-US"/>
        </w:rPr>
      </w:pPr>
      <w:r w:rsidRPr="00D516A7">
        <w:rPr>
          <w:rFonts w:ascii="Times New Roman" w:hAnsi="Times New Roman"/>
          <w:bCs/>
          <w:lang w:val="en-US"/>
        </w:rPr>
        <w:t>Atskleisti intelektinio kapitalo sampratą, valdymo ypatumus bei svarbą organizacijai.</w:t>
      </w:r>
    </w:p>
    <w:p w:rsidR="00D516A7" w:rsidRPr="00B44D27" w:rsidRDefault="00052198" w:rsidP="00B44D27">
      <w:pPr>
        <w:pStyle w:val="ListParagraph"/>
        <w:numPr>
          <w:ilvl w:val="0"/>
          <w:numId w:val="38"/>
        </w:numPr>
        <w:spacing w:line="360" w:lineRule="auto"/>
        <w:ind w:left="0" w:firstLine="567"/>
        <w:jc w:val="both"/>
        <w:rPr>
          <w:rFonts w:ascii="Times New Roman" w:hAnsi="Times New Roman"/>
          <w:bCs/>
          <w:lang w:val="en-US"/>
        </w:rPr>
      </w:pPr>
      <w:r w:rsidRPr="00D516A7">
        <w:rPr>
          <w:rFonts w:ascii="Times New Roman" w:hAnsi="Times New Roman"/>
          <w:lang w:val="en-US"/>
        </w:rPr>
        <w:t>Išnagrinėti intelekt</w:t>
      </w:r>
      <w:r w:rsidR="00B44D27">
        <w:rPr>
          <w:rFonts w:ascii="Times New Roman" w:hAnsi="Times New Roman"/>
          <w:lang w:val="en-US"/>
        </w:rPr>
        <w:t>inio kapitalo vertinimo metodus bei p</w:t>
      </w:r>
      <w:r w:rsidRPr="00B44D27">
        <w:rPr>
          <w:rFonts w:ascii="Times New Roman" w:hAnsi="Times New Roman"/>
          <w:lang w:val="en-US"/>
        </w:rPr>
        <w:t>ateikti vertinimo modelį įmonių intelektiniam kapitalui nustatyti ir įvertinti.</w:t>
      </w:r>
    </w:p>
    <w:p w:rsidR="00052198" w:rsidRPr="00D516A7" w:rsidRDefault="00052198" w:rsidP="00D516A7">
      <w:pPr>
        <w:pStyle w:val="ListParagraph"/>
        <w:numPr>
          <w:ilvl w:val="0"/>
          <w:numId w:val="38"/>
        </w:numPr>
        <w:spacing w:line="360" w:lineRule="auto"/>
        <w:ind w:left="0" w:firstLine="567"/>
        <w:jc w:val="both"/>
        <w:rPr>
          <w:rFonts w:ascii="Times New Roman" w:hAnsi="Times New Roman"/>
          <w:bCs/>
          <w:lang w:val="en-US"/>
        </w:rPr>
      </w:pPr>
      <w:r w:rsidRPr="00D516A7">
        <w:rPr>
          <w:rFonts w:ascii="Times New Roman" w:hAnsi="Times New Roman"/>
          <w:bCs/>
          <w:lang w:val="en-US"/>
        </w:rPr>
        <w:t>Įvertinti vertybinių popierių biržoje kotiruojamų įmonių intelektinio kapitalo lygį.</w:t>
      </w:r>
    </w:p>
    <w:p w:rsidR="00052198" w:rsidRPr="00052198" w:rsidRDefault="00052198" w:rsidP="00052198">
      <w:pPr>
        <w:spacing w:line="360" w:lineRule="auto"/>
        <w:ind w:firstLine="567"/>
        <w:jc w:val="both"/>
      </w:pPr>
      <w:r w:rsidRPr="00052198">
        <w:rPr>
          <w:b/>
          <w:bCs/>
        </w:rPr>
        <w:t xml:space="preserve">Tyrimo metodai: </w:t>
      </w:r>
      <w:r w:rsidRPr="00052198">
        <w:t>mokslinės literatūros palyginamoji analizė, santykinių rodiklių skaičiavimas ir palyginamoji analizė, grafinė analizė, koreliacinė analizė.</w:t>
      </w:r>
    </w:p>
    <w:p w:rsidR="00052198" w:rsidRPr="00052198" w:rsidRDefault="00052198" w:rsidP="00052198">
      <w:pPr>
        <w:spacing w:line="360" w:lineRule="auto"/>
        <w:ind w:firstLine="567"/>
        <w:jc w:val="both"/>
      </w:pPr>
      <w:r w:rsidRPr="00052198">
        <w:rPr>
          <w:b/>
          <w:bCs/>
        </w:rPr>
        <w:t xml:space="preserve">Darbo struktūra. </w:t>
      </w:r>
      <w:r w:rsidRPr="00052198">
        <w:rPr>
          <w:lang w:val="en-US"/>
        </w:rPr>
        <w:t xml:space="preserve">Darbą sudaro 3 dalys: </w:t>
      </w:r>
      <w:r w:rsidRPr="00052198">
        <w:t>pirmoje dalyje teoriniu požiūriu analizuojama intelektinio kapitalo, kaip subjekto, koncepcija, struktūra, vertinimo metodai. Antroje darbo dalyje aptariamas intelektinio kapitalo vertinimo būtinumas, procesas, metodika, sukurtas intelektinio kapitalo vertinimo modelis, pateikiami vertinimo metodai hipotezių tikrinimui. Tyr</w:t>
      </w:r>
      <w:r w:rsidR="00321E4F">
        <w:t>i</w:t>
      </w:r>
      <w:r w:rsidRPr="00052198">
        <w:t xml:space="preserve">mui atlikti atrinkos įmonės. Trečioje dalyje </w:t>
      </w:r>
      <w:r w:rsidRPr="00052198">
        <w:rPr>
          <w:lang w:val="en-US"/>
        </w:rPr>
        <w:t xml:space="preserve">atliekamas empirinis tyrimas, </w:t>
      </w:r>
      <w:r w:rsidRPr="00052198">
        <w:t>pateikiami biržoje listinguojamų įmonių intelektinio kapitalo lygio vertinimo rezultatai, intelektinio kapitalo lygio rodiklių koreliaciniai ryšiai tarpusavyje ir su įmonių finansiniais rodikliais. Gauti vertinimo rezul</w:t>
      </w:r>
      <w:r w:rsidR="00321E4F">
        <w:t>t</w:t>
      </w:r>
      <w:r w:rsidRPr="00052198">
        <w:t>at</w:t>
      </w:r>
      <w:r w:rsidR="00321E4F">
        <w:t>a</w:t>
      </w:r>
      <w:r w:rsidRPr="00052198">
        <w:t xml:space="preserve">i lyginami su užsienio šalies įmonių rezultatais. </w:t>
      </w:r>
    </w:p>
    <w:p w:rsidR="00052198" w:rsidRPr="00052198" w:rsidRDefault="00052198" w:rsidP="00052198">
      <w:pPr>
        <w:widowControl w:val="0"/>
        <w:autoSpaceDE w:val="0"/>
        <w:autoSpaceDN w:val="0"/>
        <w:adjustRightInd w:val="0"/>
        <w:spacing w:line="360" w:lineRule="auto"/>
        <w:ind w:firstLine="567"/>
        <w:jc w:val="both"/>
        <w:rPr>
          <w:lang w:val="en-US"/>
        </w:rPr>
      </w:pPr>
      <w:r w:rsidRPr="00052198">
        <w:rPr>
          <w:lang w:val="en-US"/>
        </w:rPr>
        <w:t>Analitinėje dalyje in</w:t>
      </w:r>
      <w:r w:rsidR="00E06CB3">
        <w:rPr>
          <w:lang w:val="en-US"/>
        </w:rPr>
        <w:t>telektinio kapitalo lygio skaičiavimui taikomas pridėtinės vertė</w:t>
      </w:r>
      <w:r w:rsidRPr="00052198">
        <w:rPr>
          <w:lang w:val="en-US"/>
        </w:rPr>
        <w:t>s intelektualusis, intelektinio</w:t>
      </w:r>
      <w:r w:rsidR="00E06CB3">
        <w:rPr>
          <w:lang w:val="en-US"/>
        </w:rPr>
        <w:t xml:space="preserve"> kapitalo efektyvumo bei apskaič</w:t>
      </w:r>
      <w:r w:rsidRPr="00052198">
        <w:rPr>
          <w:lang w:val="en-US"/>
        </w:rPr>
        <w:t>iamosios nemateria</w:t>
      </w:r>
      <w:r w:rsidR="009377B7">
        <w:rPr>
          <w:lang w:val="en-US"/>
        </w:rPr>
        <w:t>lios vertės koeficientai. Skaičiuojami finansiniai įmonių rodikliai – turto grą</w:t>
      </w:r>
      <w:r w:rsidRPr="00052198">
        <w:rPr>
          <w:lang w:val="en-US"/>
        </w:rPr>
        <w:t>ža, n</w:t>
      </w:r>
      <w:r w:rsidR="009377B7">
        <w:rPr>
          <w:lang w:val="en-US"/>
        </w:rPr>
        <w:t>uosavybės grą</w:t>
      </w:r>
      <w:r w:rsidRPr="00052198">
        <w:rPr>
          <w:lang w:val="en-US"/>
        </w:rPr>
        <w:t>ža. Tiriamas kor</w:t>
      </w:r>
      <w:r w:rsidR="009377B7">
        <w:rPr>
          <w:lang w:val="en-US"/>
        </w:rPr>
        <w:t>eliacinis ryšys tarp finansinių ir nefinansinių rodiklių</w:t>
      </w:r>
      <w:r w:rsidRPr="00052198">
        <w:rPr>
          <w:lang w:val="en-US"/>
        </w:rPr>
        <w:t xml:space="preserve">. Informacija </w:t>
      </w:r>
      <w:r w:rsidRPr="00052198">
        <w:t>tyrmui atlikti imta iš 10 OMX Vilnius ir 6 OMX Talinas vertybinių popierių biržose listinguojamų Oficialiojo sąrašo įmonių finansinių ataskaitų ir šalių statistikos institucijų.</w:t>
      </w:r>
    </w:p>
    <w:p w:rsidR="00C645EC" w:rsidRPr="00D516A7" w:rsidRDefault="00052198" w:rsidP="003358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b/>
        </w:rPr>
      </w:pPr>
      <w:r w:rsidRPr="00D516A7">
        <w:rPr>
          <w:b/>
        </w:rPr>
        <w:t xml:space="preserve">Išvados. </w:t>
      </w:r>
      <w:r w:rsidR="00C645EC" w:rsidRPr="00D516A7">
        <w:rPr>
          <w:lang w:val="en-US"/>
        </w:rPr>
        <w:t>Daugelio autori</w:t>
      </w:r>
      <w:r w:rsidR="00C645EC" w:rsidRPr="00D516A7">
        <w:t>ų i</w:t>
      </w:r>
      <w:r w:rsidR="00C645EC" w:rsidRPr="00D516A7">
        <w:rPr>
          <w:lang w:val="en-US"/>
        </w:rPr>
        <w:t xml:space="preserve">ntelektinis kapitalas apibūdinamas kaip nematerialusis turtas, žinios, konkurencinis pranašumas, skirstomas į žmogiškąjį, struktūrinį ir socialinį kapitalus bei matuojamas tiek kokybiniais, tiek kiekybiniais metodais, kurie skiriasi savo </w:t>
      </w:r>
      <w:r w:rsidR="00C645EC" w:rsidRPr="00D516A7">
        <w:t xml:space="preserve">skaičiavimo metodika, sudėtingumu, įvertinamais elementais, interpretacijos galimybėmis, gaunamų rezultatų paskirtimi bei panaudojimu. </w:t>
      </w:r>
    </w:p>
    <w:p w:rsidR="0063541A" w:rsidRPr="00D516A7" w:rsidRDefault="0063541A" w:rsidP="006354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bCs/>
        </w:rPr>
      </w:pPr>
      <w:r w:rsidRPr="00D516A7">
        <w:t xml:space="preserve">Hipotezė, kad </w:t>
      </w:r>
      <w:r w:rsidRPr="00D516A7">
        <w:rPr>
          <w:bCs/>
        </w:rPr>
        <w:t>yra santykinis ryšys tarp įmonių finansinių ir nefinansinių intelektinio kapitalo lygio vertinimo rodiklių</w:t>
      </w:r>
      <w:r w:rsidRPr="00D516A7">
        <w:t xml:space="preserve">, OMX Vilnius įmonių atveju nepasitvirtino. Hipotezė, kad yra santykinis ryšys tarp nefinansinių intelektualiųjų rodiklių, OMX Vilnius atveju pasitvirtino tik iš dalies. </w:t>
      </w:r>
      <w:r w:rsidRPr="00D516A7">
        <w:rPr>
          <w:lang w:val="en-US"/>
        </w:rPr>
        <w:t xml:space="preserve">Priešingai OMX Talinas </w:t>
      </w:r>
      <w:r w:rsidRPr="00D516A7">
        <w:t>įmonių atveju</w:t>
      </w:r>
      <w:r w:rsidRPr="00D516A7">
        <w:rPr>
          <w:lang w:val="en-US"/>
        </w:rPr>
        <w:t xml:space="preserve"> </w:t>
      </w:r>
      <w:r w:rsidRPr="00D516A7">
        <w:rPr>
          <w:lang w:eastAsia="ja-JP"/>
        </w:rPr>
        <w:t>atliktas tyrimas parodė, kad</w:t>
      </w:r>
      <w:r w:rsidRPr="00D516A7">
        <w:rPr>
          <w:lang w:val="en-US"/>
        </w:rPr>
        <w:t xml:space="preserve"> kintant intelektinio kapitalo vertinimo rodikliams, proporcingai kinta ir finansiniai arba nefinansiniai įmonių rodikliai. Abi iškeltos hipotezės OMX Talinas atveju pasitvirtino. O palyginus abiejų šalių atitinkamas įmones tik pasitvirtino, kad tarp Lietuvos įmonių analizuojamų rodiklių reikšmingų koreliacinių ryšių neaptinkta.</w:t>
      </w:r>
    </w:p>
    <w:p w:rsidR="00BE2A22" w:rsidRPr="003E7CAC" w:rsidRDefault="00BE2A22" w:rsidP="00BE2A22">
      <w:pPr>
        <w:spacing w:line="360" w:lineRule="auto"/>
        <w:jc w:val="both"/>
        <w:rPr>
          <w:b/>
        </w:rPr>
      </w:pPr>
    </w:p>
    <w:p w:rsidR="00B44D27" w:rsidRPr="00B44D27" w:rsidRDefault="00CF0197" w:rsidP="00B44D27">
      <w:pPr>
        <w:spacing w:line="360" w:lineRule="auto"/>
        <w:ind w:firstLine="567"/>
        <w:jc w:val="both"/>
      </w:pPr>
      <w:r>
        <w:rPr>
          <w:lang w:val="en-US"/>
        </w:rPr>
        <w:br w:type="column"/>
      </w:r>
      <w:r w:rsidR="00B44D27" w:rsidRPr="00B44D27">
        <w:rPr>
          <w:b/>
        </w:rPr>
        <w:t>Girzadiene S.</w:t>
      </w:r>
      <w:r w:rsidR="00B44D27" w:rsidRPr="00B44D27">
        <w:t xml:space="preserve"> </w:t>
      </w:r>
      <w:r w:rsidR="00B44D27" w:rsidRPr="00B44D27">
        <w:rPr>
          <w:lang w:val="en-GB"/>
        </w:rPr>
        <w:t>Intellectual capital valuation of listed companies</w:t>
      </w:r>
      <w:r w:rsidR="00B44D27">
        <w:rPr>
          <w:lang w:val="en-GB"/>
        </w:rPr>
        <w:t xml:space="preserve"> </w:t>
      </w:r>
      <w:r w:rsidR="00B44D27" w:rsidRPr="00B44D27">
        <w:t xml:space="preserve">/ </w:t>
      </w:r>
      <w:r w:rsidR="00B44D27">
        <w:t>M</w:t>
      </w:r>
      <w:r w:rsidR="00B44D27" w:rsidRPr="00B44D27">
        <w:t>aster</w:t>
      </w:r>
      <w:r w:rsidR="00B44D27">
        <w:t>’s</w:t>
      </w:r>
      <w:r w:rsidR="00B44D27" w:rsidRPr="00B44D27">
        <w:t xml:space="preserve"> thesis</w:t>
      </w:r>
      <w:r w:rsidR="00B44D27">
        <w:t xml:space="preserve"> in Financial markets</w:t>
      </w:r>
      <w:r w:rsidR="00B44D27" w:rsidRPr="00B44D27">
        <w:t>. Supervisos assoc. doc. dr. A. Linartas. – Vilnius: Faculty of Economics and Finance</w:t>
      </w:r>
      <w:r w:rsidR="00B44D27">
        <w:t xml:space="preserve"> Management</w:t>
      </w:r>
      <w:r w:rsidR="00B44D27" w:rsidRPr="00B44D27">
        <w:t>, Mykolas Romeris University, 2014</w:t>
      </w:r>
      <w:r w:rsidR="00B44D27" w:rsidRPr="00321E4F">
        <w:t xml:space="preserve">. – </w:t>
      </w:r>
      <w:r w:rsidR="00536246" w:rsidRPr="00321E4F">
        <w:t>7</w:t>
      </w:r>
      <w:r w:rsidR="00321E4F" w:rsidRPr="00321E4F">
        <w:t>4</w:t>
      </w:r>
      <w:r w:rsidR="00B44D27" w:rsidRPr="00321E4F">
        <w:rPr>
          <w:sz w:val="32"/>
          <w:szCs w:val="32"/>
        </w:rPr>
        <w:t xml:space="preserve"> </w:t>
      </w:r>
      <w:r w:rsidR="00B44D27" w:rsidRPr="00321E4F">
        <w:t>p.</w:t>
      </w:r>
    </w:p>
    <w:p w:rsidR="00B44D27" w:rsidRDefault="00B44D27" w:rsidP="00BE2A22">
      <w:pPr>
        <w:rPr>
          <w:lang w:val="en-US"/>
        </w:rPr>
      </w:pPr>
    </w:p>
    <w:p w:rsidR="00B44D27" w:rsidRPr="00B44D27" w:rsidRDefault="00B44D27" w:rsidP="00B44D27">
      <w:pPr>
        <w:jc w:val="center"/>
        <w:rPr>
          <w:b/>
          <w:lang w:val="en-GB"/>
        </w:rPr>
      </w:pPr>
      <w:r w:rsidRPr="00B44D27">
        <w:rPr>
          <w:b/>
          <w:lang w:val="en-GB"/>
        </w:rPr>
        <w:t>SUMMARY</w:t>
      </w:r>
    </w:p>
    <w:p w:rsidR="00B44D27" w:rsidRPr="00211CF8" w:rsidRDefault="00B44D27" w:rsidP="00B44D27">
      <w:pPr>
        <w:jc w:val="both"/>
        <w:rPr>
          <w:b/>
          <w:lang w:val="en-GB"/>
        </w:rPr>
      </w:pPr>
    </w:p>
    <w:p w:rsidR="00B44D27" w:rsidRPr="00211CF8" w:rsidRDefault="00B44D27" w:rsidP="00B44D27">
      <w:pPr>
        <w:spacing w:line="360" w:lineRule="auto"/>
        <w:ind w:firstLine="567"/>
        <w:jc w:val="both"/>
        <w:rPr>
          <w:lang w:val="en-GB"/>
        </w:rPr>
      </w:pPr>
      <w:r>
        <w:rPr>
          <w:lang w:val="en-GB"/>
        </w:rPr>
        <w:t>The topic of this Master’s thesis is relevant with gradual increase of attention toward intellectual resources of a company, because the traditional financial indicators fail to accurately reflect the current value of a company</w:t>
      </w:r>
      <w:r w:rsidRPr="00211CF8">
        <w:rPr>
          <w:lang w:val="en-GB"/>
        </w:rPr>
        <w:t xml:space="preserve">. </w:t>
      </w:r>
      <w:r>
        <w:rPr>
          <w:lang w:val="en-GB"/>
        </w:rPr>
        <w:t>Whereas intellectual capital has the potential to create value and helps a company to gain a competitive advantage</w:t>
      </w:r>
      <w:r w:rsidRPr="00211CF8">
        <w:rPr>
          <w:lang w:val="en-GB"/>
        </w:rPr>
        <w:t xml:space="preserve">. </w:t>
      </w:r>
      <w:r>
        <w:rPr>
          <w:lang w:val="en-GB"/>
        </w:rPr>
        <w:t>The novelty of the topic is obvious, since the Master’s thesis assesses the level of intellectual capital and looks for a connection between traditional financial indicators and non-financial calculation methods to determine whether non-financial indicators may affect enterprise added-value creation, results and optimistic prospects</w:t>
      </w:r>
      <w:r w:rsidRPr="00211CF8">
        <w:rPr>
          <w:lang w:val="en-GB"/>
        </w:rPr>
        <w:t>.</w:t>
      </w:r>
    </w:p>
    <w:p w:rsidR="00B44D27" w:rsidRPr="00211CF8" w:rsidRDefault="00B44D27" w:rsidP="00B44D27">
      <w:pPr>
        <w:spacing w:line="360" w:lineRule="auto"/>
        <w:ind w:firstLine="567"/>
        <w:jc w:val="both"/>
        <w:rPr>
          <w:bCs/>
          <w:lang w:val="en-GB"/>
        </w:rPr>
      </w:pPr>
      <w:r w:rsidRPr="00211CF8">
        <w:rPr>
          <w:b/>
          <w:lang w:val="en-GB"/>
        </w:rPr>
        <w:t xml:space="preserve">Problem: </w:t>
      </w:r>
      <w:r>
        <w:rPr>
          <w:lang w:val="en-GB"/>
        </w:rPr>
        <w:t>How to evaluate intellectual capital of listed companies</w:t>
      </w:r>
      <w:r w:rsidRPr="00211CF8">
        <w:rPr>
          <w:bCs/>
          <w:lang w:val="en-GB"/>
        </w:rPr>
        <w:t>?</w:t>
      </w:r>
    </w:p>
    <w:p w:rsidR="00B44D27" w:rsidRPr="00211CF8" w:rsidRDefault="00B44D27" w:rsidP="00B44D27">
      <w:pPr>
        <w:spacing w:line="360" w:lineRule="auto"/>
        <w:ind w:firstLine="567"/>
        <w:jc w:val="both"/>
        <w:rPr>
          <w:bCs/>
          <w:lang w:val="en-GB"/>
        </w:rPr>
      </w:pPr>
      <w:r>
        <w:rPr>
          <w:b/>
          <w:bCs/>
          <w:lang w:val="en-GB"/>
        </w:rPr>
        <w:t>Object of the research</w:t>
      </w:r>
      <w:r w:rsidRPr="00211CF8">
        <w:rPr>
          <w:b/>
          <w:bCs/>
          <w:lang w:val="en-GB"/>
        </w:rPr>
        <w:t xml:space="preserve">. </w:t>
      </w:r>
      <w:r>
        <w:rPr>
          <w:bCs/>
          <w:lang w:val="en-GB"/>
        </w:rPr>
        <w:t>Intellectual capital of listed companies</w:t>
      </w:r>
      <w:r w:rsidRPr="00211CF8">
        <w:rPr>
          <w:bCs/>
          <w:lang w:val="en-GB"/>
        </w:rPr>
        <w:t>.</w:t>
      </w:r>
    </w:p>
    <w:p w:rsidR="00B44D27" w:rsidRPr="00211CF8" w:rsidRDefault="00B44D27" w:rsidP="00B44D27">
      <w:pPr>
        <w:spacing w:line="360" w:lineRule="auto"/>
        <w:ind w:firstLine="567"/>
        <w:jc w:val="both"/>
        <w:rPr>
          <w:lang w:val="en-GB"/>
        </w:rPr>
      </w:pPr>
      <w:r>
        <w:rPr>
          <w:b/>
          <w:bCs/>
          <w:lang w:val="en-GB"/>
        </w:rPr>
        <w:t>Hypotheses of the research</w:t>
      </w:r>
      <w:r w:rsidRPr="00211CF8">
        <w:rPr>
          <w:b/>
          <w:bCs/>
          <w:lang w:val="en-GB"/>
        </w:rPr>
        <w:t xml:space="preserve">: </w:t>
      </w:r>
      <w:r w:rsidRPr="00211CF8">
        <w:rPr>
          <w:lang w:val="en-GB"/>
        </w:rPr>
        <w:t xml:space="preserve">H1: </w:t>
      </w:r>
      <w:r w:rsidR="00242BC6">
        <w:rPr>
          <w:lang w:val="en-GB"/>
        </w:rPr>
        <w:t>T</w:t>
      </w:r>
      <w:r>
        <w:rPr>
          <w:lang w:val="en-GB"/>
        </w:rPr>
        <w:t>here is a positive relationship between financial and non-financial indicators of intellectual companies</w:t>
      </w:r>
      <w:r w:rsidRPr="00211CF8">
        <w:rPr>
          <w:lang w:val="en-GB"/>
        </w:rPr>
        <w:t xml:space="preserve">. </w:t>
      </w:r>
    </w:p>
    <w:p w:rsidR="00B44D27" w:rsidRPr="00211CF8" w:rsidRDefault="00B44D27" w:rsidP="00B44D27">
      <w:pPr>
        <w:spacing w:line="360" w:lineRule="auto"/>
        <w:ind w:firstLine="567"/>
        <w:jc w:val="both"/>
        <w:rPr>
          <w:lang w:val="en-GB"/>
        </w:rPr>
      </w:pPr>
      <w:r w:rsidRPr="00211CF8">
        <w:rPr>
          <w:lang w:val="en-GB"/>
        </w:rPr>
        <w:t xml:space="preserve">H2: </w:t>
      </w:r>
      <w:r w:rsidR="00242BC6">
        <w:rPr>
          <w:lang w:val="en-GB"/>
        </w:rPr>
        <w:t>T</w:t>
      </w:r>
      <w:r>
        <w:rPr>
          <w:lang w:val="en-GB"/>
        </w:rPr>
        <w:t>here is a positive relationship among non-financial intellectual indicators</w:t>
      </w:r>
      <w:r w:rsidRPr="00211CF8">
        <w:rPr>
          <w:lang w:val="en-GB"/>
        </w:rPr>
        <w:t>.</w:t>
      </w:r>
    </w:p>
    <w:p w:rsidR="00B44D27" w:rsidRPr="000C2EF9" w:rsidRDefault="00B44D27" w:rsidP="00B44D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bCs/>
          <w:lang w:val="en-GB"/>
        </w:rPr>
      </w:pPr>
      <w:r>
        <w:rPr>
          <w:b/>
          <w:bCs/>
          <w:lang w:val="en-GB"/>
        </w:rPr>
        <w:t>The aim of the research</w:t>
      </w:r>
      <w:r w:rsidRPr="000C2EF9">
        <w:rPr>
          <w:b/>
          <w:bCs/>
          <w:lang w:val="en-GB"/>
        </w:rPr>
        <w:t xml:space="preserve">. </w:t>
      </w:r>
      <w:r>
        <w:rPr>
          <w:bCs/>
          <w:lang w:val="en-GB"/>
        </w:rPr>
        <w:t>To reveal the concept of intellectual capital and to evaluate intellectual capital of listed companies</w:t>
      </w:r>
      <w:r w:rsidRPr="000C2EF9">
        <w:rPr>
          <w:bCs/>
          <w:lang w:val="en-GB"/>
        </w:rPr>
        <w:t>.</w:t>
      </w:r>
    </w:p>
    <w:p w:rsidR="00B44D27" w:rsidRPr="000C2EF9" w:rsidRDefault="00B44D27" w:rsidP="00B44D27">
      <w:pPr>
        <w:spacing w:line="360" w:lineRule="auto"/>
        <w:ind w:firstLine="567"/>
        <w:jc w:val="both"/>
        <w:rPr>
          <w:b/>
          <w:bCs/>
          <w:lang w:val="en-GB"/>
        </w:rPr>
      </w:pPr>
      <w:r>
        <w:rPr>
          <w:b/>
          <w:bCs/>
          <w:lang w:val="en-GB"/>
        </w:rPr>
        <w:t>Objectives of the research</w:t>
      </w:r>
      <w:r w:rsidRPr="000C2EF9">
        <w:rPr>
          <w:b/>
          <w:bCs/>
          <w:lang w:val="en-GB"/>
        </w:rPr>
        <w:t xml:space="preserve">: </w:t>
      </w:r>
    </w:p>
    <w:p w:rsidR="00B44D27" w:rsidRPr="000C2EF9" w:rsidRDefault="00B44D27" w:rsidP="00536246">
      <w:pPr>
        <w:pStyle w:val="ListParagraph"/>
        <w:numPr>
          <w:ilvl w:val="0"/>
          <w:numId w:val="39"/>
        </w:numPr>
        <w:spacing w:line="360" w:lineRule="auto"/>
        <w:ind w:left="0" w:firstLine="567"/>
        <w:jc w:val="both"/>
        <w:rPr>
          <w:rFonts w:ascii="Times New Roman" w:hAnsi="Times New Roman"/>
          <w:bCs/>
          <w:lang w:val="en-GB"/>
        </w:rPr>
      </w:pPr>
      <w:r>
        <w:rPr>
          <w:rFonts w:ascii="Times New Roman" w:hAnsi="Times New Roman"/>
          <w:bCs/>
          <w:lang w:val="en-GB"/>
        </w:rPr>
        <w:t>To reveal the concept of intellectual capital, management features and the importance for the organization</w:t>
      </w:r>
      <w:r w:rsidRPr="000C2EF9">
        <w:rPr>
          <w:rFonts w:ascii="Times New Roman" w:hAnsi="Times New Roman"/>
          <w:bCs/>
          <w:lang w:val="en-GB"/>
        </w:rPr>
        <w:t>.</w:t>
      </w:r>
    </w:p>
    <w:p w:rsidR="00B44D27" w:rsidRPr="000C2EF9" w:rsidRDefault="00B44D27" w:rsidP="00536246">
      <w:pPr>
        <w:pStyle w:val="ListParagraph"/>
        <w:numPr>
          <w:ilvl w:val="0"/>
          <w:numId w:val="39"/>
        </w:numPr>
        <w:spacing w:line="360" w:lineRule="auto"/>
        <w:ind w:left="0" w:firstLine="567"/>
        <w:jc w:val="both"/>
        <w:rPr>
          <w:rFonts w:ascii="Times New Roman" w:hAnsi="Times New Roman"/>
          <w:bCs/>
          <w:lang w:val="en-GB"/>
        </w:rPr>
      </w:pPr>
      <w:r>
        <w:rPr>
          <w:rFonts w:ascii="Times New Roman" w:hAnsi="Times New Roman"/>
          <w:lang w:val="en-GB"/>
        </w:rPr>
        <w:t>To analyze the intellectual capital valuation methods and to present valuation model for identification and evaluation of intellectual capital of companies</w:t>
      </w:r>
      <w:r w:rsidRPr="000C2EF9">
        <w:rPr>
          <w:rFonts w:ascii="Times New Roman" w:hAnsi="Times New Roman"/>
          <w:lang w:val="en-GB"/>
        </w:rPr>
        <w:t>.</w:t>
      </w:r>
    </w:p>
    <w:p w:rsidR="00B44D27" w:rsidRPr="000C2EF9" w:rsidRDefault="00B44D27" w:rsidP="00536246">
      <w:pPr>
        <w:pStyle w:val="ListParagraph"/>
        <w:numPr>
          <w:ilvl w:val="0"/>
          <w:numId w:val="39"/>
        </w:numPr>
        <w:spacing w:line="360" w:lineRule="auto"/>
        <w:ind w:left="0" w:firstLine="567"/>
        <w:jc w:val="both"/>
        <w:rPr>
          <w:rFonts w:ascii="Times New Roman" w:hAnsi="Times New Roman"/>
          <w:bCs/>
          <w:lang w:val="en-GB"/>
        </w:rPr>
      </w:pPr>
      <w:r>
        <w:rPr>
          <w:rFonts w:ascii="Times New Roman" w:hAnsi="Times New Roman"/>
          <w:bCs/>
          <w:lang w:val="en-GB"/>
        </w:rPr>
        <w:t>To assess the level of intellectual capital of listed companies</w:t>
      </w:r>
      <w:r w:rsidRPr="000C2EF9">
        <w:rPr>
          <w:rFonts w:ascii="Times New Roman" w:hAnsi="Times New Roman"/>
          <w:bCs/>
          <w:lang w:val="en-GB"/>
        </w:rPr>
        <w:t>.</w:t>
      </w:r>
    </w:p>
    <w:p w:rsidR="00B44D27" w:rsidRPr="000C2EF9" w:rsidRDefault="00B44D27" w:rsidP="00B44D27">
      <w:pPr>
        <w:spacing w:line="360" w:lineRule="auto"/>
        <w:ind w:firstLine="567"/>
        <w:jc w:val="both"/>
        <w:rPr>
          <w:lang w:val="en-GB"/>
        </w:rPr>
      </w:pPr>
      <w:r>
        <w:rPr>
          <w:b/>
          <w:bCs/>
          <w:lang w:val="en-GB"/>
        </w:rPr>
        <w:t>Methods of the research</w:t>
      </w:r>
      <w:r w:rsidRPr="000C2EF9">
        <w:rPr>
          <w:b/>
          <w:bCs/>
          <w:lang w:val="en-GB"/>
        </w:rPr>
        <w:t xml:space="preserve">: </w:t>
      </w:r>
      <w:r>
        <w:rPr>
          <w:bCs/>
          <w:lang w:val="en-GB"/>
        </w:rPr>
        <w:t>comparative analysis of scientific literature, calculation of relative performance and comparative analysis, graphical analysis and correlation analysis</w:t>
      </w:r>
      <w:r w:rsidRPr="000C2EF9">
        <w:rPr>
          <w:lang w:val="en-GB"/>
        </w:rPr>
        <w:t>.</w:t>
      </w:r>
    </w:p>
    <w:p w:rsidR="00B44D27" w:rsidRPr="000C2EF9" w:rsidRDefault="00B44D27" w:rsidP="00B44D27">
      <w:pPr>
        <w:spacing w:line="360" w:lineRule="auto"/>
        <w:ind w:firstLine="567"/>
        <w:jc w:val="both"/>
        <w:rPr>
          <w:lang w:val="en-GB"/>
        </w:rPr>
      </w:pPr>
      <w:r>
        <w:rPr>
          <w:b/>
          <w:bCs/>
          <w:lang w:val="en-GB"/>
        </w:rPr>
        <w:t>Structure of the thesis</w:t>
      </w:r>
      <w:r w:rsidRPr="000C2EF9">
        <w:rPr>
          <w:b/>
          <w:bCs/>
          <w:lang w:val="en-GB"/>
        </w:rPr>
        <w:t xml:space="preserve">. </w:t>
      </w:r>
      <w:r>
        <w:rPr>
          <w:bCs/>
          <w:lang w:val="en-GB"/>
        </w:rPr>
        <w:t xml:space="preserve">The thesis consists of </w:t>
      </w:r>
      <w:r w:rsidRPr="000C2EF9">
        <w:rPr>
          <w:lang w:val="en-GB"/>
        </w:rPr>
        <w:t xml:space="preserve">3 </w:t>
      </w:r>
      <w:r>
        <w:rPr>
          <w:lang w:val="en-GB"/>
        </w:rPr>
        <w:t>parts</w:t>
      </w:r>
      <w:r w:rsidRPr="000C2EF9">
        <w:rPr>
          <w:lang w:val="en-GB"/>
        </w:rPr>
        <w:t xml:space="preserve">: </w:t>
      </w:r>
      <w:r>
        <w:rPr>
          <w:lang w:val="en-GB"/>
        </w:rPr>
        <w:t>The first part analyses the concept of intellectual capital as a subject, its structure and methods of intellectual capital valuation from the theoretical point of view</w:t>
      </w:r>
      <w:r w:rsidRPr="000C2EF9">
        <w:rPr>
          <w:lang w:val="en-GB"/>
        </w:rPr>
        <w:t xml:space="preserve">. </w:t>
      </w:r>
      <w:r>
        <w:rPr>
          <w:lang w:val="en-GB"/>
        </w:rPr>
        <w:t>The second part of the thesis discusses the necessity, process and methodology of intellectual capital valuation;</w:t>
      </w:r>
      <w:r w:rsidRPr="000C2EF9">
        <w:rPr>
          <w:lang w:val="en-GB"/>
        </w:rPr>
        <w:t xml:space="preserve"> </w:t>
      </w:r>
      <w:r>
        <w:rPr>
          <w:lang w:val="en-GB"/>
        </w:rPr>
        <w:t>intellectual capital valuation model is created and valuation methods to test hypotheses are presented</w:t>
      </w:r>
      <w:r w:rsidRPr="000C2EF9">
        <w:rPr>
          <w:lang w:val="en-GB"/>
        </w:rPr>
        <w:t xml:space="preserve">. </w:t>
      </w:r>
      <w:r>
        <w:rPr>
          <w:lang w:val="en-GB"/>
        </w:rPr>
        <w:t>To conduct the research the companies have been selected</w:t>
      </w:r>
      <w:r w:rsidRPr="000C2EF9">
        <w:rPr>
          <w:lang w:val="en-GB"/>
        </w:rPr>
        <w:t xml:space="preserve">. </w:t>
      </w:r>
      <w:r>
        <w:rPr>
          <w:lang w:val="en-GB"/>
        </w:rPr>
        <w:t>The empirical study is carried out in the third part, where the results of valuation of intellectual capital level of listed companies</w:t>
      </w:r>
      <w:r w:rsidRPr="00211CF8">
        <w:rPr>
          <w:lang w:val="en-GB"/>
        </w:rPr>
        <w:t xml:space="preserve"> </w:t>
      </w:r>
      <w:r>
        <w:rPr>
          <w:lang w:val="en-GB"/>
        </w:rPr>
        <w:t>as well as intercorrelations of the indicators of intellectual capital level and correlations among financial indicators are presented</w:t>
      </w:r>
      <w:r w:rsidRPr="00211CF8">
        <w:rPr>
          <w:lang w:val="en-GB"/>
        </w:rPr>
        <w:t xml:space="preserve">. </w:t>
      </w:r>
      <w:r>
        <w:rPr>
          <w:lang w:val="en-GB"/>
        </w:rPr>
        <w:t>The obtained valuation results are compared to the results of companies from foreign country</w:t>
      </w:r>
      <w:r w:rsidRPr="000C2EF9">
        <w:rPr>
          <w:lang w:val="en-GB"/>
        </w:rPr>
        <w:t xml:space="preserve">. </w:t>
      </w:r>
    </w:p>
    <w:p w:rsidR="00B44D27" w:rsidRPr="000C2EF9" w:rsidRDefault="00B44D27" w:rsidP="00B44D27">
      <w:pPr>
        <w:widowControl w:val="0"/>
        <w:autoSpaceDE w:val="0"/>
        <w:autoSpaceDN w:val="0"/>
        <w:adjustRightInd w:val="0"/>
        <w:spacing w:line="360" w:lineRule="auto"/>
        <w:ind w:firstLine="567"/>
        <w:jc w:val="both"/>
        <w:rPr>
          <w:lang w:val="en-GB"/>
        </w:rPr>
      </w:pPr>
      <w:r>
        <w:rPr>
          <w:lang w:val="en-GB"/>
        </w:rPr>
        <w:t>To calculate the level of intellectual capital, value added intellectual, intellectual capital efficiency and calculated intangible value coefficients are applied in the analytical part</w:t>
      </w:r>
      <w:r w:rsidRPr="000C2EF9">
        <w:rPr>
          <w:lang w:val="en-GB"/>
        </w:rPr>
        <w:t xml:space="preserve">. </w:t>
      </w:r>
      <w:r>
        <w:rPr>
          <w:lang w:val="en-GB"/>
        </w:rPr>
        <w:t>Financial indicators of companies, such as return on assets and return on equity are calculated.</w:t>
      </w:r>
      <w:r w:rsidRPr="000C2EF9">
        <w:rPr>
          <w:lang w:val="en-GB"/>
        </w:rPr>
        <w:t xml:space="preserve"> </w:t>
      </w:r>
      <w:r>
        <w:rPr>
          <w:lang w:val="en-GB"/>
        </w:rPr>
        <w:t>The relationship between financial and non-financial indicators is analysed</w:t>
      </w:r>
      <w:r w:rsidRPr="000C2EF9">
        <w:rPr>
          <w:lang w:val="en-GB"/>
        </w:rPr>
        <w:t xml:space="preserve">. </w:t>
      </w:r>
      <w:r>
        <w:rPr>
          <w:lang w:val="en-GB"/>
        </w:rPr>
        <w:t xml:space="preserve">To conduct the research, the information has been taken from the financial statements of </w:t>
      </w:r>
      <w:r w:rsidRPr="000C2EF9">
        <w:rPr>
          <w:lang w:val="en-GB"/>
        </w:rPr>
        <w:t>10</w:t>
      </w:r>
      <w:r>
        <w:rPr>
          <w:lang w:val="en-GB"/>
        </w:rPr>
        <w:t xml:space="preserve"> companies listed in </w:t>
      </w:r>
      <w:r w:rsidRPr="000C2EF9">
        <w:rPr>
          <w:lang w:val="en-GB"/>
        </w:rPr>
        <w:t xml:space="preserve">OMX Vilnius </w:t>
      </w:r>
      <w:r>
        <w:rPr>
          <w:lang w:val="en-GB"/>
        </w:rPr>
        <w:t>and</w:t>
      </w:r>
      <w:r w:rsidRPr="000C2EF9">
        <w:rPr>
          <w:lang w:val="en-GB"/>
        </w:rPr>
        <w:t xml:space="preserve"> 6 </w:t>
      </w:r>
      <w:r>
        <w:rPr>
          <w:lang w:val="en-GB"/>
        </w:rPr>
        <w:t xml:space="preserve">companies listed in </w:t>
      </w:r>
      <w:r w:rsidRPr="000C2EF9">
        <w:rPr>
          <w:lang w:val="en-GB"/>
        </w:rPr>
        <w:t>OMX Tal</w:t>
      </w:r>
      <w:r>
        <w:rPr>
          <w:lang w:val="en-GB"/>
        </w:rPr>
        <w:t>linn Official List as well as the national statistical authorities</w:t>
      </w:r>
      <w:r w:rsidRPr="000C2EF9">
        <w:rPr>
          <w:lang w:val="en-GB"/>
        </w:rPr>
        <w:t>.</w:t>
      </w:r>
    </w:p>
    <w:p w:rsidR="00B44D27" w:rsidRPr="000C2EF9" w:rsidRDefault="00B44D27" w:rsidP="00B44D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b/>
          <w:lang w:val="en-GB"/>
        </w:rPr>
      </w:pPr>
      <w:r>
        <w:rPr>
          <w:b/>
          <w:lang w:val="en-GB"/>
        </w:rPr>
        <w:t>Conclusions.</w:t>
      </w:r>
      <w:r w:rsidRPr="000C2EF9">
        <w:rPr>
          <w:b/>
          <w:lang w:val="en-GB"/>
        </w:rPr>
        <w:t xml:space="preserve"> </w:t>
      </w:r>
      <w:r>
        <w:rPr>
          <w:lang w:val="en-GB"/>
        </w:rPr>
        <w:t>Intellectual capital of many authors is described as intangible assets, knowledge, competitive advantage and it is divided into human, structural and social capitals and is measured in both quantitative and qualitative methods, which differ in their method of calculation, complexity, measurable elements, possibilities for interpretation, the purpose and use of the obtained results</w:t>
      </w:r>
      <w:r w:rsidRPr="000C2EF9">
        <w:rPr>
          <w:lang w:val="en-GB"/>
        </w:rPr>
        <w:t xml:space="preserve">. </w:t>
      </w:r>
    </w:p>
    <w:p w:rsidR="00B44D27" w:rsidRPr="000C2EF9" w:rsidRDefault="00B44D27" w:rsidP="00B44D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bCs/>
          <w:lang w:val="en-GB"/>
        </w:rPr>
      </w:pPr>
      <w:r>
        <w:rPr>
          <w:lang w:val="en-GB"/>
        </w:rPr>
        <w:t>The hypothesis that there is a correlation between financial and non-financial indicators of valuation of intellectual capital level of companies has failed in the case of companies listed in OMX Vilnius</w:t>
      </w:r>
      <w:r w:rsidRPr="000C2EF9">
        <w:rPr>
          <w:lang w:val="en-GB"/>
        </w:rPr>
        <w:t xml:space="preserve">. </w:t>
      </w:r>
      <w:r>
        <w:rPr>
          <w:lang w:val="en-GB"/>
        </w:rPr>
        <w:t xml:space="preserve">The hypothesis that there is a correlation among non-financial intellectual indicators has proven only partially in the case of </w:t>
      </w:r>
      <w:r w:rsidRPr="000C2EF9">
        <w:rPr>
          <w:lang w:val="en-GB"/>
        </w:rPr>
        <w:t xml:space="preserve">OMX Vilnius. </w:t>
      </w:r>
      <w:r>
        <w:rPr>
          <w:lang w:val="en-GB"/>
        </w:rPr>
        <w:t>In contrast, the research conducted in the case of companies listed in</w:t>
      </w:r>
      <w:r w:rsidRPr="000C2EF9">
        <w:rPr>
          <w:lang w:val="en-GB"/>
        </w:rPr>
        <w:t xml:space="preserve"> OMX Tal</w:t>
      </w:r>
      <w:r>
        <w:rPr>
          <w:lang w:val="en-GB"/>
        </w:rPr>
        <w:t xml:space="preserve">linn has shown that the financial or non-financial indicators of the companies proportionally change along with the changing indicators of intellectual capital valuation. In the case of </w:t>
      </w:r>
      <w:r w:rsidRPr="000C2EF9">
        <w:rPr>
          <w:lang w:val="en-GB"/>
        </w:rPr>
        <w:t>OMX Tal</w:t>
      </w:r>
      <w:r>
        <w:rPr>
          <w:lang w:val="en-GB"/>
        </w:rPr>
        <w:t xml:space="preserve">linn, both formulated hypotheses have been confirmed. Finally, after comparison of the respective companies from both countries, it has been confirmed that there are no significant correlations found among the analyzed indicators of Lithuanian companies. </w:t>
      </w:r>
    </w:p>
    <w:p w:rsidR="00B44D27" w:rsidRDefault="00B44D27" w:rsidP="00BE2A22">
      <w:pPr>
        <w:rPr>
          <w:lang w:val="en-US"/>
        </w:rPr>
      </w:pPr>
    </w:p>
    <w:p w:rsidR="00BE2A22" w:rsidRDefault="00B44D27" w:rsidP="00BE2A22">
      <w:pPr>
        <w:rPr>
          <w:lang w:val="en-US"/>
        </w:rPr>
      </w:pPr>
      <w:r>
        <w:rPr>
          <w:lang w:val="en-US"/>
        </w:rPr>
        <w:br w:type="column"/>
      </w: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F0197" w:rsidRDefault="00CF0197" w:rsidP="00BE2A22">
      <w:pPr>
        <w:rPr>
          <w:lang w:val="en-US"/>
        </w:rPr>
      </w:pPr>
    </w:p>
    <w:p w:rsidR="00C84BB9" w:rsidRPr="00C8222E" w:rsidRDefault="00C84BB9" w:rsidP="00C84BB9">
      <w:pPr>
        <w:jc w:val="center"/>
        <w:rPr>
          <w:b/>
          <w:sz w:val="32"/>
          <w:szCs w:val="32"/>
          <w:lang w:val="en-US"/>
        </w:rPr>
      </w:pPr>
      <w:r w:rsidRPr="00C8222E">
        <w:rPr>
          <w:b/>
          <w:sz w:val="32"/>
          <w:szCs w:val="32"/>
          <w:lang w:val="en-US"/>
        </w:rPr>
        <w:t>PRIEDAI</w:t>
      </w:r>
    </w:p>
    <w:p w:rsidR="00CF0197" w:rsidRDefault="00C84BB9" w:rsidP="00C84BB9">
      <w:pPr>
        <w:jc w:val="right"/>
        <w:rPr>
          <w:b/>
          <w:lang w:val="en-US"/>
        </w:rPr>
      </w:pPr>
      <w:r>
        <w:rPr>
          <w:b/>
          <w:sz w:val="36"/>
          <w:szCs w:val="36"/>
          <w:lang w:val="en-US"/>
        </w:rPr>
        <w:br w:type="column"/>
      </w:r>
      <w:r w:rsidRPr="00C8222E">
        <w:rPr>
          <w:b/>
          <w:lang w:val="en-US"/>
        </w:rPr>
        <w:t>1 PRIEDAS</w:t>
      </w:r>
    </w:p>
    <w:p w:rsidR="004613F1" w:rsidRDefault="004613F1" w:rsidP="00C84BB9">
      <w:pPr>
        <w:jc w:val="right"/>
        <w:rPr>
          <w:b/>
          <w:lang w:val="en-US"/>
        </w:rPr>
      </w:pPr>
    </w:p>
    <w:p w:rsidR="004613F1" w:rsidRDefault="004613F1" w:rsidP="004613F1">
      <w:pPr>
        <w:jc w:val="center"/>
        <w:rPr>
          <w:b/>
          <w:lang w:val="en-US"/>
        </w:rPr>
      </w:pPr>
      <w:r w:rsidRPr="000C2FE6">
        <w:rPr>
          <w:b/>
          <w:bCs/>
          <w:lang w:val="en-US"/>
        </w:rPr>
        <w:t>Intelektinio kapitalo sąvoka pagal skirtingus autorius</w:t>
      </w:r>
    </w:p>
    <w:p w:rsidR="004613F1" w:rsidRDefault="004613F1" w:rsidP="00C84BB9">
      <w:pPr>
        <w:jc w:val="right"/>
        <w:rPr>
          <w:b/>
          <w:lang w:val="en-US"/>
        </w:rPr>
      </w:pPr>
    </w:p>
    <w:tbl>
      <w:tblPr>
        <w:tblStyle w:val="MediumGrid2-Accent1"/>
        <w:tblW w:w="10031" w:type="dxa"/>
        <w:tblLayout w:type="fixed"/>
        <w:tblLook w:val="04A0"/>
      </w:tblPr>
      <w:tblGrid>
        <w:gridCol w:w="1809"/>
        <w:gridCol w:w="1418"/>
        <w:gridCol w:w="4536"/>
        <w:gridCol w:w="2268"/>
      </w:tblGrid>
      <w:tr w:rsidR="004613F1" w:rsidRPr="00E81A49" w:rsidTr="00E81A49">
        <w:trPr>
          <w:cnfStyle w:val="100000000000"/>
        </w:trPr>
        <w:tc>
          <w:tcPr>
            <w:cnfStyle w:val="001000000100"/>
            <w:tcW w:w="1809" w:type="dxa"/>
          </w:tcPr>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val="0"/>
                <w:bCs w:val="0"/>
                <w:sz w:val="20"/>
                <w:szCs w:val="20"/>
              </w:rPr>
            </w:pPr>
            <w:r w:rsidRPr="00E81A49">
              <w:rPr>
                <w:rFonts w:ascii="Times New Roman" w:hAnsi="Times New Roman" w:cs="Times New Roman"/>
                <w:sz w:val="20"/>
                <w:szCs w:val="20"/>
                <w:lang w:val="en-US"/>
              </w:rPr>
              <w:t>Apib</w:t>
            </w:r>
            <w:r w:rsidR="00E81A49">
              <w:rPr>
                <w:rFonts w:ascii="Times New Roman" w:hAnsi="Times New Roman" w:cs="Times New Roman"/>
                <w:sz w:val="20"/>
                <w:szCs w:val="20"/>
              </w:rPr>
              <w:t>ūdinimas</w:t>
            </w:r>
          </w:p>
        </w:tc>
        <w:tc>
          <w:tcPr>
            <w:tcW w:w="1418" w:type="dxa"/>
          </w:tcPr>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100000000000"/>
              <w:rPr>
                <w:rFonts w:ascii="Times New Roman" w:hAnsi="Times New Roman" w:cs="Times New Roman"/>
                <w:b w:val="0"/>
                <w:bCs w:val="0"/>
                <w:sz w:val="20"/>
                <w:szCs w:val="20"/>
                <w:lang w:val="en-US"/>
              </w:rPr>
            </w:pPr>
            <w:r w:rsidRPr="00E81A49">
              <w:rPr>
                <w:rFonts w:ascii="Times New Roman" w:hAnsi="Times New Roman" w:cs="Times New Roman"/>
                <w:sz w:val="20"/>
                <w:szCs w:val="20"/>
                <w:lang w:val="en-US"/>
              </w:rPr>
              <w:t>Autorius</w:t>
            </w:r>
          </w:p>
        </w:tc>
        <w:tc>
          <w:tcPr>
            <w:tcW w:w="4536" w:type="dxa"/>
          </w:tcPr>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100000000000"/>
              <w:rPr>
                <w:rFonts w:ascii="Times New Roman" w:hAnsi="Times New Roman" w:cs="Times New Roman"/>
                <w:b w:val="0"/>
                <w:bCs w:val="0"/>
                <w:sz w:val="20"/>
                <w:szCs w:val="20"/>
                <w:lang w:val="en-US"/>
              </w:rPr>
            </w:pPr>
            <w:r w:rsidRPr="00E81A49">
              <w:rPr>
                <w:rFonts w:ascii="Times New Roman" w:hAnsi="Times New Roman" w:cs="Times New Roman"/>
                <w:sz w:val="20"/>
                <w:szCs w:val="20"/>
                <w:lang w:val="en-US"/>
              </w:rPr>
              <w:t>Intelektinio kapitalo sąvoka</w:t>
            </w:r>
          </w:p>
        </w:tc>
        <w:tc>
          <w:tcPr>
            <w:tcW w:w="2268" w:type="dxa"/>
          </w:tcPr>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100000000000"/>
              <w:rPr>
                <w:rFonts w:ascii="Times New Roman" w:hAnsi="Times New Roman" w:cs="Times New Roman"/>
                <w:b w:val="0"/>
                <w:bCs w:val="0"/>
                <w:sz w:val="20"/>
                <w:szCs w:val="20"/>
                <w:lang w:val="en-US"/>
              </w:rPr>
            </w:pPr>
            <w:r w:rsidRPr="00E81A49">
              <w:rPr>
                <w:rFonts w:ascii="Times New Roman" w:hAnsi="Times New Roman" w:cs="Times New Roman"/>
                <w:sz w:val="20"/>
                <w:szCs w:val="20"/>
                <w:lang w:val="en-US"/>
              </w:rPr>
              <w:t>Pastabos</w:t>
            </w:r>
          </w:p>
        </w:tc>
      </w:tr>
      <w:tr w:rsidR="00FF2E32" w:rsidRPr="00E81A49" w:rsidTr="00E81A49">
        <w:trPr>
          <w:cnfStyle w:val="000000100000"/>
          <w:trHeight w:val="2975"/>
        </w:trPr>
        <w:tc>
          <w:tcPr>
            <w:cnfStyle w:val="001000000000"/>
            <w:tcW w:w="1809" w:type="dxa"/>
          </w:tcPr>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val="0"/>
                <w:bCs w:val="0"/>
                <w:sz w:val="20"/>
                <w:szCs w:val="20"/>
                <w:lang w:val="en-US"/>
              </w:rPr>
            </w:pPr>
            <w:r w:rsidRPr="00E81A49">
              <w:rPr>
                <w:rFonts w:ascii="Times New Roman" w:hAnsi="Times New Roman" w:cs="Times New Roman"/>
                <w:sz w:val="20"/>
                <w:szCs w:val="20"/>
                <w:lang w:val="en-US"/>
              </w:rPr>
              <w:t>1. Nematerialusis turtas</w:t>
            </w:r>
          </w:p>
        </w:tc>
        <w:tc>
          <w:tcPr>
            <w:tcW w:w="1418" w:type="dxa"/>
          </w:tcPr>
          <w:p w:rsidR="00FF2E32" w:rsidRPr="00E81A49" w:rsidRDefault="00775A4C"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r>
              <w:rPr>
                <w:rFonts w:ascii="Times New Roman" w:hAnsi="Times New Roman" w:cs="Times New Roman"/>
                <w:sz w:val="20"/>
                <w:szCs w:val="20"/>
                <w:lang w:val="en-US"/>
              </w:rPr>
              <w:t>J. D. Teece (2002</w:t>
            </w:r>
            <w:r w:rsidR="00FF2E32" w:rsidRPr="00E81A49">
              <w:rPr>
                <w:rFonts w:ascii="Times New Roman" w:hAnsi="Times New Roman" w:cs="Times New Roman"/>
                <w:sz w:val="20"/>
                <w:szCs w:val="20"/>
                <w:lang w:val="en-US"/>
              </w:rPr>
              <w:t>)</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r w:rsidRPr="00E81A49">
              <w:rPr>
                <w:rFonts w:ascii="Times New Roman" w:hAnsi="Times New Roman" w:cs="Times New Roman"/>
                <w:sz w:val="20"/>
                <w:szCs w:val="20"/>
                <w:lang w:val="en-US"/>
              </w:rPr>
              <w:t>Granstrand et. al. (1999)</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b/>
                <w:bCs/>
                <w:sz w:val="20"/>
                <w:szCs w:val="20"/>
                <w:lang w:val="en-US"/>
              </w:rPr>
            </w:pPr>
            <w:r w:rsidRPr="00E81A49">
              <w:rPr>
                <w:rFonts w:ascii="Times New Roman" w:hAnsi="Times New Roman" w:cs="Times New Roman"/>
                <w:sz w:val="20"/>
                <w:szCs w:val="20"/>
                <w:lang w:val="en-US"/>
              </w:rPr>
              <w:t>B. E. Lev (2001)</w:t>
            </w:r>
          </w:p>
        </w:tc>
        <w:tc>
          <w:tcPr>
            <w:tcW w:w="4536" w:type="dxa"/>
          </w:tcPr>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r w:rsidRPr="00E81A49">
              <w:rPr>
                <w:rFonts w:ascii="Times New Roman" w:hAnsi="Times New Roman" w:cs="Times New Roman"/>
                <w:sz w:val="20"/>
                <w:szCs w:val="20"/>
                <w:lang w:val="en-US"/>
              </w:rPr>
              <w:t>„Intelektinis kapitalas yra nematerialus turtas, kurio svarbi</w:t>
            </w:r>
            <w:r w:rsidR="00321E4F">
              <w:rPr>
                <w:rFonts w:ascii="Times New Roman" w:hAnsi="Times New Roman" w:cs="Times New Roman"/>
                <w:sz w:val="20"/>
                <w:szCs w:val="20"/>
                <w:lang w:val="en-US"/>
              </w:rPr>
              <w:t>ausi elementai yra žinios, įgūdžiai ir intelektinė nuosavybė ir kurį</w:t>
            </w:r>
            <w:r w:rsidRPr="00E81A49">
              <w:rPr>
                <w:rFonts w:ascii="Times New Roman" w:hAnsi="Times New Roman" w:cs="Times New Roman"/>
                <w:sz w:val="20"/>
                <w:szCs w:val="20"/>
                <w:lang w:val="en-US"/>
              </w:rPr>
              <w:t xml:space="preserve"> taip pat sudaro kitas</w:t>
            </w:r>
            <w:r w:rsidR="00321E4F">
              <w:rPr>
                <w:rFonts w:ascii="Times New Roman" w:hAnsi="Times New Roman" w:cs="Times New Roman"/>
                <w:sz w:val="20"/>
                <w:szCs w:val="20"/>
                <w:lang w:val="en-US"/>
              </w:rPr>
              <w:t xml:space="preserve"> nematerialus turtas kaip prekės ženklai, reputacija ir ryšiai su pirkė</w:t>
            </w:r>
            <w:r w:rsidRPr="00E81A49">
              <w:rPr>
                <w:rFonts w:ascii="Times New Roman" w:hAnsi="Times New Roman" w:cs="Times New Roman"/>
                <w:sz w:val="20"/>
                <w:szCs w:val="20"/>
                <w:lang w:val="en-US"/>
              </w:rPr>
              <w:t>jais“.</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r w:rsidRPr="00E81A49">
              <w:rPr>
                <w:rFonts w:ascii="Times New Roman" w:hAnsi="Times New Roman" w:cs="Times New Roman"/>
                <w:sz w:val="20"/>
                <w:szCs w:val="20"/>
                <w:lang w:val="en-US"/>
              </w:rPr>
              <w:t>Intelektinį</w:t>
            </w:r>
            <w:r w:rsidR="00321E4F">
              <w:rPr>
                <w:rFonts w:ascii="Times New Roman" w:hAnsi="Times New Roman" w:cs="Times New Roman"/>
                <w:sz w:val="20"/>
                <w:szCs w:val="20"/>
                <w:lang w:val="en-US"/>
              </w:rPr>
              <w:t xml:space="preserve"> kapitalą apibūdina, kaip apimantį</w:t>
            </w:r>
            <w:r w:rsidRPr="00E81A49">
              <w:rPr>
                <w:rFonts w:ascii="Times New Roman" w:hAnsi="Times New Roman" w:cs="Times New Roman"/>
                <w:sz w:val="20"/>
                <w:szCs w:val="20"/>
                <w:lang w:val="en-US"/>
              </w:rPr>
              <w:t xml:space="preserve"> visus nemater</w:t>
            </w:r>
            <w:r w:rsidR="00321E4F">
              <w:rPr>
                <w:rFonts w:ascii="Times New Roman" w:hAnsi="Times New Roman" w:cs="Times New Roman"/>
                <w:sz w:val="20"/>
                <w:szCs w:val="20"/>
                <w:lang w:val="en-US"/>
              </w:rPr>
              <w:t>ialius išteklius, kurie gali bū</w:t>
            </w:r>
            <w:r w:rsidRPr="00E81A49">
              <w:rPr>
                <w:rFonts w:ascii="Times New Roman" w:hAnsi="Times New Roman" w:cs="Times New Roman"/>
                <w:sz w:val="20"/>
                <w:szCs w:val="20"/>
                <w:lang w:val="en-US"/>
              </w:rPr>
              <w:t>ti laikomi turtu, kuriuos galima įgyti, sujungti, keisti ir naudoti.</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321E4F"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r>
              <w:rPr>
                <w:rFonts w:ascii="Times New Roman" w:hAnsi="Times New Roman" w:cs="Times New Roman"/>
                <w:sz w:val="20"/>
                <w:szCs w:val="20"/>
                <w:lang w:val="en-US"/>
              </w:rPr>
              <w:t>Intelektinio kapitalo sąvoką</w:t>
            </w:r>
            <w:r w:rsidR="00FF2E32" w:rsidRPr="00E81A49">
              <w:rPr>
                <w:rFonts w:ascii="Times New Roman" w:hAnsi="Times New Roman" w:cs="Times New Roman"/>
                <w:sz w:val="20"/>
                <w:szCs w:val="20"/>
                <w:lang w:val="en-US"/>
              </w:rPr>
              <w:t xml:space="preserve"> vartojo ka</w:t>
            </w:r>
            <w:r>
              <w:rPr>
                <w:rFonts w:ascii="Times New Roman" w:hAnsi="Times New Roman" w:cs="Times New Roman"/>
                <w:sz w:val="20"/>
                <w:szCs w:val="20"/>
                <w:lang w:val="en-US"/>
              </w:rPr>
              <w:t>ip nematerialaus turto sinonimą. Nurodė</w:t>
            </w:r>
            <w:r w:rsidR="00FF2E32" w:rsidRPr="00E81A49">
              <w:rPr>
                <w:rFonts w:ascii="Times New Roman" w:hAnsi="Times New Roman" w:cs="Times New Roman"/>
                <w:sz w:val="20"/>
                <w:szCs w:val="20"/>
                <w:lang w:val="en-US"/>
              </w:rPr>
              <w:t xml:space="preserve">, kad intelektinis </w:t>
            </w:r>
            <w:r>
              <w:rPr>
                <w:rFonts w:ascii="Times New Roman" w:hAnsi="Times New Roman" w:cs="Times New Roman"/>
                <w:sz w:val="20"/>
                <w:szCs w:val="20"/>
                <w:lang w:val="en-US"/>
              </w:rPr>
              <w:t>kapitalas yra varančioji jėga, organizacijos vertė</w:t>
            </w:r>
            <w:r w:rsidR="00FF2E32" w:rsidRPr="00E81A49">
              <w:rPr>
                <w:rFonts w:ascii="Times New Roman" w:hAnsi="Times New Roman" w:cs="Times New Roman"/>
                <w:sz w:val="20"/>
                <w:szCs w:val="20"/>
                <w:lang w:val="en-US"/>
              </w:rPr>
              <w:t>s augimui.</w:t>
            </w:r>
          </w:p>
        </w:tc>
        <w:tc>
          <w:tcPr>
            <w:tcW w:w="2268" w:type="dxa"/>
          </w:tcPr>
          <w:p w:rsidR="00FF2E32" w:rsidRPr="00E81A49" w:rsidRDefault="00321E4F"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bCs/>
                <w:sz w:val="20"/>
                <w:szCs w:val="20"/>
                <w:lang w:val="en-US"/>
              </w:rPr>
            </w:pPr>
            <w:r>
              <w:rPr>
                <w:rFonts w:ascii="Times New Roman" w:hAnsi="Times New Roman" w:cs="Times New Roman"/>
                <w:bCs/>
                <w:sz w:val="20"/>
                <w:szCs w:val="20"/>
                <w:lang w:val="en-US"/>
              </w:rPr>
              <w:t>Intelektinis kapitalas į</w:t>
            </w:r>
            <w:r w:rsidR="00FF2E32" w:rsidRPr="00E81A49">
              <w:rPr>
                <w:rFonts w:ascii="Times New Roman" w:hAnsi="Times New Roman" w:cs="Times New Roman"/>
                <w:bCs/>
                <w:sz w:val="20"/>
                <w:szCs w:val="20"/>
                <w:lang w:val="en-US"/>
              </w:rPr>
              <w:t>vardijamas, kaip bendras nematerialus turtas</w:t>
            </w:r>
            <w:r>
              <w:rPr>
                <w:rFonts w:ascii="Times New Roman" w:hAnsi="Times New Roman" w:cs="Times New Roman"/>
                <w:bCs/>
                <w:sz w:val="20"/>
                <w:szCs w:val="20"/>
                <w:lang w:val="en-US"/>
              </w:rPr>
              <w:t>.</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r w:rsidRPr="00E81A49">
              <w:rPr>
                <w:rFonts w:ascii="Times New Roman" w:hAnsi="Times New Roman" w:cs="Times New Roman"/>
                <w:sz w:val="20"/>
                <w:szCs w:val="20"/>
                <w:lang w:val="en-US"/>
              </w:rPr>
              <w:t xml:space="preserve">Intelektinis </w:t>
            </w:r>
            <w:r w:rsidR="00321E4F">
              <w:rPr>
                <w:rFonts w:ascii="Times New Roman" w:hAnsi="Times New Roman" w:cs="Times New Roman"/>
                <w:sz w:val="20"/>
                <w:szCs w:val="20"/>
                <w:lang w:val="en-US"/>
              </w:rPr>
              <w:t>kapitalas kaip nematerialieji iš</w:t>
            </w:r>
            <w:r w:rsidRPr="00E81A49">
              <w:rPr>
                <w:rFonts w:ascii="Times New Roman" w:hAnsi="Times New Roman" w:cs="Times New Roman"/>
                <w:sz w:val="20"/>
                <w:szCs w:val="20"/>
                <w:lang w:val="en-US"/>
              </w:rPr>
              <w:t>tekliai, laikomu turtu.</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321E4F"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r>
              <w:rPr>
                <w:rFonts w:ascii="Times New Roman" w:hAnsi="Times New Roman" w:cs="Times New Roman"/>
                <w:sz w:val="20"/>
                <w:szCs w:val="20"/>
                <w:lang w:val="en-US"/>
              </w:rPr>
              <w:t>Sąvoką</w:t>
            </w:r>
            <w:r w:rsidR="00FF2E32" w:rsidRPr="00E81A49">
              <w:rPr>
                <w:rFonts w:ascii="Times New Roman" w:hAnsi="Times New Roman" w:cs="Times New Roman"/>
                <w:sz w:val="20"/>
                <w:szCs w:val="20"/>
                <w:lang w:val="en-US"/>
              </w:rPr>
              <w:t xml:space="preserve"> „inte</w:t>
            </w:r>
            <w:r>
              <w:rPr>
                <w:rFonts w:ascii="Times New Roman" w:hAnsi="Times New Roman" w:cs="Times New Roman"/>
                <w:sz w:val="20"/>
                <w:szCs w:val="20"/>
                <w:lang w:val="en-US"/>
              </w:rPr>
              <w:t>lektinis“ vartojo kaip sinonimą są</w:t>
            </w:r>
            <w:r w:rsidR="00FF2E32" w:rsidRPr="00E81A49">
              <w:rPr>
                <w:rFonts w:ascii="Times New Roman" w:hAnsi="Times New Roman" w:cs="Times New Roman"/>
                <w:sz w:val="20"/>
                <w:szCs w:val="20"/>
                <w:lang w:val="en-US"/>
              </w:rPr>
              <w:t>vokai „nematerialus“.</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tc>
      </w:tr>
      <w:tr w:rsidR="004613F1" w:rsidRPr="00E81A49" w:rsidTr="00E81A49">
        <w:tc>
          <w:tcPr>
            <w:cnfStyle w:val="001000000000"/>
            <w:tcW w:w="1809" w:type="dxa"/>
          </w:tcPr>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val="0"/>
                <w:bCs w:val="0"/>
                <w:sz w:val="20"/>
                <w:szCs w:val="20"/>
                <w:lang w:val="en-US"/>
              </w:rPr>
            </w:pPr>
            <w:r w:rsidRPr="00E81A49">
              <w:rPr>
                <w:rFonts w:ascii="Times New Roman" w:hAnsi="Times New Roman" w:cs="Times New Roman"/>
                <w:sz w:val="20"/>
                <w:szCs w:val="20"/>
                <w:lang w:val="en-US"/>
              </w:rPr>
              <w:t xml:space="preserve">2. </w:t>
            </w:r>
            <w:r w:rsidRPr="00E81A49">
              <w:rPr>
                <w:rFonts w:ascii="Times New Roman" w:hAnsi="Times New Roman" w:cs="Times New Roman"/>
                <w:sz w:val="20"/>
                <w:szCs w:val="20"/>
              </w:rPr>
              <w:t>Ži</w:t>
            </w:r>
            <w:r w:rsidRPr="00E81A49">
              <w:rPr>
                <w:rFonts w:ascii="Times New Roman" w:hAnsi="Times New Roman" w:cs="Times New Roman"/>
                <w:sz w:val="20"/>
                <w:szCs w:val="20"/>
                <w:lang w:val="en-US"/>
              </w:rPr>
              <w:t>nios, kompetencija</w:t>
            </w:r>
          </w:p>
        </w:tc>
        <w:tc>
          <w:tcPr>
            <w:tcW w:w="1418" w:type="dxa"/>
          </w:tcPr>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r w:rsidRPr="00E81A49">
              <w:rPr>
                <w:rFonts w:ascii="Times New Roman" w:hAnsi="Times New Roman" w:cs="Times New Roman"/>
                <w:sz w:val="20"/>
                <w:szCs w:val="20"/>
                <w:lang w:val="en-US"/>
              </w:rPr>
              <w:t>T. Stewart (1997)</w:t>
            </w: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r w:rsidRPr="00E81A49">
              <w:rPr>
                <w:rFonts w:ascii="Times New Roman" w:hAnsi="Times New Roman" w:cs="Times New Roman"/>
                <w:sz w:val="20"/>
                <w:szCs w:val="20"/>
                <w:lang w:val="en-US"/>
              </w:rPr>
              <w:t>Lin, L. Edvinson, (2008)</w:t>
            </w: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r w:rsidRPr="00E81A49">
              <w:rPr>
                <w:rFonts w:ascii="Times New Roman" w:hAnsi="Times New Roman" w:cs="Times New Roman"/>
                <w:sz w:val="20"/>
                <w:szCs w:val="20"/>
                <w:lang w:val="en-US"/>
              </w:rPr>
              <w:t xml:space="preserve">L. Edvinsson ir P. Sullivan (1996) </w:t>
            </w: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r w:rsidRPr="00E81A49">
              <w:rPr>
                <w:rFonts w:ascii="Times New Roman" w:hAnsi="Times New Roman" w:cs="Times New Roman"/>
                <w:sz w:val="20"/>
                <w:szCs w:val="20"/>
                <w:lang w:val="en-US"/>
              </w:rPr>
              <w:t>Erickson ir Rothberg (2000)</w:t>
            </w: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p>
          <w:p w:rsidR="004613F1" w:rsidRPr="00E81A49" w:rsidRDefault="004613F1" w:rsidP="008D5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rPr>
            </w:pPr>
            <w:r w:rsidRPr="00E81A49">
              <w:rPr>
                <w:rFonts w:ascii="Times New Roman" w:hAnsi="Times New Roman" w:cs="Times New Roman"/>
                <w:sz w:val="20"/>
                <w:szCs w:val="20"/>
                <w:lang w:val="en-US"/>
              </w:rPr>
              <w:t xml:space="preserve">Skandia </w:t>
            </w:r>
            <w:r w:rsidR="00FF2E32" w:rsidRPr="00E81A49">
              <w:rPr>
                <w:rFonts w:ascii="Times New Roman" w:hAnsi="Times New Roman" w:cs="Times New Roman"/>
                <w:sz w:val="20"/>
                <w:szCs w:val="20"/>
              </w:rPr>
              <w:t>(1994</w:t>
            </w:r>
            <w:r w:rsidRPr="00E81A49">
              <w:rPr>
                <w:rFonts w:ascii="Times New Roman" w:hAnsi="Times New Roman" w:cs="Times New Roman"/>
                <w:sz w:val="20"/>
                <w:szCs w:val="20"/>
              </w:rPr>
              <w:t>)</w:t>
            </w:r>
          </w:p>
        </w:tc>
        <w:tc>
          <w:tcPr>
            <w:tcW w:w="4536" w:type="dxa"/>
          </w:tcPr>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r w:rsidRPr="00E81A49">
              <w:rPr>
                <w:rFonts w:ascii="Times New Roman" w:hAnsi="Times New Roman" w:cs="Times New Roman"/>
                <w:sz w:val="20"/>
                <w:szCs w:val="20"/>
                <w:lang w:val="en-US"/>
              </w:rPr>
              <w:t>Intelektinis kapitalas apjungia tik intelektinius aktyvus, kuri</w:t>
            </w:r>
            <w:r w:rsidR="00321E4F">
              <w:rPr>
                <w:rFonts w:ascii="Times New Roman" w:hAnsi="Times New Roman" w:cs="Times New Roman"/>
                <w:sz w:val="20"/>
                <w:szCs w:val="20"/>
                <w:lang w:val="en-US"/>
              </w:rPr>
              <w:t>e atsirado kaip personalo žinių</w:t>
            </w:r>
            <w:r w:rsidRPr="00E81A49">
              <w:rPr>
                <w:rFonts w:ascii="Times New Roman" w:hAnsi="Times New Roman" w:cs="Times New Roman"/>
                <w:sz w:val="20"/>
                <w:szCs w:val="20"/>
                <w:lang w:val="en-US"/>
              </w:rPr>
              <w:t xml:space="preserve"> ir kompetencij</w:t>
            </w:r>
            <w:r w:rsidR="00321E4F">
              <w:rPr>
                <w:rFonts w:ascii="Times New Roman" w:hAnsi="Times New Roman" w:cs="Times New Roman"/>
                <w:sz w:val="20"/>
                <w:szCs w:val="20"/>
                <w:lang w:val="en-US"/>
              </w:rPr>
              <w:t>os rezultatas. Arba “Intelektinė</w:t>
            </w:r>
            <w:r w:rsidRPr="00E81A49">
              <w:rPr>
                <w:rFonts w:ascii="Times New Roman" w:hAnsi="Times New Roman" w:cs="Times New Roman"/>
                <w:sz w:val="20"/>
                <w:szCs w:val="20"/>
                <w:lang w:val="en-US"/>
              </w:rPr>
              <w:t xml:space="preserve"> medžiaga, kaip žinios, informacija, intelektinis tu</w:t>
            </w:r>
            <w:r w:rsidR="00321E4F">
              <w:rPr>
                <w:rFonts w:ascii="Times New Roman" w:hAnsi="Times New Roman" w:cs="Times New Roman"/>
                <w:sz w:val="20"/>
                <w:szCs w:val="20"/>
                <w:lang w:val="en-US"/>
              </w:rPr>
              <w:t>rtas, patirtis – tai kuria vertę</w:t>
            </w:r>
            <w:r w:rsidRPr="00E81A49">
              <w:rPr>
                <w:rFonts w:ascii="Times New Roman" w:hAnsi="Times New Roman" w:cs="Times New Roman"/>
                <w:sz w:val="20"/>
                <w:szCs w:val="20"/>
                <w:lang w:val="en-US"/>
              </w:rPr>
              <w:t xml:space="preserve">”. </w:t>
            </w:r>
          </w:p>
          <w:p w:rsidR="004613F1" w:rsidRPr="00E81A49" w:rsidRDefault="004613F1" w:rsidP="004613F1">
            <w:pPr>
              <w:widowControl w:val="0"/>
              <w:tabs>
                <w:tab w:val="left" w:pos="560"/>
                <w:tab w:val="left" w:pos="1120"/>
                <w:tab w:val="left" w:pos="1680"/>
                <w:tab w:val="left" w:pos="2240"/>
                <w:tab w:val="left" w:pos="2681"/>
                <w:tab w:val="left" w:pos="2800"/>
                <w:tab w:val="left" w:pos="2965"/>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p>
          <w:p w:rsidR="004613F1" w:rsidRPr="00E81A49" w:rsidRDefault="00321E4F"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r>
              <w:rPr>
                <w:rFonts w:ascii="Times New Roman" w:hAnsi="Times New Roman" w:cs="Times New Roman"/>
                <w:sz w:val="20"/>
                <w:szCs w:val="20"/>
                <w:lang w:val="en-US"/>
              </w:rPr>
              <w:t>Jis apima žmogiškąjį</w:t>
            </w:r>
            <w:r w:rsidR="004613F1" w:rsidRPr="00E81A49">
              <w:rPr>
                <w:rFonts w:ascii="Times New Roman" w:hAnsi="Times New Roman" w:cs="Times New Roman"/>
                <w:sz w:val="20"/>
                <w:szCs w:val="20"/>
                <w:lang w:val="en-US"/>
              </w:rPr>
              <w:t xml:space="preserve"> ka</w:t>
            </w:r>
            <w:r>
              <w:rPr>
                <w:rFonts w:ascii="Times New Roman" w:hAnsi="Times New Roman" w:cs="Times New Roman"/>
                <w:sz w:val="20"/>
                <w:szCs w:val="20"/>
                <w:lang w:val="en-US"/>
              </w:rPr>
              <w:t>pitalą veikiantį kartu su struktū</w:t>
            </w:r>
            <w:r w:rsidR="004613F1" w:rsidRPr="00E81A49">
              <w:rPr>
                <w:rFonts w:ascii="Times New Roman" w:hAnsi="Times New Roman" w:cs="Times New Roman"/>
                <w:sz w:val="20"/>
                <w:szCs w:val="20"/>
                <w:lang w:val="en-US"/>
              </w:rPr>
              <w:t>riniu kapitalu. Dažniausiai intelektinis kapitalas tapatinamas su žiniomis. Tačiau y</w:t>
            </w:r>
            <w:r>
              <w:rPr>
                <w:rFonts w:ascii="Times New Roman" w:hAnsi="Times New Roman" w:cs="Times New Roman"/>
                <w:sz w:val="20"/>
                <w:szCs w:val="20"/>
                <w:lang w:val="en-US"/>
              </w:rPr>
              <w:t>ra išskiriamos skirtingos žinių</w:t>
            </w:r>
            <w:r w:rsidR="004613F1" w:rsidRPr="00E81A49">
              <w:rPr>
                <w:rFonts w:ascii="Times New Roman" w:hAnsi="Times New Roman" w:cs="Times New Roman"/>
                <w:sz w:val="20"/>
                <w:szCs w:val="20"/>
                <w:lang w:val="en-US"/>
              </w:rPr>
              <w:t xml:space="preserve"> formos. Kai kurie autoriai intelektiniam ka</w:t>
            </w:r>
            <w:r>
              <w:rPr>
                <w:rFonts w:ascii="Times New Roman" w:hAnsi="Times New Roman" w:cs="Times New Roman"/>
                <w:sz w:val="20"/>
                <w:szCs w:val="20"/>
                <w:lang w:val="en-US"/>
              </w:rPr>
              <w:t>pitalui priskiria tik išreikštą</w:t>
            </w:r>
            <w:r w:rsidR="004613F1" w:rsidRPr="00E81A49">
              <w:rPr>
                <w:rFonts w:ascii="Times New Roman" w:hAnsi="Times New Roman" w:cs="Times New Roman"/>
                <w:sz w:val="20"/>
                <w:szCs w:val="20"/>
                <w:lang w:val="en-US"/>
              </w:rPr>
              <w:t>sias žinias, kiti priskiria visas žinias, kurios naudojamos kurti vertei.</w:t>
            </w:r>
          </w:p>
          <w:p w:rsidR="004613F1" w:rsidRPr="00E81A49" w:rsidRDefault="004613F1" w:rsidP="004613F1">
            <w:pPr>
              <w:widowControl w:val="0"/>
              <w:tabs>
                <w:tab w:val="left" w:pos="560"/>
                <w:tab w:val="left" w:pos="1120"/>
                <w:tab w:val="left" w:pos="1680"/>
                <w:tab w:val="left" w:pos="2240"/>
                <w:tab w:val="left" w:pos="2681"/>
                <w:tab w:val="left" w:pos="2800"/>
                <w:tab w:val="left" w:pos="2965"/>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681"/>
                <w:tab w:val="left" w:pos="2800"/>
                <w:tab w:val="left" w:pos="2965"/>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r w:rsidRPr="00E81A49">
              <w:rPr>
                <w:rFonts w:ascii="Times New Roman" w:hAnsi="Times New Roman" w:cs="Times New Roman"/>
                <w:sz w:val="20"/>
                <w:szCs w:val="20"/>
                <w:lang w:val="en-US"/>
              </w:rPr>
              <w:t>„ Intelektinis kapit</w:t>
            </w:r>
            <w:r w:rsidR="00321E4F">
              <w:rPr>
                <w:rFonts w:ascii="Times New Roman" w:hAnsi="Times New Roman" w:cs="Times New Roman"/>
                <w:sz w:val="20"/>
                <w:szCs w:val="20"/>
                <w:lang w:val="en-US"/>
              </w:rPr>
              <w:t>alas yra žinios, kurios gali bū</w:t>
            </w:r>
            <w:r w:rsidRPr="00E81A49">
              <w:rPr>
                <w:rFonts w:ascii="Times New Roman" w:hAnsi="Times New Roman" w:cs="Times New Roman"/>
                <w:sz w:val="20"/>
                <w:szCs w:val="20"/>
                <w:lang w:val="en-US"/>
              </w:rPr>
              <w:t>ti konvertuotos į ver</w:t>
            </w:r>
            <w:r w:rsidR="00321E4F">
              <w:rPr>
                <w:rFonts w:ascii="Times New Roman" w:hAnsi="Times New Roman" w:cs="Times New Roman"/>
                <w:sz w:val="20"/>
                <w:szCs w:val="20"/>
                <w:lang w:val="en-US"/>
              </w:rPr>
              <w:t>tę</w:t>
            </w:r>
            <w:r w:rsidR="00FF2E32" w:rsidRPr="00E81A49">
              <w:rPr>
                <w:rFonts w:ascii="Times New Roman" w:hAnsi="Times New Roman" w:cs="Times New Roman"/>
                <w:sz w:val="20"/>
                <w:szCs w:val="20"/>
                <w:lang w:val="en-US"/>
              </w:rPr>
              <w:t>“ (Ileanu, Tanasoiu, 2008</w:t>
            </w:r>
            <w:r w:rsidR="00D7147F" w:rsidRPr="00E81A49">
              <w:rPr>
                <w:rFonts w:ascii="Times New Roman" w:hAnsi="Times New Roman" w:cs="Times New Roman"/>
                <w:sz w:val="20"/>
                <w:szCs w:val="20"/>
                <w:lang w:val="en-US"/>
              </w:rPr>
              <w:t>).</w:t>
            </w:r>
          </w:p>
          <w:p w:rsidR="004613F1" w:rsidRPr="00E81A49" w:rsidRDefault="004613F1" w:rsidP="004613F1">
            <w:pPr>
              <w:widowControl w:val="0"/>
              <w:tabs>
                <w:tab w:val="left" w:pos="560"/>
                <w:tab w:val="left" w:pos="1120"/>
                <w:tab w:val="left" w:pos="1680"/>
                <w:tab w:val="left" w:pos="2240"/>
                <w:tab w:val="left" w:pos="2681"/>
                <w:tab w:val="left" w:pos="2800"/>
                <w:tab w:val="left" w:pos="2965"/>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681"/>
                <w:tab w:val="left" w:pos="2800"/>
                <w:tab w:val="left" w:pos="2965"/>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p>
          <w:p w:rsidR="004613F1" w:rsidRPr="00E81A49" w:rsidRDefault="00321E4F"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r>
              <w:rPr>
                <w:rFonts w:ascii="Times New Roman" w:hAnsi="Times New Roman" w:cs="Times New Roman"/>
                <w:sz w:val="20"/>
                <w:szCs w:val="20"/>
                <w:lang w:val="en-US"/>
              </w:rPr>
              <w:t>Apibrėžia intelektinį kapitalą</w:t>
            </w:r>
            <w:r w:rsidR="004613F1" w:rsidRPr="00E81A49">
              <w:rPr>
                <w:rFonts w:ascii="Times New Roman" w:hAnsi="Times New Roman" w:cs="Times New Roman"/>
                <w:sz w:val="20"/>
                <w:szCs w:val="20"/>
                <w:lang w:val="en-US"/>
              </w:rPr>
              <w:t xml:space="preserve"> ka</w:t>
            </w:r>
            <w:r>
              <w:rPr>
                <w:rFonts w:ascii="Times New Roman" w:hAnsi="Times New Roman" w:cs="Times New Roman"/>
                <w:sz w:val="20"/>
                <w:szCs w:val="20"/>
                <w:lang w:val="en-US"/>
              </w:rPr>
              <w:t>ip institucijoje saugomas žinių</w:t>
            </w:r>
            <w:r w:rsidR="004613F1" w:rsidRPr="00E81A49">
              <w:rPr>
                <w:rFonts w:ascii="Times New Roman" w:hAnsi="Times New Roman" w:cs="Times New Roman"/>
                <w:sz w:val="20"/>
                <w:szCs w:val="20"/>
                <w:lang w:val="en-US"/>
              </w:rPr>
              <w:t xml:space="preserve"> atsargas. Žinių atsargos yra ap</w:t>
            </w:r>
            <w:r>
              <w:rPr>
                <w:rFonts w:ascii="Times New Roman" w:hAnsi="Times New Roman" w:cs="Times New Roman"/>
                <w:sz w:val="20"/>
                <w:szCs w:val="20"/>
                <w:lang w:val="en-US"/>
              </w:rPr>
              <w:t>ibrėžiamos kaip tam tikra žinių forma, kuri tam tikrą laikotarpį</w:t>
            </w:r>
            <w:r w:rsidR="004613F1" w:rsidRPr="00E81A49">
              <w:rPr>
                <w:rFonts w:ascii="Times New Roman" w:hAnsi="Times New Roman" w:cs="Times New Roman"/>
                <w:sz w:val="20"/>
                <w:szCs w:val="20"/>
                <w:lang w:val="en-US"/>
              </w:rPr>
              <w:t xml:space="preserve"> leis teikti paslaugas (Griffiths et al, 1998). </w:t>
            </w:r>
          </w:p>
          <w:p w:rsidR="004613F1" w:rsidRPr="00E81A49" w:rsidRDefault="004613F1" w:rsidP="004613F1">
            <w:pPr>
              <w:widowControl w:val="0"/>
              <w:tabs>
                <w:tab w:val="left" w:pos="560"/>
                <w:tab w:val="left" w:pos="1120"/>
                <w:tab w:val="left" w:pos="1680"/>
                <w:tab w:val="left" w:pos="2240"/>
                <w:tab w:val="left" w:pos="2681"/>
                <w:tab w:val="left" w:pos="2800"/>
                <w:tab w:val="left" w:pos="2965"/>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681"/>
                <w:tab w:val="left" w:pos="2800"/>
                <w:tab w:val="left" w:pos="2965"/>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r w:rsidRPr="00E81A49">
              <w:rPr>
                <w:rFonts w:ascii="Times New Roman" w:hAnsi="Times New Roman" w:cs="Times New Roman"/>
                <w:sz w:val="20"/>
                <w:szCs w:val="20"/>
                <w:lang w:val="en-US"/>
              </w:rPr>
              <w:t>Intelektinis kapitalas yra sukaupta inves</w:t>
            </w:r>
            <w:r w:rsidR="00321E4F">
              <w:rPr>
                <w:rFonts w:ascii="Times New Roman" w:hAnsi="Times New Roman" w:cs="Times New Roman"/>
                <w:sz w:val="20"/>
                <w:szCs w:val="20"/>
                <w:lang w:val="en-US"/>
              </w:rPr>
              <w:t>ticijų vertė į darbuotojų mokymą</w:t>
            </w:r>
            <w:r w:rsidRPr="00E81A49">
              <w:rPr>
                <w:rFonts w:ascii="Times New Roman" w:hAnsi="Times New Roman" w:cs="Times New Roman"/>
                <w:sz w:val="20"/>
                <w:szCs w:val="20"/>
                <w:lang w:val="en-US"/>
              </w:rPr>
              <w:t>, k</w:t>
            </w:r>
            <w:r w:rsidR="00321E4F">
              <w:rPr>
                <w:rFonts w:ascii="Times New Roman" w:hAnsi="Times New Roman" w:cs="Times New Roman"/>
                <w:sz w:val="20"/>
                <w:szCs w:val="20"/>
                <w:lang w:val="en-US"/>
              </w:rPr>
              <w:t>ompetenciją ir ateitį</w:t>
            </w:r>
            <w:r w:rsidR="008D57E6" w:rsidRPr="00E81A49">
              <w:rPr>
                <w:rFonts w:ascii="Times New Roman" w:hAnsi="Times New Roman" w:cs="Times New Roman"/>
                <w:sz w:val="20"/>
                <w:szCs w:val="20"/>
                <w:lang w:val="en-US"/>
              </w:rPr>
              <w:t>.</w:t>
            </w:r>
          </w:p>
        </w:tc>
        <w:tc>
          <w:tcPr>
            <w:tcW w:w="2268" w:type="dxa"/>
          </w:tcPr>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r w:rsidRPr="00E81A49">
              <w:rPr>
                <w:rFonts w:ascii="Times New Roman" w:hAnsi="Times New Roman" w:cs="Times New Roman"/>
                <w:sz w:val="20"/>
                <w:szCs w:val="20"/>
                <w:lang w:val="en-US"/>
              </w:rPr>
              <w:t>Intelektinis</w:t>
            </w:r>
            <w:r w:rsidRPr="00E81A49">
              <w:rPr>
                <w:rFonts w:ascii="Times New Roman" w:hAnsi="Times New Roman" w:cs="Times New Roman"/>
                <w:sz w:val="20"/>
                <w:szCs w:val="20"/>
                <w:lang w:val="en-US"/>
              </w:rPr>
              <w:tab/>
              <w:t xml:space="preserve">kapitalas analizuojamas </w:t>
            </w:r>
            <w:r w:rsidR="00321E4F">
              <w:rPr>
                <w:rFonts w:ascii="Times New Roman" w:hAnsi="Times New Roman" w:cs="Times New Roman"/>
                <w:sz w:val="20"/>
                <w:szCs w:val="20"/>
                <w:lang w:val="en-US"/>
              </w:rPr>
              <w:t>kaip dalis platesnės sąvokos neapčiuopiamų aktyvų</w:t>
            </w:r>
            <w:r w:rsidRPr="00E81A49">
              <w:rPr>
                <w:rFonts w:ascii="Times New Roman" w:hAnsi="Times New Roman" w:cs="Times New Roman"/>
                <w:sz w:val="20"/>
                <w:szCs w:val="20"/>
                <w:lang w:val="en-US"/>
              </w:rPr>
              <w:t>.</w:t>
            </w: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b/>
                <w:bCs/>
                <w:sz w:val="20"/>
                <w:szCs w:val="20"/>
                <w:lang w:val="en-US"/>
              </w:rPr>
            </w:pP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bCs/>
                <w:sz w:val="20"/>
                <w:szCs w:val="20"/>
                <w:lang w:val="en-US"/>
              </w:rPr>
            </w:pPr>
          </w:p>
          <w:p w:rsidR="004613F1"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bCs/>
                <w:sz w:val="20"/>
                <w:szCs w:val="20"/>
                <w:lang w:val="en-US"/>
              </w:rPr>
            </w:pPr>
            <w:r w:rsidRPr="00E81A49">
              <w:rPr>
                <w:rFonts w:ascii="Times New Roman" w:hAnsi="Times New Roman" w:cs="Times New Roman"/>
                <w:bCs/>
                <w:sz w:val="20"/>
                <w:szCs w:val="20"/>
                <w:lang w:val="en-US"/>
              </w:rPr>
              <w:t>Ka</w:t>
            </w:r>
            <w:r w:rsidR="00321E4F">
              <w:rPr>
                <w:rFonts w:ascii="Times New Roman" w:hAnsi="Times New Roman" w:cs="Times New Roman"/>
                <w:bCs/>
                <w:sz w:val="20"/>
                <w:szCs w:val="20"/>
                <w:lang w:val="en-US"/>
              </w:rPr>
              <w:t>lbama apie žmogiškojo ir struktūrinio kapitalo derinį žinių</w:t>
            </w:r>
            <w:r w:rsidRPr="00E81A49">
              <w:rPr>
                <w:rFonts w:ascii="Times New Roman" w:hAnsi="Times New Roman" w:cs="Times New Roman"/>
                <w:bCs/>
                <w:sz w:val="20"/>
                <w:szCs w:val="20"/>
                <w:lang w:val="en-US"/>
              </w:rPr>
              <w:t xml:space="preserve"> pagrindu.</w:t>
            </w: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p>
          <w:p w:rsidR="004613F1" w:rsidRPr="00E81A49" w:rsidRDefault="00321E4F" w:rsidP="004613F1">
            <w:pPr>
              <w:jc w:val="both"/>
              <w:cnfStyle w:val="000000000000"/>
              <w:rPr>
                <w:rFonts w:ascii="Times New Roman" w:hAnsi="Times New Roman" w:cs="Times New Roman"/>
                <w:sz w:val="20"/>
                <w:szCs w:val="20"/>
                <w:lang w:val="en-US"/>
              </w:rPr>
            </w:pPr>
            <w:r>
              <w:rPr>
                <w:rFonts w:ascii="Times New Roman" w:hAnsi="Times New Roman" w:cs="Times New Roman"/>
                <w:sz w:val="20"/>
                <w:szCs w:val="20"/>
                <w:lang w:val="en-US"/>
              </w:rPr>
              <w:t>Šis apibrė</w:t>
            </w:r>
            <w:r w:rsidR="004613F1" w:rsidRPr="00E81A49">
              <w:rPr>
                <w:rFonts w:ascii="Times New Roman" w:hAnsi="Times New Roman" w:cs="Times New Roman"/>
                <w:sz w:val="20"/>
                <w:szCs w:val="20"/>
                <w:lang w:val="en-US"/>
              </w:rPr>
              <w:t xml:space="preserve">žimas yra pakankamai </w:t>
            </w:r>
            <w:r>
              <w:rPr>
                <w:rFonts w:ascii="Times New Roman" w:hAnsi="Times New Roman" w:cs="Times New Roman"/>
                <w:sz w:val="20"/>
                <w:szCs w:val="20"/>
                <w:lang w:val="en-US"/>
              </w:rPr>
              <w:t>platus ir jame nenurodoma žinių</w:t>
            </w:r>
            <w:r w:rsidR="004613F1" w:rsidRPr="00E81A49">
              <w:rPr>
                <w:rFonts w:ascii="Times New Roman" w:hAnsi="Times New Roman" w:cs="Times New Roman"/>
                <w:sz w:val="20"/>
                <w:szCs w:val="20"/>
                <w:lang w:val="en-US"/>
              </w:rPr>
              <w:t xml:space="preserve"> forma.</w:t>
            </w: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p>
          <w:p w:rsidR="004613F1" w:rsidRPr="00E81A49" w:rsidRDefault="00321E4F"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r>
              <w:rPr>
                <w:rFonts w:ascii="Times New Roman" w:hAnsi="Times New Roman" w:cs="Times New Roman"/>
                <w:sz w:val="20"/>
                <w:szCs w:val="20"/>
                <w:lang w:val="en-US"/>
              </w:rPr>
              <w:t>Šiame apibrė</w:t>
            </w:r>
            <w:r w:rsidR="004613F1" w:rsidRPr="00E81A49">
              <w:rPr>
                <w:rFonts w:ascii="Times New Roman" w:hAnsi="Times New Roman" w:cs="Times New Roman"/>
                <w:sz w:val="20"/>
                <w:szCs w:val="20"/>
                <w:lang w:val="en-US"/>
              </w:rPr>
              <w:t xml:space="preserve">žime žinios tapatinamos su turtu, </w:t>
            </w:r>
            <w:r>
              <w:rPr>
                <w:rFonts w:ascii="Times New Roman" w:hAnsi="Times New Roman" w:cs="Times New Roman"/>
                <w:sz w:val="20"/>
                <w:szCs w:val="20"/>
                <w:lang w:val="en-US"/>
              </w:rPr>
              <w:t>kuris yra kaupiamas ir gali bū</w:t>
            </w:r>
            <w:r w:rsidR="004613F1" w:rsidRPr="00E81A49">
              <w:rPr>
                <w:rFonts w:ascii="Times New Roman" w:hAnsi="Times New Roman" w:cs="Times New Roman"/>
                <w:sz w:val="20"/>
                <w:szCs w:val="20"/>
                <w:lang w:val="en-US"/>
              </w:rPr>
              <w:t>ti išmatuotas.</w:t>
            </w:r>
          </w:p>
          <w:p w:rsidR="004613F1" w:rsidRPr="00E81A49"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b/>
                <w:bCs/>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b/>
                <w:bCs/>
                <w:sz w:val="20"/>
                <w:szCs w:val="20"/>
                <w:lang w:val="en-US"/>
              </w:rPr>
            </w:pPr>
          </w:p>
          <w:p w:rsidR="00FF2E32"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bCs/>
                <w:sz w:val="20"/>
                <w:szCs w:val="20"/>
                <w:lang w:val="en-US"/>
              </w:rPr>
            </w:pPr>
            <w:r w:rsidRPr="00E81A49">
              <w:rPr>
                <w:rFonts w:ascii="Times New Roman" w:hAnsi="Times New Roman" w:cs="Times New Roman"/>
                <w:bCs/>
                <w:sz w:val="20"/>
                <w:szCs w:val="20"/>
                <w:lang w:val="en-US"/>
              </w:rPr>
              <w:t>Intelektinis kapitalas kaip investicija į darbuotojus.</w:t>
            </w:r>
          </w:p>
          <w:p w:rsidR="00E81A49" w:rsidRPr="00E81A49" w:rsidRDefault="00E81A49"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bCs/>
                <w:sz w:val="20"/>
                <w:szCs w:val="20"/>
                <w:lang w:val="en-US"/>
              </w:rPr>
            </w:pPr>
          </w:p>
        </w:tc>
      </w:tr>
      <w:tr w:rsidR="00FF2E32" w:rsidRPr="00E81A49" w:rsidTr="00E81A49">
        <w:trPr>
          <w:cnfStyle w:val="000000100000"/>
        </w:trPr>
        <w:tc>
          <w:tcPr>
            <w:cnfStyle w:val="001000000000"/>
            <w:tcW w:w="1809" w:type="dxa"/>
          </w:tcPr>
          <w:p w:rsidR="00FF2E32" w:rsidRPr="00E81A49" w:rsidRDefault="00FF2E32" w:rsidP="004613F1">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val="0"/>
                <w:bCs w:val="0"/>
                <w:sz w:val="20"/>
                <w:szCs w:val="20"/>
                <w:lang w:val="en-US"/>
              </w:rPr>
            </w:pPr>
            <w:r w:rsidRPr="00E81A49">
              <w:rPr>
                <w:rFonts w:ascii="Times New Roman" w:hAnsi="Times New Roman" w:cs="Times New Roman"/>
                <w:sz w:val="20"/>
                <w:szCs w:val="20"/>
                <w:lang w:val="en-US"/>
              </w:rPr>
              <w:t>3. Konkurencinis prana</w:t>
            </w:r>
            <w:r w:rsidRPr="00E81A49">
              <w:rPr>
                <w:rFonts w:ascii="Times New Roman" w:hAnsi="Times New Roman" w:cs="Times New Roman"/>
                <w:sz w:val="20"/>
                <w:szCs w:val="20"/>
              </w:rPr>
              <w:t>šumas; organizacijos vertės kūrimas</w:t>
            </w:r>
          </w:p>
        </w:tc>
        <w:tc>
          <w:tcPr>
            <w:tcW w:w="1418" w:type="dxa"/>
          </w:tcPr>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r w:rsidRPr="00E81A49">
              <w:rPr>
                <w:rFonts w:ascii="Times New Roman" w:hAnsi="Times New Roman" w:cs="Times New Roman"/>
                <w:sz w:val="20"/>
                <w:szCs w:val="20"/>
                <w:lang w:val="en-US"/>
              </w:rPr>
              <w:t>Edvinsson, Malone, (1997)</w:t>
            </w:r>
          </w:p>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r w:rsidRPr="00E81A49">
              <w:rPr>
                <w:rFonts w:ascii="Times New Roman" w:hAnsi="Times New Roman" w:cs="Times New Roman"/>
                <w:sz w:val="20"/>
                <w:szCs w:val="20"/>
                <w:lang w:val="en-US"/>
              </w:rPr>
              <w:t>L.Edvinson, (2000) E. A. Brooking, 2001</w:t>
            </w:r>
          </w:p>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bCs/>
                <w:sz w:val="20"/>
                <w:szCs w:val="20"/>
                <w:lang w:val="en-US"/>
              </w:rPr>
            </w:pPr>
          </w:p>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bCs/>
                <w:sz w:val="20"/>
                <w:szCs w:val="20"/>
                <w:lang w:val="en-US"/>
              </w:rPr>
            </w:pPr>
            <w:r w:rsidRPr="00E81A49">
              <w:rPr>
                <w:rFonts w:ascii="Times New Roman" w:hAnsi="Times New Roman" w:cs="Times New Roman"/>
                <w:bCs/>
                <w:sz w:val="20"/>
                <w:szCs w:val="20"/>
                <w:lang w:val="en-US"/>
              </w:rPr>
              <w:t>A. Brooking (1996, 12 p.)</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tc>
        <w:tc>
          <w:tcPr>
            <w:tcW w:w="4536" w:type="dxa"/>
          </w:tcPr>
          <w:p w:rsidR="00FF2E32" w:rsidRPr="00E81A49" w:rsidRDefault="00321E4F"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r>
              <w:rPr>
                <w:rFonts w:ascii="Times New Roman" w:hAnsi="Times New Roman" w:cs="Times New Roman"/>
                <w:sz w:val="20"/>
                <w:szCs w:val="20"/>
                <w:lang w:val="en-US"/>
              </w:rPr>
              <w:t>Intelektinio kapitalo są</w:t>
            </w:r>
            <w:r w:rsidR="00FF2E32" w:rsidRPr="00E81A49">
              <w:rPr>
                <w:rFonts w:ascii="Times New Roman" w:hAnsi="Times New Roman" w:cs="Times New Roman"/>
                <w:sz w:val="20"/>
                <w:szCs w:val="20"/>
                <w:lang w:val="en-US"/>
              </w:rPr>
              <w:t>voka sut</w:t>
            </w:r>
            <w:r>
              <w:rPr>
                <w:rFonts w:ascii="Times New Roman" w:hAnsi="Times New Roman" w:cs="Times New Roman"/>
                <w:sz w:val="20"/>
                <w:szCs w:val="20"/>
                <w:lang w:val="en-US"/>
              </w:rPr>
              <w:t>ampa su neapčiuopiamų</w:t>
            </w:r>
            <w:r>
              <w:rPr>
                <w:rFonts w:ascii="Times New Roman" w:hAnsi="Times New Roman" w:cs="Times New Roman"/>
                <w:sz w:val="20"/>
                <w:szCs w:val="20"/>
                <w:lang w:val="en-US"/>
              </w:rPr>
              <w:tab/>
              <w:t>aktyvų</w:t>
            </w:r>
            <w:r w:rsidR="00FF2E32" w:rsidRPr="00E81A49">
              <w:rPr>
                <w:rFonts w:ascii="Times New Roman" w:hAnsi="Times New Roman" w:cs="Times New Roman"/>
                <w:sz w:val="20"/>
                <w:szCs w:val="20"/>
                <w:lang w:val="en-US"/>
              </w:rPr>
              <w:t xml:space="preserve"> </w:t>
            </w:r>
            <w:r>
              <w:rPr>
                <w:rFonts w:ascii="Times New Roman" w:hAnsi="Times New Roman" w:cs="Times New Roman"/>
                <w:sz w:val="20"/>
                <w:szCs w:val="20"/>
                <w:lang w:val="en-US"/>
              </w:rPr>
              <w:t>sąvoka</w:t>
            </w:r>
            <w:r>
              <w:rPr>
                <w:rFonts w:ascii="Times New Roman" w:hAnsi="Times New Roman" w:cs="Times New Roman"/>
                <w:sz w:val="20"/>
                <w:szCs w:val="20"/>
                <w:lang w:val="en-US"/>
              </w:rPr>
              <w:tab/>
              <w:t>ir analizuojama kaip bū</w:t>
            </w:r>
            <w:r w:rsidR="00FF2E32" w:rsidRPr="00E81A49">
              <w:rPr>
                <w:rFonts w:ascii="Times New Roman" w:hAnsi="Times New Roman" w:cs="Times New Roman"/>
                <w:sz w:val="20"/>
                <w:szCs w:val="20"/>
                <w:lang w:val="en-US"/>
              </w:rPr>
              <w:t>tin</w:t>
            </w:r>
            <w:r>
              <w:rPr>
                <w:rFonts w:ascii="Times New Roman" w:hAnsi="Times New Roman" w:cs="Times New Roman"/>
                <w:sz w:val="20"/>
                <w:szCs w:val="20"/>
                <w:lang w:val="en-US"/>
              </w:rPr>
              <w:t>a kompanijos konkurencingumo są</w:t>
            </w:r>
            <w:r w:rsidR="00FF2E32" w:rsidRPr="00E81A49">
              <w:rPr>
                <w:rFonts w:ascii="Times New Roman" w:hAnsi="Times New Roman" w:cs="Times New Roman"/>
                <w:sz w:val="20"/>
                <w:szCs w:val="20"/>
                <w:lang w:val="en-US"/>
              </w:rPr>
              <w:t>lyga.</w:t>
            </w:r>
          </w:p>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r w:rsidRPr="00E81A49">
              <w:rPr>
                <w:rFonts w:ascii="Times New Roman" w:hAnsi="Times New Roman" w:cs="Times New Roman"/>
                <w:sz w:val="20"/>
                <w:szCs w:val="20"/>
                <w:lang w:val="en-US"/>
              </w:rPr>
              <w:t>Ir</w:t>
            </w:r>
            <w:r w:rsidR="00321E4F">
              <w:rPr>
                <w:rFonts w:ascii="Times New Roman" w:hAnsi="Times New Roman" w:cs="Times New Roman"/>
                <w:sz w:val="20"/>
                <w:szCs w:val="20"/>
                <w:lang w:val="en-US"/>
              </w:rPr>
              <w:t xml:space="preserve"> neapč</w:t>
            </w:r>
            <w:r w:rsidRPr="00E81A49">
              <w:rPr>
                <w:rFonts w:ascii="Times New Roman" w:hAnsi="Times New Roman" w:cs="Times New Roman"/>
                <w:sz w:val="20"/>
                <w:szCs w:val="20"/>
                <w:lang w:val="en-US"/>
              </w:rPr>
              <w:t>iuopiami</w:t>
            </w:r>
            <w:r w:rsidRPr="00E81A49">
              <w:rPr>
                <w:rFonts w:ascii="Times New Roman" w:hAnsi="Times New Roman" w:cs="Times New Roman"/>
                <w:sz w:val="20"/>
                <w:szCs w:val="20"/>
                <w:lang w:val="en-US"/>
              </w:rPr>
              <w:tab/>
              <w:t>aktyvai,</w:t>
            </w:r>
            <w:r w:rsidRPr="00E81A49">
              <w:rPr>
                <w:rFonts w:ascii="Times New Roman" w:hAnsi="Times New Roman" w:cs="Times New Roman"/>
                <w:sz w:val="20"/>
                <w:szCs w:val="20"/>
                <w:lang w:val="en-US"/>
              </w:rPr>
              <w:tab/>
              <w:t>ir intelekti</w:t>
            </w:r>
            <w:r w:rsidR="00321E4F">
              <w:rPr>
                <w:rFonts w:ascii="Times New Roman" w:hAnsi="Times New Roman" w:cs="Times New Roman"/>
                <w:sz w:val="20"/>
                <w:szCs w:val="20"/>
                <w:lang w:val="en-US"/>
              </w:rPr>
              <w:t>nis kapitalas analizuojami plačiausiu požiū</w:t>
            </w:r>
            <w:r w:rsidRPr="00E81A49">
              <w:rPr>
                <w:rFonts w:ascii="Times New Roman" w:hAnsi="Times New Roman" w:cs="Times New Roman"/>
                <w:sz w:val="20"/>
                <w:szCs w:val="20"/>
                <w:lang w:val="en-US"/>
              </w:rPr>
              <w:t>riu.</w:t>
            </w:r>
          </w:p>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r w:rsidRPr="00E81A49">
              <w:rPr>
                <w:rFonts w:ascii="Times New Roman" w:hAnsi="Times New Roman" w:cs="Times New Roman"/>
                <w:sz w:val="20"/>
                <w:szCs w:val="20"/>
                <w:lang w:val="en-US"/>
              </w:rPr>
              <w:t>Intelektinis kapital</w:t>
            </w:r>
            <w:r w:rsidR="00321E4F">
              <w:rPr>
                <w:rFonts w:ascii="Times New Roman" w:hAnsi="Times New Roman" w:cs="Times New Roman"/>
                <w:sz w:val="20"/>
                <w:szCs w:val="20"/>
                <w:lang w:val="en-US"/>
              </w:rPr>
              <w:t>as yra ateities pajamų</w:t>
            </w:r>
            <w:r w:rsidRPr="00E81A49">
              <w:rPr>
                <w:rFonts w:ascii="Times New Roman" w:hAnsi="Times New Roman" w:cs="Times New Roman"/>
                <w:sz w:val="20"/>
                <w:szCs w:val="20"/>
                <w:lang w:val="en-US"/>
              </w:rPr>
              <w:t xml:space="preserve"> pagrindas. Intelektinis kapitalas – kai i</w:t>
            </w:r>
            <w:r w:rsidR="00321E4F">
              <w:rPr>
                <w:rFonts w:ascii="Times New Roman" w:hAnsi="Times New Roman" w:cs="Times New Roman"/>
                <w:sz w:val="20"/>
                <w:szCs w:val="20"/>
                <w:lang w:val="en-US"/>
              </w:rPr>
              <w:t>nformacija konvertuojama į kažką</w:t>
            </w:r>
            <w:r w:rsidRPr="00E81A49">
              <w:rPr>
                <w:rFonts w:ascii="Times New Roman" w:hAnsi="Times New Roman" w:cs="Times New Roman"/>
                <w:sz w:val="20"/>
                <w:szCs w:val="20"/>
                <w:lang w:val="en-US"/>
              </w:rPr>
              <w:t xml:space="preserve"> vertingo.</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tc>
        <w:tc>
          <w:tcPr>
            <w:tcW w:w="2268" w:type="dxa"/>
          </w:tcPr>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bCs/>
                <w:sz w:val="20"/>
                <w:szCs w:val="20"/>
                <w:lang w:val="en-US"/>
              </w:rPr>
            </w:pPr>
            <w:r w:rsidRPr="00E81A49">
              <w:rPr>
                <w:rFonts w:ascii="Times New Roman" w:hAnsi="Times New Roman" w:cs="Times New Roman"/>
                <w:bCs/>
                <w:sz w:val="20"/>
                <w:szCs w:val="20"/>
                <w:lang w:val="en-US"/>
              </w:rPr>
              <w:t>Intelektinis kapitalas k</w:t>
            </w:r>
            <w:r w:rsidR="00321E4F">
              <w:rPr>
                <w:rFonts w:ascii="Times New Roman" w:hAnsi="Times New Roman" w:cs="Times New Roman"/>
                <w:bCs/>
                <w:sz w:val="20"/>
                <w:szCs w:val="20"/>
                <w:lang w:val="en-US"/>
              </w:rPr>
              <w:t>aip informacija, kuri turi vertę</w:t>
            </w:r>
            <w:r w:rsidRPr="00E81A49">
              <w:rPr>
                <w:rFonts w:ascii="Times New Roman" w:hAnsi="Times New Roman" w:cs="Times New Roman"/>
                <w:bCs/>
                <w:sz w:val="20"/>
                <w:szCs w:val="20"/>
                <w:lang w:val="en-US"/>
              </w:rPr>
              <w:t>.</w:t>
            </w:r>
          </w:p>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b/>
                <w:bCs/>
                <w:sz w:val="20"/>
                <w:szCs w:val="20"/>
                <w:lang w:val="en-US"/>
              </w:rPr>
            </w:pPr>
          </w:p>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b/>
                <w:bCs/>
                <w:sz w:val="20"/>
                <w:szCs w:val="20"/>
                <w:lang w:val="en-US"/>
              </w:rPr>
            </w:pPr>
          </w:p>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bCs/>
                <w:sz w:val="20"/>
                <w:szCs w:val="20"/>
                <w:lang w:val="en-US"/>
              </w:rPr>
            </w:pPr>
            <w:r w:rsidRPr="00E81A49">
              <w:rPr>
                <w:rFonts w:ascii="Times New Roman" w:hAnsi="Times New Roman" w:cs="Times New Roman"/>
                <w:bCs/>
                <w:sz w:val="20"/>
                <w:szCs w:val="20"/>
                <w:lang w:val="en-US"/>
              </w:rPr>
              <w:t>I</w:t>
            </w:r>
            <w:r w:rsidR="00321E4F">
              <w:rPr>
                <w:rFonts w:ascii="Times New Roman" w:hAnsi="Times New Roman" w:cs="Times New Roman"/>
                <w:bCs/>
                <w:sz w:val="20"/>
                <w:szCs w:val="20"/>
                <w:lang w:val="en-US"/>
              </w:rPr>
              <w:t>ntelektinis kapitalas, kaip neapčiuopiami aktyvai, kurie gali bū</w:t>
            </w:r>
            <w:r w:rsidRPr="00E81A49">
              <w:rPr>
                <w:rFonts w:ascii="Times New Roman" w:hAnsi="Times New Roman" w:cs="Times New Roman"/>
                <w:bCs/>
                <w:sz w:val="20"/>
                <w:szCs w:val="20"/>
                <w:lang w:val="en-US"/>
              </w:rPr>
              <w:t>ti konkurenciniu pranašumu.</w:t>
            </w:r>
          </w:p>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bCs/>
                <w:sz w:val="20"/>
                <w:szCs w:val="20"/>
                <w:lang w:val="en-US"/>
              </w:rPr>
            </w:pPr>
            <w:r w:rsidRPr="00E81A49">
              <w:rPr>
                <w:rFonts w:ascii="Times New Roman" w:hAnsi="Times New Roman" w:cs="Times New Roman"/>
                <w:bCs/>
                <w:sz w:val="20"/>
                <w:szCs w:val="20"/>
                <w:lang w:val="en-US"/>
              </w:rPr>
              <w:t>Nematerial</w:t>
            </w:r>
            <w:r w:rsidR="00321E4F">
              <w:rPr>
                <w:rFonts w:ascii="Times New Roman" w:hAnsi="Times New Roman" w:cs="Times New Roman"/>
                <w:bCs/>
                <w:sz w:val="20"/>
                <w:szCs w:val="20"/>
                <w:lang w:val="en-US"/>
              </w:rPr>
              <w:t>us turtas neatsiejamas nuo įmonės veiklos ir funkcijų</w:t>
            </w:r>
            <w:r w:rsidRPr="00E81A49">
              <w:rPr>
                <w:rFonts w:ascii="Times New Roman" w:hAnsi="Times New Roman" w:cs="Times New Roman"/>
                <w:bCs/>
                <w:sz w:val="20"/>
                <w:szCs w:val="20"/>
                <w:lang w:val="en-US"/>
              </w:rPr>
              <w:t>.</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bCs/>
                <w:sz w:val="20"/>
                <w:szCs w:val="20"/>
                <w:lang w:val="en-US"/>
              </w:rPr>
            </w:pPr>
          </w:p>
        </w:tc>
      </w:tr>
      <w:tr w:rsidR="00FF2E32" w:rsidRPr="00E81A49" w:rsidTr="00E81A49">
        <w:tc>
          <w:tcPr>
            <w:cnfStyle w:val="001000000000"/>
            <w:tcW w:w="10031" w:type="dxa"/>
            <w:gridSpan w:val="4"/>
          </w:tcPr>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b w:val="0"/>
                <w:bCs w:val="0"/>
                <w:sz w:val="20"/>
                <w:szCs w:val="20"/>
                <w:lang w:val="en-US"/>
              </w:rPr>
            </w:pPr>
            <w:r w:rsidRPr="00E81A49">
              <w:rPr>
                <w:rFonts w:ascii="Times New Roman" w:hAnsi="Times New Roman" w:cs="Times New Roman"/>
                <w:b w:val="0"/>
                <w:bCs w:val="0"/>
                <w:sz w:val="20"/>
                <w:szCs w:val="20"/>
                <w:lang w:val="en-US"/>
              </w:rPr>
              <w:t>Lentelės tęsinys kitame puslapyje</w:t>
            </w:r>
          </w:p>
        </w:tc>
      </w:tr>
      <w:tr w:rsidR="00FF2E32" w:rsidRPr="00E81A49" w:rsidTr="00E81A49">
        <w:trPr>
          <w:cnfStyle w:val="000000100000"/>
        </w:trPr>
        <w:tc>
          <w:tcPr>
            <w:cnfStyle w:val="001000000000"/>
            <w:tcW w:w="10031" w:type="dxa"/>
            <w:gridSpan w:val="4"/>
            <w:tcBorders>
              <w:top w:val="nil"/>
            </w:tcBorders>
          </w:tcPr>
          <w:p w:rsidR="00FF2E32" w:rsidRPr="00E81A49"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b w:val="0"/>
                <w:bCs w:val="0"/>
                <w:sz w:val="20"/>
                <w:szCs w:val="20"/>
                <w:lang w:val="en-US"/>
              </w:rPr>
            </w:pPr>
            <w:r w:rsidRPr="00E81A49">
              <w:rPr>
                <w:rFonts w:ascii="Times New Roman" w:hAnsi="Times New Roman" w:cs="Times New Roman"/>
                <w:b w:val="0"/>
                <w:bCs w:val="0"/>
                <w:sz w:val="20"/>
                <w:szCs w:val="20"/>
                <w:lang w:val="en-US"/>
              </w:rPr>
              <w:t>Lentelės tęsinys</w:t>
            </w:r>
          </w:p>
        </w:tc>
      </w:tr>
      <w:tr w:rsidR="00FF2E32" w:rsidRPr="00E81A49" w:rsidTr="00E81A49">
        <w:tc>
          <w:tcPr>
            <w:cnfStyle w:val="001000000000"/>
            <w:tcW w:w="1809" w:type="dxa"/>
          </w:tcPr>
          <w:p w:rsidR="00FF2E32" w:rsidRPr="00E81A49" w:rsidRDefault="00FF2E32" w:rsidP="004613F1">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val="0"/>
                <w:bCs w:val="0"/>
                <w:sz w:val="20"/>
                <w:szCs w:val="20"/>
              </w:rPr>
            </w:pPr>
          </w:p>
        </w:tc>
        <w:tc>
          <w:tcPr>
            <w:tcW w:w="1418" w:type="dxa"/>
          </w:tcPr>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bCs/>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bCs/>
                <w:sz w:val="20"/>
                <w:szCs w:val="20"/>
                <w:lang w:val="en-US"/>
              </w:rPr>
            </w:pPr>
            <w:r w:rsidRPr="00E81A49">
              <w:rPr>
                <w:rFonts w:ascii="Times New Roman" w:hAnsi="Times New Roman" w:cs="Times New Roman"/>
                <w:bCs/>
                <w:sz w:val="20"/>
                <w:szCs w:val="20"/>
                <w:lang w:val="en-US"/>
              </w:rPr>
              <w:t>D. A. Klein ir L. Prusak (1994)</w:t>
            </w:r>
          </w:p>
        </w:tc>
        <w:tc>
          <w:tcPr>
            <w:tcW w:w="4536" w:type="dxa"/>
          </w:tcPr>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r w:rsidRPr="00E81A49">
              <w:rPr>
                <w:rFonts w:ascii="Times New Roman" w:hAnsi="Times New Roman" w:cs="Times New Roman"/>
                <w:sz w:val="20"/>
                <w:szCs w:val="20"/>
                <w:lang w:val="en-US"/>
              </w:rPr>
              <w:t>Kombinuotas nematerialusis turtas, kuris padeda funkcionuoti organizacijai.  (Pagal Yitmen, 2011)</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sz w:val="20"/>
                <w:szCs w:val="20"/>
                <w:lang w:val="en-US"/>
              </w:rPr>
            </w:pPr>
            <w:r w:rsidRPr="00E81A49">
              <w:rPr>
                <w:rFonts w:ascii="Times New Roman" w:hAnsi="Times New Roman" w:cs="Times New Roman"/>
                <w:sz w:val="20"/>
                <w:szCs w:val="20"/>
                <w:lang w:val="en-US"/>
              </w:rPr>
              <w:t>Intelekti</w:t>
            </w:r>
            <w:r w:rsidR="00321E4F">
              <w:rPr>
                <w:rFonts w:ascii="Times New Roman" w:hAnsi="Times New Roman" w:cs="Times New Roman"/>
                <w:sz w:val="20"/>
                <w:szCs w:val="20"/>
                <w:lang w:val="en-US"/>
              </w:rPr>
              <w:t>nis kapitalas, kaip “intelektinė</w:t>
            </w:r>
            <w:r w:rsidRPr="00E81A49">
              <w:rPr>
                <w:rFonts w:ascii="Times New Roman" w:hAnsi="Times New Roman" w:cs="Times New Roman"/>
                <w:sz w:val="20"/>
                <w:szCs w:val="20"/>
                <w:lang w:val="en-US"/>
              </w:rPr>
              <w:t xml:space="preserve"> medžiaga, kuri formalizuoja, užfiksuoja </w:t>
            </w:r>
            <w:r w:rsidR="00321E4F">
              <w:rPr>
                <w:rFonts w:ascii="Times New Roman" w:hAnsi="Times New Roman" w:cs="Times New Roman"/>
                <w:sz w:val="20"/>
                <w:szCs w:val="20"/>
                <w:lang w:val="en-US"/>
              </w:rPr>
              <w:t>ir kuria organizacijai aukštesnės vertės turtą”</w:t>
            </w:r>
            <w:r w:rsidRPr="00E81A49">
              <w:rPr>
                <w:rFonts w:ascii="Times New Roman" w:hAnsi="Times New Roman" w:cs="Times New Roman"/>
                <w:sz w:val="20"/>
                <w:szCs w:val="20"/>
                <w:lang w:val="en-US"/>
              </w:rPr>
              <w:t>.</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bCs/>
                <w:sz w:val="20"/>
                <w:szCs w:val="20"/>
                <w:lang w:val="en-US"/>
              </w:rPr>
            </w:pPr>
          </w:p>
        </w:tc>
        <w:tc>
          <w:tcPr>
            <w:tcW w:w="2268" w:type="dxa"/>
          </w:tcPr>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bCs/>
                <w:sz w:val="20"/>
                <w:szCs w:val="20"/>
                <w:lang w:val="en-US"/>
              </w:rPr>
            </w:pPr>
          </w:p>
          <w:p w:rsidR="00FF2E32" w:rsidRPr="00E81A49" w:rsidRDefault="00321E4F"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rPr>
                <w:rFonts w:ascii="Times New Roman" w:hAnsi="Times New Roman" w:cs="Times New Roman"/>
                <w:sz w:val="20"/>
                <w:szCs w:val="20"/>
                <w:lang w:val="en-US"/>
              </w:rPr>
            </w:pPr>
            <w:r>
              <w:rPr>
                <w:rFonts w:ascii="Times New Roman" w:hAnsi="Times New Roman" w:cs="Times New Roman"/>
                <w:sz w:val="20"/>
                <w:szCs w:val="20"/>
                <w:lang w:val="en-US"/>
              </w:rPr>
              <w:t>Konstatuojama dabartinė turimos intelektinės medžiagos vertė. Toks apibrėž</w:t>
            </w:r>
            <w:r w:rsidR="00FF2E32" w:rsidRPr="00E81A49">
              <w:rPr>
                <w:rFonts w:ascii="Times New Roman" w:hAnsi="Times New Roman" w:cs="Times New Roman"/>
                <w:sz w:val="20"/>
                <w:szCs w:val="20"/>
                <w:lang w:val="en-US"/>
              </w:rPr>
              <w:t>imas suteikia intelektinio kapitalo</w:t>
            </w:r>
            <w:r>
              <w:rPr>
                <w:rFonts w:ascii="Times New Roman" w:hAnsi="Times New Roman" w:cs="Times New Roman"/>
                <w:sz w:val="20"/>
                <w:szCs w:val="20"/>
                <w:lang w:val="en-US"/>
              </w:rPr>
              <w:t xml:space="preserve"> tyrimams konkretumo, nes tai nėra prognozė</w:t>
            </w:r>
            <w:r w:rsidR="00FF2E32" w:rsidRPr="00E81A49">
              <w:rPr>
                <w:rFonts w:ascii="Times New Roman" w:hAnsi="Times New Roman" w:cs="Times New Roman"/>
                <w:sz w:val="20"/>
                <w:szCs w:val="20"/>
                <w:lang w:val="en-US"/>
              </w:rPr>
              <w:t>s.</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rPr>
                <w:rFonts w:ascii="Times New Roman" w:hAnsi="Times New Roman" w:cs="Times New Roman"/>
                <w:b/>
                <w:bCs/>
                <w:sz w:val="20"/>
                <w:szCs w:val="20"/>
                <w:lang w:val="en-US"/>
              </w:rPr>
            </w:pPr>
          </w:p>
        </w:tc>
      </w:tr>
      <w:tr w:rsidR="00FF2E32" w:rsidRPr="00E81A49" w:rsidTr="00E81A49">
        <w:trPr>
          <w:cnfStyle w:val="000000100000"/>
        </w:trPr>
        <w:tc>
          <w:tcPr>
            <w:cnfStyle w:val="001000000000"/>
            <w:tcW w:w="1809" w:type="dxa"/>
          </w:tcPr>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val="0"/>
                <w:bCs w:val="0"/>
                <w:sz w:val="20"/>
                <w:szCs w:val="20"/>
              </w:rPr>
            </w:pPr>
            <w:r w:rsidRPr="00E81A49">
              <w:rPr>
                <w:rFonts w:ascii="Times New Roman" w:hAnsi="Times New Roman" w:cs="Times New Roman"/>
                <w:sz w:val="20"/>
                <w:szCs w:val="20"/>
                <w:lang w:val="en-US"/>
              </w:rPr>
              <w:t xml:space="preserve">4. </w:t>
            </w:r>
            <w:r w:rsidRPr="00E81A49">
              <w:rPr>
                <w:rFonts w:ascii="Times New Roman" w:hAnsi="Times New Roman" w:cs="Times New Roman"/>
                <w:sz w:val="20"/>
                <w:szCs w:val="20"/>
              </w:rPr>
              <w:t>Žinių keitimosi procesas; produktas, gautas besikeičiant žiniomis, inovacijos</w:t>
            </w:r>
          </w:p>
        </w:tc>
        <w:tc>
          <w:tcPr>
            <w:tcW w:w="1418" w:type="dxa"/>
          </w:tcPr>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r w:rsidRPr="00E81A49">
              <w:rPr>
                <w:rFonts w:ascii="Times New Roman" w:hAnsi="Times New Roman" w:cs="Times New Roman"/>
                <w:sz w:val="20"/>
                <w:szCs w:val="20"/>
                <w:lang w:val="en-US"/>
              </w:rPr>
              <w:t>Huggins, Weir (2007)</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r w:rsidRPr="00E81A49">
              <w:rPr>
                <w:rFonts w:ascii="Times New Roman" w:hAnsi="Times New Roman" w:cs="Times New Roman"/>
                <w:sz w:val="20"/>
                <w:szCs w:val="20"/>
                <w:lang w:val="en-US"/>
              </w:rPr>
              <w:t>Davies ir Waddington (1999)</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b/>
                <w:bCs/>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b/>
                <w:bCs/>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b/>
                <w:bCs/>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bCs/>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ascii="Times New Roman" w:hAnsi="Times New Roman" w:cs="Times New Roman"/>
                <w:b/>
                <w:bCs/>
                <w:sz w:val="20"/>
                <w:szCs w:val="20"/>
                <w:lang w:val="en-US"/>
              </w:rPr>
            </w:pPr>
          </w:p>
        </w:tc>
        <w:tc>
          <w:tcPr>
            <w:tcW w:w="4536" w:type="dxa"/>
          </w:tcPr>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r w:rsidRPr="00E81A49">
              <w:rPr>
                <w:rFonts w:ascii="Times New Roman" w:hAnsi="Times New Roman" w:cs="Times New Roman"/>
                <w:sz w:val="20"/>
                <w:szCs w:val="20"/>
                <w:lang w:val="en-US"/>
              </w:rPr>
              <w:t>Intelektin</w:t>
            </w:r>
            <w:r w:rsidR="00321E4F">
              <w:rPr>
                <w:rFonts w:ascii="Times New Roman" w:hAnsi="Times New Roman" w:cs="Times New Roman"/>
                <w:sz w:val="20"/>
                <w:szCs w:val="20"/>
                <w:lang w:val="en-US"/>
              </w:rPr>
              <w:t>iai ištekliai, tai žiniomis grį</w:t>
            </w:r>
            <w:r w:rsidRPr="00E81A49">
              <w:rPr>
                <w:rFonts w:ascii="Times New Roman" w:hAnsi="Times New Roman" w:cs="Times New Roman"/>
                <w:sz w:val="20"/>
                <w:szCs w:val="20"/>
                <w:lang w:val="en-US"/>
              </w:rPr>
              <w:t>sti turtai, kuriuos valdo organiz</w:t>
            </w:r>
            <w:r w:rsidR="00321E4F">
              <w:rPr>
                <w:rFonts w:ascii="Times New Roman" w:hAnsi="Times New Roman" w:cs="Times New Roman"/>
                <w:sz w:val="20"/>
                <w:szCs w:val="20"/>
                <w:lang w:val="en-US"/>
              </w:rPr>
              <w:t>acija ir kurie ateityje gali bū</w:t>
            </w:r>
            <w:r w:rsidRPr="00E81A49">
              <w:rPr>
                <w:rFonts w:ascii="Times New Roman" w:hAnsi="Times New Roman" w:cs="Times New Roman"/>
                <w:sz w:val="20"/>
                <w:szCs w:val="20"/>
                <w:lang w:val="en-US"/>
              </w:rPr>
              <w:t>ti panaudoti kaip organizacijos privalumas (kompanijos vardas, reputacija, prekybos paslaptys, „know-how“, verslo procesai, palankumas), o tuo tar</w:t>
            </w:r>
            <w:r w:rsidR="00321E4F">
              <w:rPr>
                <w:rFonts w:ascii="Times New Roman" w:hAnsi="Times New Roman" w:cs="Times New Roman"/>
                <w:sz w:val="20"/>
                <w:szCs w:val="20"/>
                <w:lang w:val="en-US"/>
              </w:rPr>
              <w:t>pu intelektinis kapitalas apibū</w:t>
            </w:r>
            <w:r w:rsidRPr="00E81A49">
              <w:rPr>
                <w:rFonts w:ascii="Times New Roman" w:hAnsi="Times New Roman" w:cs="Times New Roman"/>
                <w:sz w:val="20"/>
                <w:szCs w:val="20"/>
                <w:lang w:val="en-US"/>
              </w:rPr>
              <w:t>dinamas kaip visa</w:t>
            </w:r>
            <w:r w:rsidR="00321E4F">
              <w:rPr>
                <w:rFonts w:ascii="Times New Roman" w:hAnsi="Times New Roman" w:cs="Times New Roman"/>
                <w:sz w:val="20"/>
                <w:szCs w:val="20"/>
                <w:lang w:val="en-US"/>
              </w:rPr>
              <w:t xml:space="preserve"> apimantis, žiniomis grį</w:t>
            </w:r>
            <w:r w:rsidRPr="00E81A49">
              <w:rPr>
                <w:rFonts w:ascii="Times New Roman" w:hAnsi="Times New Roman" w:cs="Times New Roman"/>
                <w:sz w:val="20"/>
                <w:szCs w:val="20"/>
                <w:lang w:val="en-US"/>
              </w:rPr>
              <w:t>stas turtas.</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321E4F"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r>
              <w:rPr>
                <w:rFonts w:ascii="Times New Roman" w:hAnsi="Times New Roman" w:cs="Times New Roman"/>
                <w:sz w:val="20"/>
                <w:szCs w:val="20"/>
                <w:lang w:val="en-US"/>
              </w:rPr>
              <w:t>Intelektinį kapitalą apibrėžia kaip kūrybiškumo rezultatą kuris gali būti atskirtas nuo asmenų, kuriuose kū</w:t>
            </w:r>
            <w:r w:rsidR="00FF2E32" w:rsidRPr="00E81A49">
              <w:rPr>
                <w:rFonts w:ascii="Times New Roman" w:hAnsi="Times New Roman" w:cs="Times New Roman"/>
                <w:sz w:val="20"/>
                <w:szCs w:val="20"/>
                <w:lang w:val="en-US"/>
              </w:rPr>
              <w:t xml:space="preserve">rybiškumas slypi. Pagrindiniu intelektinio </w:t>
            </w:r>
            <w:r>
              <w:rPr>
                <w:rFonts w:ascii="Times New Roman" w:hAnsi="Times New Roman" w:cs="Times New Roman"/>
                <w:sz w:val="20"/>
                <w:szCs w:val="20"/>
                <w:lang w:val="en-US"/>
              </w:rPr>
              <w:t>kapitalo elementu laikomos ne žinios, bet gebė</w:t>
            </w:r>
            <w:r w:rsidR="00FF2E32" w:rsidRPr="00E81A49">
              <w:rPr>
                <w:rFonts w:ascii="Times New Roman" w:hAnsi="Times New Roman" w:cs="Times New Roman"/>
                <w:sz w:val="20"/>
                <w:szCs w:val="20"/>
                <w:lang w:val="en-US"/>
              </w:rPr>
              <w:t>jimas kurti</w:t>
            </w:r>
            <w:r>
              <w:rPr>
                <w:rFonts w:ascii="Times New Roman" w:hAnsi="Times New Roman" w:cs="Times New Roman"/>
                <w:sz w:val="20"/>
                <w:szCs w:val="20"/>
                <w:lang w:val="en-US"/>
              </w:rPr>
              <w:t>. Tai yra vienas iš svarbiausių inovacijų veiksnių</w:t>
            </w:r>
            <w:r w:rsidR="00FF2E32" w:rsidRPr="00E81A49">
              <w:rPr>
                <w:rFonts w:ascii="Times New Roman" w:hAnsi="Times New Roman" w:cs="Times New Roman"/>
                <w:sz w:val="20"/>
                <w:szCs w:val="20"/>
                <w:lang w:val="en-US"/>
              </w:rPr>
              <w:t xml:space="preserve">. </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b/>
                <w:bCs/>
                <w:sz w:val="20"/>
                <w:szCs w:val="20"/>
                <w:lang w:val="en-US"/>
              </w:rPr>
            </w:pPr>
          </w:p>
        </w:tc>
        <w:tc>
          <w:tcPr>
            <w:tcW w:w="2268" w:type="dxa"/>
          </w:tcPr>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bCs/>
                <w:sz w:val="20"/>
                <w:szCs w:val="20"/>
                <w:lang w:val="en-US"/>
              </w:rPr>
            </w:pPr>
            <w:r w:rsidRPr="00E81A49">
              <w:rPr>
                <w:rFonts w:ascii="Times New Roman" w:hAnsi="Times New Roman" w:cs="Times New Roman"/>
                <w:bCs/>
                <w:sz w:val="20"/>
                <w:szCs w:val="20"/>
                <w:lang w:val="en-US"/>
              </w:rPr>
              <w:t>Pagal Huggins ir Weir, inte</w:t>
            </w:r>
            <w:r w:rsidR="00321E4F">
              <w:rPr>
                <w:rFonts w:ascii="Times New Roman" w:hAnsi="Times New Roman" w:cs="Times New Roman"/>
                <w:bCs/>
                <w:sz w:val="20"/>
                <w:szCs w:val="20"/>
                <w:lang w:val="en-US"/>
              </w:rPr>
              <w:t>lektinis kapitalas- žiniomis grį</w:t>
            </w:r>
            <w:r w:rsidRPr="00E81A49">
              <w:rPr>
                <w:rFonts w:ascii="Times New Roman" w:hAnsi="Times New Roman" w:cs="Times New Roman"/>
                <w:bCs/>
                <w:sz w:val="20"/>
                <w:szCs w:val="20"/>
                <w:lang w:val="en-US"/>
              </w:rPr>
              <w:t>stas turtas.</w:t>
            </w: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p>
          <w:p w:rsidR="00FF2E32" w:rsidRPr="00E81A49" w:rsidRDefault="00FF2E32"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ascii="Times New Roman" w:hAnsi="Times New Roman" w:cs="Times New Roman"/>
                <w:sz w:val="20"/>
                <w:szCs w:val="20"/>
                <w:lang w:val="en-US"/>
              </w:rPr>
            </w:pPr>
            <w:r w:rsidRPr="00E81A49">
              <w:rPr>
                <w:rFonts w:ascii="Times New Roman" w:hAnsi="Times New Roman" w:cs="Times New Roman"/>
                <w:sz w:val="20"/>
                <w:szCs w:val="20"/>
                <w:lang w:val="en-US"/>
              </w:rPr>
              <w:t xml:space="preserve">Tačiau Davies ir Waddington </w:t>
            </w:r>
            <w:r w:rsidR="00321E4F">
              <w:rPr>
                <w:rFonts w:ascii="Times New Roman" w:hAnsi="Times New Roman" w:cs="Times New Roman"/>
                <w:sz w:val="20"/>
                <w:szCs w:val="20"/>
                <w:lang w:val="en-US"/>
              </w:rPr>
              <w:t>(1999) intelektinio kapitalo sąvoka nesiekiama apibūdinti kūrybiš</w:t>
            </w:r>
            <w:r w:rsidRPr="00E81A49">
              <w:rPr>
                <w:rFonts w:ascii="Times New Roman" w:hAnsi="Times New Roman" w:cs="Times New Roman"/>
                <w:sz w:val="20"/>
                <w:szCs w:val="20"/>
                <w:lang w:val="en-US"/>
              </w:rPr>
              <w:t>kumo, o koncentruojama</w:t>
            </w:r>
            <w:r w:rsidR="00321E4F">
              <w:rPr>
                <w:rFonts w:ascii="Times New Roman" w:hAnsi="Times New Roman" w:cs="Times New Roman"/>
                <w:sz w:val="20"/>
                <w:szCs w:val="20"/>
                <w:lang w:val="en-US"/>
              </w:rPr>
              <w:t>si į inovacijas ir jų</w:t>
            </w:r>
            <w:r w:rsidRPr="00E81A49">
              <w:rPr>
                <w:rFonts w:ascii="Times New Roman" w:hAnsi="Times New Roman" w:cs="Times New Roman"/>
                <w:sz w:val="20"/>
                <w:szCs w:val="20"/>
                <w:lang w:val="en-US"/>
              </w:rPr>
              <w:t xml:space="preserve"> veiksnius.</w:t>
            </w:r>
          </w:p>
        </w:tc>
      </w:tr>
    </w:tbl>
    <w:p w:rsidR="00FF2E32" w:rsidRPr="00FF2E32" w:rsidRDefault="004613F1"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val="en-US"/>
        </w:rPr>
      </w:pPr>
      <w:r w:rsidRPr="00FF2E32">
        <w:rPr>
          <w:b/>
          <w:bCs/>
          <w:sz w:val="20"/>
          <w:szCs w:val="20"/>
          <w:lang w:val="en-US"/>
        </w:rPr>
        <w:t xml:space="preserve">Šaltinis: </w:t>
      </w:r>
      <w:r w:rsidRPr="00FF2E32">
        <w:rPr>
          <w:bCs/>
          <w:sz w:val="20"/>
          <w:szCs w:val="20"/>
          <w:lang w:val="en-US"/>
        </w:rPr>
        <w:t>Suda</w:t>
      </w:r>
      <w:r w:rsidR="00FF2E32" w:rsidRPr="00FF2E32">
        <w:rPr>
          <w:bCs/>
          <w:sz w:val="20"/>
          <w:szCs w:val="20"/>
          <w:lang w:val="en-US"/>
        </w:rPr>
        <w:t xml:space="preserve">ryta autorės pagal autorių darbus: Yitmen 2011, Huggins, Weir 2007, </w:t>
      </w:r>
      <w:r w:rsidR="00FF2E32" w:rsidRPr="00FF2E32">
        <w:rPr>
          <w:sz w:val="20"/>
          <w:szCs w:val="20"/>
          <w:lang w:val="en-US"/>
        </w:rPr>
        <w:t>Griffit</w:t>
      </w:r>
      <w:r w:rsidR="00775A4C">
        <w:rPr>
          <w:sz w:val="20"/>
          <w:szCs w:val="20"/>
          <w:lang w:val="en-US"/>
        </w:rPr>
        <w:t>hs et al, 1998, J. D. Teece 2002</w:t>
      </w:r>
      <w:r w:rsidR="00FF2E32" w:rsidRPr="00FF2E32">
        <w:rPr>
          <w:sz w:val="20"/>
          <w:szCs w:val="20"/>
          <w:lang w:val="en-US"/>
        </w:rPr>
        <w:t xml:space="preserve">, B. E. Lev 2001, T. Stewart 1997, Lin, L. Edvinson 2008, L. Edvinsson, P. Sullivan 1996, Malone 1997, Skandia </w:t>
      </w:r>
      <w:r w:rsidR="00FF2E32" w:rsidRPr="00FF2E32">
        <w:rPr>
          <w:sz w:val="20"/>
          <w:szCs w:val="20"/>
        </w:rPr>
        <w:t xml:space="preserve">1994, </w:t>
      </w:r>
      <w:r w:rsidR="00FF2E32" w:rsidRPr="00FF2E32">
        <w:rPr>
          <w:sz w:val="20"/>
          <w:szCs w:val="20"/>
          <w:lang w:val="en-US"/>
        </w:rPr>
        <w:t>L.Edvinson 2000, Davies, Waddington 1999.</w:t>
      </w:r>
    </w:p>
    <w:p w:rsidR="00FF2E32" w:rsidRPr="004613F1"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p>
    <w:p w:rsidR="00FF2E32" w:rsidRPr="004613F1"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val="en-US"/>
        </w:rPr>
      </w:pPr>
    </w:p>
    <w:p w:rsidR="00FF2E32" w:rsidRPr="004613F1" w:rsidRDefault="00FF2E32" w:rsidP="00FF2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0"/>
          <w:szCs w:val="20"/>
          <w:lang w:val="en-US"/>
        </w:rPr>
      </w:pPr>
    </w:p>
    <w:p w:rsidR="004613F1" w:rsidRPr="004613F1" w:rsidRDefault="004613F1"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19"/>
          <w:szCs w:val="19"/>
          <w:lang w:val="en-US"/>
        </w:rPr>
      </w:pPr>
    </w:p>
    <w:p w:rsidR="00C84BB9" w:rsidRPr="00C84BB9" w:rsidRDefault="00C84BB9" w:rsidP="00C84BB9">
      <w:pPr>
        <w:jc w:val="right"/>
        <w:rPr>
          <w:b/>
          <w:lang w:val="en-US"/>
        </w:rPr>
      </w:pPr>
      <w:r>
        <w:rPr>
          <w:b/>
          <w:lang w:val="en-US"/>
        </w:rPr>
        <w:br w:type="column"/>
      </w:r>
    </w:p>
    <w:p w:rsidR="00C84BB9" w:rsidRDefault="00C84BB9" w:rsidP="00C84BB9">
      <w:pPr>
        <w:jc w:val="right"/>
        <w:rPr>
          <w:b/>
          <w:lang w:val="en-US"/>
        </w:rPr>
      </w:pPr>
      <w:r w:rsidRPr="00C8222E">
        <w:rPr>
          <w:b/>
          <w:lang w:val="en-US"/>
        </w:rPr>
        <w:t>2 PRIEDAS</w:t>
      </w:r>
    </w:p>
    <w:p w:rsidR="004613F1" w:rsidRDefault="004613F1" w:rsidP="00C84BB9">
      <w:pPr>
        <w:jc w:val="right"/>
        <w:rPr>
          <w:b/>
          <w:lang w:val="en-US"/>
        </w:rPr>
      </w:pPr>
    </w:p>
    <w:p w:rsidR="004613F1" w:rsidRPr="008A2AB0" w:rsidRDefault="004613F1" w:rsidP="004613F1">
      <w:pPr>
        <w:spacing w:line="360" w:lineRule="auto"/>
        <w:ind w:firstLine="567"/>
        <w:jc w:val="center"/>
        <w:rPr>
          <w:b/>
          <w:lang w:val="en-US"/>
        </w:rPr>
      </w:pPr>
      <w:r w:rsidRPr="008A2AB0">
        <w:rPr>
          <w:b/>
          <w:lang w:val="en-US"/>
        </w:rPr>
        <w:t>L. Edvinsson ir M. Malone atvaizduotas intelektinis kapitalas organizacijoje. Skandia modelis</w:t>
      </w:r>
    </w:p>
    <w:p w:rsidR="004613F1" w:rsidRDefault="004613F1" w:rsidP="00C84BB9">
      <w:pPr>
        <w:jc w:val="right"/>
        <w:rPr>
          <w:b/>
          <w:lang w:val="en-US"/>
        </w:rPr>
      </w:pPr>
    </w:p>
    <w:p w:rsidR="004613F1" w:rsidRDefault="004613F1" w:rsidP="00C84BB9">
      <w:pPr>
        <w:jc w:val="right"/>
        <w:rPr>
          <w:b/>
          <w:lang w:val="en-US"/>
        </w:rPr>
      </w:pPr>
    </w:p>
    <w:p w:rsidR="004613F1" w:rsidRPr="00C8222E" w:rsidRDefault="004613F1" w:rsidP="00C84BB9">
      <w:pPr>
        <w:jc w:val="right"/>
        <w:rPr>
          <w:b/>
          <w:lang w:val="en-US"/>
        </w:rPr>
      </w:pPr>
      <w:r>
        <w:rPr>
          <w:noProof/>
          <w:lang w:val="en-US" w:eastAsia="en-US"/>
        </w:rPr>
        <w:drawing>
          <wp:inline distT="0" distB="0" distL="0" distR="0">
            <wp:extent cx="5697220" cy="3674745"/>
            <wp:effectExtent l="0" t="0" r="0" b="1905"/>
            <wp:docPr id="2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rsidR="004613F1" w:rsidRDefault="004613F1" w:rsidP="00C84BB9">
      <w:pPr>
        <w:jc w:val="right"/>
        <w:rPr>
          <w:b/>
        </w:rPr>
      </w:pPr>
    </w:p>
    <w:p w:rsidR="004613F1" w:rsidRPr="004613F1" w:rsidRDefault="004613F1" w:rsidP="004613F1">
      <w:pPr>
        <w:rPr>
          <w:sz w:val="20"/>
          <w:szCs w:val="20"/>
          <w:lang w:val="en-US"/>
        </w:rPr>
      </w:pPr>
      <w:r>
        <w:rPr>
          <w:b/>
          <w:sz w:val="20"/>
          <w:szCs w:val="20"/>
        </w:rPr>
        <w:t>Šaltinis</w:t>
      </w:r>
      <w:r w:rsidRPr="008A2AB0">
        <w:rPr>
          <w:b/>
          <w:sz w:val="20"/>
          <w:szCs w:val="20"/>
        </w:rPr>
        <w:t>:</w:t>
      </w:r>
      <w:r w:rsidRPr="008A2AB0">
        <w:rPr>
          <w:sz w:val="20"/>
          <w:szCs w:val="20"/>
        </w:rPr>
        <w:t xml:space="preserve"> </w:t>
      </w:r>
      <w:r w:rsidRPr="008A2AB0">
        <w:rPr>
          <w:sz w:val="20"/>
          <w:szCs w:val="20"/>
          <w:lang w:val="en-US"/>
        </w:rPr>
        <w:t xml:space="preserve">Edvinsson, L., &amp; Malone, M. S. </w:t>
      </w:r>
      <w:r w:rsidRPr="008A2AB0">
        <w:rPr>
          <w:i/>
          <w:iCs/>
          <w:sz w:val="20"/>
          <w:szCs w:val="20"/>
          <w:lang w:val="en-US"/>
        </w:rPr>
        <w:t xml:space="preserve">(1991). Intellectual capital :Realizing your company's true value by finding its hidden roots </w:t>
      </w:r>
      <w:r w:rsidRPr="008A2AB0">
        <w:rPr>
          <w:sz w:val="20"/>
          <w:szCs w:val="20"/>
          <w:lang w:val="en-US"/>
        </w:rPr>
        <w:t>(1st e</w:t>
      </w:r>
      <w:r>
        <w:rPr>
          <w:sz w:val="20"/>
          <w:szCs w:val="20"/>
          <w:lang w:val="en-US"/>
        </w:rPr>
        <w:t xml:space="preserve">d.). New York: HarperBusiness. </w:t>
      </w:r>
    </w:p>
    <w:p w:rsidR="00C84BB9" w:rsidRDefault="00C84BB9" w:rsidP="00C84BB9">
      <w:pPr>
        <w:jc w:val="right"/>
        <w:rPr>
          <w:b/>
          <w:lang w:val="en-US"/>
        </w:rPr>
      </w:pPr>
      <w:r>
        <w:rPr>
          <w:b/>
        </w:rPr>
        <w:br w:type="column"/>
      </w:r>
      <w:r w:rsidRPr="00C8222E">
        <w:rPr>
          <w:b/>
          <w:lang w:val="en-US"/>
        </w:rPr>
        <w:t>3 PRIEDAS</w:t>
      </w:r>
    </w:p>
    <w:p w:rsidR="00A6632F" w:rsidRPr="00061B56" w:rsidRDefault="00A6632F" w:rsidP="00A6632F">
      <w:pPr>
        <w:widowControl w:val="0"/>
        <w:autoSpaceDE w:val="0"/>
        <w:autoSpaceDN w:val="0"/>
        <w:adjustRightInd w:val="0"/>
        <w:jc w:val="center"/>
        <w:rPr>
          <w:b/>
          <w:lang w:val="en-US"/>
        </w:rPr>
      </w:pPr>
      <w:r w:rsidRPr="00061B56">
        <w:rPr>
          <w:b/>
          <w:lang w:val="en-US"/>
        </w:rPr>
        <w:t xml:space="preserve">Intelektinio kapitalo </w:t>
      </w:r>
      <w:r>
        <w:rPr>
          <w:b/>
          <w:lang w:val="en-US"/>
        </w:rPr>
        <w:t>klasifikavimas</w:t>
      </w:r>
    </w:p>
    <w:p w:rsidR="00A6632F" w:rsidRPr="008A2AB0" w:rsidRDefault="00A6632F" w:rsidP="00A6632F">
      <w:pPr>
        <w:widowControl w:val="0"/>
        <w:autoSpaceDE w:val="0"/>
        <w:autoSpaceDN w:val="0"/>
        <w:adjustRightInd w:val="0"/>
        <w:rPr>
          <w:lang w:val="en-US"/>
        </w:rPr>
      </w:pPr>
    </w:p>
    <w:tbl>
      <w:tblPr>
        <w:tblStyle w:val="MediumGrid2-Accent1"/>
        <w:tblW w:w="0" w:type="auto"/>
        <w:tblLook w:val="04A0"/>
      </w:tblPr>
      <w:tblGrid>
        <w:gridCol w:w="1671"/>
        <w:gridCol w:w="1671"/>
        <w:gridCol w:w="2901"/>
        <w:gridCol w:w="3402"/>
      </w:tblGrid>
      <w:tr w:rsidR="00A6632F" w:rsidRPr="004613F1" w:rsidTr="008028FB">
        <w:trPr>
          <w:cnfStyle w:val="100000000000"/>
          <w:trHeight w:val="398"/>
        </w:trPr>
        <w:tc>
          <w:tcPr>
            <w:cnfStyle w:val="001000000100"/>
            <w:tcW w:w="16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A6632F" w:rsidRPr="004613F1" w:rsidRDefault="00A6632F" w:rsidP="00146EDE">
            <w:pPr>
              <w:widowControl w:val="0"/>
              <w:autoSpaceDE w:val="0"/>
              <w:autoSpaceDN w:val="0"/>
              <w:adjustRightInd w:val="0"/>
              <w:rPr>
                <w:rFonts w:ascii="Times New Roman" w:hAnsi="Times New Roman"/>
                <w:sz w:val="22"/>
                <w:szCs w:val="22"/>
                <w:lang w:val="en-US"/>
              </w:rPr>
            </w:pPr>
          </w:p>
        </w:tc>
        <w:tc>
          <w:tcPr>
            <w:tcW w:w="1556" w:type="dxa"/>
            <w:tcBorders>
              <w:left w:val="single" w:sz="4" w:space="0" w:color="365F91" w:themeColor="accent1" w:themeShade="BF"/>
            </w:tcBorders>
          </w:tcPr>
          <w:p w:rsidR="00A6632F" w:rsidRPr="004613F1" w:rsidRDefault="00A6632F" w:rsidP="00146EDE">
            <w:pPr>
              <w:widowControl w:val="0"/>
              <w:autoSpaceDE w:val="0"/>
              <w:autoSpaceDN w:val="0"/>
              <w:adjustRightInd w:val="0"/>
              <w:ind w:left="-810" w:firstLine="810"/>
              <w:cnfStyle w:val="100000000000"/>
              <w:rPr>
                <w:rFonts w:ascii="Times New Roman" w:hAnsi="Times New Roman"/>
                <w:i/>
                <w:sz w:val="22"/>
                <w:szCs w:val="22"/>
                <w:lang w:val="en-US"/>
              </w:rPr>
            </w:pPr>
          </w:p>
        </w:tc>
        <w:tc>
          <w:tcPr>
            <w:tcW w:w="2901" w:type="dxa"/>
          </w:tcPr>
          <w:p w:rsidR="00A6632F" w:rsidRPr="004613F1" w:rsidRDefault="00A6632F" w:rsidP="00146EDE">
            <w:pPr>
              <w:widowControl w:val="0"/>
              <w:autoSpaceDE w:val="0"/>
              <w:autoSpaceDN w:val="0"/>
              <w:adjustRightInd w:val="0"/>
              <w:cnfStyle w:val="100000000000"/>
              <w:rPr>
                <w:rFonts w:ascii="Times New Roman" w:hAnsi="Times New Roman"/>
                <w:sz w:val="22"/>
                <w:szCs w:val="22"/>
                <w:lang w:val="en-US"/>
              </w:rPr>
            </w:pPr>
            <w:r w:rsidRPr="004613F1">
              <w:rPr>
                <w:rFonts w:ascii="Times New Roman" w:hAnsi="Times New Roman"/>
                <w:sz w:val="22"/>
                <w:szCs w:val="22"/>
                <w:lang w:val="en-US"/>
              </w:rPr>
              <w:t>Petty ir Guthrie</w:t>
            </w:r>
          </w:p>
        </w:tc>
        <w:tc>
          <w:tcPr>
            <w:tcW w:w="3402" w:type="dxa"/>
          </w:tcPr>
          <w:p w:rsidR="00A6632F" w:rsidRPr="004613F1" w:rsidRDefault="00A6632F" w:rsidP="00146EDE">
            <w:pPr>
              <w:widowControl w:val="0"/>
              <w:autoSpaceDE w:val="0"/>
              <w:autoSpaceDN w:val="0"/>
              <w:adjustRightInd w:val="0"/>
              <w:cnfStyle w:val="100000000000"/>
              <w:rPr>
                <w:rFonts w:ascii="Times New Roman" w:hAnsi="Times New Roman"/>
                <w:sz w:val="22"/>
                <w:szCs w:val="22"/>
                <w:lang w:val="en-US"/>
              </w:rPr>
            </w:pPr>
            <w:r w:rsidRPr="004613F1">
              <w:rPr>
                <w:rFonts w:ascii="Times New Roman" w:hAnsi="Times New Roman"/>
                <w:sz w:val="22"/>
                <w:szCs w:val="22"/>
                <w:lang w:val="en-US"/>
              </w:rPr>
              <w:t>IFAC</w:t>
            </w:r>
          </w:p>
        </w:tc>
      </w:tr>
      <w:tr w:rsidR="00A6632F" w:rsidRPr="008A2AB0" w:rsidTr="008028FB">
        <w:trPr>
          <w:cnfStyle w:val="000000100000"/>
          <w:trHeight w:val="1142"/>
        </w:trPr>
        <w:tc>
          <w:tcPr>
            <w:cnfStyle w:val="001000000000"/>
            <w:tcW w:w="16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5B3D7" w:themeFill="accent1" w:themeFillTint="99"/>
          </w:tcPr>
          <w:p w:rsidR="00A6632F" w:rsidRPr="004613F1" w:rsidRDefault="00A6632F" w:rsidP="00146EDE">
            <w:pPr>
              <w:widowControl w:val="0"/>
              <w:autoSpaceDE w:val="0"/>
              <w:autoSpaceDN w:val="0"/>
              <w:adjustRightInd w:val="0"/>
              <w:rPr>
                <w:rFonts w:ascii="Times New Roman" w:hAnsi="Times New Roman"/>
                <w:sz w:val="22"/>
                <w:szCs w:val="22"/>
                <w:lang w:val="en-US"/>
              </w:rPr>
            </w:pPr>
            <w:r w:rsidRPr="004613F1">
              <w:rPr>
                <w:rFonts w:ascii="Times New Roman" w:hAnsi="Times New Roman"/>
                <w:sz w:val="22"/>
                <w:szCs w:val="22"/>
                <w:lang w:val="en-US"/>
              </w:rPr>
              <w:t>Vidinis: Struktūrinis (Organizacinis) kapitalas</w:t>
            </w:r>
          </w:p>
        </w:tc>
        <w:tc>
          <w:tcPr>
            <w:tcW w:w="1556" w:type="dxa"/>
            <w:tcBorders>
              <w:left w:val="single" w:sz="4" w:space="0" w:color="365F91" w:themeColor="accent1" w:themeShade="BF"/>
            </w:tcBorders>
          </w:tcPr>
          <w:p w:rsidR="00A6632F" w:rsidRPr="008A2AB0" w:rsidRDefault="00A6632F" w:rsidP="00146EDE">
            <w:pPr>
              <w:widowControl w:val="0"/>
              <w:autoSpaceDE w:val="0"/>
              <w:autoSpaceDN w:val="0"/>
              <w:adjustRightInd w:val="0"/>
              <w:cnfStyle w:val="000000100000"/>
              <w:rPr>
                <w:rFonts w:ascii="Times New Roman" w:hAnsi="Times New Roman"/>
                <w:i/>
                <w:sz w:val="22"/>
                <w:szCs w:val="22"/>
                <w:lang w:val="en-US"/>
              </w:rPr>
            </w:pPr>
            <w:r w:rsidRPr="008A2AB0">
              <w:rPr>
                <w:rFonts w:ascii="Times New Roman" w:hAnsi="Times New Roman"/>
                <w:i/>
                <w:sz w:val="22"/>
                <w:szCs w:val="22"/>
                <w:lang w:val="en-US"/>
              </w:rPr>
              <w:t>Intelektinė nuosavybė</w:t>
            </w:r>
          </w:p>
        </w:tc>
        <w:tc>
          <w:tcPr>
            <w:tcW w:w="2901" w:type="dxa"/>
          </w:tcPr>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Patentai</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Autorių teisės</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Prekių ženklai</w:t>
            </w:r>
          </w:p>
        </w:tc>
        <w:tc>
          <w:tcPr>
            <w:tcW w:w="3402" w:type="dxa"/>
          </w:tcPr>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Patentai</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Autorių teisės</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Dizaino teisės</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Prekybinės paslaptys</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Firmos ženklai</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Paslaugų ženklai</w:t>
            </w:r>
          </w:p>
        </w:tc>
      </w:tr>
      <w:tr w:rsidR="00A6632F" w:rsidRPr="008A2AB0" w:rsidTr="008028FB">
        <w:tc>
          <w:tcPr>
            <w:cnfStyle w:val="001000000000"/>
            <w:tcW w:w="16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5B3D7" w:themeFill="accent1" w:themeFillTint="99"/>
          </w:tcPr>
          <w:p w:rsidR="00A6632F" w:rsidRPr="008A2AB0" w:rsidRDefault="00A6632F" w:rsidP="00146EDE">
            <w:pPr>
              <w:widowControl w:val="0"/>
              <w:autoSpaceDE w:val="0"/>
              <w:autoSpaceDN w:val="0"/>
              <w:adjustRightInd w:val="0"/>
              <w:rPr>
                <w:rFonts w:ascii="Times New Roman" w:hAnsi="Times New Roman"/>
                <w:sz w:val="22"/>
                <w:szCs w:val="22"/>
                <w:lang w:val="en-US"/>
              </w:rPr>
            </w:pPr>
          </w:p>
        </w:tc>
        <w:tc>
          <w:tcPr>
            <w:tcW w:w="1556" w:type="dxa"/>
            <w:tcBorders>
              <w:left w:val="single" w:sz="4" w:space="0" w:color="365F91" w:themeColor="accent1" w:themeShade="BF"/>
            </w:tcBorders>
          </w:tcPr>
          <w:p w:rsidR="00A6632F" w:rsidRPr="008A2AB0" w:rsidRDefault="00A6632F" w:rsidP="00146EDE">
            <w:pPr>
              <w:widowControl w:val="0"/>
              <w:autoSpaceDE w:val="0"/>
              <w:autoSpaceDN w:val="0"/>
              <w:adjustRightInd w:val="0"/>
              <w:cnfStyle w:val="000000000000"/>
              <w:rPr>
                <w:rFonts w:ascii="Times New Roman" w:hAnsi="Times New Roman"/>
                <w:i/>
                <w:sz w:val="22"/>
                <w:szCs w:val="22"/>
                <w:lang w:val="en-US"/>
              </w:rPr>
            </w:pPr>
            <w:r w:rsidRPr="008A2AB0">
              <w:rPr>
                <w:rFonts w:ascii="Times New Roman" w:hAnsi="Times New Roman"/>
                <w:i/>
                <w:sz w:val="22"/>
                <w:szCs w:val="22"/>
                <w:lang w:val="en-US"/>
              </w:rPr>
              <w:t>Infrastruktūrinis turtas</w:t>
            </w:r>
          </w:p>
        </w:tc>
        <w:tc>
          <w:tcPr>
            <w:tcW w:w="2901" w:type="dxa"/>
          </w:tcPr>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valdymo filosofija</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Įmonės kultūra</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valdymo procesai</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Informacinės sistemos</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tinklų sistemos</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finansiniai ryšiai</w:t>
            </w:r>
          </w:p>
        </w:tc>
        <w:tc>
          <w:tcPr>
            <w:tcW w:w="3402" w:type="dxa"/>
          </w:tcPr>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Valdymo filosofija</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Organizacinė kultūra</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Valdymo procesas</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Informacinės sistemos</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Tarptinklinės sistemos</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Finansiniai santykiai</w:t>
            </w:r>
          </w:p>
        </w:tc>
      </w:tr>
      <w:tr w:rsidR="00A6632F" w:rsidRPr="008A2AB0" w:rsidTr="008028FB">
        <w:trPr>
          <w:cnfStyle w:val="000000100000"/>
        </w:trPr>
        <w:tc>
          <w:tcPr>
            <w:cnfStyle w:val="001000000000"/>
            <w:tcW w:w="16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5B3D7" w:themeFill="accent1" w:themeFillTint="99"/>
          </w:tcPr>
          <w:p w:rsidR="00A6632F" w:rsidRPr="004613F1" w:rsidRDefault="00A6632F" w:rsidP="00146EDE">
            <w:pPr>
              <w:widowControl w:val="0"/>
              <w:autoSpaceDE w:val="0"/>
              <w:autoSpaceDN w:val="0"/>
              <w:adjustRightInd w:val="0"/>
              <w:rPr>
                <w:rFonts w:ascii="Times New Roman" w:hAnsi="Times New Roman"/>
                <w:sz w:val="22"/>
                <w:szCs w:val="22"/>
                <w:lang w:val="en-US"/>
              </w:rPr>
            </w:pPr>
            <w:r w:rsidRPr="004613F1">
              <w:rPr>
                <w:rFonts w:ascii="Times New Roman" w:hAnsi="Times New Roman"/>
                <w:sz w:val="22"/>
                <w:szCs w:val="22"/>
                <w:lang w:val="en-US"/>
              </w:rPr>
              <w:t xml:space="preserve">Išorės: klientinis (santykinis) kapitalas </w:t>
            </w:r>
          </w:p>
          <w:p w:rsidR="00A6632F" w:rsidRPr="008A2AB0" w:rsidRDefault="00A6632F" w:rsidP="00146EDE">
            <w:pPr>
              <w:widowControl w:val="0"/>
              <w:autoSpaceDE w:val="0"/>
              <w:autoSpaceDN w:val="0"/>
              <w:adjustRightInd w:val="0"/>
              <w:rPr>
                <w:rFonts w:ascii="Times New Roman" w:hAnsi="Times New Roman"/>
                <w:sz w:val="22"/>
                <w:szCs w:val="22"/>
                <w:lang w:val="en-US"/>
              </w:rPr>
            </w:pPr>
          </w:p>
          <w:p w:rsidR="00A6632F" w:rsidRPr="008A2AB0" w:rsidRDefault="00A6632F" w:rsidP="00146EDE">
            <w:pPr>
              <w:widowControl w:val="0"/>
              <w:autoSpaceDE w:val="0"/>
              <w:autoSpaceDN w:val="0"/>
              <w:adjustRightInd w:val="0"/>
              <w:rPr>
                <w:rFonts w:ascii="Times New Roman" w:hAnsi="Times New Roman"/>
                <w:sz w:val="22"/>
                <w:szCs w:val="22"/>
                <w:lang w:val="en-US"/>
              </w:rPr>
            </w:pPr>
          </w:p>
        </w:tc>
        <w:tc>
          <w:tcPr>
            <w:tcW w:w="1556" w:type="dxa"/>
            <w:tcBorders>
              <w:left w:val="single" w:sz="4" w:space="0" w:color="365F91" w:themeColor="accent1" w:themeShade="BF"/>
            </w:tcBorders>
          </w:tcPr>
          <w:p w:rsidR="00A6632F" w:rsidRPr="008A2AB0" w:rsidRDefault="00A6632F" w:rsidP="00146EDE">
            <w:pPr>
              <w:widowControl w:val="0"/>
              <w:autoSpaceDE w:val="0"/>
              <w:autoSpaceDN w:val="0"/>
              <w:adjustRightInd w:val="0"/>
              <w:cnfStyle w:val="000000100000"/>
              <w:rPr>
                <w:rFonts w:ascii="Times New Roman" w:hAnsi="Times New Roman"/>
                <w:i/>
                <w:sz w:val="22"/>
                <w:szCs w:val="22"/>
                <w:lang w:val="en-US"/>
              </w:rPr>
            </w:pPr>
            <w:r w:rsidRPr="008A2AB0">
              <w:rPr>
                <w:rFonts w:ascii="Times New Roman" w:hAnsi="Times New Roman"/>
                <w:i/>
                <w:sz w:val="22"/>
                <w:szCs w:val="22"/>
                <w:lang w:val="en-US"/>
              </w:rPr>
              <w:t>Santykiai su klientais, partneriais, investuotojais, tiekėjais.</w:t>
            </w:r>
          </w:p>
        </w:tc>
        <w:tc>
          <w:tcPr>
            <w:tcW w:w="2901" w:type="dxa"/>
          </w:tcPr>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Prekiniai ženklai</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klientai</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klientų lojalumo</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įmonių pavadinimai</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paskirstymo kanalai</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verslo bendradarbiavimą</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licencijavimo susitarimus</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Palankios sutartys</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frančizės susitarimus</w:t>
            </w:r>
          </w:p>
        </w:tc>
        <w:tc>
          <w:tcPr>
            <w:tcW w:w="3402" w:type="dxa"/>
          </w:tcPr>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Prekės ženklai</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Vartotojai</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Vartotojų lojalumas</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Kompanijų pavadinimai</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Distribucijos kanalai</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Verslo ryšiai</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Licencijos</w:t>
            </w:r>
          </w:p>
          <w:p w:rsidR="00A6632F" w:rsidRPr="008A2AB0" w:rsidRDefault="00A6632F" w:rsidP="00146EDE">
            <w:pPr>
              <w:widowControl w:val="0"/>
              <w:autoSpaceDE w:val="0"/>
              <w:autoSpaceDN w:val="0"/>
              <w:adjustRightInd w:val="0"/>
              <w:cnfStyle w:val="000000100000"/>
              <w:rPr>
                <w:rFonts w:ascii="Times New Roman" w:hAnsi="Times New Roman"/>
                <w:sz w:val="22"/>
                <w:szCs w:val="22"/>
                <w:lang w:val="en-US"/>
              </w:rPr>
            </w:pPr>
            <w:r w:rsidRPr="008A2AB0">
              <w:rPr>
                <w:rFonts w:ascii="Times New Roman" w:hAnsi="Times New Roman"/>
                <w:sz w:val="22"/>
                <w:szCs w:val="22"/>
                <w:lang w:val="en-US"/>
              </w:rPr>
              <w:t>Frančizės</w:t>
            </w:r>
          </w:p>
        </w:tc>
      </w:tr>
      <w:tr w:rsidR="00A6632F" w:rsidRPr="008A2AB0" w:rsidTr="008028FB">
        <w:tc>
          <w:tcPr>
            <w:cnfStyle w:val="001000000000"/>
            <w:tcW w:w="16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5B3D7" w:themeFill="accent1" w:themeFillTint="99"/>
          </w:tcPr>
          <w:p w:rsidR="00A6632F" w:rsidRPr="004613F1" w:rsidRDefault="00A6632F" w:rsidP="00146EDE">
            <w:pPr>
              <w:widowControl w:val="0"/>
              <w:autoSpaceDE w:val="0"/>
              <w:autoSpaceDN w:val="0"/>
              <w:adjustRightInd w:val="0"/>
              <w:rPr>
                <w:rFonts w:ascii="Times New Roman" w:hAnsi="Times New Roman"/>
                <w:sz w:val="22"/>
                <w:szCs w:val="22"/>
                <w:lang w:val="en-US"/>
              </w:rPr>
            </w:pPr>
            <w:r w:rsidRPr="004613F1">
              <w:rPr>
                <w:rFonts w:ascii="Times New Roman" w:hAnsi="Times New Roman"/>
                <w:sz w:val="22"/>
                <w:szCs w:val="22"/>
                <w:lang w:val="en-US"/>
              </w:rPr>
              <w:t>Darbuotojo kompetencija: žmogiškasis kapitalas</w:t>
            </w:r>
          </w:p>
        </w:tc>
        <w:tc>
          <w:tcPr>
            <w:tcW w:w="1556" w:type="dxa"/>
            <w:tcBorders>
              <w:left w:val="single" w:sz="4" w:space="0" w:color="365F91" w:themeColor="accent1" w:themeShade="BF"/>
            </w:tcBorders>
          </w:tcPr>
          <w:p w:rsidR="00A6632F" w:rsidRPr="008A2AB0" w:rsidRDefault="00A6632F" w:rsidP="00146EDE">
            <w:pPr>
              <w:widowControl w:val="0"/>
              <w:autoSpaceDE w:val="0"/>
              <w:autoSpaceDN w:val="0"/>
              <w:adjustRightInd w:val="0"/>
              <w:cnfStyle w:val="000000000000"/>
              <w:rPr>
                <w:rFonts w:ascii="Times New Roman" w:hAnsi="Times New Roman"/>
                <w:i/>
                <w:sz w:val="22"/>
                <w:szCs w:val="22"/>
                <w:lang w:val="en-US"/>
              </w:rPr>
            </w:pPr>
          </w:p>
        </w:tc>
        <w:tc>
          <w:tcPr>
            <w:tcW w:w="2901" w:type="dxa"/>
          </w:tcPr>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Patirtis</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švietimas</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profesinė kvalifikacija</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Darbu susijusių žinių</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Su darbu susiję kompetencijos</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Verslumo dvasia, novatoriškumas, iniciatyvių ir reaktyviosios gebėjimus, kintamumas</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p>
        </w:tc>
        <w:tc>
          <w:tcPr>
            <w:tcW w:w="3402" w:type="dxa"/>
          </w:tcPr>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 xml:space="preserve">Praktinė patirtis </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Išsilavinimas</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Profsinė kvalifikacija</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Su darbu susijusios žinios</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Profesinio išsilavinimo nustatymas</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Psichometrinis nustatymas</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Darbo kompetencijos</w:t>
            </w:r>
          </w:p>
          <w:p w:rsidR="00A6632F" w:rsidRPr="008A2AB0" w:rsidRDefault="00A6632F" w:rsidP="00146EDE">
            <w:pPr>
              <w:widowControl w:val="0"/>
              <w:autoSpaceDE w:val="0"/>
              <w:autoSpaceDN w:val="0"/>
              <w:adjustRightInd w:val="0"/>
              <w:cnfStyle w:val="000000000000"/>
              <w:rPr>
                <w:rFonts w:ascii="Times New Roman" w:hAnsi="Times New Roman"/>
                <w:sz w:val="22"/>
                <w:szCs w:val="22"/>
                <w:lang w:val="en-US"/>
              </w:rPr>
            </w:pPr>
            <w:r w:rsidRPr="008A2AB0">
              <w:rPr>
                <w:rFonts w:ascii="Times New Roman" w:hAnsi="Times New Roman"/>
                <w:sz w:val="22"/>
                <w:szCs w:val="22"/>
                <w:lang w:val="en-US"/>
              </w:rPr>
              <w:t xml:space="preserve">Novatoriškumas </w:t>
            </w:r>
          </w:p>
        </w:tc>
      </w:tr>
    </w:tbl>
    <w:p w:rsidR="00A6632F" w:rsidRPr="008A2AB0" w:rsidRDefault="00A6632F" w:rsidP="00A6632F">
      <w:pPr>
        <w:widowControl w:val="0"/>
        <w:autoSpaceDE w:val="0"/>
        <w:autoSpaceDN w:val="0"/>
        <w:adjustRightInd w:val="0"/>
        <w:rPr>
          <w:sz w:val="20"/>
          <w:szCs w:val="20"/>
          <w:lang w:val="en-US"/>
        </w:rPr>
      </w:pPr>
      <w:r w:rsidRPr="008A2AB0">
        <w:rPr>
          <w:sz w:val="20"/>
          <w:szCs w:val="20"/>
          <w:lang w:val="en-US"/>
        </w:rPr>
        <w:t>Šaltinis: sudaryta autorės pagal Petty&amp;Guthrie</w:t>
      </w:r>
      <w:r w:rsidR="00775A4C">
        <w:rPr>
          <w:sz w:val="20"/>
          <w:szCs w:val="20"/>
          <w:lang w:val="en-US"/>
        </w:rPr>
        <w:t xml:space="preserve"> (2000)</w:t>
      </w:r>
      <w:r w:rsidRPr="008A2AB0">
        <w:rPr>
          <w:sz w:val="20"/>
          <w:szCs w:val="20"/>
          <w:lang w:val="en-US"/>
        </w:rPr>
        <w:t xml:space="preserve"> ir IFAC (International federation of accountants)</w:t>
      </w:r>
      <w:r w:rsidR="00775A4C">
        <w:rPr>
          <w:sz w:val="20"/>
          <w:szCs w:val="20"/>
          <w:lang w:val="en-US"/>
        </w:rPr>
        <w:t xml:space="preserve"> (1998).</w:t>
      </w:r>
    </w:p>
    <w:p w:rsidR="00C84BB9" w:rsidRPr="00C8222E" w:rsidRDefault="00C84BB9" w:rsidP="00C84BB9">
      <w:pPr>
        <w:jc w:val="right"/>
        <w:rPr>
          <w:b/>
          <w:lang w:val="en-US"/>
        </w:rPr>
      </w:pPr>
      <w:r w:rsidRPr="00C8222E">
        <w:rPr>
          <w:b/>
        </w:rPr>
        <w:br w:type="column"/>
      </w:r>
      <w:r w:rsidRPr="00C8222E">
        <w:rPr>
          <w:b/>
          <w:lang w:val="en-US"/>
        </w:rPr>
        <w:t>4 PRIEDAS</w:t>
      </w:r>
    </w:p>
    <w:p w:rsidR="0006720C" w:rsidRDefault="0006720C" w:rsidP="00E92C85">
      <w:pPr>
        <w:widowControl w:val="0"/>
        <w:autoSpaceDE w:val="0"/>
        <w:autoSpaceDN w:val="0"/>
        <w:adjustRightInd w:val="0"/>
        <w:spacing w:line="360" w:lineRule="auto"/>
        <w:jc w:val="center"/>
        <w:rPr>
          <w:b/>
        </w:rPr>
      </w:pPr>
      <w:r w:rsidRPr="0099727E">
        <w:rPr>
          <w:b/>
        </w:rPr>
        <w:t>Intelektinio kapitalo matavimo modeliai ir jų turinys</w:t>
      </w:r>
    </w:p>
    <w:p w:rsidR="00E92C85" w:rsidRPr="00E92C85" w:rsidRDefault="00E92C85" w:rsidP="00E92C85">
      <w:pPr>
        <w:widowControl w:val="0"/>
        <w:autoSpaceDE w:val="0"/>
        <w:autoSpaceDN w:val="0"/>
        <w:adjustRightInd w:val="0"/>
        <w:jc w:val="center"/>
        <w:rPr>
          <w:b/>
        </w:rPr>
      </w:pPr>
    </w:p>
    <w:tbl>
      <w:tblPr>
        <w:tblStyle w:val="LightGrid-Accent1"/>
        <w:tblW w:w="0" w:type="auto"/>
        <w:tblLook w:val="04A0"/>
      </w:tblPr>
      <w:tblGrid>
        <w:gridCol w:w="1951"/>
        <w:gridCol w:w="1985"/>
        <w:gridCol w:w="6095"/>
      </w:tblGrid>
      <w:tr w:rsidR="0006720C" w:rsidRPr="00E92C85" w:rsidTr="00E92C85">
        <w:trPr>
          <w:cnfStyle w:val="100000000000"/>
          <w:trHeight w:val="376"/>
        </w:trPr>
        <w:tc>
          <w:tcPr>
            <w:cnfStyle w:val="001000000000"/>
            <w:tcW w:w="1951" w:type="dxa"/>
          </w:tcPr>
          <w:p w:rsidR="0006720C" w:rsidRPr="00E92C85" w:rsidRDefault="0006720C" w:rsidP="0006720C">
            <w:pPr>
              <w:spacing w:line="360" w:lineRule="auto"/>
              <w:jc w:val="center"/>
              <w:rPr>
                <w:rFonts w:ascii="Times New Roman" w:hAnsi="Times New Roman" w:cs="Times New Roman"/>
                <w:lang w:val="en-US"/>
              </w:rPr>
            </w:pPr>
            <w:r w:rsidRPr="00E92C85">
              <w:rPr>
                <w:rFonts w:ascii="Times New Roman" w:hAnsi="Times New Roman" w:cs="Times New Roman"/>
                <w:lang w:val="en-US"/>
              </w:rPr>
              <w:t>Autorius, metai</w:t>
            </w:r>
          </w:p>
        </w:tc>
        <w:tc>
          <w:tcPr>
            <w:tcW w:w="1985" w:type="dxa"/>
          </w:tcPr>
          <w:p w:rsidR="0006720C" w:rsidRPr="00E92C85" w:rsidRDefault="0006720C" w:rsidP="0006720C">
            <w:pPr>
              <w:spacing w:line="360" w:lineRule="auto"/>
              <w:jc w:val="center"/>
              <w:cnfStyle w:val="100000000000"/>
              <w:rPr>
                <w:rFonts w:ascii="Times New Roman" w:hAnsi="Times New Roman" w:cs="Times New Roman"/>
                <w:lang w:val="en-US"/>
              </w:rPr>
            </w:pPr>
            <w:r w:rsidRPr="00E92C85">
              <w:rPr>
                <w:rFonts w:ascii="Times New Roman" w:hAnsi="Times New Roman" w:cs="Times New Roman"/>
                <w:lang w:val="en-US"/>
              </w:rPr>
              <w:t>Modelis</w:t>
            </w:r>
          </w:p>
        </w:tc>
        <w:tc>
          <w:tcPr>
            <w:tcW w:w="6095" w:type="dxa"/>
          </w:tcPr>
          <w:p w:rsidR="0006720C" w:rsidRPr="00E92C85" w:rsidRDefault="0006720C" w:rsidP="0006720C">
            <w:pPr>
              <w:spacing w:line="360" w:lineRule="auto"/>
              <w:jc w:val="center"/>
              <w:cnfStyle w:val="100000000000"/>
              <w:rPr>
                <w:rFonts w:ascii="Times New Roman" w:hAnsi="Times New Roman" w:cs="Times New Roman"/>
                <w:lang w:val="en-US"/>
              </w:rPr>
            </w:pPr>
            <w:r w:rsidRPr="00E92C85">
              <w:rPr>
                <w:rFonts w:ascii="Times New Roman" w:hAnsi="Times New Roman" w:cs="Times New Roman"/>
                <w:lang w:val="en-US"/>
              </w:rPr>
              <w:t>Modelio apibūdinimas</w:t>
            </w:r>
          </w:p>
        </w:tc>
      </w:tr>
      <w:tr w:rsidR="0006720C" w:rsidRPr="00E92C85" w:rsidTr="00E92C85">
        <w:trPr>
          <w:cnfStyle w:val="00000010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Tobin James, 1950</w:t>
            </w: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sidRPr="00E92C85">
              <w:rPr>
                <w:rFonts w:eastAsia="ＭＳ 明朝"/>
                <w:sz w:val="20"/>
                <w:szCs w:val="20"/>
                <w:lang w:val="en-US"/>
              </w:rPr>
              <w:t>Tobin q indeksas (angl. Tobin’s q)</w:t>
            </w:r>
          </w:p>
        </w:tc>
        <w:tc>
          <w:tcPr>
            <w:tcW w:w="6095" w:type="dxa"/>
          </w:tcPr>
          <w:p w:rsidR="0006720C" w:rsidRPr="00E92C85" w:rsidRDefault="002903F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r>
              <w:rPr>
                <w:rFonts w:eastAsia="ＭＳ 明朝"/>
                <w:sz w:val="20"/>
                <w:szCs w:val="20"/>
                <w:lang w:val="en-US"/>
              </w:rPr>
              <w:t>Inlelektinis kapitalas skaič</w:t>
            </w:r>
            <w:r w:rsidR="0006720C" w:rsidRPr="00E92C85">
              <w:rPr>
                <w:rFonts w:eastAsia="ＭＳ 明朝"/>
                <w:sz w:val="20"/>
                <w:szCs w:val="20"/>
                <w:lang w:val="en-US"/>
              </w:rPr>
              <w:t>iuojamas, kaip santykinis rodiklis rinkos</w:t>
            </w:r>
            <w:r>
              <w:rPr>
                <w:rFonts w:eastAsia="ＭＳ 明朝"/>
                <w:sz w:val="20"/>
                <w:szCs w:val="20"/>
                <w:lang w:val="en-US"/>
              </w:rPr>
              <w:t xml:space="preserve"> aktyvo vertės su jo atstatomąja</w:t>
            </w:r>
            <w:r w:rsidR="0006720C" w:rsidRPr="00E92C85">
              <w:rPr>
                <w:rFonts w:eastAsia="ＭＳ 明朝"/>
                <w:sz w:val="20"/>
                <w:szCs w:val="20"/>
                <w:lang w:val="en-US"/>
              </w:rPr>
              <w:t xml:space="preserve"> verte.</w:t>
            </w:r>
          </w:p>
        </w:tc>
      </w:tr>
      <w:tr w:rsidR="0006720C" w:rsidRPr="00E92C85" w:rsidTr="00E92C85">
        <w:trPr>
          <w:cnfStyle w:val="00000001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Sweiby 1989</w:t>
            </w:r>
          </w:p>
          <w:p w:rsidR="0006720C" w:rsidRPr="00E92C85" w:rsidRDefault="0006720C" w:rsidP="0006720C">
            <w:pPr>
              <w:spacing w:line="360" w:lineRule="auto"/>
              <w:jc w:val="both"/>
              <w:rPr>
                <w:rFonts w:ascii="Times New Roman" w:hAnsi="Times New Roman" w:cs="Times New Roman"/>
                <w:sz w:val="20"/>
                <w:szCs w:val="20"/>
                <w:lang w:val="en-US"/>
              </w:rPr>
            </w:pP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sidRPr="00E92C85">
              <w:rPr>
                <w:rFonts w:eastAsia="ＭＳ 明朝"/>
                <w:sz w:val="20"/>
                <w:szCs w:val="20"/>
                <w:lang w:val="en-US"/>
              </w:rPr>
              <w:t>Nematomas balansas (angl. Invisible Balance Sheet)</w:t>
            </w:r>
          </w:p>
        </w:tc>
        <w:tc>
          <w:tcPr>
            <w:tcW w:w="6095" w:type="dxa"/>
          </w:tcPr>
          <w:p w:rsidR="0006720C" w:rsidRPr="00E92C85" w:rsidRDefault="002903F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sz w:val="20"/>
                <w:szCs w:val="20"/>
                <w:lang w:val="en-US"/>
              </w:rPr>
            </w:pPr>
            <w:r>
              <w:rPr>
                <w:sz w:val="20"/>
                <w:szCs w:val="20"/>
                <w:lang w:val="en-US"/>
              </w:rPr>
              <w:t>Metodas paaiškina skirtumą tarp organizacijos akcijų</w:t>
            </w:r>
            <w:r w:rsidR="0006720C" w:rsidRPr="00E92C85">
              <w:rPr>
                <w:sz w:val="20"/>
                <w:szCs w:val="20"/>
                <w:lang w:val="en-US"/>
              </w:rPr>
              <w:t xml:space="preserve"> vertės ir jos disponuojamo kapitalo, kuri sudaro žmogiškieji ištekliai, org</w:t>
            </w:r>
            <w:r>
              <w:rPr>
                <w:sz w:val="20"/>
                <w:szCs w:val="20"/>
                <w:lang w:val="en-US"/>
              </w:rPr>
              <w:t>anizacinis kapitalas, vartotojų</w:t>
            </w:r>
            <w:r w:rsidR="0006720C" w:rsidRPr="00E92C85">
              <w:rPr>
                <w:sz w:val="20"/>
                <w:szCs w:val="20"/>
                <w:lang w:val="en-US"/>
              </w:rPr>
              <w:t xml:space="preserve"> kapitalas. Atrenkant r</w:t>
            </w:r>
            <w:r>
              <w:rPr>
                <w:sz w:val="20"/>
                <w:szCs w:val="20"/>
                <w:lang w:val="en-US"/>
              </w:rPr>
              <w:t>odiklius vertinami nematerialių išteklių bū</w:t>
            </w:r>
            <w:r w:rsidR="0006720C" w:rsidRPr="00E92C85">
              <w:rPr>
                <w:sz w:val="20"/>
                <w:szCs w:val="20"/>
                <w:lang w:val="en-US"/>
              </w:rPr>
              <w:t>klės, priddamosios vertės, rizikos ir stabilumo aspektai. Rekomenduojama matuoti</w:t>
            </w:r>
            <w:r>
              <w:rPr>
                <w:sz w:val="20"/>
                <w:szCs w:val="20"/>
                <w:lang w:val="en-US"/>
              </w:rPr>
              <w:t xml:space="preserve"> 35 rodikliai ypatingai aktualū</w:t>
            </w:r>
            <w:r w:rsidR="0006720C" w:rsidRPr="00E92C85">
              <w:rPr>
                <w:sz w:val="20"/>
                <w:szCs w:val="20"/>
                <w:lang w:val="en-US"/>
              </w:rPr>
              <w:t xml:space="preserve">s investuotojams. </w:t>
            </w:r>
          </w:p>
        </w:tc>
      </w:tr>
      <w:tr w:rsidR="0006720C" w:rsidRPr="00E92C85" w:rsidTr="00E92C85">
        <w:trPr>
          <w:cnfStyle w:val="00000010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Kaplan, Norton, 1992</w:t>
            </w:r>
          </w:p>
          <w:p w:rsidR="0006720C" w:rsidRPr="00E92C85" w:rsidRDefault="0006720C" w:rsidP="0006720C">
            <w:pPr>
              <w:spacing w:line="360" w:lineRule="auto"/>
              <w:jc w:val="both"/>
              <w:rPr>
                <w:rFonts w:ascii="Times New Roman" w:hAnsi="Times New Roman" w:cs="Times New Roman"/>
                <w:sz w:val="20"/>
                <w:szCs w:val="20"/>
                <w:lang w:val="en-US"/>
              </w:rPr>
            </w:pPr>
          </w:p>
        </w:tc>
        <w:tc>
          <w:tcPr>
            <w:tcW w:w="1985" w:type="dxa"/>
          </w:tcPr>
          <w:p w:rsidR="0006720C" w:rsidRPr="00E92C85" w:rsidRDefault="002903F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Pr>
                <w:rFonts w:eastAsia="ＭＳ 明朝"/>
                <w:sz w:val="20"/>
                <w:szCs w:val="20"/>
                <w:lang w:val="en-US"/>
              </w:rPr>
              <w:t>Subalansuotų rodiklių lentelė</w:t>
            </w:r>
            <w:r w:rsidR="0006720C" w:rsidRPr="00E92C85">
              <w:rPr>
                <w:rFonts w:eastAsia="ＭＳ 明朝"/>
                <w:sz w:val="20"/>
                <w:szCs w:val="20"/>
                <w:lang w:val="en-US"/>
              </w:rPr>
              <w:t xml:space="preserve"> (angl. Balanced Score Card)</w:t>
            </w:r>
          </w:p>
        </w:tc>
        <w:tc>
          <w:tcPr>
            <w:tcW w:w="6095" w:type="dxa"/>
          </w:tcPr>
          <w:p w:rsidR="0006720C" w:rsidRPr="00E92C85" w:rsidRDefault="002903F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r>
              <w:rPr>
                <w:rFonts w:eastAsia="ＭＳ 明朝"/>
                <w:sz w:val="20"/>
                <w:szCs w:val="20"/>
                <w:lang w:val="en-US"/>
              </w:rPr>
              <w:t>Rodikliai remiasi įmonė</w:t>
            </w:r>
            <w:r w:rsidR="0006720C" w:rsidRPr="00E92C85">
              <w:rPr>
                <w:rFonts w:eastAsia="ＭＳ 明朝"/>
                <w:sz w:val="20"/>
                <w:szCs w:val="20"/>
                <w:lang w:val="en-US"/>
              </w:rPr>
              <w:t>s s</w:t>
            </w:r>
            <w:r>
              <w:rPr>
                <w:rFonts w:eastAsia="ＭＳ 明朝"/>
                <w:sz w:val="20"/>
                <w:szCs w:val="20"/>
                <w:lang w:val="en-US"/>
              </w:rPr>
              <w:t>trateginiais tikslais. Tikslinės prognozės: finansinė, klientų</w:t>
            </w:r>
            <w:r w:rsidR="0006720C" w:rsidRPr="00E92C85">
              <w:rPr>
                <w:rFonts w:eastAsia="ＭＳ 明朝"/>
                <w:sz w:val="20"/>
                <w:szCs w:val="20"/>
                <w:lang w:val="en-US"/>
              </w:rPr>
              <w:t xml:space="preserve">, vidaus proceso, mokymosi. </w:t>
            </w:r>
            <w:r>
              <w:rPr>
                <w:sz w:val="20"/>
                <w:szCs w:val="20"/>
                <w:lang w:val="en-US"/>
              </w:rPr>
              <w:t>Rodiklių</w:t>
            </w:r>
            <w:r w:rsidR="0006720C" w:rsidRPr="00E92C85">
              <w:rPr>
                <w:sz w:val="20"/>
                <w:szCs w:val="20"/>
                <w:lang w:val="en-US"/>
              </w:rPr>
              <w:t xml:space="preserve"> nepateikia intel</w:t>
            </w:r>
            <w:r>
              <w:rPr>
                <w:sz w:val="20"/>
                <w:szCs w:val="20"/>
                <w:lang w:val="en-US"/>
              </w:rPr>
              <w:t>ektinio kapitalo dydžio ar vertė</w:t>
            </w:r>
            <w:r w:rsidR="0006720C" w:rsidRPr="00E92C85">
              <w:rPr>
                <w:sz w:val="20"/>
                <w:szCs w:val="20"/>
                <w:lang w:val="en-US"/>
              </w:rPr>
              <w:t>s išraiškos, bet atsk</w:t>
            </w:r>
            <w:r>
              <w:rPr>
                <w:sz w:val="20"/>
                <w:szCs w:val="20"/>
                <w:lang w:val="en-US"/>
              </w:rPr>
              <w:t>leidžiamas organizacijos tikslų į</w:t>
            </w:r>
            <w:r w:rsidR="0006720C" w:rsidRPr="00E92C85">
              <w:rPr>
                <w:sz w:val="20"/>
                <w:szCs w:val="20"/>
                <w:lang w:val="en-US"/>
              </w:rPr>
              <w:t xml:space="preserve">gyvendinimo efektas. Akcentuojamas organizacijos tobulėjimas atskirose srityse. </w:t>
            </w:r>
          </w:p>
        </w:tc>
      </w:tr>
      <w:tr w:rsidR="0006720C" w:rsidRPr="00E92C85" w:rsidTr="00E92C85">
        <w:trPr>
          <w:cnfStyle w:val="00000001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Flamholtz, 1985, Johansson, 1996,</w:t>
            </w:r>
          </w:p>
          <w:p w:rsidR="0006720C" w:rsidRPr="00E92C85" w:rsidRDefault="0006720C" w:rsidP="0006720C">
            <w:pPr>
              <w:spacing w:line="360" w:lineRule="auto"/>
              <w:jc w:val="both"/>
              <w:rPr>
                <w:rFonts w:ascii="Times New Roman" w:hAnsi="Times New Roman" w:cs="Times New Roman"/>
                <w:sz w:val="20"/>
                <w:szCs w:val="20"/>
                <w:lang w:val="en-US"/>
              </w:rPr>
            </w:pPr>
          </w:p>
        </w:tc>
        <w:tc>
          <w:tcPr>
            <w:tcW w:w="1985" w:type="dxa"/>
          </w:tcPr>
          <w:p w:rsidR="0006720C" w:rsidRPr="00E92C85" w:rsidRDefault="002903F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Pr>
                <w:rFonts w:eastAsia="ＭＳ 明朝"/>
                <w:sz w:val="20"/>
                <w:szCs w:val="20"/>
                <w:lang w:val="en-US"/>
              </w:rPr>
              <w:t>Žmogiškųjų išteklių</w:t>
            </w:r>
            <w:r w:rsidR="0006720C" w:rsidRPr="00E92C85">
              <w:rPr>
                <w:rFonts w:eastAsia="ＭＳ 明朝"/>
                <w:sz w:val="20"/>
                <w:szCs w:val="20"/>
                <w:lang w:val="en-US"/>
              </w:rPr>
              <w:t xml:space="preserve"> vertinimas (angl. Human resource costing and accounting)</w:t>
            </w:r>
          </w:p>
        </w:tc>
        <w:tc>
          <w:tcPr>
            <w:tcW w:w="609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sz w:val="20"/>
                <w:szCs w:val="20"/>
                <w:lang w:val="en-US"/>
              </w:rPr>
            </w:pPr>
            <w:r w:rsidRPr="00E92C85">
              <w:rPr>
                <w:rFonts w:eastAsia="ＭＳ 明朝"/>
                <w:sz w:val="20"/>
                <w:szCs w:val="20"/>
                <w:lang w:val="en-US"/>
              </w:rPr>
              <w:t>Intelektinis kapitalas išmatuoja</w:t>
            </w:r>
            <w:r w:rsidR="002903FA">
              <w:rPr>
                <w:rFonts w:eastAsia="ＭＳ 明朝"/>
                <w:sz w:val="20"/>
                <w:szCs w:val="20"/>
                <w:lang w:val="en-US"/>
              </w:rPr>
              <w:t>mas kaip organizacijos žmogiškųjų išteklių indėlis padalintas iš išlaidų darbo užmokesč</w:t>
            </w:r>
            <w:r w:rsidRPr="00E92C85">
              <w:rPr>
                <w:rFonts w:eastAsia="ＭＳ 明朝"/>
                <w:sz w:val="20"/>
                <w:szCs w:val="20"/>
                <w:lang w:val="en-US"/>
              </w:rPr>
              <w:t xml:space="preserve">iui. </w:t>
            </w:r>
            <w:r w:rsidR="002903FA">
              <w:rPr>
                <w:sz w:val="20"/>
                <w:szCs w:val="20"/>
                <w:lang w:val="en-US"/>
              </w:rPr>
              <w:t>Metodas taikytinas siekiant įtakoti akcijų</w:t>
            </w:r>
            <w:r w:rsidRPr="00E92C85">
              <w:rPr>
                <w:sz w:val="20"/>
                <w:szCs w:val="20"/>
                <w:lang w:val="en-US"/>
              </w:rPr>
              <w:t xml:space="preserve"> rinkos kainas, atskleisti organizacijos</w:t>
            </w:r>
          </w:p>
          <w:p w:rsidR="0006720C" w:rsidRPr="00E92C85" w:rsidRDefault="002903F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r>
              <w:rPr>
                <w:sz w:val="20"/>
                <w:szCs w:val="20"/>
                <w:lang w:val="en-US"/>
              </w:rPr>
              <w:t>potencialą</w:t>
            </w:r>
            <w:r w:rsidR="0006720C" w:rsidRPr="00E92C85">
              <w:rPr>
                <w:sz w:val="20"/>
                <w:szCs w:val="20"/>
                <w:lang w:val="en-US"/>
              </w:rPr>
              <w:t>.</w:t>
            </w:r>
          </w:p>
        </w:tc>
      </w:tr>
      <w:tr w:rsidR="0006720C" w:rsidRPr="00E92C85" w:rsidTr="00E92C85">
        <w:trPr>
          <w:cnfStyle w:val="00000010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Brooking, 1996</w:t>
            </w:r>
          </w:p>
          <w:p w:rsidR="0006720C" w:rsidRPr="00E92C85" w:rsidRDefault="0006720C" w:rsidP="0006720C">
            <w:pPr>
              <w:spacing w:line="360" w:lineRule="auto"/>
              <w:jc w:val="both"/>
              <w:rPr>
                <w:rFonts w:ascii="Times New Roman" w:hAnsi="Times New Roman" w:cs="Times New Roman"/>
                <w:sz w:val="20"/>
                <w:szCs w:val="20"/>
                <w:lang w:val="en-US"/>
              </w:rPr>
            </w:pP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sidRPr="00E92C85">
              <w:rPr>
                <w:rFonts w:eastAsia="ＭＳ 明朝"/>
                <w:sz w:val="20"/>
                <w:szCs w:val="20"/>
                <w:lang w:val="en-US"/>
              </w:rPr>
              <w:t>Technologijos brokeris (angl. Technology Broker)</w:t>
            </w:r>
          </w:p>
        </w:tc>
        <w:tc>
          <w:tcPr>
            <w:tcW w:w="609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r w:rsidRPr="00E92C85">
              <w:rPr>
                <w:sz w:val="20"/>
                <w:szCs w:val="20"/>
              </w:rPr>
              <w:t xml:space="preserve">Vieną iš pirmųjų ir labiausiai paplitusių intelektinio kapitalo audito metodų. </w:t>
            </w:r>
            <w:r w:rsidRPr="00E92C85">
              <w:rPr>
                <w:rFonts w:eastAsia="ＭＳ 明朝"/>
                <w:sz w:val="20"/>
                <w:szCs w:val="20"/>
                <w:lang w:val="en-US"/>
              </w:rPr>
              <w:t xml:space="preserve">Intelektinio kapitalo vertei nustatyti remtasi diagnostine analize, kuri apima komponentus: žmogaus orientuotas turtas, </w:t>
            </w:r>
            <w:r w:rsidR="002903FA">
              <w:rPr>
                <w:rFonts w:eastAsia="ＭＳ 明朝"/>
                <w:sz w:val="20"/>
                <w:szCs w:val="20"/>
                <w:lang w:val="en-US"/>
              </w:rPr>
              <w:t>intelektinės nuo- savybė</w:t>
            </w:r>
            <w:r w:rsidRPr="00E92C85">
              <w:rPr>
                <w:rFonts w:eastAsia="ＭＳ 明朝"/>
                <w:sz w:val="20"/>
                <w:szCs w:val="20"/>
                <w:lang w:val="en-US"/>
              </w:rPr>
              <w:t>s turt</w:t>
            </w:r>
            <w:r w:rsidR="002903FA">
              <w:rPr>
                <w:rFonts w:eastAsia="ＭＳ 明朝"/>
                <w:sz w:val="20"/>
                <w:szCs w:val="20"/>
                <w:lang w:val="en-US"/>
              </w:rPr>
              <w:t>as, rinkos turtas, infrastruktūros objektų</w:t>
            </w:r>
            <w:r w:rsidRPr="00E92C85">
              <w:rPr>
                <w:rFonts w:eastAsia="ＭＳ 明朝"/>
                <w:sz w:val="20"/>
                <w:szCs w:val="20"/>
                <w:lang w:val="en-US"/>
              </w:rPr>
              <w:t xml:space="preserve"> turtas.</w:t>
            </w:r>
          </w:p>
        </w:tc>
      </w:tr>
      <w:tr w:rsidR="0006720C" w:rsidRPr="00E92C85" w:rsidTr="00E92C85">
        <w:trPr>
          <w:cnfStyle w:val="00000001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Rambell Group, 1995</w:t>
            </w:r>
          </w:p>
        </w:tc>
        <w:tc>
          <w:tcPr>
            <w:tcW w:w="1985" w:type="dxa"/>
          </w:tcPr>
          <w:p w:rsidR="0006720C" w:rsidRPr="00E92C85" w:rsidRDefault="002903F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Pr>
                <w:rFonts w:eastAsia="ＭＳ 明朝"/>
                <w:sz w:val="20"/>
                <w:szCs w:val="20"/>
                <w:lang w:val="en-US"/>
              </w:rPr>
              <w:t>Holistinė</w:t>
            </w:r>
            <w:r w:rsidR="0006720C" w:rsidRPr="00E92C85">
              <w:rPr>
                <w:rFonts w:eastAsia="ＭＳ 明朝"/>
                <w:sz w:val="20"/>
                <w:szCs w:val="20"/>
                <w:lang w:val="en-US"/>
              </w:rPr>
              <w:t xml:space="preserve"> ataskaita (angl. Holistic accounts)</w:t>
            </w:r>
          </w:p>
        </w:tc>
        <w:tc>
          <w:tcPr>
            <w:tcW w:w="609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r w:rsidRPr="00E92C85">
              <w:rPr>
                <w:sz w:val="20"/>
                <w:szCs w:val="20"/>
                <w:lang w:val="en-US"/>
              </w:rPr>
              <w:t xml:space="preserve">Šis </w:t>
            </w:r>
            <w:r w:rsidR="002903FA">
              <w:rPr>
                <w:sz w:val="20"/>
                <w:szCs w:val="20"/>
                <w:lang w:val="en-US"/>
              </w:rPr>
              <w:t>metodas yra naudojamas poreikių informacijai įvertinimui atskirų suinteresuotų dalyvių ir jų informacijos poreikių</w:t>
            </w:r>
            <w:r w:rsidRPr="00E92C85">
              <w:rPr>
                <w:sz w:val="20"/>
                <w:szCs w:val="20"/>
                <w:lang w:val="en-US"/>
              </w:rPr>
              <w:t xml:space="preserve"> tenkinimui. </w:t>
            </w:r>
            <w:r w:rsidR="002903FA">
              <w:rPr>
                <w:rFonts w:eastAsia="ＭＳ 明朝"/>
                <w:sz w:val="20"/>
                <w:szCs w:val="20"/>
                <w:lang w:val="en-US"/>
              </w:rPr>
              <w:t>Apibūdinami rodikliai: vertybių</w:t>
            </w:r>
            <w:r w:rsidRPr="00E92C85">
              <w:rPr>
                <w:rFonts w:eastAsia="ＭＳ 明朝"/>
                <w:sz w:val="20"/>
                <w:szCs w:val="20"/>
                <w:lang w:val="en-US"/>
              </w:rPr>
              <w:t xml:space="preserve"> i</w:t>
            </w:r>
            <w:r w:rsidR="002903FA">
              <w:rPr>
                <w:rFonts w:eastAsia="ＭＳ 明朝"/>
                <w:sz w:val="20"/>
                <w:szCs w:val="20"/>
                <w:lang w:val="en-US"/>
              </w:rPr>
              <w:t>r valdymo, strateginiai procesų, žmogiškieji, struktū</w:t>
            </w:r>
            <w:r w:rsidRPr="00E92C85">
              <w:rPr>
                <w:rFonts w:eastAsia="ＭＳ 明朝"/>
                <w:sz w:val="20"/>
                <w:szCs w:val="20"/>
                <w:lang w:val="en-US"/>
              </w:rPr>
              <w:t>riniai ištekliai, konsultaci</w:t>
            </w:r>
            <w:r w:rsidR="002903FA">
              <w:rPr>
                <w:rFonts w:eastAsia="ＭＳ 明朝"/>
                <w:sz w:val="20"/>
                <w:szCs w:val="20"/>
                <w:lang w:val="en-US"/>
              </w:rPr>
              <w:t>jos, klientų, darbuotojų, visuomenė</w:t>
            </w:r>
            <w:r w:rsidRPr="00E92C85">
              <w:rPr>
                <w:rFonts w:eastAsia="ＭＳ 明朝"/>
                <w:sz w:val="20"/>
                <w:szCs w:val="20"/>
                <w:lang w:val="en-US"/>
              </w:rPr>
              <w:t xml:space="preserve">s ir finansiniai rezultatai. </w:t>
            </w:r>
            <w:r w:rsidRPr="00E92C85">
              <w:rPr>
                <w:sz w:val="20"/>
                <w:szCs w:val="20"/>
                <w:lang w:val="en-US"/>
              </w:rPr>
              <w:t>Tinkamas situacijose, kada prisieina derinti skirt</w:t>
            </w:r>
            <w:r w:rsidR="002903FA">
              <w:rPr>
                <w:sz w:val="20"/>
                <w:szCs w:val="20"/>
                <w:lang w:val="en-US"/>
              </w:rPr>
              <w:t>ingų suinteresuotųjų dalyvių</w:t>
            </w:r>
            <w:r w:rsidRPr="00E92C85">
              <w:rPr>
                <w:sz w:val="20"/>
                <w:szCs w:val="20"/>
                <w:lang w:val="en-US"/>
              </w:rPr>
              <w:t xml:space="preserve"> interesus.</w:t>
            </w:r>
          </w:p>
        </w:tc>
      </w:tr>
      <w:tr w:rsidR="0006720C" w:rsidRPr="00E92C85" w:rsidTr="00E92C85">
        <w:trPr>
          <w:cnfStyle w:val="00000010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Dow Chemical, 1996</w:t>
            </w:r>
          </w:p>
          <w:p w:rsidR="0006720C" w:rsidRPr="00E92C85" w:rsidRDefault="0006720C" w:rsidP="0006720C">
            <w:pPr>
              <w:spacing w:line="360" w:lineRule="auto"/>
              <w:jc w:val="both"/>
              <w:rPr>
                <w:rFonts w:ascii="Times New Roman" w:hAnsi="Times New Roman" w:cs="Times New Roman"/>
                <w:sz w:val="20"/>
                <w:szCs w:val="20"/>
                <w:lang w:val="en-US"/>
              </w:rPr>
            </w:pPr>
            <w:r w:rsidRPr="00E92C85">
              <w:rPr>
                <w:rFonts w:ascii="Times New Roman" w:hAnsi="Times New Roman" w:cs="Times New Roman"/>
                <w:sz w:val="20"/>
                <w:szCs w:val="20"/>
                <w:lang w:val="en-US"/>
              </w:rPr>
              <w:t>Bontis, 1998</w:t>
            </w:r>
          </w:p>
        </w:tc>
        <w:tc>
          <w:tcPr>
            <w:tcW w:w="1985" w:type="dxa"/>
          </w:tcPr>
          <w:p w:rsidR="0006720C" w:rsidRPr="00E92C85" w:rsidRDefault="002903F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Pr>
                <w:rFonts w:eastAsia="ＭＳ 明朝"/>
                <w:sz w:val="20"/>
                <w:szCs w:val="20"/>
                <w:lang w:val="en-US"/>
              </w:rPr>
              <w:t>Svertinis cituojamų patentų</w:t>
            </w:r>
            <w:r w:rsidR="0006720C" w:rsidRPr="00E92C85">
              <w:rPr>
                <w:rFonts w:eastAsia="ＭＳ 明朝"/>
                <w:sz w:val="20"/>
                <w:szCs w:val="20"/>
                <w:lang w:val="en-US"/>
              </w:rPr>
              <w:t xml:space="preserve"> indeksas (angl. Citation- Weighted Patents)</w:t>
            </w:r>
          </w:p>
        </w:tc>
        <w:tc>
          <w:tcPr>
            <w:tcW w:w="609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r w:rsidRPr="00E92C85">
              <w:rPr>
                <w:rFonts w:eastAsia="ＭＳ 明朝"/>
                <w:sz w:val="20"/>
                <w:szCs w:val="20"/>
                <w:lang w:val="en-US"/>
              </w:rPr>
              <w:t>Intelektinis kapitalas</w:t>
            </w:r>
            <w:r w:rsidR="002903FA">
              <w:rPr>
                <w:rFonts w:eastAsia="ＭＳ 明朝"/>
                <w:sz w:val="20"/>
                <w:szCs w:val="20"/>
                <w:lang w:val="en-US"/>
              </w:rPr>
              <w:t xml:space="preserve"> matuojamas remiantis mokslinių tyrimų plė</w:t>
            </w:r>
            <w:r w:rsidRPr="00E92C85">
              <w:rPr>
                <w:rFonts w:eastAsia="ＭＳ 明朝"/>
                <w:sz w:val="20"/>
                <w:szCs w:val="20"/>
                <w:lang w:val="en-US"/>
              </w:rPr>
              <w:t>tros indeksu, pavyzdžiui, pa</w:t>
            </w:r>
            <w:r w:rsidR="002903FA">
              <w:rPr>
                <w:rFonts w:eastAsia="ＭＳ 明朝"/>
                <w:sz w:val="20"/>
                <w:szCs w:val="20"/>
                <w:lang w:val="en-US"/>
              </w:rPr>
              <w:t>tentų skaičius ir patentų są</w:t>
            </w:r>
            <w:r w:rsidRPr="00E92C85">
              <w:rPr>
                <w:rFonts w:eastAsia="ＭＳ 明朝"/>
                <w:sz w:val="20"/>
                <w:szCs w:val="20"/>
                <w:lang w:val="en-US"/>
              </w:rPr>
              <w:t>naudos pardavimams ir t.t.</w:t>
            </w:r>
            <w:r w:rsidR="002903FA">
              <w:rPr>
                <w:sz w:val="20"/>
                <w:szCs w:val="20"/>
                <w:lang w:val="en-US"/>
              </w:rPr>
              <w:t xml:space="preserve"> Šis metodas gali bū</w:t>
            </w:r>
            <w:r w:rsidRPr="00E92C85">
              <w:rPr>
                <w:sz w:val="20"/>
                <w:szCs w:val="20"/>
                <w:lang w:val="en-US"/>
              </w:rPr>
              <w:t>ti panaudotas viešam informacij</w:t>
            </w:r>
            <w:r w:rsidR="002903FA">
              <w:rPr>
                <w:sz w:val="20"/>
                <w:szCs w:val="20"/>
                <w:lang w:val="en-US"/>
              </w:rPr>
              <w:t>os apie organizacijos žinių kū</w:t>
            </w:r>
            <w:r w:rsidRPr="00E92C85">
              <w:rPr>
                <w:sz w:val="20"/>
                <w:szCs w:val="20"/>
                <w:lang w:val="en-US"/>
              </w:rPr>
              <w:t>ri</w:t>
            </w:r>
            <w:r w:rsidR="002903FA">
              <w:rPr>
                <w:sz w:val="20"/>
                <w:szCs w:val="20"/>
                <w:lang w:val="en-US"/>
              </w:rPr>
              <w:t>mo išradimų srityje efektyvumą</w:t>
            </w:r>
            <w:r w:rsidRPr="00E92C85">
              <w:rPr>
                <w:sz w:val="20"/>
                <w:szCs w:val="20"/>
                <w:lang w:val="en-US"/>
              </w:rPr>
              <w:t xml:space="preserve"> atskleidimui. Investuotojams indeksas gali pasitarnauti priimant investavimo sprendimus. </w:t>
            </w:r>
          </w:p>
        </w:tc>
      </w:tr>
      <w:tr w:rsidR="0006720C" w:rsidRPr="00E92C85" w:rsidTr="00E92C85">
        <w:trPr>
          <w:cnfStyle w:val="00000001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Lee, 1996, Reilly Schweihs, 1999</w:t>
            </w:r>
          </w:p>
          <w:p w:rsidR="0006720C" w:rsidRPr="00E92C85" w:rsidRDefault="0006720C" w:rsidP="0006720C">
            <w:pPr>
              <w:spacing w:line="360" w:lineRule="auto"/>
              <w:jc w:val="both"/>
              <w:rPr>
                <w:rFonts w:ascii="Times New Roman" w:hAnsi="Times New Roman" w:cs="Times New Roman"/>
                <w:sz w:val="20"/>
                <w:szCs w:val="20"/>
                <w:lang w:val="en-US"/>
              </w:rPr>
            </w:pP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sidRPr="00E92C85">
              <w:rPr>
                <w:rFonts w:eastAsia="ＭＳ 明朝"/>
                <w:sz w:val="20"/>
                <w:szCs w:val="20"/>
                <w:lang w:val="en-US"/>
              </w:rPr>
              <w:t>Vertinimo prieigos (angl. Valuation Approaches)</w:t>
            </w:r>
          </w:p>
        </w:tc>
        <w:tc>
          <w:tcPr>
            <w:tcW w:w="609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sz w:val="20"/>
                <w:szCs w:val="20"/>
                <w:lang w:val="en-US"/>
              </w:rPr>
            </w:pPr>
            <w:r w:rsidRPr="00E92C85">
              <w:rPr>
                <w:rFonts w:eastAsia="ＭＳ 明朝"/>
                <w:sz w:val="20"/>
                <w:szCs w:val="20"/>
                <w:lang w:val="en-US"/>
              </w:rPr>
              <w:t>Vertinimo rezultatai vienodai in</w:t>
            </w:r>
            <w:r w:rsidR="002903FA">
              <w:rPr>
                <w:rFonts w:eastAsia="ＭＳ 明朝"/>
                <w:sz w:val="20"/>
                <w:szCs w:val="20"/>
                <w:lang w:val="en-US"/>
              </w:rPr>
              <w:t>terpretuojami, nes nematerialių išteklių rūšims bū</w:t>
            </w:r>
            <w:r w:rsidRPr="00E92C85">
              <w:rPr>
                <w:rFonts w:eastAsia="ＭＳ 明朝"/>
                <w:sz w:val="20"/>
                <w:szCs w:val="20"/>
                <w:lang w:val="en-US"/>
              </w:rPr>
              <w:t xml:space="preserve">dingos skirtingos prieigos. </w:t>
            </w:r>
            <w:r w:rsidRPr="00E92C85">
              <w:rPr>
                <w:sz w:val="20"/>
                <w:szCs w:val="20"/>
                <w:lang w:val="en-US"/>
              </w:rPr>
              <w:t>Tiksliai nustatoma nematerialaus turto vert</w:t>
            </w:r>
            <w:r w:rsidR="002903FA">
              <w:rPr>
                <w:sz w:val="20"/>
                <w:szCs w:val="20"/>
              </w:rPr>
              <w:t>ė</w:t>
            </w:r>
            <w:r w:rsidRPr="00E92C85">
              <w:rPr>
                <w:sz w:val="20"/>
                <w:szCs w:val="20"/>
                <w:lang w:val="en-US"/>
              </w:rPr>
              <w:t xml:space="preserve"> pinigine išraiška. Vertinimo rezultatai suprantami, vienodai interp</w:t>
            </w:r>
            <w:r w:rsidR="002903FA">
              <w:rPr>
                <w:sz w:val="20"/>
                <w:szCs w:val="20"/>
                <w:lang w:val="en-US"/>
              </w:rPr>
              <w:t xml:space="preserve">retuojami. Šis metodas - ginčų sprendimo </w:t>
            </w:r>
            <w:r w:rsidRPr="00E92C85">
              <w:rPr>
                <w:sz w:val="20"/>
                <w:szCs w:val="20"/>
                <w:lang w:val="en-US"/>
              </w:rPr>
              <w:t>atvejais arba kada siekiama nustatyti atskiro ne</w:t>
            </w:r>
            <w:r w:rsidR="002903FA">
              <w:rPr>
                <w:sz w:val="20"/>
                <w:szCs w:val="20"/>
                <w:lang w:val="en-US"/>
              </w:rPr>
              <w:t>materialaus turto objekto vertę</w:t>
            </w:r>
            <w:r w:rsidRPr="00E92C85">
              <w:rPr>
                <w:sz w:val="20"/>
                <w:szCs w:val="20"/>
                <w:lang w:val="en-US"/>
              </w:rPr>
              <w:t>.</w:t>
            </w:r>
          </w:p>
        </w:tc>
      </w:tr>
      <w:tr w:rsidR="0006720C" w:rsidRPr="00E92C85" w:rsidTr="00E92C85">
        <w:trPr>
          <w:cnfStyle w:val="00000010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G.Roos, J.Roos, Dragoneti, Edvinsson, 1997</w:t>
            </w:r>
          </w:p>
          <w:p w:rsidR="0006720C" w:rsidRPr="00E92C85" w:rsidRDefault="0006720C" w:rsidP="0006720C">
            <w:pPr>
              <w:spacing w:line="360" w:lineRule="auto"/>
              <w:jc w:val="both"/>
              <w:rPr>
                <w:rFonts w:ascii="Times New Roman" w:hAnsi="Times New Roman" w:cs="Times New Roman"/>
                <w:sz w:val="20"/>
                <w:szCs w:val="20"/>
                <w:lang w:val="en-US"/>
              </w:rPr>
            </w:pP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sidRPr="00E92C85">
              <w:rPr>
                <w:rFonts w:eastAsia="ＭＳ 明朝"/>
                <w:sz w:val="20"/>
                <w:szCs w:val="20"/>
                <w:lang w:val="en-US"/>
              </w:rPr>
              <w:t>Intelektinio kapitalo indeksas (angl. Intellectual Capital-Index)</w:t>
            </w:r>
          </w:p>
        </w:tc>
        <w:tc>
          <w:tcPr>
            <w:tcW w:w="6095" w:type="dxa"/>
          </w:tcPr>
          <w:p w:rsidR="0006720C" w:rsidRPr="00E92C85" w:rsidRDefault="002903F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r>
              <w:rPr>
                <w:rFonts w:eastAsia="ＭＳ 明朝"/>
                <w:sz w:val="20"/>
                <w:szCs w:val="20"/>
                <w:lang w:val="en-US"/>
              </w:rPr>
              <w:t>Apjungia visas intelektinės savybės ir komponentus į vieną indeksą, atstovaujančių</w:t>
            </w:r>
            <w:r w:rsidR="0006720C" w:rsidRPr="00E92C85">
              <w:rPr>
                <w:rFonts w:eastAsia="ＭＳ 明朝"/>
                <w:sz w:val="20"/>
                <w:szCs w:val="20"/>
                <w:lang w:val="en-US"/>
              </w:rPr>
              <w:t xml:space="preserve"> atskirus rodiklius. </w:t>
            </w:r>
            <w:r w:rsidR="0006720C" w:rsidRPr="00E92C85">
              <w:rPr>
                <w:sz w:val="20"/>
                <w:szCs w:val="20"/>
                <w:lang w:val="en-US"/>
              </w:rPr>
              <w:t>Privalumas - aiškus ryšys su organizacijos strategija, identifikuojant charakteringus sėkmės veiksnius. Jis labiau t</w:t>
            </w:r>
            <w:r>
              <w:rPr>
                <w:sz w:val="20"/>
                <w:szCs w:val="20"/>
                <w:lang w:val="en-US"/>
              </w:rPr>
              <w:t>aikytinas skirtingų strategijų</w:t>
            </w:r>
            <w:r w:rsidR="0006720C" w:rsidRPr="00E92C85">
              <w:rPr>
                <w:sz w:val="20"/>
                <w:szCs w:val="20"/>
                <w:lang w:val="en-US"/>
              </w:rPr>
              <w:t xml:space="preserve"> palyginimui, o ne intelektinio kapitalo apskaitai.</w:t>
            </w:r>
          </w:p>
        </w:tc>
      </w:tr>
      <w:tr w:rsidR="0006720C" w:rsidRPr="00E92C85" w:rsidTr="00E92C85">
        <w:trPr>
          <w:cnfStyle w:val="00000001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hAnsi="Times New Roman" w:cs="Times New Roman"/>
                <w:sz w:val="20"/>
                <w:szCs w:val="20"/>
                <w:lang w:val="en-US"/>
              </w:rPr>
              <w:t>Sveiby, 1997</w:t>
            </w: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sidRPr="00E92C85">
              <w:rPr>
                <w:sz w:val="20"/>
                <w:szCs w:val="20"/>
                <w:lang w:val="en-US"/>
              </w:rPr>
              <w:t>Nematomo turto monitories (angl. Intangible asset monitor)</w:t>
            </w:r>
          </w:p>
        </w:tc>
        <w:tc>
          <w:tcPr>
            <w:tcW w:w="609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sz w:val="20"/>
                <w:szCs w:val="20"/>
                <w:lang w:val="en-US"/>
              </w:rPr>
            </w:pPr>
            <w:r w:rsidRPr="00E92C85">
              <w:rPr>
                <w:sz w:val="20"/>
                <w:szCs w:val="20"/>
                <w:lang w:val="en-US"/>
              </w:rPr>
              <w:t>Metodas pritaikomas įmonės veiklos specifikai. Matuojami rodikliai remiasi galimos rizikos ir patikimumo principu.</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sz w:val="20"/>
                <w:szCs w:val="20"/>
                <w:lang w:val="en-US"/>
              </w:rPr>
            </w:pPr>
            <w:r w:rsidRPr="00E92C85">
              <w:rPr>
                <w:sz w:val="20"/>
                <w:szCs w:val="20"/>
                <w:lang w:val="en-US"/>
              </w:rPr>
              <w:t>Skirta tiek vidiniams, tiek išoriniams informacijos naudotojams.</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r w:rsidRPr="00E92C85">
              <w:rPr>
                <w:sz w:val="20"/>
                <w:szCs w:val="20"/>
                <w:lang w:val="en-US"/>
              </w:rPr>
              <w:t>Metodas lengvai pritaikomas pradedant domėtis informacijo</w:t>
            </w:r>
            <w:r w:rsidR="002903FA">
              <w:rPr>
                <w:sz w:val="20"/>
                <w:szCs w:val="20"/>
                <w:lang w:val="en-US"/>
              </w:rPr>
              <w:t>s apie intelektinio kapitalo būklę</w:t>
            </w:r>
            <w:r w:rsidRPr="00E92C85">
              <w:rPr>
                <w:sz w:val="20"/>
                <w:szCs w:val="20"/>
                <w:lang w:val="en-US"/>
              </w:rPr>
              <w:t xml:space="preserve"> atskleidimo aspektais. </w:t>
            </w:r>
          </w:p>
        </w:tc>
      </w:tr>
      <w:tr w:rsidR="0006720C" w:rsidRPr="00E92C85" w:rsidTr="00E92C85">
        <w:trPr>
          <w:cnfStyle w:val="000000100000"/>
        </w:trPr>
        <w:tc>
          <w:tcPr>
            <w:cnfStyle w:val="001000000000"/>
            <w:tcW w:w="1951" w:type="dxa"/>
            <w:tcBorders>
              <w:bottom w:val="single" w:sz="4" w:space="0" w:color="000090"/>
            </w:tcBorders>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Stewart, 1997</w:t>
            </w:r>
          </w:p>
          <w:p w:rsidR="0006720C" w:rsidRPr="00E92C85" w:rsidRDefault="0006720C" w:rsidP="0006720C">
            <w:pPr>
              <w:spacing w:line="360" w:lineRule="auto"/>
              <w:jc w:val="both"/>
              <w:rPr>
                <w:rFonts w:ascii="Times New Roman" w:hAnsi="Times New Roman" w:cs="Times New Roman"/>
                <w:sz w:val="20"/>
                <w:szCs w:val="20"/>
              </w:rPr>
            </w:pPr>
            <w:r w:rsidRPr="00E92C85">
              <w:rPr>
                <w:rFonts w:ascii="Times New Roman" w:hAnsi="Times New Roman" w:cs="Times New Roman"/>
                <w:sz w:val="20"/>
                <w:szCs w:val="20"/>
                <w:lang w:val="en-US"/>
              </w:rPr>
              <w:t>Dzinkowski, 2000</w:t>
            </w:r>
          </w:p>
          <w:p w:rsidR="0006720C" w:rsidRPr="00E92C85" w:rsidRDefault="0006720C" w:rsidP="0006720C">
            <w:pPr>
              <w:spacing w:line="360" w:lineRule="auto"/>
              <w:jc w:val="both"/>
              <w:rPr>
                <w:rFonts w:ascii="Times New Roman" w:hAnsi="Times New Roman" w:cs="Times New Roman"/>
                <w:sz w:val="20"/>
                <w:szCs w:val="20"/>
                <w:lang w:val="en-US"/>
              </w:rPr>
            </w:pPr>
          </w:p>
        </w:tc>
        <w:tc>
          <w:tcPr>
            <w:tcW w:w="1985" w:type="dxa"/>
            <w:tcBorders>
              <w:bottom w:val="single" w:sz="4" w:space="0" w:color="000090"/>
            </w:tcBorders>
          </w:tcPr>
          <w:p w:rsidR="0006720C" w:rsidRPr="00E92C85" w:rsidRDefault="002903F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Pr>
                <w:rFonts w:eastAsia="ＭＳ 明朝"/>
                <w:sz w:val="20"/>
                <w:szCs w:val="20"/>
                <w:lang w:val="en-US"/>
              </w:rPr>
              <w:t>Skaičiuojama nematerialioji vertė</w:t>
            </w:r>
            <w:r w:rsidR="0006720C" w:rsidRPr="00E92C85">
              <w:rPr>
                <w:rFonts w:eastAsia="ＭＳ 明朝"/>
                <w:sz w:val="20"/>
                <w:szCs w:val="20"/>
                <w:lang w:val="en-US"/>
              </w:rPr>
              <w:t xml:space="preserve"> (angl. Calculated Intangible Value)</w:t>
            </w:r>
          </w:p>
        </w:tc>
        <w:tc>
          <w:tcPr>
            <w:tcW w:w="6095" w:type="dxa"/>
            <w:tcBorders>
              <w:bottom w:val="single" w:sz="4" w:space="0" w:color="000090"/>
            </w:tcBorders>
          </w:tcPr>
          <w:p w:rsidR="0006720C" w:rsidRPr="00E92C85" w:rsidRDefault="002903F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r>
              <w:rPr>
                <w:rFonts w:eastAsia="ＭＳ 明朝"/>
                <w:sz w:val="20"/>
                <w:szCs w:val="20"/>
                <w:lang w:val="en-US"/>
              </w:rPr>
              <w:t>Intelektinio kapitalo vertė</w:t>
            </w:r>
            <w:r w:rsidR="0006720C" w:rsidRPr="00E92C85">
              <w:rPr>
                <w:rFonts w:eastAsia="ＭＳ 明朝"/>
                <w:sz w:val="20"/>
                <w:szCs w:val="20"/>
                <w:lang w:val="en-US"/>
              </w:rPr>
              <w:t xml:space="preserve"> vertinama kaip ski</w:t>
            </w:r>
            <w:r>
              <w:rPr>
                <w:rFonts w:eastAsia="ＭＳ 明朝"/>
                <w:sz w:val="20"/>
                <w:szCs w:val="20"/>
                <w:lang w:val="en-US"/>
              </w:rPr>
              <w:t>rtumas tarp rinkos ir balansinės vertė</w:t>
            </w:r>
            <w:r w:rsidR="0006720C" w:rsidRPr="00E92C85">
              <w:rPr>
                <w:rFonts w:eastAsia="ＭＳ 明朝"/>
                <w:sz w:val="20"/>
                <w:szCs w:val="20"/>
                <w:lang w:val="en-US"/>
              </w:rPr>
              <w:t>s. Tai daroma lyginant s</w:t>
            </w:r>
            <w:r>
              <w:rPr>
                <w:rFonts w:eastAsia="ＭＳ 明朝"/>
                <w:sz w:val="20"/>
                <w:szCs w:val="20"/>
                <w:lang w:val="en-US"/>
              </w:rPr>
              <w:t>pecifines rinkos dalies vidurkį ir pačios organizacijos sėkmę</w:t>
            </w:r>
            <w:r w:rsidR="0006720C" w:rsidRPr="00E92C85">
              <w:rPr>
                <w:rFonts w:eastAsia="ＭＳ 明朝"/>
                <w:sz w:val="20"/>
                <w:szCs w:val="20"/>
                <w:lang w:val="en-US"/>
              </w:rPr>
              <w:t xml:space="preserve"> šioje rinkoje. </w:t>
            </w:r>
            <w:r w:rsidR="0006720C" w:rsidRPr="00E92C85">
              <w:rPr>
                <w:sz w:val="20"/>
                <w:szCs w:val="20"/>
                <w:lang w:val="en-US"/>
              </w:rPr>
              <w:t>Remiamasi viešai prieina</w:t>
            </w:r>
            <w:r>
              <w:rPr>
                <w:sz w:val="20"/>
                <w:szCs w:val="20"/>
                <w:lang w:val="en-US"/>
              </w:rPr>
              <w:t>ma informacija, kas leidžia pačia organizacija stebė</w:t>
            </w:r>
            <w:r w:rsidR="0006720C" w:rsidRPr="00E92C85">
              <w:rPr>
                <w:sz w:val="20"/>
                <w:szCs w:val="20"/>
                <w:lang w:val="en-US"/>
              </w:rPr>
              <w:t>ti iš</w:t>
            </w:r>
            <w:r>
              <w:rPr>
                <w:sz w:val="20"/>
                <w:szCs w:val="20"/>
                <w:lang w:val="en-US"/>
              </w:rPr>
              <w:t xml:space="preserve"> šalies. Naudoti kada bandoma įvertinti įmonės padėtį atsižvelgiant į</w:t>
            </w:r>
            <w:r w:rsidR="0006720C" w:rsidRPr="00E92C85">
              <w:rPr>
                <w:sz w:val="20"/>
                <w:szCs w:val="20"/>
                <w:lang w:val="en-US"/>
              </w:rPr>
              <w:t xml:space="preserve"> šios ri</w:t>
            </w:r>
            <w:r>
              <w:rPr>
                <w:sz w:val="20"/>
                <w:szCs w:val="20"/>
                <w:lang w:val="en-US"/>
              </w:rPr>
              <w:t>nkos dalies lyderius, lygiagrečiai veikiančias įmones ir įmonė</w:t>
            </w:r>
            <w:r w:rsidR="0006720C" w:rsidRPr="00E92C85">
              <w:rPr>
                <w:sz w:val="20"/>
                <w:szCs w:val="20"/>
                <w:lang w:val="en-US"/>
              </w:rPr>
              <w:t>s specifines rinkos</w:t>
            </w:r>
          </w:p>
        </w:tc>
      </w:tr>
      <w:tr w:rsidR="0006720C" w:rsidRPr="00E92C85" w:rsidTr="00E92C85">
        <w:trPr>
          <w:cnfStyle w:val="000000010000"/>
        </w:trPr>
        <w:tc>
          <w:tcPr>
            <w:cnfStyle w:val="001000000000"/>
            <w:tcW w:w="1951" w:type="dxa"/>
            <w:tcBorders>
              <w:top w:val="single" w:sz="4" w:space="0" w:color="000090"/>
              <w:left w:val="nil"/>
              <w:bottom w:val="nil"/>
              <w:right w:val="nil"/>
            </w:tcBorders>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Borders>
              <w:top w:val="single" w:sz="4" w:space="0" w:color="000090"/>
              <w:left w:val="nil"/>
              <w:bottom w:val="nil"/>
              <w:right w:val="nil"/>
            </w:tcBorders>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p>
        </w:tc>
        <w:tc>
          <w:tcPr>
            <w:tcW w:w="6095" w:type="dxa"/>
            <w:tcBorders>
              <w:top w:val="single" w:sz="4" w:space="0" w:color="000090"/>
              <w:left w:val="nil"/>
              <w:bottom w:val="nil"/>
              <w:right w:val="nil"/>
            </w:tcBorders>
          </w:tcPr>
          <w:p w:rsidR="0006720C" w:rsidRPr="00E92C85" w:rsidRDefault="00C53D97" w:rsidP="00C53D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cnfStyle w:val="000000010000"/>
              <w:rPr>
                <w:rFonts w:eastAsia="ＭＳ 明朝"/>
                <w:sz w:val="20"/>
                <w:szCs w:val="20"/>
                <w:lang w:val="en-US"/>
              </w:rPr>
            </w:pPr>
            <w:r w:rsidRPr="00E92C85">
              <w:rPr>
                <w:rFonts w:eastAsia="ＭＳ 明朝"/>
                <w:sz w:val="20"/>
                <w:szCs w:val="20"/>
                <w:lang w:val="en-US"/>
              </w:rPr>
              <w:t>Lentelės tęsinys kitame puslapyje</w:t>
            </w:r>
          </w:p>
        </w:tc>
      </w:tr>
      <w:tr w:rsidR="00E92C85" w:rsidRPr="00E92C85" w:rsidTr="00E92C85">
        <w:trPr>
          <w:cnfStyle w:val="000000100000"/>
        </w:trPr>
        <w:tc>
          <w:tcPr>
            <w:cnfStyle w:val="001000000000"/>
            <w:tcW w:w="1951" w:type="dxa"/>
            <w:tcBorders>
              <w:top w:val="nil"/>
              <w:left w:val="nil"/>
              <w:bottom w:val="single" w:sz="4" w:space="0" w:color="000090"/>
              <w:right w:val="nil"/>
            </w:tcBorders>
            <w:shd w:val="clear" w:color="auto" w:fill="auto"/>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Borders>
              <w:top w:val="nil"/>
              <w:left w:val="nil"/>
              <w:bottom w:val="single" w:sz="4" w:space="0" w:color="000090"/>
              <w:right w:val="nil"/>
            </w:tcBorders>
            <w:shd w:val="clear" w:color="auto" w:fill="auto"/>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p>
        </w:tc>
        <w:tc>
          <w:tcPr>
            <w:tcW w:w="6095" w:type="dxa"/>
            <w:tcBorders>
              <w:top w:val="nil"/>
              <w:left w:val="nil"/>
              <w:bottom w:val="single" w:sz="4" w:space="0" w:color="000090"/>
              <w:right w:val="nil"/>
            </w:tcBorders>
            <w:shd w:val="clear" w:color="auto" w:fill="auto"/>
          </w:tcPr>
          <w:p w:rsidR="0006720C" w:rsidRPr="00E92C85" w:rsidRDefault="00C53D97" w:rsidP="00C53D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cnfStyle w:val="000000100000"/>
              <w:rPr>
                <w:rFonts w:eastAsia="ＭＳ 明朝"/>
                <w:sz w:val="20"/>
                <w:szCs w:val="20"/>
                <w:lang w:val="en-US"/>
              </w:rPr>
            </w:pPr>
            <w:r w:rsidRPr="00E92C85">
              <w:rPr>
                <w:rFonts w:eastAsia="ＭＳ 明朝"/>
                <w:sz w:val="20"/>
                <w:szCs w:val="20"/>
                <w:lang w:val="en-US"/>
              </w:rPr>
              <w:t>Lentelės tęsinys</w:t>
            </w:r>
          </w:p>
        </w:tc>
      </w:tr>
      <w:tr w:rsidR="0006720C" w:rsidRPr="00E92C85" w:rsidTr="00E92C85">
        <w:trPr>
          <w:cnfStyle w:val="000000010000"/>
        </w:trPr>
        <w:tc>
          <w:tcPr>
            <w:cnfStyle w:val="001000000000"/>
            <w:tcW w:w="1951" w:type="dxa"/>
            <w:tcBorders>
              <w:top w:val="single" w:sz="4" w:space="0" w:color="000090"/>
            </w:tcBorders>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Borders>
              <w:top w:val="single" w:sz="4" w:space="0" w:color="000090"/>
            </w:tcBorders>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p>
        </w:tc>
        <w:tc>
          <w:tcPr>
            <w:tcW w:w="6095" w:type="dxa"/>
            <w:tcBorders>
              <w:top w:val="single" w:sz="4" w:space="0" w:color="000090"/>
            </w:tcBorders>
          </w:tcPr>
          <w:p w:rsidR="0006720C" w:rsidRPr="00E92C85" w:rsidRDefault="00321E4F"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r>
              <w:rPr>
                <w:sz w:val="20"/>
                <w:szCs w:val="20"/>
                <w:lang w:val="en-US"/>
              </w:rPr>
              <w:t>pelno vidurkį</w:t>
            </w:r>
            <w:r w:rsidR="00E71E2A">
              <w:rPr>
                <w:sz w:val="20"/>
                <w:szCs w:val="20"/>
                <w:lang w:val="en-US"/>
              </w:rPr>
              <w:t>.</w:t>
            </w:r>
          </w:p>
        </w:tc>
      </w:tr>
      <w:tr w:rsidR="0006720C" w:rsidRPr="00E92C85" w:rsidTr="00E92C85">
        <w:trPr>
          <w:cnfStyle w:val="00000010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Edvinsson, Malone, 1997</w:t>
            </w:r>
          </w:p>
          <w:p w:rsidR="0006720C" w:rsidRPr="00E92C85" w:rsidRDefault="0006720C" w:rsidP="0006720C">
            <w:pPr>
              <w:spacing w:line="360" w:lineRule="auto"/>
              <w:jc w:val="both"/>
              <w:rPr>
                <w:rFonts w:ascii="Times New Roman" w:hAnsi="Times New Roman" w:cs="Times New Roman"/>
                <w:sz w:val="20"/>
                <w:szCs w:val="20"/>
                <w:lang w:val="en-US"/>
              </w:rPr>
            </w:pP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sidRPr="00E92C85">
              <w:rPr>
                <w:rFonts w:eastAsia="ＭＳ 明朝"/>
                <w:sz w:val="20"/>
                <w:szCs w:val="20"/>
                <w:lang w:val="en-US"/>
              </w:rPr>
              <w:t>Skandia navigatorius (angl. Skandia Navigator)</w:t>
            </w:r>
          </w:p>
        </w:tc>
        <w:tc>
          <w:tcPr>
            <w:tcW w:w="609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r w:rsidRPr="00E92C85">
              <w:rPr>
                <w:rFonts w:eastAsia="ＭＳ 明朝"/>
                <w:sz w:val="20"/>
                <w:szCs w:val="20"/>
                <w:lang w:val="en-US"/>
              </w:rPr>
              <w:t>Intele</w:t>
            </w:r>
            <w:r w:rsidR="00E71E2A">
              <w:rPr>
                <w:rFonts w:eastAsia="ＭＳ 明朝"/>
                <w:sz w:val="20"/>
                <w:szCs w:val="20"/>
                <w:lang w:val="en-US"/>
              </w:rPr>
              <w:t>ktinio kapitalo matavimas pagrįstas komponentų išskyrimu. Jų</w:t>
            </w:r>
            <w:r w:rsidRPr="00E92C85">
              <w:rPr>
                <w:rFonts w:eastAsia="ＭＳ 明朝"/>
                <w:sz w:val="20"/>
                <w:szCs w:val="20"/>
                <w:lang w:val="en-US"/>
              </w:rPr>
              <w:t xml:space="preserve"> yra 164, kurie apima komponentus: </w:t>
            </w:r>
            <w:r w:rsidR="00E71E2A">
              <w:rPr>
                <w:rFonts w:eastAsia="ＭＳ 明朝"/>
                <w:sz w:val="20"/>
                <w:szCs w:val="20"/>
                <w:lang w:val="en-US"/>
              </w:rPr>
              <w:t>finansinį, klientą</w:t>
            </w:r>
            <w:r w:rsidRPr="00E92C85">
              <w:rPr>
                <w:rFonts w:eastAsia="ＭＳ 明朝"/>
                <w:sz w:val="20"/>
                <w:szCs w:val="20"/>
                <w:lang w:val="en-US"/>
              </w:rPr>
              <w:t>, pr</w:t>
            </w:r>
            <w:r w:rsidR="00E71E2A">
              <w:rPr>
                <w:rFonts w:eastAsia="ＭＳ 明朝"/>
                <w:sz w:val="20"/>
                <w:szCs w:val="20"/>
                <w:lang w:val="en-US"/>
              </w:rPr>
              <w:t>ocesą, atnaujinimą ir plėtrą</w:t>
            </w:r>
            <w:r w:rsidRPr="00E92C85">
              <w:rPr>
                <w:rFonts w:eastAsia="ＭＳ 明朝"/>
                <w:sz w:val="20"/>
                <w:szCs w:val="20"/>
                <w:lang w:val="en-US"/>
              </w:rPr>
              <w:t>, žmones. S</w:t>
            </w:r>
            <w:r w:rsidR="00E71E2A">
              <w:rPr>
                <w:sz w:val="20"/>
                <w:szCs w:val="20"/>
                <w:lang w:val="en-US"/>
              </w:rPr>
              <w:t>iū</w:t>
            </w:r>
            <w:r w:rsidRPr="00E92C85">
              <w:rPr>
                <w:sz w:val="20"/>
                <w:szCs w:val="20"/>
                <w:lang w:val="en-US"/>
              </w:rPr>
              <w:t>lomas toms organizacijoms, kur</w:t>
            </w:r>
            <w:r w:rsidR="00E71E2A">
              <w:rPr>
                <w:sz w:val="20"/>
                <w:szCs w:val="20"/>
                <w:lang w:val="en-US"/>
              </w:rPr>
              <w:t>ios tik pradeda vertinti turimą</w:t>
            </w:r>
            <w:r w:rsidRPr="00E92C85">
              <w:rPr>
                <w:sz w:val="20"/>
                <w:szCs w:val="20"/>
                <w:lang w:val="en-US"/>
              </w:rPr>
              <w:t xml:space="preserve"> intelektinį kapitalą.</w:t>
            </w:r>
          </w:p>
        </w:tc>
      </w:tr>
      <w:tr w:rsidR="0006720C" w:rsidRPr="00E92C85" w:rsidTr="00E92C85">
        <w:trPr>
          <w:cnfStyle w:val="00000001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 xml:space="preserve">Stern &amp; Stewart, 1997, </w:t>
            </w:r>
          </w:p>
          <w:p w:rsidR="0006720C" w:rsidRPr="00E92C85" w:rsidRDefault="0006720C" w:rsidP="0006720C">
            <w:pPr>
              <w:spacing w:line="360" w:lineRule="auto"/>
              <w:jc w:val="both"/>
              <w:rPr>
                <w:rFonts w:ascii="Times New Roman" w:hAnsi="Times New Roman" w:cs="Times New Roman"/>
                <w:sz w:val="20"/>
                <w:szCs w:val="20"/>
                <w:lang w:val="en-US"/>
              </w:rPr>
            </w:pPr>
            <w:r w:rsidRPr="00E92C85">
              <w:rPr>
                <w:rFonts w:ascii="Times New Roman" w:eastAsia="ＭＳ 明朝" w:hAnsi="Times New Roman" w:cs="Times New Roman"/>
                <w:sz w:val="20"/>
                <w:szCs w:val="20"/>
                <w:lang w:val="en-US"/>
              </w:rPr>
              <w:t>Bontis, 1999</w:t>
            </w:r>
          </w:p>
        </w:tc>
        <w:tc>
          <w:tcPr>
            <w:tcW w:w="1985" w:type="dxa"/>
          </w:tcPr>
          <w:p w:rsidR="0006720C" w:rsidRPr="00E92C85" w:rsidRDefault="00E71E2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Pr>
                <w:rFonts w:eastAsia="ＭＳ 明朝"/>
                <w:sz w:val="20"/>
                <w:szCs w:val="20"/>
                <w:lang w:val="en-US"/>
              </w:rPr>
              <w:t>Pridėtinės vertė</w:t>
            </w:r>
            <w:r w:rsidR="0006720C" w:rsidRPr="00E92C85">
              <w:rPr>
                <w:rFonts w:eastAsia="ＭＳ 明朝"/>
                <w:sz w:val="20"/>
                <w:szCs w:val="20"/>
                <w:lang w:val="en-US"/>
              </w:rPr>
              <w:t>s metodas (angl. Economic Value Added) (EVA)</w:t>
            </w:r>
          </w:p>
        </w:tc>
        <w:tc>
          <w:tcPr>
            <w:tcW w:w="6095" w:type="dxa"/>
          </w:tcPr>
          <w:p w:rsidR="0006720C" w:rsidRPr="00E92C85" w:rsidRDefault="00E71E2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r>
              <w:rPr>
                <w:rFonts w:eastAsia="ＭＳ 明朝"/>
                <w:sz w:val="20"/>
                <w:szCs w:val="20"/>
                <w:lang w:val="en-US"/>
              </w:rPr>
              <w:t>EVA pokyčiai parodo per laikotarpį sukurtą pridėtąją vertę ar įmonė</w:t>
            </w:r>
            <w:r w:rsidR="0006720C" w:rsidRPr="00E92C85">
              <w:rPr>
                <w:rFonts w:eastAsia="ＭＳ 明朝"/>
                <w:sz w:val="20"/>
                <w:szCs w:val="20"/>
                <w:lang w:val="en-US"/>
              </w:rPr>
              <w:t xml:space="preserve">s intelektinis kapitalas yra produktyvus, ar ne. </w:t>
            </w:r>
            <w:r w:rsidR="0006720C" w:rsidRPr="00E92C85">
              <w:rPr>
                <w:sz w:val="20"/>
                <w:szCs w:val="20"/>
                <w:lang w:val="en-US"/>
              </w:rPr>
              <w:t>EVA g</w:t>
            </w:r>
            <w:r>
              <w:rPr>
                <w:sz w:val="20"/>
                <w:szCs w:val="20"/>
                <w:lang w:val="en-US"/>
              </w:rPr>
              <w:t>alima naudoti kaip nematerialių išteklių</w:t>
            </w:r>
            <w:r w:rsidR="0006720C" w:rsidRPr="00E92C85">
              <w:rPr>
                <w:sz w:val="20"/>
                <w:szCs w:val="20"/>
                <w:lang w:val="en-US"/>
              </w:rPr>
              <w:t>, valdymo rezultatyvumo matas.</w:t>
            </w:r>
          </w:p>
        </w:tc>
      </w:tr>
      <w:tr w:rsidR="0006720C" w:rsidRPr="00E92C85" w:rsidTr="00E92C85">
        <w:trPr>
          <w:cnfStyle w:val="000000100000"/>
        </w:trPr>
        <w:tc>
          <w:tcPr>
            <w:cnfStyle w:val="001000000000"/>
            <w:tcW w:w="1951" w:type="dxa"/>
          </w:tcPr>
          <w:p w:rsidR="0006720C" w:rsidRPr="00E92C85" w:rsidRDefault="0006720C" w:rsidP="0006720C">
            <w:pPr>
              <w:spacing w:line="360" w:lineRule="auto"/>
              <w:jc w:val="both"/>
              <w:rPr>
                <w:rFonts w:ascii="Times New Roman" w:hAnsi="Times New Roman" w:cs="Times New Roman"/>
                <w:sz w:val="20"/>
                <w:szCs w:val="20"/>
              </w:rPr>
            </w:pPr>
            <w:r w:rsidRPr="00E92C85">
              <w:rPr>
                <w:rFonts w:ascii="Times New Roman" w:hAnsi="Times New Roman" w:cs="Times New Roman"/>
                <w:sz w:val="20"/>
                <w:szCs w:val="20"/>
                <w:lang w:val="en-US"/>
              </w:rPr>
              <w:t>Stewart, 1997</w:t>
            </w:r>
          </w:p>
        </w:tc>
        <w:tc>
          <w:tcPr>
            <w:tcW w:w="1985" w:type="dxa"/>
          </w:tcPr>
          <w:p w:rsidR="0006720C" w:rsidRPr="00E92C85" w:rsidRDefault="00E71E2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Pr>
                <w:sz w:val="20"/>
                <w:szCs w:val="20"/>
                <w:lang w:val="en-US"/>
              </w:rPr>
              <w:t>Rinkos-buhalterinės vertė</w:t>
            </w:r>
            <w:r w:rsidR="0006720C" w:rsidRPr="00E92C85">
              <w:rPr>
                <w:sz w:val="20"/>
                <w:szCs w:val="20"/>
                <w:lang w:val="en-US"/>
              </w:rPr>
              <w:t>s modelis (angl. Market-to-book value)</w:t>
            </w:r>
          </w:p>
        </w:tc>
        <w:tc>
          <w:tcPr>
            <w:tcW w:w="6095" w:type="dxa"/>
          </w:tcPr>
          <w:p w:rsidR="0006720C" w:rsidRPr="00E92C85" w:rsidRDefault="00E71E2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sz w:val="20"/>
                <w:szCs w:val="20"/>
                <w:lang w:val="en-US"/>
              </w:rPr>
            </w:pPr>
            <w:r>
              <w:rPr>
                <w:sz w:val="20"/>
                <w:szCs w:val="20"/>
                <w:lang w:val="en-US"/>
              </w:rPr>
              <w:t>Metodas lygina balansinę organizacijos vertę su rinkos verte. Jį siūloma naudoti skirtingų organizacijų</w:t>
            </w:r>
            <w:r w:rsidR="0006720C" w:rsidRPr="00E92C85">
              <w:rPr>
                <w:sz w:val="20"/>
                <w:szCs w:val="20"/>
                <w:lang w:val="en-US"/>
              </w:rPr>
              <w:t xml:space="preserve"> nematerialaus kapitalo pal</w:t>
            </w:r>
            <w:r>
              <w:rPr>
                <w:sz w:val="20"/>
                <w:szCs w:val="20"/>
                <w:lang w:val="en-US"/>
              </w:rPr>
              <w:t>yginimui. Šie rodikliai gali bū</w:t>
            </w:r>
            <w:r w:rsidR="0006720C" w:rsidRPr="00E92C85">
              <w:rPr>
                <w:sz w:val="20"/>
                <w:szCs w:val="20"/>
                <w:lang w:val="en-US"/>
              </w:rPr>
              <w:t>ti atskleisti išo</w:t>
            </w:r>
            <w:r>
              <w:rPr>
                <w:sz w:val="20"/>
                <w:szCs w:val="20"/>
                <w:lang w:val="en-US"/>
              </w:rPr>
              <w:t>rei, norint pritraukti kapitalą</w:t>
            </w:r>
            <w:r w:rsidR="0006720C" w:rsidRPr="00E92C85">
              <w:rPr>
                <w:sz w:val="20"/>
                <w:szCs w:val="20"/>
                <w:lang w:val="en-US"/>
              </w:rPr>
              <w:t xml:space="preserve">, </w:t>
            </w:r>
            <w:r>
              <w:rPr>
                <w:sz w:val="20"/>
                <w:szCs w:val="20"/>
                <w:lang w:val="en-US"/>
              </w:rPr>
              <w:t>pristatyti įmonę, kaip patrauklią</w:t>
            </w:r>
            <w:r w:rsidR="0006720C" w:rsidRPr="00E92C85">
              <w:rPr>
                <w:sz w:val="20"/>
                <w:szCs w:val="20"/>
                <w:lang w:val="en-US"/>
              </w:rPr>
              <w:t xml:space="preserve"> investuotojui.</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sz w:val="20"/>
                <w:szCs w:val="20"/>
                <w:lang w:val="en-US"/>
              </w:rPr>
            </w:pPr>
            <w:r w:rsidRPr="00E92C85">
              <w:rPr>
                <w:sz w:val="20"/>
                <w:szCs w:val="20"/>
                <w:lang w:val="en-US"/>
              </w:rPr>
              <w:t>Metodas remiasi viešai prieinama informacija, turi le</w:t>
            </w:r>
            <w:r w:rsidR="00E71E2A">
              <w:rPr>
                <w:sz w:val="20"/>
                <w:szCs w:val="20"/>
                <w:lang w:val="en-US"/>
              </w:rPr>
              <w:t>ngvai suprantamą metodika, plačiai paplitę</w:t>
            </w:r>
            <w:r w:rsidRPr="00E92C85">
              <w:rPr>
                <w:sz w:val="20"/>
                <w:szCs w:val="20"/>
                <w:lang w:val="en-US"/>
              </w:rPr>
              <w:t>s ir visur vienodai traktuojamas.</w:t>
            </w:r>
          </w:p>
        </w:tc>
      </w:tr>
      <w:tr w:rsidR="0006720C" w:rsidRPr="00E92C85" w:rsidTr="00E92C85">
        <w:trPr>
          <w:cnfStyle w:val="00000001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Sveiby, 1997</w:t>
            </w:r>
          </w:p>
          <w:p w:rsidR="0006720C" w:rsidRPr="00E92C85" w:rsidRDefault="0006720C" w:rsidP="0006720C">
            <w:pPr>
              <w:spacing w:line="360" w:lineRule="auto"/>
              <w:jc w:val="both"/>
              <w:rPr>
                <w:rFonts w:ascii="Times New Roman" w:hAnsi="Times New Roman" w:cs="Times New Roman"/>
                <w:sz w:val="20"/>
                <w:szCs w:val="20"/>
                <w:lang w:val="en-US"/>
              </w:rPr>
            </w:pP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sidRPr="00E92C85">
              <w:rPr>
                <w:rFonts w:eastAsia="ＭＳ 明朝"/>
                <w:sz w:val="20"/>
                <w:szCs w:val="20"/>
                <w:lang w:val="en-US"/>
              </w:rPr>
              <w:t>Nematerialiojo turto tyrimas (angl. Intangible Asset Monitor)</w:t>
            </w:r>
          </w:p>
        </w:tc>
        <w:tc>
          <w:tcPr>
            <w:tcW w:w="6095" w:type="dxa"/>
          </w:tcPr>
          <w:p w:rsidR="0006720C" w:rsidRPr="00E92C85" w:rsidRDefault="00E71E2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r>
              <w:rPr>
                <w:rFonts w:eastAsia="ＭＳ 明朝"/>
                <w:sz w:val="20"/>
                <w:szCs w:val="20"/>
                <w:lang w:val="en-US"/>
              </w:rPr>
              <w:t>Apskaič</w:t>
            </w:r>
            <w:r w:rsidR="0006720C" w:rsidRPr="00E92C85">
              <w:rPr>
                <w:rFonts w:eastAsia="ＭＳ 明朝"/>
                <w:sz w:val="20"/>
                <w:szCs w:val="20"/>
                <w:lang w:val="en-US"/>
              </w:rPr>
              <w:t>iuo</w:t>
            </w:r>
            <w:r>
              <w:rPr>
                <w:rFonts w:eastAsia="ＭＳ 明朝"/>
                <w:sz w:val="20"/>
                <w:szCs w:val="20"/>
                <w:lang w:val="en-US"/>
              </w:rPr>
              <w:t>jama nematerialiojo turto vertė trimis kategorijomis: žmonių kompetencija, vidinė ir išorinė struktūra. Modelį</w:t>
            </w:r>
            <w:r w:rsidR="0006720C" w:rsidRPr="00E92C85">
              <w:rPr>
                <w:rFonts w:eastAsia="ＭＳ 明朝"/>
                <w:sz w:val="20"/>
                <w:szCs w:val="20"/>
                <w:lang w:val="en-US"/>
              </w:rPr>
              <w:t xml:space="preserve"> sudaro: augimas, atsinaujinimas, efektyvumas ir stabilumas.</w:t>
            </w:r>
          </w:p>
        </w:tc>
      </w:tr>
      <w:tr w:rsidR="0006720C" w:rsidRPr="00E92C85" w:rsidTr="00E92C85">
        <w:trPr>
          <w:cnfStyle w:val="00000010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hAnsi="Times New Roman" w:cs="Times New Roman"/>
                <w:sz w:val="20"/>
                <w:szCs w:val="20"/>
                <w:lang w:val="en-US"/>
              </w:rPr>
              <w:t>Pulic, 1997</w:t>
            </w:r>
          </w:p>
        </w:tc>
        <w:tc>
          <w:tcPr>
            <w:tcW w:w="1985" w:type="dxa"/>
          </w:tcPr>
          <w:p w:rsidR="0006720C" w:rsidRPr="00E92C85" w:rsidRDefault="00E71E2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Pr>
                <w:sz w:val="20"/>
                <w:szCs w:val="20"/>
                <w:lang w:val="en-US"/>
              </w:rPr>
              <w:t>Pridėtinės vertė</w:t>
            </w:r>
            <w:r w:rsidR="0006720C" w:rsidRPr="00E92C85">
              <w:rPr>
                <w:sz w:val="20"/>
                <w:szCs w:val="20"/>
                <w:lang w:val="en-US"/>
              </w:rPr>
              <w:t>s koeficientas (angl. Value-added intellectual coefficient VAIC™)</w:t>
            </w:r>
          </w:p>
        </w:tc>
        <w:tc>
          <w:tcPr>
            <w:tcW w:w="609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r w:rsidRPr="00E92C85">
              <w:rPr>
                <w:rFonts w:eastAsia="ＭＳ 明朝"/>
                <w:sz w:val="20"/>
                <w:szCs w:val="20"/>
                <w:lang w:val="en-US"/>
              </w:rPr>
              <w:t xml:space="preserve">Metodas matuoja ir prižiūri vertės sukūrimo efektyvumą kompanijoje, naudojant  duomenis iš finansinių ataskaitų. </w:t>
            </w:r>
            <w:r w:rsidRPr="00E92C85">
              <w:rPr>
                <w:sz w:val="20"/>
                <w:szCs w:val="20"/>
                <w:lang w:val="en-US"/>
              </w:rPr>
              <w:t>Siekiama nustatyti santykį tarp materialaus ir nematerialaus turto. Taikomas mikro ir makro lygiu analizuojant verslą.</w:t>
            </w:r>
          </w:p>
        </w:tc>
      </w:tr>
      <w:tr w:rsidR="0006720C" w:rsidRPr="00E92C85" w:rsidTr="00E92C85">
        <w:trPr>
          <w:cnfStyle w:val="00000001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Lev, Gu, 1999</w:t>
            </w:r>
          </w:p>
          <w:p w:rsidR="0006720C" w:rsidRPr="00E92C85" w:rsidRDefault="0006720C" w:rsidP="0006720C">
            <w:pPr>
              <w:spacing w:line="360" w:lineRule="auto"/>
              <w:jc w:val="both"/>
              <w:rPr>
                <w:rFonts w:ascii="Times New Roman" w:hAnsi="Times New Roman" w:cs="Times New Roman"/>
                <w:sz w:val="20"/>
                <w:szCs w:val="20"/>
                <w:lang w:val="en-US"/>
              </w:rPr>
            </w:pPr>
          </w:p>
        </w:tc>
        <w:tc>
          <w:tcPr>
            <w:tcW w:w="1985" w:type="dxa"/>
          </w:tcPr>
          <w:p w:rsidR="0006720C" w:rsidRPr="00E92C85" w:rsidRDefault="00E71E2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Pr>
                <w:rFonts w:eastAsia="ＭＳ 明朝"/>
                <w:sz w:val="20"/>
                <w:szCs w:val="20"/>
                <w:lang w:val="en-US"/>
              </w:rPr>
              <w:t>Nematerialaus turto lentelė</w:t>
            </w:r>
            <w:r w:rsidR="0006720C" w:rsidRPr="00E92C85">
              <w:rPr>
                <w:rFonts w:eastAsia="ＭＳ 明朝"/>
                <w:sz w:val="20"/>
                <w:szCs w:val="20"/>
                <w:lang w:val="en-US"/>
              </w:rPr>
              <w:t xml:space="preserve"> (angl. Intangibles Scoteboard)</w:t>
            </w:r>
          </w:p>
        </w:tc>
        <w:tc>
          <w:tcPr>
            <w:tcW w:w="6095" w:type="dxa"/>
          </w:tcPr>
          <w:p w:rsidR="0006720C" w:rsidRPr="00E92C85" w:rsidRDefault="0006720C" w:rsidP="00461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r w:rsidRPr="00E92C85">
              <w:rPr>
                <w:rFonts w:eastAsia="ＭＳ 明朝"/>
                <w:sz w:val="20"/>
                <w:szCs w:val="20"/>
                <w:lang w:val="en-US"/>
              </w:rPr>
              <w:t>Nurodoma ne</w:t>
            </w:r>
            <w:r w:rsidRPr="00E92C85">
              <w:rPr>
                <w:rFonts w:eastAsia="ＭＳ 明朝"/>
                <w:sz w:val="20"/>
                <w:szCs w:val="20"/>
                <w:lang w:val="en-US"/>
              </w:rPr>
              <w:tab/>
              <w:t>tik metodo realizavimo technika, be</w:t>
            </w:r>
            <w:r w:rsidR="00E71E2A">
              <w:rPr>
                <w:rFonts w:eastAsia="ＭＳ 明朝"/>
                <w:sz w:val="20"/>
                <w:szCs w:val="20"/>
                <w:lang w:val="en-US"/>
              </w:rPr>
              <w:t>t pagrindžiamas ir jo rezultatų</w:t>
            </w:r>
            <w:r w:rsidRPr="00E92C85">
              <w:rPr>
                <w:rFonts w:eastAsia="ＭＳ 明朝"/>
                <w:sz w:val="20"/>
                <w:szCs w:val="20"/>
                <w:lang w:val="en-US"/>
              </w:rPr>
              <w:t xml:space="preserve"> interpretavimas. </w:t>
            </w:r>
            <w:r w:rsidR="004613F1">
              <w:rPr>
                <w:sz w:val="20"/>
                <w:szCs w:val="20"/>
                <w:lang w:val="en-US"/>
              </w:rPr>
              <w:t>Remiasi vieša</w:t>
            </w:r>
            <w:r w:rsidRPr="00E92C85">
              <w:rPr>
                <w:sz w:val="20"/>
                <w:szCs w:val="20"/>
                <w:lang w:val="en-US"/>
              </w:rPr>
              <w:t xml:space="preserve"> informacija. </w:t>
            </w:r>
            <w:r w:rsidRPr="00E92C85">
              <w:rPr>
                <w:rFonts w:eastAsia="ＭＳ 明朝"/>
                <w:sz w:val="20"/>
                <w:szCs w:val="20"/>
                <w:lang w:val="en-US"/>
              </w:rPr>
              <w:t xml:space="preserve"> </w:t>
            </w:r>
            <w:r w:rsidRPr="00E92C85">
              <w:rPr>
                <w:sz w:val="20"/>
                <w:szCs w:val="20"/>
                <w:lang w:val="en-US"/>
              </w:rPr>
              <w:t>Metodas teikia informacijos vadovams apie bendrus veiklos rezultatus konkurencinio palyginimo analizėje. Aktualus</w:t>
            </w:r>
            <w:r w:rsidR="00E71E2A">
              <w:rPr>
                <w:sz w:val="20"/>
                <w:szCs w:val="20"/>
                <w:lang w:val="en-US"/>
              </w:rPr>
              <w:t xml:space="preserve"> mažai materialaus turto turinčioms organizacijoms, siekiančioms atskleisti savo vertę ir pritraukti kapitalą</w:t>
            </w:r>
            <w:r w:rsidRPr="00E92C85">
              <w:rPr>
                <w:sz w:val="20"/>
                <w:szCs w:val="20"/>
                <w:lang w:val="en-US"/>
              </w:rPr>
              <w:t xml:space="preserve">. </w:t>
            </w:r>
          </w:p>
        </w:tc>
      </w:tr>
      <w:tr w:rsidR="0006720C" w:rsidRPr="00E92C85" w:rsidTr="00E92C85">
        <w:trPr>
          <w:cnfStyle w:val="00000010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Viedma, 1999</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sidRPr="00E92C85">
              <w:rPr>
                <w:rFonts w:eastAsia="ＭＳ 明朝"/>
                <w:sz w:val="20"/>
                <w:szCs w:val="20"/>
                <w:lang w:val="en-US"/>
              </w:rPr>
              <w:t>Intelektinio kapi</w:t>
            </w:r>
            <w:r w:rsidR="00E71E2A">
              <w:rPr>
                <w:rFonts w:eastAsia="ＭＳ 明朝"/>
                <w:sz w:val="20"/>
                <w:szCs w:val="20"/>
                <w:lang w:val="en-US"/>
              </w:rPr>
              <w:t>talo įvertinimas pagal etaloną</w:t>
            </w:r>
            <w:r w:rsidRPr="00E92C85">
              <w:rPr>
                <w:rFonts w:eastAsia="ＭＳ 明朝"/>
                <w:sz w:val="20"/>
                <w:szCs w:val="20"/>
                <w:lang w:val="en-US"/>
              </w:rPr>
              <w:t xml:space="preserve"> (angl. Intellectual Capital Benehmarking System)</w:t>
            </w:r>
          </w:p>
        </w:tc>
        <w:tc>
          <w:tcPr>
            <w:tcW w:w="6095" w:type="dxa"/>
          </w:tcPr>
          <w:p w:rsidR="0006720C" w:rsidRPr="00E92C85" w:rsidRDefault="00E71E2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r>
              <w:rPr>
                <w:rFonts w:eastAsia="ＭＳ 明朝"/>
                <w:sz w:val="20"/>
                <w:szCs w:val="20"/>
                <w:lang w:val="en-US"/>
              </w:rPr>
              <w:t>Metodas įtakoja silpnų organizacijos vietų atskleidimą, tinkamas atskirų kompetencijų analizei ir stebė</w:t>
            </w:r>
            <w:r w:rsidR="0006720C" w:rsidRPr="00E92C85">
              <w:rPr>
                <w:rFonts w:eastAsia="ＭＳ 明朝"/>
                <w:sz w:val="20"/>
                <w:szCs w:val="20"/>
                <w:lang w:val="en-US"/>
              </w:rPr>
              <w:t>jimui,</w:t>
            </w:r>
            <w:r>
              <w:rPr>
                <w:rFonts w:eastAsia="ＭＳ 明朝"/>
                <w:sz w:val="20"/>
                <w:szCs w:val="20"/>
                <w:lang w:val="en-US"/>
              </w:rPr>
              <w:t xml:space="preserve"> palyginimui su lyderiu analizė</w:t>
            </w:r>
            <w:r w:rsidR="0006720C" w:rsidRPr="00E92C85">
              <w:rPr>
                <w:rFonts w:eastAsia="ＭＳ 明朝"/>
                <w:sz w:val="20"/>
                <w:szCs w:val="20"/>
                <w:lang w:val="en-US"/>
              </w:rPr>
              <w:t xml:space="preserve">je, taip skatindamas </w:t>
            </w:r>
            <w:r>
              <w:rPr>
                <w:rFonts w:eastAsia="ＭＳ 明朝"/>
                <w:sz w:val="20"/>
                <w:szCs w:val="20"/>
                <w:lang w:val="en-US"/>
              </w:rPr>
              <w:t>tobulė</w:t>
            </w:r>
            <w:r w:rsidR="0006720C" w:rsidRPr="00E92C85">
              <w:rPr>
                <w:rFonts w:eastAsia="ＭＳ 明朝"/>
                <w:sz w:val="20"/>
                <w:szCs w:val="20"/>
                <w:lang w:val="en-US"/>
              </w:rPr>
              <w:t>ti.</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p>
        </w:tc>
      </w:tr>
      <w:tr w:rsidR="0006720C" w:rsidRPr="00E92C85" w:rsidTr="00E92C85">
        <w:trPr>
          <w:cnfStyle w:val="00000001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Anderson &amp; McLean, 2000</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Pr>
          <w:p w:rsidR="0006720C" w:rsidRPr="00E92C85" w:rsidRDefault="00E71E2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Pr>
                <w:rFonts w:eastAsia="ＭＳ 明朝"/>
                <w:sz w:val="20"/>
                <w:szCs w:val="20"/>
                <w:lang w:val="en-US"/>
              </w:rPr>
              <w:t>Bendras vertės kū</w:t>
            </w:r>
            <w:r w:rsidR="0006720C" w:rsidRPr="00E92C85">
              <w:rPr>
                <w:rFonts w:eastAsia="ＭＳ 明朝"/>
                <w:sz w:val="20"/>
                <w:szCs w:val="20"/>
                <w:lang w:val="en-US"/>
              </w:rPr>
              <w:t>rimas (angl. Total Value Creation)</w:t>
            </w:r>
          </w:p>
        </w:tc>
        <w:tc>
          <w:tcPr>
            <w:tcW w:w="6095" w:type="dxa"/>
          </w:tcPr>
          <w:p w:rsidR="0006720C" w:rsidRPr="00E92C85" w:rsidRDefault="00E71E2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r>
              <w:rPr>
                <w:rFonts w:eastAsia="ＭＳ 明朝"/>
                <w:sz w:val="20"/>
                <w:szCs w:val="20"/>
                <w:lang w:val="en-US"/>
              </w:rPr>
              <w:t>Naudoja diskontavimą, kai prognozuojami grynųjų pinigų srautai siekiant įvertinti, kaip į</w:t>
            </w:r>
            <w:r w:rsidR="0006720C" w:rsidRPr="00E92C85">
              <w:rPr>
                <w:rFonts w:eastAsia="ＭＳ 明朝"/>
                <w:sz w:val="20"/>
                <w:szCs w:val="20"/>
                <w:lang w:val="en-US"/>
              </w:rPr>
              <w:t>vykiai veikia planuojamas veiklas.</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p>
        </w:tc>
      </w:tr>
      <w:tr w:rsidR="0006720C" w:rsidRPr="00E92C85" w:rsidTr="00E92C85">
        <w:trPr>
          <w:cnfStyle w:val="00000010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Baum, Ittner, Larcker, Low, Siesfeld, Malone, 2000</w:t>
            </w:r>
          </w:p>
        </w:tc>
        <w:tc>
          <w:tcPr>
            <w:tcW w:w="1985" w:type="dxa"/>
          </w:tcPr>
          <w:p w:rsidR="0006720C" w:rsidRPr="00E92C85" w:rsidRDefault="00E71E2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Pr>
                <w:rFonts w:eastAsia="ＭＳ 明朝"/>
                <w:sz w:val="20"/>
                <w:szCs w:val="20"/>
                <w:lang w:val="en-US"/>
              </w:rPr>
              <w:t>Vertės kū</w:t>
            </w:r>
            <w:r w:rsidR="0006720C" w:rsidRPr="00E92C85">
              <w:rPr>
                <w:rFonts w:eastAsia="ＭＳ 明朝"/>
                <w:sz w:val="20"/>
                <w:szCs w:val="20"/>
                <w:lang w:val="en-US"/>
              </w:rPr>
              <w:t>rimo indeksas (angl. Value Creation Index)</w:t>
            </w:r>
          </w:p>
        </w:tc>
        <w:tc>
          <w:tcPr>
            <w:tcW w:w="609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r w:rsidRPr="00E92C85">
              <w:rPr>
                <w:rFonts w:eastAsia="ＭＳ 明朝"/>
                <w:sz w:val="20"/>
                <w:szCs w:val="20"/>
                <w:lang w:val="en-US"/>
              </w:rPr>
              <w:t>Išvystytas Wharton verslo mokyklos kartu su Ernst &amp; Young. Svarbiausi yra nefin</w:t>
            </w:r>
            <w:r w:rsidR="00E71E2A">
              <w:rPr>
                <w:rFonts w:eastAsia="ＭＳ 明朝"/>
                <w:sz w:val="20"/>
                <w:szCs w:val="20"/>
                <w:lang w:val="en-US"/>
              </w:rPr>
              <w:t>ansiniai matai, kurie nustato įmonių rinkos vertę</w:t>
            </w:r>
            <w:r w:rsidRPr="00E92C85">
              <w:rPr>
                <w:rFonts w:eastAsia="ＭＳ 明朝"/>
                <w:sz w:val="20"/>
                <w:szCs w:val="20"/>
                <w:lang w:val="en-US"/>
              </w:rPr>
              <w:t>. Skirting</w:t>
            </w:r>
            <w:r w:rsidR="00E71E2A">
              <w:rPr>
                <w:rFonts w:eastAsia="ＭＳ 明朝"/>
                <w:sz w:val="20"/>
                <w:szCs w:val="20"/>
                <w:lang w:val="en-US"/>
              </w:rPr>
              <w:t>i faktoriai skirtingoms pramonė</w:t>
            </w:r>
            <w:r w:rsidRPr="00E92C85">
              <w:rPr>
                <w:rFonts w:eastAsia="ＭＳ 明朝"/>
                <w:sz w:val="20"/>
                <w:szCs w:val="20"/>
                <w:lang w:val="en-US"/>
              </w:rPr>
              <w:t>s šakoms.</w:t>
            </w:r>
          </w:p>
        </w:tc>
      </w:tr>
      <w:tr w:rsidR="0006720C" w:rsidRPr="00E92C85" w:rsidTr="00E92C85">
        <w:trPr>
          <w:cnfStyle w:val="00000001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hAnsi="Times New Roman" w:cs="Times New Roman"/>
                <w:sz w:val="20"/>
                <w:szCs w:val="20"/>
              </w:rPr>
              <w:t>Sullivan, 2000</w:t>
            </w: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sidRPr="00E92C85">
              <w:rPr>
                <w:sz w:val="20"/>
                <w:szCs w:val="20"/>
              </w:rPr>
              <w:t>Intelektinio kapitalo vertinimas (angl. IC valuation)</w:t>
            </w:r>
          </w:p>
        </w:tc>
        <w:tc>
          <w:tcPr>
            <w:tcW w:w="609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r w:rsidRPr="00E92C85">
              <w:rPr>
                <w:rFonts w:eastAsia="ＭＳ 明朝"/>
                <w:sz w:val="20"/>
                <w:szCs w:val="20"/>
                <w:lang w:val="en-US"/>
              </w:rPr>
              <w:t>Metodas taikomas skaičiuojant nematerialųjį įmonių turtą, remiantis jų gebėjimu kurti ir išsaugoti pinigų srautus, paverčiant idėjas ir naujoves į pajamų šaltinį.Tinkamas kiekybiškai įvertinti įmonės vertę.</w:t>
            </w:r>
          </w:p>
        </w:tc>
      </w:tr>
      <w:tr w:rsidR="0006720C" w:rsidRPr="00E92C85" w:rsidTr="00E92C85">
        <w:trPr>
          <w:cnfStyle w:val="000000100000"/>
        </w:trPr>
        <w:tc>
          <w:tcPr>
            <w:cnfStyle w:val="001000000000"/>
            <w:tcW w:w="1951" w:type="dxa"/>
          </w:tcPr>
          <w:p w:rsidR="0006720C" w:rsidRPr="00E92C85" w:rsidRDefault="0006720C" w:rsidP="0006720C">
            <w:pPr>
              <w:tabs>
                <w:tab w:val="left" w:pos="743"/>
                <w:tab w:val="left" w:pos="1451"/>
              </w:tabs>
              <w:spacing w:line="360" w:lineRule="auto"/>
              <w:jc w:val="both"/>
              <w:rPr>
                <w:rFonts w:ascii="Times New Roman" w:hAnsi="Times New Roman" w:cs="Times New Roman"/>
                <w:sz w:val="20"/>
                <w:szCs w:val="20"/>
              </w:rPr>
            </w:pPr>
            <w:r w:rsidRPr="00E92C85">
              <w:rPr>
                <w:rFonts w:ascii="Times New Roman" w:hAnsi="Times New Roman" w:cs="Times New Roman"/>
                <w:sz w:val="20"/>
                <w:szCs w:val="20"/>
                <w:lang w:val="en-US"/>
              </w:rPr>
              <w:t>Joia, 2000</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tc>
        <w:tc>
          <w:tcPr>
            <w:tcW w:w="1985" w:type="dxa"/>
          </w:tcPr>
          <w:p w:rsidR="0006720C" w:rsidRPr="00E92C85" w:rsidRDefault="00E71E2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sz w:val="20"/>
                <w:szCs w:val="20"/>
              </w:rPr>
            </w:pPr>
            <w:r>
              <w:rPr>
                <w:sz w:val="20"/>
                <w:szCs w:val="20"/>
                <w:lang w:val="en-US"/>
              </w:rPr>
              <w:t>Euristinis rė</w:t>
            </w:r>
            <w:r w:rsidR="0006720C" w:rsidRPr="00E92C85">
              <w:rPr>
                <w:sz w:val="20"/>
                <w:szCs w:val="20"/>
                <w:lang w:val="en-US"/>
              </w:rPr>
              <w:t>mas (angl. Heuristic Frame)</w:t>
            </w:r>
          </w:p>
        </w:tc>
        <w:tc>
          <w:tcPr>
            <w:tcW w:w="609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r w:rsidRPr="00E92C85">
              <w:rPr>
                <w:rFonts w:eastAsia="ＭＳ 明朝"/>
                <w:sz w:val="20"/>
                <w:szCs w:val="20"/>
                <w:lang w:val="en-US"/>
              </w:rPr>
              <w:t>Vystomas tarp intelektinio kapitalo ir verslo strategijos. Modelis taikomas didelėms pramonės įmonėms.</w:t>
            </w:r>
          </w:p>
        </w:tc>
      </w:tr>
      <w:tr w:rsidR="0006720C" w:rsidRPr="00E92C85" w:rsidTr="00E92C85">
        <w:trPr>
          <w:cnfStyle w:val="00000001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Garcia, 2001</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sidRPr="00E92C85">
              <w:rPr>
                <w:rFonts w:eastAsia="ＭＳ 明朝"/>
                <w:sz w:val="20"/>
                <w:szCs w:val="20"/>
                <w:lang w:val="en-US"/>
              </w:rPr>
              <w:t>Nematerialaus turto ataskaita (angl. Intangible assets statement)</w:t>
            </w:r>
          </w:p>
        </w:tc>
        <w:tc>
          <w:tcPr>
            <w:tcW w:w="609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r w:rsidRPr="00E92C85">
              <w:rPr>
                <w:rFonts w:eastAsia="ＭＳ 明朝"/>
                <w:sz w:val="20"/>
                <w:szCs w:val="20"/>
                <w:lang w:val="en-US"/>
              </w:rPr>
              <w:t>Viešojo sektoriaus intelektinio kapitalo matavimo modelis su pagrindiniais rodikliais: augimas/atnaujinimas, efektyvumas ir stabilumas.</w:t>
            </w:r>
          </w:p>
        </w:tc>
      </w:tr>
      <w:tr w:rsidR="0006720C" w:rsidRPr="00E92C85" w:rsidTr="00E92C85">
        <w:trPr>
          <w:cnfStyle w:val="00000010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Meritum, 2002</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Pr>
          <w:p w:rsidR="0006720C" w:rsidRPr="00E92C85" w:rsidRDefault="00E71E2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Pr>
                <w:rFonts w:eastAsia="ＭＳ 明朝"/>
                <w:sz w:val="20"/>
                <w:szCs w:val="20"/>
                <w:lang w:val="en-US"/>
              </w:rPr>
              <w:t>Meritum gairė</w:t>
            </w:r>
            <w:r w:rsidR="0006720C" w:rsidRPr="00E92C85">
              <w:rPr>
                <w:rFonts w:eastAsia="ＭＳ 明朝"/>
                <w:sz w:val="20"/>
                <w:szCs w:val="20"/>
                <w:lang w:val="en-US"/>
              </w:rPr>
              <w:t>s (angl. Meritum guidelines)</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p>
        </w:tc>
        <w:tc>
          <w:tcPr>
            <w:tcW w:w="609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r w:rsidRPr="00E92C85">
              <w:rPr>
                <w:rFonts w:eastAsia="ＭＳ 明朝"/>
                <w:sz w:val="20"/>
                <w:szCs w:val="20"/>
                <w:lang w:val="en-US"/>
              </w:rPr>
              <w:t>Nemat</w:t>
            </w:r>
            <w:r w:rsidR="00E71E2A">
              <w:rPr>
                <w:rFonts w:eastAsia="ＭＳ 明朝"/>
                <w:sz w:val="20"/>
                <w:szCs w:val="20"/>
                <w:lang w:val="en-US"/>
              </w:rPr>
              <w:t>erialaus turto sistema iš trijų</w:t>
            </w:r>
            <w:r w:rsidRPr="00E92C85">
              <w:rPr>
                <w:rFonts w:eastAsia="ＭＳ 明朝"/>
                <w:sz w:val="20"/>
                <w:szCs w:val="20"/>
                <w:lang w:val="en-US"/>
              </w:rPr>
              <w:t xml:space="preserve"> </w:t>
            </w:r>
            <w:r w:rsidR="00E71E2A">
              <w:rPr>
                <w:rFonts w:eastAsia="ＭＳ 明朝"/>
                <w:sz w:val="20"/>
                <w:szCs w:val="20"/>
                <w:lang w:val="en-US"/>
              </w:rPr>
              <w:t>etapų: 1) apibrė</w:t>
            </w:r>
            <w:r w:rsidRPr="00E92C85">
              <w:rPr>
                <w:rFonts w:eastAsia="ＭＳ 明朝"/>
                <w:sz w:val="20"/>
                <w:szCs w:val="20"/>
                <w:lang w:val="en-US"/>
              </w:rPr>
              <w:t>žiami strateginiai tikslai, 2) identifikuojami nematerialieji ištekliai, 3) išvystyti nematerialiuosius išteklius.</w:t>
            </w:r>
          </w:p>
        </w:tc>
      </w:tr>
      <w:tr w:rsidR="0006720C" w:rsidRPr="00E92C85" w:rsidTr="00E92C85">
        <w:trPr>
          <w:cnfStyle w:val="00000001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B.Lev, 2001</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Pr>
          <w:p w:rsidR="0006720C" w:rsidRPr="00E92C85" w:rsidRDefault="00E71E2A"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Pr>
                <w:rFonts w:eastAsia="ＭＳ 明朝"/>
                <w:sz w:val="20"/>
                <w:szCs w:val="20"/>
                <w:lang w:val="en-US"/>
              </w:rPr>
              <w:t>Vertės grandinės lentelė</w:t>
            </w:r>
            <w:r w:rsidR="0006720C" w:rsidRPr="00E92C85">
              <w:rPr>
                <w:rFonts w:eastAsia="ＭＳ 明朝"/>
                <w:sz w:val="20"/>
                <w:szCs w:val="20"/>
                <w:lang w:val="en-US"/>
              </w:rPr>
              <w:t xml:space="preserve"> (angl. Value Chain Scoreboard)</w:t>
            </w:r>
          </w:p>
        </w:tc>
        <w:tc>
          <w:tcPr>
            <w:tcW w:w="6095" w:type="dxa"/>
          </w:tcPr>
          <w:p w:rsidR="0006720C" w:rsidRPr="00E92C85" w:rsidRDefault="00575B70"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r>
              <w:rPr>
                <w:rFonts w:eastAsia="ＭＳ 明朝"/>
                <w:sz w:val="20"/>
                <w:szCs w:val="20"/>
                <w:lang w:val="en-US"/>
              </w:rPr>
              <w:t>Grandinės etapus atskleidž</w:t>
            </w:r>
            <w:r w:rsidR="0006720C" w:rsidRPr="00E92C85">
              <w:rPr>
                <w:rFonts w:eastAsia="ＭＳ 明朝"/>
                <w:sz w:val="20"/>
                <w:szCs w:val="20"/>
                <w:lang w:val="en-US"/>
              </w:rPr>
              <w:t xml:space="preserve">ia </w:t>
            </w:r>
            <w:r w:rsidR="0006720C" w:rsidRPr="00E92C85">
              <w:rPr>
                <w:sz w:val="20"/>
                <w:szCs w:val="20"/>
                <w:lang w:val="en-US"/>
              </w:rPr>
              <w:t xml:space="preserve">teigiamai </w:t>
            </w:r>
            <w:r w:rsidR="0006720C" w:rsidRPr="00E92C85">
              <w:rPr>
                <w:rFonts w:eastAsia="ＭＳ 明朝"/>
                <w:sz w:val="20"/>
                <w:szCs w:val="20"/>
                <w:lang w:val="en-US"/>
              </w:rPr>
              <w:t>organizacijos</w:t>
            </w:r>
            <w:r>
              <w:rPr>
                <w:rFonts w:eastAsia="ＭＳ 明朝"/>
                <w:sz w:val="20"/>
                <w:szCs w:val="20"/>
                <w:lang w:val="en-US"/>
              </w:rPr>
              <w:t xml:space="preserve"> augimo galimybes per inovacijų</w:t>
            </w:r>
            <w:r w:rsidR="0006720C" w:rsidRPr="00E92C85">
              <w:rPr>
                <w:rFonts w:eastAsia="ＭＳ 明朝"/>
                <w:sz w:val="20"/>
                <w:szCs w:val="20"/>
                <w:lang w:val="en-US"/>
              </w:rPr>
              <w:t>, augimo perspektyvos rodiklius.</w:t>
            </w:r>
          </w:p>
        </w:tc>
      </w:tr>
      <w:tr w:rsidR="0006720C" w:rsidRPr="00E92C85" w:rsidTr="004613F1">
        <w:trPr>
          <w:cnfStyle w:val="000000100000"/>
        </w:trPr>
        <w:tc>
          <w:tcPr>
            <w:cnfStyle w:val="001000000000"/>
            <w:tcW w:w="1951" w:type="dxa"/>
            <w:tcBorders>
              <w:bottom w:val="single" w:sz="4" w:space="0" w:color="365F91" w:themeColor="accent1" w:themeShade="BF"/>
            </w:tcBorders>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Edvinsson, 2002</w:t>
            </w:r>
          </w:p>
        </w:tc>
        <w:tc>
          <w:tcPr>
            <w:tcW w:w="1985" w:type="dxa"/>
            <w:tcBorders>
              <w:bottom w:val="single" w:sz="4" w:space="0" w:color="365F91" w:themeColor="accent1" w:themeShade="BF"/>
            </w:tcBorders>
          </w:tcPr>
          <w:p w:rsidR="0006720C" w:rsidRPr="00E92C85" w:rsidRDefault="0006720C" w:rsidP="00C53D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sidRPr="00E92C85">
              <w:rPr>
                <w:rFonts w:eastAsia="ＭＳ 明朝"/>
                <w:sz w:val="20"/>
                <w:szCs w:val="20"/>
                <w:lang w:val="en-US"/>
              </w:rPr>
              <w:t xml:space="preserve">Intelektinio kapitalo </w:t>
            </w:r>
          </w:p>
        </w:tc>
        <w:tc>
          <w:tcPr>
            <w:tcW w:w="6095" w:type="dxa"/>
            <w:tcBorders>
              <w:bottom w:val="single" w:sz="4" w:space="0" w:color="365F91" w:themeColor="accent1" w:themeShade="BF"/>
            </w:tcBorders>
          </w:tcPr>
          <w:p w:rsidR="0006720C" w:rsidRPr="00E92C85" w:rsidRDefault="0006720C" w:rsidP="00C53D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r w:rsidRPr="00E92C85">
              <w:rPr>
                <w:rFonts w:eastAsia="ＭＳ 明朝"/>
                <w:sz w:val="20"/>
                <w:szCs w:val="20"/>
                <w:lang w:val="en-US"/>
              </w:rPr>
              <w:t>S</w:t>
            </w:r>
            <w:r w:rsidR="00575B70">
              <w:rPr>
                <w:rFonts w:eastAsia="ＭＳ 明朝"/>
                <w:sz w:val="20"/>
                <w:szCs w:val="20"/>
                <w:lang w:val="en-US"/>
              </w:rPr>
              <w:t>kandia Navigator sistemos išplėtimas į</w:t>
            </w:r>
            <w:r w:rsidRPr="00E92C85">
              <w:rPr>
                <w:rFonts w:eastAsia="ＭＳ 明朝"/>
                <w:sz w:val="20"/>
                <w:szCs w:val="20"/>
                <w:lang w:val="en-US"/>
              </w:rPr>
              <w:t xml:space="preserve">traukiant nematerialiojo turto </w:t>
            </w:r>
          </w:p>
        </w:tc>
      </w:tr>
      <w:tr w:rsidR="00C53D97" w:rsidRPr="00E92C85" w:rsidTr="004613F1">
        <w:trPr>
          <w:cnfStyle w:val="000000010000"/>
        </w:trPr>
        <w:tc>
          <w:tcPr>
            <w:cnfStyle w:val="001000000000"/>
            <w:tcW w:w="1951" w:type="dxa"/>
            <w:tcBorders>
              <w:top w:val="single" w:sz="4" w:space="0" w:color="365F91" w:themeColor="accent1" w:themeShade="BF"/>
              <w:left w:val="nil"/>
              <w:bottom w:val="nil"/>
              <w:right w:val="nil"/>
            </w:tcBorders>
          </w:tcPr>
          <w:p w:rsidR="00C53D97" w:rsidRPr="00E92C85" w:rsidRDefault="00C53D97"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Borders>
              <w:top w:val="single" w:sz="4" w:space="0" w:color="365F91" w:themeColor="accent1" w:themeShade="BF"/>
              <w:left w:val="nil"/>
              <w:bottom w:val="nil"/>
              <w:right w:val="nil"/>
            </w:tcBorders>
          </w:tcPr>
          <w:p w:rsidR="00C53D97" w:rsidRPr="00E92C85" w:rsidRDefault="00C53D97"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p>
        </w:tc>
        <w:tc>
          <w:tcPr>
            <w:tcW w:w="6095" w:type="dxa"/>
            <w:tcBorders>
              <w:top w:val="single" w:sz="4" w:space="0" w:color="365F91" w:themeColor="accent1" w:themeShade="BF"/>
              <w:left w:val="nil"/>
              <w:bottom w:val="nil"/>
              <w:right w:val="nil"/>
            </w:tcBorders>
          </w:tcPr>
          <w:p w:rsidR="00C53D97" w:rsidRPr="00E92C85" w:rsidRDefault="00C53D97" w:rsidP="00C53D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cnfStyle w:val="000000010000"/>
              <w:rPr>
                <w:rFonts w:eastAsia="ＭＳ 明朝"/>
                <w:sz w:val="20"/>
                <w:szCs w:val="20"/>
                <w:lang w:val="en-US"/>
              </w:rPr>
            </w:pPr>
            <w:r w:rsidRPr="00E92C85">
              <w:rPr>
                <w:rFonts w:eastAsia="ＭＳ 明朝"/>
                <w:sz w:val="20"/>
                <w:szCs w:val="20"/>
                <w:lang w:val="en-US"/>
              </w:rPr>
              <w:t>Lentelės tęsinys kitame puslapyje</w:t>
            </w:r>
          </w:p>
        </w:tc>
      </w:tr>
      <w:tr w:rsidR="00C53D97" w:rsidRPr="00E92C85" w:rsidTr="004613F1">
        <w:trPr>
          <w:cnfStyle w:val="000000100000"/>
        </w:trPr>
        <w:tc>
          <w:tcPr>
            <w:cnfStyle w:val="001000000000"/>
            <w:tcW w:w="1951" w:type="dxa"/>
            <w:tcBorders>
              <w:top w:val="nil"/>
              <w:left w:val="nil"/>
              <w:bottom w:val="single" w:sz="4" w:space="0" w:color="365F91" w:themeColor="accent1" w:themeShade="BF"/>
              <w:right w:val="nil"/>
            </w:tcBorders>
            <w:shd w:val="clear" w:color="auto" w:fill="auto"/>
          </w:tcPr>
          <w:p w:rsidR="00C53D97" w:rsidRPr="00E92C85" w:rsidRDefault="00C53D97"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Borders>
              <w:top w:val="nil"/>
              <w:left w:val="nil"/>
              <w:bottom w:val="single" w:sz="4" w:space="0" w:color="365F91" w:themeColor="accent1" w:themeShade="BF"/>
              <w:right w:val="nil"/>
            </w:tcBorders>
            <w:shd w:val="clear" w:color="auto" w:fill="auto"/>
          </w:tcPr>
          <w:p w:rsidR="00C53D97" w:rsidRPr="00E92C85" w:rsidRDefault="00C53D97"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p>
        </w:tc>
        <w:tc>
          <w:tcPr>
            <w:tcW w:w="6095" w:type="dxa"/>
            <w:tcBorders>
              <w:top w:val="nil"/>
              <w:left w:val="nil"/>
              <w:bottom w:val="single" w:sz="4" w:space="0" w:color="365F91" w:themeColor="accent1" w:themeShade="BF"/>
              <w:right w:val="nil"/>
            </w:tcBorders>
            <w:shd w:val="clear" w:color="auto" w:fill="auto"/>
          </w:tcPr>
          <w:p w:rsidR="00C53D97" w:rsidRPr="00E92C85" w:rsidRDefault="00C53D97" w:rsidP="00C53D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cnfStyle w:val="000000100000"/>
              <w:rPr>
                <w:rFonts w:eastAsia="ＭＳ 明朝"/>
                <w:sz w:val="20"/>
                <w:szCs w:val="20"/>
                <w:lang w:val="en-US"/>
              </w:rPr>
            </w:pPr>
            <w:r w:rsidRPr="00E92C85">
              <w:rPr>
                <w:rFonts w:eastAsia="ＭＳ 明朝"/>
                <w:sz w:val="20"/>
                <w:szCs w:val="20"/>
                <w:lang w:val="en-US"/>
              </w:rPr>
              <w:t>Lentelės tęsinys</w:t>
            </w:r>
          </w:p>
        </w:tc>
      </w:tr>
      <w:tr w:rsidR="00C53D97" w:rsidRPr="00E92C85" w:rsidTr="004613F1">
        <w:trPr>
          <w:cnfStyle w:val="000000010000"/>
        </w:trPr>
        <w:tc>
          <w:tcPr>
            <w:cnfStyle w:val="001000000000"/>
            <w:tcW w:w="1951" w:type="dxa"/>
            <w:tcBorders>
              <w:top w:val="single" w:sz="4" w:space="0" w:color="365F91" w:themeColor="accent1" w:themeShade="BF"/>
            </w:tcBorders>
          </w:tcPr>
          <w:p w:rsidR="00C53D97" w:rsidRPr="00E92C85" w:rsidRDefault="00C53D97"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Borders>
              <w:top w:val="single" w:sz="4" w:space="0" w:color="365F91" w:themeColor="accent1" w:themeShade="BF"/>
            </w:tcBorders>
          </w:tcPr>
          <w:p w:rsidR="00C53D97" w:rsidRPr="00E92C85" w:rsidRDefault="00C53D97"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sidRPr="00E92C85">
              <w:rPr>
                <w:rFonts w:eastAsia="ＭＳ 明朝"/>
                <w:sz w:val="20"/>
                <w:szCs w:val="20"/>
                <w:lang w:val="en-US"/>
              </w:rPr>
              <w:t>reitingas (angl. Intellectuai Capital Rating)</w:t>
            </w:r>
          </w:p>
        </w:tc>
        <w:tc>
          <w:tcPr>
            <w:tcW w:w="6095" w:type="dxa"/>
            <w:tcBorders>
              <w:top w:val="single" w:sz="4" w:space="0" w:color="365F91" w:themeColor="accent1" w:themeShade="BF"/>
            </w:tcBorders>
          </w:tcPr>
          <w:p w:rsidR="00C53D97" w:rsidRPr="00E92C85" w:rsidRDefault="00C53D97"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r w:rsidRPr="00E92C85">
              <w:rPr>
                <w:rFonts w:eastAsia="ＭＳ 明朝"/>
                <w:sz w:val="20"/>
                <w:szCs w:val="20"/>
                <w:lang w:val="en-US"/>
              </w:rPr>
              <w:t>tyrimo kriterijus: efektyvumas, atsinaujinimas ir rizika. Taiky</w:t>
            </w:r>
            <w:r w:rsidR="00575B70">
              <w:rPr>
                <w:rFonts w:eastAsia="ＭＳ 明朝"/>
                <w:sz w:val="20"/>
                <w:szCs w:val="20"/>
                <w:lang w:val="en-US"/>
              </w:rPr>
              <w:t>tinas organizacijos strateginių išteklių būklės progresui stebė</w:t>
            </w:r>
            <w:r w:rsidRPr="00E92C85">
              <w:rPr>
                <w:rFonts w:eastAsia="ＭＳ 明朝"/>
                <w:sz w:val="20"/>
                <w:szCs w:val="20"/>
                <w:lang w:val="en-US"/>
              </w:rPr>
              <w:t xml:space="preserve">ti. </w:t>
            </w:r>
            <w:r w:rsidR="00575B70">
              <w:rPr>
                <w:sz w:val="20"/>
                <w:szCs w:val="20"/>
                <w:lang w:val="en-US"/>
              </w:rPr>
              <w:t>Vertinami originalū</w:t>
            </w:r>
            <w:r w:rsidRPr="00E92C85">
              <w:rPr>
                <w:sz w:val="20"/>
                <w:szCs w:val="20"/>
                <w:lang w:val="en-US"/>
              </w:rPr>
              <w:t xml:space="preserve">s organizacijos tikslai ir strategija. Valdymo </w:t>
            </w:r>
            <w:r w:rsidR="00575B70">
              <w:rPr>
                <w:sz w:val="20"/>
                <w:szCs w:val="20"/>
                <w:lang w:val="en-US"/>
              </w:rPr>
              <w:t>sprendimų priė</w:t>
            </w:r>
            <w:r w:rsidRPr="00E92C85">
              <w:rPr>
                <w:sz w:val="20"/>
                <w:szCs w:val="20"/>
                <w:lang w:val="en-US"/>
              </w:rPr>
              <w:t>mimo procese naudingesnis metodo taikymo procesas, nei rezultatas.</w:t>
            </w:r>
          </w:p>
        </w:tc>
      </w:tr>
      <w:tr w:rsidR="0006720C" w:rsidRPr="00E92C85" w:rsidTr="00E92C85">
        <w:trPr>
          <w:cnfStyle w:val="00000010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Bonfour, 2002</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sidRPr="00E92C85">
              <w:rPr>
                <w:rFonts w:eastAsia="ＭＳ 明朝"/>
                <w:sz w:val="20"/>
                <w:szCs w:val="20"/>
                <w:lang w:val="en-US"/>
              </w:rPr>
              <w:t>Dinaminis Intelektinio kapitalo vertinimas (angl. Intellectual Capital Dynamic Value)</w:t>
            </w:r>
          </w:p>
        </w:tc>
        <w:tc>
          <w:tcPr>
            <w:tcW w:w="6095" w:type="dxa"/>
          </w:tcPr>
          <w:p w:rsidR="0006720C" w:rsidRPr="00E92C85" w:rsidRDefault="00575B70"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sz w:val="20"/>
                <w:szCs w:val="20"/>
                <w:lang w:val="en-US"/>
              </w:rPr>
            </w:pPr>
            <w:r>
              <w:rPr>
                <w:rFonts w:eastAsia="ＭＳ 明朝"/>
                <w:sz w:val="20"/>
                <w:szCs w:val="20"/>
                <w:lang w:val="en-US"/>
              </w:rPr>
              <w:t>Vertinami rodikliai: iš</w:t>
            </w:r>
            <w:r w:rsidR="0006720C" w:rsidRPr="00E92C85">
              <w:rPr>
                <w:rFonts w:eastAsia="ＭＳ 明朝"/>
                <w:sz w:val="20"/>
                <w:szCs w:val="20"/>
                <w:lang w:val="en-US"/>
              </w:rPr>
              <w:t>tekliai ir kompetencija, procesai, produkcija ir n</w:t>
            </w:r>
            <w:r>
              <w:rPr>
                <w:rFonts w:eastAsia="ＭＳ 明朝"/>
                <w:sz w:val="20"/>
                <w:szCs w:val="20"/>
                <w:lang w:val="en-US"/>
              </w:rPr>
              <w:t>ematerialus turtas arba struktūrinio ir žmogiš</w:t>
            </w:r>
            <w:r w:rsidR="0006720C" w:rsidRPr="00E92C85">
              <w:rPr>
                <w:rFonts w:eastAsia="ＭＳ 明朝"/>
                <w:sz w:val="20"/>
                <w:szCs w:val="20"/>
                <w:lang w:val="en-US"/>
              </w:rPr>
              <w:t xml:space="preserve">kojo kapitalo indeksai. </w:t>
            </w:r>
          </w:p>
          <w:p w:rsidR="0006720C" w:rsidRPr="00E92C85" w:rsidRDefault="00575B70"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sz w:val="20"/>
                <w:szCs w:val="20"/>
                <w:lang w:val="en-US"/>
              </w:rPr>
            </w:pPr>
            <w:r>
              <w:rPr>
                <w:sz w:val="20"/>
                <w:szCs w:val="20"/>
                <w:lang w:val="en-US"/>
              </w:rPr>
              <w:t>Išoriniam vertinimui adaptyvūs tik atskiri nematerialių išteklių būklė</w:t>
            </w:r>
            <w:r w:rsidR="0006720C" w:rsidRPr="00E92C85">
              <w:rPr>
                <w:sz w:val="20"/>
                <w:szCs w:val="20"/>
                <w:lang w:val="en-US"/>
              </w:rPr>
              <w:t>s, srauto ir veiklos efekto rodikliai, d</w:t>
            </w:r>
            <w:r>
              <w:rPr>
                <w:sz w:val="20"/>
                <w:szCs w:val="20"/>
                <w:lang w:val="en-US"/>
              </w:rPr>
              <w:t>inaminis IK indeksas metodologiškai pernelyg nepagrįstas, todėl išorinis jo atskleidimas teiktų maž</w:t>
            </w:r>
            <w:r w:rsidR="0006720C" w:rsidRPr="00E92C85">
              <w:rPr>
                <w:sz w:val="20"/>
                <w:szCs w:val="20"/>
                <w:lang w:val="en-US"/>
              </w:rPr>
              <w:t xml:space="preserve">ai naudos. </w:t>
            </w:r>
          </w:p>
        </w:tc>
      </w:tr>
      <w:tr w:rsidR="0006720C" w:rsidRPr="00E92C85" w:rsidTr="00E92C85">
        <w:trPr>
          <w:cnfStyle w:val="000000010000"/>
        </w:trPr>
        <w:tc>
          <w:tcPr>
            <w:cnfStyle w:val="001000000000"/>
            <w:tcW w:w="1951" w:type="dxa"/>
          </w:tcPr>
          <w:p w:rsidR="0006720C" w:rsidRPr="00E92C85" w:rsidRDefault="00321E4F"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Pr>
                <w:rFonts w:ascii="Times New Roman" w:eastAsia="ＭＳ 明朝" w:hAnsi="Times New Roman" w:cs="Times New Roman"/>
                <w:sz w:val="20"/>
                <w:szCs w:val="20"/>
                <w:lang w:val="en-US"/>
              </w:rPr>
              <w:t>Japonijos ūkio, prekybos ir pramonė</w:t>
            </w:r>
            <w:r w:rsidR="0006720C" w:rsidRPr="00E92C85">
              <w:rPr>
                <w:rFonts w:ascii="Times New Roman" w:eastAsia="ＭＳ 明朝" w:hAnsi="Times New Roman" w:cs="Times New Roman"/>
                <w:sz w:val="20"/>
                <w:szCs w:val="20"/>
                <w:lang w:val="en-US"/>
              </w:rPr>
              <w:t>s ministerija, 2004</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sidRPr="00E92C85">
              <w:rPr>
                <w:rFonts w:eastAsia="ＭＳ 明朝"/>
                <w:sz w:val="20"/>
                <w:szCs w:val="20"/>
                <w:lang w:val="en-US"/>
              </w:rPr>
              <w:t>Intelektinis turto valdymas (angl. Intellectual asset-based management (IAbM))</w:t>
            </w:r>
          </w:p>
        </w:tc>
        <w:tc>
          <w:tcPr>
            <w:tcW w:w="609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r w:rsidRPr="00E92C85">
              <w:rPr>
                <w:rFonts w:eastAsia="ＭＳ 明朝"/>
                <w:sz w:val="20"/>
                <w:szCs w:val="20"/>
                <w:lang w:val="en-US"/>
              </w:rPr>
              <w:t>Tokioje ataskaitoje pateikiama: valdymo filosofija, praeities pristatymo ataskaita, ateities numatymo ataskaita, intelektinio turto rodikliai.</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p>
        </w:tc>
      </w:tr>
      <w:tr w:rsidR="0006720C" w:rsidRPr="00E92C85" w:rsidTr="00E92C85">
        <w:trPr>
          <w:cnfStyle w:val="00000010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Sandvik, 2004</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sidRPr="00E92C85">
              <w:rPr>
                <w:rFonts w:eastAsia="ＭＳ 明朝"/>
                <w:sz w:val="20"/>
                <w:szCs w:val="20"/>
                <w:lang w:val="en-US"/>
              </w:rPr>
              <w:t>Verslo intelekto koeficientas (angl. Topplinjen/ Business IQ)</w:t>
            </w:r>
          </w:p>
        </w:tc>
        <w:tc>
          <w:tcPr>
            <w:tcW w:w="6095" w:type="dxa"/>
          </w:tcPr>
          <w:p w:rsidR="0006720C" w:rsidRPr="00E92C85" w:rsidRDefault="00575B70"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r>
              <w:rPr>
                <w:rFonts w:eastAsia="ＭＳ 明朝"/>
                <w:sz w:val="20"/>
                <w:szCs w:val="20"/>
                <w:lang w:val="en-US"/>
              </w:rPr>
              <w:t>Sudarytas iš keturių indeksų</w:t>
            </w:r>
            <w:r w:rsidR="0006720C" w:rsidRPr="00E92C85">
              <w:rPr>
                <w:rFonts w:eastAsia="ＭＳ 明朝"/>
                <w:sz w:val="20"/>
                <w:szCs w:val="20"/>
                <w:lang w:val="en-US"/>
              </w:rPr>
              <w:t>: ta</w:t>
            </w:r>
            <w:r>
              <w:rPr>
                <w:rFonts w:eastAsia="ＭＳ 明朝"/>
                <w:sz w:val="20"/>
                <w:szCs w:val="20"/>
                <w:lang w:val="en-US"/>
              </w:rPr>
              <w:t>patumo, žmogaus kapitalo, žinių</w:t>
            </w:r>
            <w:r w:rsidR="0006720C" w:rsidRPr="00E92C85">
              <w:rPr>
                <w:rFonts w:eastAsia="ＭＳ 明朝"/>
                <w:sz w:val="20"/>
                <w:szCs w:val="20"/>
                <w:lang w:val="en-US"/>
              </w:rPr>
              <w:t xml:space="preserve"> kapitalo ir reputacijos.</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p>
        </w:tc>
      </w:tr>
      <w:tr w:rsidR="0006720C" w:rsidRPr="00E92C85" w:rsidTr="00E92C85">
        <w:trPr>
          <w:cnfStyle w:val="00000001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Bontis, 2004</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sidRPr="00E92C85">
              <w:rPr>
                <w:rFonts w:eastAsia="ＭＳ 明朝"/>
                <w:sz w:val="20"/>
                <w:szCs w:val="20"/>
                <w:lang w:val="en-US"/>
              </w:rPr>
              <w:t>Nacionalinis intelektinio kapitalo indeksas (angl. National Intellectual Capital Index)</w:t>
            </w:r>
          </w:p>
        </w:tc>
        <w:tc>
          <w:tcPr>
            <w:tcW w:w="609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r w:rsidRPr="00E92C85">
              <w:rPr>
                <w:rFonts w:eastAsia="ＭＳ 明朝"/>
                <w:sz w:val="20"/>
                <w:szCs w:val="20"/>
                <w:lang w:val="en-US"/>
              </w:rPr>
              <w:t>Skandia Navigator pakeista ir pritaikyta versija ski</w:t>
            </w:r>
            <w:r w:rsidR="00575B70">
              <w:rPr>
                <w:rFonts w:eastAsia="ＭＳ 明朝"/>
                <w:sz w:val="20"/>
                <w:szCs w:val="20"/>
                <w:lang w:val="en-US"/>
              </w:rPr>
              <w:t>rta valstybei. Valstybės turtą</w:t>
            </w:r>
            <w:r w:rsidRPr="00E92C85">
              <w:rPr>
                <w:rFonts w:eastAsia="ＭＳ 明朝"/>
                <w:sz w:val="20"/>
                <w:szCs w:val="20"/>
                <w:lang w:val="en-US"/>
              </w:rPr>
              <w:t xml:space="preserve"> sudaro finansinis turtas ir intelektinis ka</w:t>
            </w:r>
            <w:r w:rsidR="00575B70">
              <w:rPr>
                <w:rFonts w:eastAsia="ＭＳ 明朝"/>
                <w:sz w:val="20"/>
                <w:szCs w:val="20"/>
                <w:lang w:val="en-US"/>
              </w:rPr>
              <w:t>pitalas (žmogiškasis ir struktū</w:t>
            </w:r>
            <w:r w:rsidRPr="00E92C85">
              <w:rPr>
                <w:rFonts w:eastAsia="ＭＳ 明朝"/>
                <w:sz w:val="20"/>
                <w:szCs w:val="20"/>
                <w:lang w:val="en-US"/>
              </w:rPr>
              <w:t>rinis kapitalai).</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p>
        </w:tc>
      </w:tr>
      <w:tr w:rsidR="0006720C" w:rsidRPr="00E92C85" w:rsidTr="00E92C85">
        <w:trPr>
          <w:cnfStyle w:val="00000010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hAnsi="Times New Roman" w:cs="Times New Roman"/>
                <w:sz w:val="20"/>
                <w:szCs w:val="20"/>
                <w:lang w:val="en-US"/>
              </w:rPr>
              <w:t>Andriessen, 2004</w:t>
            </w: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sidRPr="00E92C85">
              <w:rPr>
                <w:sz w:val="20"/>
                <w:szCs w:val="20"/>
                <w:lang w:val="en-US"/>
              </w:rPr>
              <w:t>Vertės tyrėjas (angl. The value explorer)</w:t>
            </w:r>
          </w:p>
        </w:tc>
        <w:tc>
          <w:tcPr>
            <w:tcW w:w="609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r w:rsidRPr="00E92C85">
              <w:rPr>
                <w:rFonts w:eastAsia="ＭＳ 明朝"/>
                <w:sz w:val="20"/>
                <w:szCs w:val="20"/>
                <w:lang w:val="en-US"/>
              </w:rPr>
              <w:t xml:space="preserve">Metodo reikšmė gaunama remiantis pagrindinių kompetemcijų koncepcija, nustatant strategiškai svarbų intelektinį kapitalą organizacijoje. </w:t>
            </w:r>
          </w:p>
        </w:tc>
      </w:tr>
      <w:tr w:rsidR="0006720C" w:rsidRPr="00E92C85" w:rsidTr="00E92C85">
        <w:trPr>
          <w:cnfStyle w:val="00000001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Milost, 2007</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Pr>
          <w:p w:rsidR="0006720C" w:rsidRPr="00E92C85" w:rsidRDefault="00575B70"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Pr>
                <w:rFonts w:eastAsia="ＭＳ 明朝"/>
                <w:sz w:val="20"/>
                <w:szCs w:val="20"/>
                <w:lang w:val="en-US"/>
              </w:rPr>
              <w:t>Dinaminis pinigų</w:t>
            </w:r>
            <w:r w:rsidR="0006720C" w:rsidRPr="00E92C85">
              <w:rPr>
                <w:rFonts w:eastAsia="ＭＳ 明朝"/>
                <w:sz w:val="20"/>
                <w:szCs w:val="20"/>
                <w:lang w:val="en-US"/>
              </w:rPr>
              <w:t xml:space="preserve"> modelis (angl. Dynamic monetary model)</w:t>
            </w:r>
          </w:p>
        </w:tc>
        <w:tc>
          <w:tcPr>
            <w:tcW w:w="6095" w:type="dxa"/>
          </w:tcPr>
          <w:p w:rsidR="0006720C" w:rsidRPr="00E92C85" w:rsidRDefault="00575B70"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r>
              <w:rPr>
                <w:rFonts w:eastAsia="ＭＳ 明朝"/>
                <w:sz w:val="20"/>
                <w:szCs w:val="20"/>
                <w:lang w:val="en-US"/>
              </w:rPr>
              <w:t>Darbuotojų vertė nustatoma kaip darbuotojų įsigijimo vertės suma ir investicijų suma į darbuotoją</w:t>
            </w:r>
            <w:r w:rsidR="0006720C" w:rsidRPr="00E92C85">
              <w:rPr>
                <w:rFonts w:eastAsia="ＭＳ 明朝"/>
                <w:sz w:val="20"/>
                <w:szCs w:val="20"/>
                <w:lang w:val="en-US"/>
              </w:rPr>
              <w:t xml:space="preserve">. </w:t>
            </w:r>
            <w:r>
              <w:rPr>
                <w:sz w:val="20"/>
                <w:szCs w:val="20"/>
              </w:rPr>
              <w:t>Darbuotojo vertė koreguojama įvertinant jo įnašą į į</w:t>
            </w:r>
            <w:r w:rsidR="0006720C" w:rsidRPr="00E92C85">
              <w:rPr>
                <w:sz w:val="20"/>
                <w:szCs w:val="20"/>
              </w:rPr>
              <w:t>monės augimo procesą.</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p>
        </w:tc>
      </w:tr>
      <w:tr w:rsidR="0006720C" w:rsidRPr="00E92C85" w:rsidTr="00E92C85">
        <w:trPr>
          <w:cnfStyle w:val="00000010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Schiuma, Lerro, Carlucci, 2008</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100000"/>
              <w:rPr>
                <w:rFonts w:eastAsia="ＭＳ 明朝"/>
                <w:sz w:val="20"/>
                <w:szCs w:val="20"/>
                <w:lang w:val="en-US"/>
              </w:rPr>
            </w:pPr>
            <w:r w:rsidRPr="00E92C85">
              <w:rPr>
                <w:rFonts w:eastAsia="ＭＳ 明朝"/>
                <w:sz w:val="20"/>
                <w:szCs w:val="20"/>
                <w:lang w:val="en-US"/>
              </w:rPr>
              <w:t>Regioninis IK indeksas (angl. Regional Intellectual Capital Index (RICI))</w:t>
            </w:r>
          </w:p>
        </w:tc>
        <w:tc>
          <w:tcPr>
            <w:tcW w:w="6095" w:type="dxa"/>
          </w:tcPr>
          <w:p w:rsidR="0006720C" w:rsidRPr="00E92C85" w:rsidRDefault="00575B70"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r>
              <w:rPr>
                <w:rFonts w:eastAsia="ＭＳ 明朝"/>
                <w:sz w:val="20"/>
                <w:szCs w:val="20"/>
                <w:lang w:val="en-US"/>
              </w:rPr>
              <w:t>Naudoja “Knoware” medžio są</w:t>
            </w:r>
            <w:r w:rsidR="0006720C" w:rsidRPr="00E92C85">
              <w:rPr>
                <w:rFonts w:eastAsia="ＭＳ 明朝"/>
                <w:sz w:val="20"/>
                <w:szCs w:val="20"/>
                <w:lang w:val="en-US"/>
              </w:rPr>
              <w:t>v</w:t>
            </w:r>
            <w:r>
              <w:rPr>
                <w:rFonts w:eastAsia="ＭＳ 明朝"/>
                <w:sz w:val="20"/>
                <w:szCs w:val="20"/>
                <w:lang w:val="en-US"/>
              </w:rPr>
              <w:t>oka su perspektyvomis: techninė įranga, tinklo įranga, programinė įranga, kad sukurtų komplektą rodiklių (indikatorių</w:t>
            </w:r>
            <w:r w:rsidR="0006720C" w:rsidRPr="00E92C85">
              <w:rPr>
                <w:rFonts w:eastAsia="ＭＳ 明朝"/>
                <w:sz w:val="20"/>
                <w:szCs w:val="20"/>
                <w:lang w:val="en-US"/>
              </w:rPr>
              <w:t>) regionui.</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100000"/>
              <w:rPr>
                <w:rFonts w:eastAsia="ＭＳ 明朝"/>
                <w:sz w:val="20"/>
                <w:szCs w:val="20"/>
                <w:lang w:val="en-US"/>
              </w:rPr>
            </w:pPr>
          </w:p>
        </w:tc>
      </w:tr>
      <w:tr w:rsidR="0006720C" w:rsidRPr="00E92C85" w:rsidTr="00E92C85">
        <w:trPr>
          <w:cnfStyle w:val="000000010000"/>
        </w:trPr>
        <w:tc>
          <w:tcPr>
            <w:cnfStyle w:val="001000000000"/>
            <w:tcW w:w="1951"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r w:rsidRPr="00E92C85">
              <w:rPr>
                <w:rFonts w:ascii="Times New Roman" w:eastAsia="ＭＳ 明朝" w:hAnsi="Times New Roman" w:cs="Times New Roman"/>
                <w:sz w:val="20"/>
                <w:szCs w:val="20"/>
                <w:lang w:val="en-US"/>
              </w:rPr>
              <w:t>Sanchez ir kt., 2009</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ＭＳ 明朝" w:hAnsi="Times New Roman" w:cs="Times New Roman"/>
                <w:sz w:val="20"/>
                <w:szCs w:val="20"/>
                <w:lang w:val="en-US"/>
              </w:rPr>
            </w:pPr>
          </w:p>
        </w:tc>
        <w:tc>
          <w:tcPr>
            <w:tcW w:w="1985" w:type="dxa"/>
          </w:tcPr>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10000"/>
              <w:rPr>
                <w:rFonts w:eastAsia="ＭＳ 明朝"/>
                <w:sz w:val="20"/>
                <w:szCs w:val="20"/>
                <w:lang w:val="en-US"/>
              </w:rPr>
            </w:pPr>
            <w:r w:rsidRPr="00E92C85">
              <w:rPr>
                <w:rFonts w:eastAsia="ＭＳ 明朝"/>
                <w:sz w:val="20"/>
                <w:szCs w:val="20"/>
                <w:lang w:val="en-US"/>
              </w:rPr>
              <w:t>Intelektinio kapitalo ataskaita universitetams (angl. IC Report for Universities (ICU))</w:t>
            </w:r>
          </w:p>
        </w:tc>
        <w:tc>
          <w:tcPr>
            <w:tcW w:w="6095" w:type="dxa"/>
          </w:tcPr>
          <w:p w:rsidR="0006720C" w:rsidRPr="00E92C85" w:rsidRDefault="00575B70"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r>
              <w:rPr>
                <w:rFonts w:eastAsia="ＭＳ 明朝"/>
                <w:sz w:val="20"/>
                <w:szCs w:val="20"/>
                <w:lang w:val="en-US"/>
              </w:rPr>
              <w:t>Sudarytas iš trijų dalių</w:t>
            </w:r>
            <w:r w:rsidR="0006720C" w:rsidRPr="00E92C85">
              <w:rPr>
                <w:rFonts w:eastAsia="ＭＳ 明朝"/>
                <w:sz w:val="20"/>
                <w:szCs w:val="20"/>
                <w:lang w:val="en-US"/>
              </w:rPr>
              <w:t>: in</w:t>
            </w:r>
            <w:r>
              <w:rPr>
                <w:rFonts w:eastAsia="ＭＳ 明朝"/>
                <w:sz w:val="20"/>
                <w:szCs w:val="20"/>
                <w:lang w:val="en-US"/>
              </w:rPr>
              <w:t>stitucijos vizija, nematerialiųjų išteklių ir veiklos santrauka, rodiklių (indikatorių</w:t>
            </w:r>
            <w:r w:rsidR="0006720C" w:rsidRPr="00E92C85">
              <w:rPr>
                <w:rFonts w:eastAsia="ＭＳ 明朝"/>
                <w:sz w:val="20"/>
                <w:szCs w:val="20"/>
                <w:lang w:val="en-US"/>
              </w:rPr>
              <w:t>) sistema.</w:t>
            </w:r>
          </w:p>
          <w:p w:rsidR="0006720C" w:rsidRPr="00E92C85"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10000"/>
              <w:rPr>
                <w:rFonts w:eastAsia="ＭＳ 明朝"/>
                <w:sz w:val="20"/>
                <w:szCs w:val="20"/>
                <w:lang w:val="en-US"/>
              </w:rPr>
            </w:pPr>
          </w:p>
        </w:tc>
      </w:tr>
    </w:tbl>
    <w:p w:rsidR="0006720C" w:rsidRPr="004613F1" w:rsidRDefault="0006720C" w:rsidP="00067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val="en-US"/>
        </w:rPr>
      </w:pPr>
      <w:r w:rsidRPr="00E92C85">
        <w:rPr>
          <w:rFonts w:eastAsia="ＭＳ 明朝"/>
          <w:b/>
          <w:sz w:val="20"/>
          <w:szCs w:val="20"/>
          <w:lang w:val="en-US"/>
        </w:rPr>
        <w:t>Šaltinis:</w:t>
      </w:r>
      <w:r w:rsidRPr="00061B56">
        <w:rPr>
          <w:rFonts w:eastAsia="ＭＳ 明朝"/>
          <w:sz w:val="20"/>
          <w:szCs w:val="20"/>
          <w:lang w:val="en-US"/>
        </w:rPr>
        <w:t xml:space="preserve"> sudaryta autoriės remiantis: Stewart (1997), D. Andriesson (2005), </w:t>
      </w:r>
      <w:r w:rsidRPr="0082320F">
        <w:rPr>
          <w:sz w:val="20"/>
          <w:szCs w:val="20"/>
          <w:lang w:val="en-US"/>
        </w:rPr>
        <w:t xml:space="preserve">Holmen (2005), Pike, Roos, (2000), Luthy (1999), </w:t>
      </w:r>
      <w:r w:rsidRPr="00061B56">
        <w:rPr>
          <w:rFonts w:eastAsia="ＭＳ 明朝"/>
          <w:sz w:val="20"/>
          <w:szCs w:val="20"/>
          <w:lang w:val="en-US"/>
        </w:rPr>
        <w:t xml:space="preserve">Fondo ir kt. (2004), </w:t>
      </w:r>
      <w:r w:rsidRPr="0082320F">
        <w:rPr>
          <w:sz w:val="20"/>
          <w:szCs w:val="20"/>
          <w:lang w:val="en-US"/>
        </w:rPr>
        <w:t xml:space="preserve">Marr (2004), Gupta (2006), Joia (2000), Rudytė (2012), Sullivan (2000) ir kt. </w:t>
      </w:r>
    </w:p>
    <w:p w:rsidR="00863B4D" w:rsidRDefault="00C84BB9" w:rsidP="00C84BB9">
      <w:pPr>
        <w:jc w:val="right"/>
        <w:rPr>
          <w:b/>
          <w:lang w:val="en-US"/>
        </w:rPr>
      </w:pPr>
      <w:r w:rsidRPr="00C8222E">
        <w:rPr>
          <w:b/>
        </w:rPr>
        <w:br w:type="column"/>
      </w:r>
      <w:r w:rsidRPr="00C8222E">
        <w:rPr>
          <w:b/>
          <w:lang w:val="en-US"/>
        </w:rPr>
        <w:t>5 PRIEDAS</w:t>
      </w:r>
    </w:p>
    <w:p w:rsidR="004355D6" w:rsidRDefault="004355D6" w:rsidP="004355D6">
      <w:pPr>
        <w:spacing w:line="360" w:lineRule="auto"/>
        <w:rPr>
          <w:b/>
          <w:lang w:val="en-US"/>
        </w:rPr>
      </w:pPr>
    </w:p>
    <w:p w:rsidR="004355D6" w:rsidRPr="004355D6" w:rsidRDefault="004355D6" w:rsidP="004355D6">
      <w:pPr>
        <w:spacing w:line="360" w:lineRule="auto"/>
        <w:jc w:val="center"/>
        <w:rPr>
          <w:b/>
        </w:rPr>
      </w:pPr>
      <w:r>
        <w:rPr>
          <w:b/>
          <w:lang w:val="en-US"/>
        </w:rPr>
        <w:t>Pirsono koreliacijos koeficient</w:t>
      </w:r>
      <w:r>
        <w:rPr>
          <w:b/>
        </w:rPr>
        <w:t>o stiprumo skalė</w:t>
      </w:r>
    </w:p>
    <w:p w:rsidR="004355D6" w:rsidRPr="004355D6" w:rsidRDefault="004355D6" w:rsidP="004355D6">
      <w:pPr>
        <w:spacing w:line="360" w:lineRule="auto"/>
        <w:jc w:val="right"/>
        <w:rPr>
          <w:b/>
          <w:lang w:val="en-US"/>
        </w:rPr>
      </w:pPr>
    </w:p>
    <w:tbl>
      <w:tblPr>
        <w:tblStyle w:val="ColorfulList-Accent1"/>
        <w:tblW w:w="0" w:type="auto"/>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tblPr>
      <w:tblGrid>
        <w:gridCol w:w="3379"/>
        <w:gridCol w:w="3379"/>
        <w:gridCol w:w="3380"/>
      </w:tblGrid>
      <w:tr w:rsidR="004355D6" w:rsidRPr="004355D6" w:rsidTr="004355D6">
        <w:trPr>
          <w:cnfStyle w:val="100000000000"/>
          <w:jc w:val="center"/>
        </w:trPr>
        <w:tc>
          <w:tcPr>
            <w:cnfStyle w:val="001000000000"/>
            <w:tcW w:w="3379" w:type="dxa"/>
            <w:tcBorders>
              <w:bottom w:val="none" w:sz="0" w:space="0" w:color="auto"/>
            </w:tcBorders>
            <w:shd w:val="clear" w:color="auto" w:fill="D99594" w:themeFill="accent2" w:themeFillTint="99"/>
          </w:tcPr>
          <w:p w:rsidR="004355D6" w:rsidRPr="004355D6" w:rsidRDefault="004355D6" w:rsidP="004355D6">
            <w:pPr>
              <w:spacing w:line="360" w:lineRule="auto"/>
              <w:jc w:val="center"/>
              <w:rPr>
                <w:b w:val="0"/>
                <w:color w:val="000000" w:themeColor="text1"/>
                <w:sz w:val="22"/>
                <w:szCs w:val="22"/>
                <w:lang w:val="en-US"/>
              </w:rPr>
            </w:pPr>
            <w:r w:rsidRPr="004355D6">
              <w:rPr>
                <w:b w:val="0"/>
                <w:color w:val="000000" w:themeColor="text1"/>
                <w:sz w:val="22"/>
                <w:szCs w:val="22"/>
                <w:lang w:val="en-US"/>
              </w:rPr>
              <w:t>Neigiamos reikšmės</w:t>
            </w:r>
          </w:p>
        </w:tc>
        <w:tc>
          <w:tcPr>
            <w:tcW w:w="3379" w:type="dxa"/>
            <w:tcBorders>
              <w:bottom w:val="none" w:sz="0" w:space="0" w:color="auto"/>
            </w:tcBorders>
            <w:shd w:val="clear" w:color="auto" w:fill="D99594" w:themeFill="accent2" w:themeFillTint="99"/>
          </w:tcPr>
          <w:p w:rsidR="004355D6" w:rsidRPr="004355D6" w:rsidRDefault="004355D6" w:rsidP="004355D6">
            <w:pPr>
              <w:spacing w:line="360" w:lineRule="auto"/>
              <w:jc w:val="center"/>
              <w:cnfStyle w:val="100000000000"/>
              <w:rPr>
                <w:b w:val="0"/>
                <w:color w:val="000000" w:themeColor="text1"/>
                <w:sz w:val="22"/>
                <w:szCs w:val="22"/>
                <w:lang w:val="en-US"/>
              </w:rPr>
            </w:pPr>
            <w:r w:rsidRPr="004355D6">
              <w:rPr>
                <w:b w:val="0"/>
                <w:color w:val="000000" w:themeColor="text1"/>
                <w:sz w:val="22"/>
                <w:szCs w:val="22"/>
                <w:lang w:val="en-US"/>
              </w:rPr>
              <w:t>Aprašymas</w:t>
            </w:r>
          </w:p>
        </w:tc>
        <w:tc>
          <w:tcPr>
            <w:tcW w:w="3380" w:type="dxa"/>
            <w:tcBorders>
              <w:bottom w:val="none" w:sz="0" w:space="0" w:color="auto"/>
            </w:tcBorders>
            <w:shd w:val="clear" w:color="auto" w:fill="D99594" w:themeFill="accent2" w:themeFillTint="99"/>
          </w:tcPr>
          <w:p w:rsidR="004355D6" w:rsidRPr="004355D6" w:rsidRDefault="004355D6" w:rsidP="004355D6">
            <w:pPr>
              <w:spacing w:line="360" w:lineRule="auto"/>
              <w:jc w:val="center"/>
              <w:cnfStyle w:val="100000000000"/>
              <w:rPr>
                <w:b w:val="0"/>
                <w:color w:val="000000" w:themeColor="text1"/>
                <w:sz w:val="22"/>
                <w:szCs w:val="22"/>
                <w:lang w:val="en-US"/>
              </w:rPr>
            </w:pPr>
            <w:r w:rsidRPr="004355D6">
              <w:rPr>
                <w:b w:val="0"/>
                <w:color w:val="000000" w:themeColor="text1"/>
                <w:sz w:val="22"/>
                <w:szCs w:val="22"/>
                <w:lang w:val="en-US"/>
              </w:rPr>
              <w:t>Teigiamos reikšmės</w:t>
            </w:r>
          </w:p>
        </w:tc>
      </w:tr>
      <w:tr w:rsidR="004355D6" w:rsidRPr="004355D6" w:rsidTr="004355D6">
        <w:trPr>
          <w:cnfStyle w:val="000000100000"/>
          <w:jc w:val="center"/>
        </w:trPr>
        <w:tc>
          <w:tcPr>
            <w:cnfStyle w:val="001000000000"/>
            <w:tcW w:w="3379" w:type="dxa"/>
          </w:tcPr>
          <w:p w:rsidR="004355D6" w:rsidRPr="004355D6" w:rsidRDefault="004355D6" w:rsidP="004355D6">
            <w:pPr>
              <w:spacing w:line="360" w:lineRule="auto"/>
              <w:jc w:val="center"/>
              <w:rPr>
                <w:b w:val="0"/>
                <w:sz w:val="22"/>
                <w:szCs w:val="22"/>
                <w:lang w:val="en-US"/>
              </w:rPr>
            </w:pPr>
            <w:r w:rsidRPr="004355D6">
              <w:rPr>
                <w:b w:val="0"/>
                <w:sz w:val="22"/>
                <w:szCs w:val="22"/>
                <w:lang w:val="en-US"/>
              </w:rPr>
              <w:t>0.00</w:t>
            </w:r>
          </w:p>
        </w:tc>
        <w:tc>
          <w:tcPr>
            <w:tcW w:w="3379" w:type="dxa"/>
          </w:tcPr>
          <w:p w:rsidR="004355D6" w:rsidRPr="004355D6" w:rsidRDefault="004355D6" w:rsidP="004355D6">
            <w:pPr>
              <w:spacing w:line="360" w:lineRule="auto"/>
              <w:jc w:val="center"/>
              <w:cnfStyle w:val="000000100000"/>
              <w:rPr>
                <w:sz w:val="22"/>
                <w:szCs w:val="22"/>
              </w:rPr>
            </w:pPr>
            <w:r w:rsidRPr="004355D6">
              <w:rPr>
                <w:sz w:val="22"/>
                <w:szCs w:val="22"/>
                <w:lang w:val="en-US"/>
              </w:rPr>
              <w:t>“</w:t>
            </w:r>
            <w:r w:rsidRPr="004355D6">
              <w:rPr>
                <w:sz w:val="22"/>
                <w:szCs w:val="22"/>
              </w:rPr>
              <w:t>nėra”</w:t>
            </w:r>
          </w:p>
        </w:tc>
        <w:tc>
          <w:tcPr>
            <w:tcW w:w="3380" w:type="dxa"/>
          </w:tcPr>
          <w:p w:rsidR="004355D6" w:rsidRPr="004355D6" w:rsidRDefault="004355D6" w:rsidP="004355D6">
            <w:pPr>
              <w:spacing w:line="360" w:lineRule="auto"/>
              <w:jc w:val="center"/>
              <w:cnfStyle w:val="000000100000"/>
              <w:rPr>
                <w:sz w:val="22"/>
                <w:szCs w:val="22"/>
                <w:lang w:val="en-US"/>
              </w:rPr>
            </w:pPr>
            <w:r w:rsidRPr="004355D6">
              <w:rPr>
                <w:sz w:val="22"/>
                <w:szCs w:val="22"/>
                <w:lang w:val="en-US"/>
              </w:rPr>
              <w:t>0.00</w:t>
            </w:r>
          </w:p>
        </w:tc>
      </w:tr>
      <w:tr w:rsidR="004355D6" w:rsidRPr="004355D6" w:rsidTr="004355D6">
        <w:trPr>
          <w:jc w:val="center"/>
        </w:trPr>
        <w:tc>
          <w:tcPr>
            <w:cnfStyle w:val="001000000000"/>
            <w:tcW w:w="3379" w:type="dxa"/>
          </w:tcPr>
          <w:p w:rsidR="004355D6" w:rsidRPr="004355D6" w:rsidRDefault="004355D6" w:rsidP="004355D6">
            <w:pPr>
              <w:spacing w:line="360" w:lineRule="auto"/>
              <w:jc w:val="center"/>
              <w:rPr>
                <w:b w:val="0"/>
                <w:sz w:val="22"/>
                <w:szCs w:val="22"/>
                <w:lang w:val="en-US"/>
              </w:rPr>
            </w:pPr>
            <w:r w:rsidRPr="004355D6">
              <w:rPr>
                <w:b w:val="0"/>
                <w:sz w:val="22"/>
                <w:szCs w:val="22"/>
                <w:lang w:val="en-US"/>
              </w:rPr>
              <w:t>-0.19 - -0.01</w:t>
            </w:r>
          </w:p>
        </w:tc>
        <w:tc>
          <w:tcPr>
            <w:tcW w:w="3379" w:type="dxa"/>
          </w:tcPr>
          <w:p w:rsidR="004355D6" w:rsidRPr="004355D6" w:rsidRDefault="004355D6" w:rsidP="004355D6">
            <w:pPr>
              <w:spacing w:line="360" w:lineRule="auto"/>
              <w:jc w:val="center"/>
              <w:cnfStyle w:val="000000000000"/>
              <w:rPr>
                <w:sz w:val="22"/>
                <w:szCs w:val="22"/>
                <w:lang w:val="en-US"/>
              </w:rPr>
            </w:pPr>
            <w:r w:rsidRPr="004355D6">
              <w:rPr>
                <w:sz w:val="22"/>
                <w:szCs w:val="22"/>
                <w:lang w:val="en-US"/>
              </w:rPr>
              <w:t>“laibai silpnas”</w:t>
            </w:r>
          </w:p>
        </w:tc>
        <w:tc>
          <w:tcPr>
            <w:tcW w:w="3380" w:type="dxa"/>
          </w:tcPr>
          <w:p w:rsidR="004355D6" w:rsidRPr="004355D6" w:rsidRDefault="004355D6" w:rsidP="004355D6">
            <w:pPr>
              <w:spacing w:line="360" w:lineRule="auto"/>
              <w:jc w:val="center"/>
              <w:cnfStyle w:val="000000000000"/>
              <w:rPr>
                <w:sz w:val="22"/>
                <w:szCs w:val="22"/>
                <w:lang w:val="en-US"/>
              </w:rPr>
            </w:pPr>
            <w:r w:rsidRPr="004355D6">
              <w:rPr>
                <w:sz w:val="22"/>
                <w:szCs w:val="22"/>
                <w:lang w:val="en-US"/>
              </w:rPr>
              <w:t>0.01-0.19</w:t>
            </w:r>
          </w:p>
        </w:tc>
      </w:tr>
      <w:tr w:rsidR="004355D6" w:rsidRPr="004355D6" w:rsidTr="004355D6">
        <w:trPr>
          <w:cnfStyle w:val="000000100000"/>
          <w:jc w:val="center"/>
        </w:trPr>
        <w:tc>
          <w:tcPr>
            <w:cnfStyle w:val="001000000000"/>
            <w:tcW w:w="3379" w:type="dxa"/>
          </w:tcPr>
          <w:p w:rsidR="004355D6" w:rsidRPr="004355D6" w:rsidRDefault="004355D6" w:rsidP="004355D6">
            <w:pPr>
              <w:spacing w:line="360" w:lineRule="auto"/>
              <w:jc w:val="center"/>
              <w:rPr>
                <w:b w:val="0"/>
                <w:sz w:val="22"/>
                <w:szCs w:val="22"/>
                <w:lang w:val="en-US"/>
              </w:rPr>
            </w:pPr>
            <w:r w:rsidRPr="004355D6">
              <w:rPr>
                <w:b w:val="0"/>
                <w:sz w:val="22"/>
                <w:szCs w:val="22"/>
                <w:lang w:val="en-US"/>
              </w:rPr>
              <w:t>-0.39 - -0.20</w:t>
            </w:r>
          </w:p>
        </w:tc>
        <w:tc>
          <w:tcPr>
            <w:tcW w:w="3379" w:type="dxa"/>
          </w:tcPr>
          <w:p w:rsidR="004355D6" w:rsidRPr="004355D6" w:rsidRDefault="004355D6" w:rsidP="004355D6">
            <w:pPr>
              <w:spacing w:line="360" w:lineRule="auto"/>
              <w:jc w:val="center"/>
              <w:cnfStyle w:val="000000100000"/>
              <w:rPr>
                <w:sz w:val="22"/>
                <w:szCs w:val="22"/>
                <w:lang w:val="en-US"/>
              </w:rPr>
            </w:pPr>
            <w:r w:rsidRPr="004355D6">
              <w:rPr>
                <w:sz w:val="22"/>
                <w:szCs w:val="22"/>
                <w:lang w:val="en-US"/>
              </w:rPr>
              <w:t>“silpnas”</w:t>
            </w:r>
          </w:p>
        </w:tc>
        <w:tc>
          <w:tcPr>
            <w:tcW w:w="3380" w:type="dxa"/>
          </w:tcPr>
          <w:p w:rsidR="004355D6" w:rsidRPr="004355D6" w:rsidRDefault="004355D6" w:rsidP="004355D6">
            <w:pPr>
              <w:spacing w:line="360" w:lineRule="auto"/>
              <w:jc w:val="center"/>
              <w:cnfStyle w:val="000000100000"/>
              <w:rPr>
                <w:sz w:val="22"/>
                <w:szCs w:val="22"/>
                <w:lang w:val="en-US"/>
              </w:rPr>
            </w:pPr>
            <w:r w:rsidRPr="004355D6">
              <w:rPr>
                <w:sz w:val="22"/>
                <w:szCs w:val="22"/>
                <w:lang w:val="en-US"/>
              </w:rPr>
              <w:t>0.20-0.39</w:t>
            </w:r>
          </w:p>
        </w:tc>
      </w:tr>
      <w:tr w:rsidR="004355D6" w:rsidRPr="004355D6" w:rsidTr="004355D6">
        <w:trPr>
          <w:jc w:val="center"/>
        </w:trPr>
        <w:tc>
          <w:tcPr>
            <w:cnfStyle w:val="001000000000"/>
            <w:tcW w:w="3379" w:type="dxa"/>
          </w:tcPr>
          <w:p w:rsidR="004355D6" w:rsidRPr="004355D6" w:rsidRDefault="004355D6" w:rsidP="004355D6">
            <w:pPr>
              <w:spacing w:line="360" w:lineRule="auto"/>
              <w:jc w:val="center"/>
              <w:rPr>
                <w:b w:val="0"/>
                <w:sz w:val="22"/>
                <w:szCs w:val="22"/>
                <w:lang w:val="en-US"/>
              </w:rPr>
            </w:pPr>
            <w:r w:rsidRPr="004355D6">
              <w:rPr>
                <w:b w:val="0"/>
                <w:sz w:val="22"/>
                <w:szCs w:val="22"/>
                <w:lang w:val="en-US"/>
              </w:rPr>
              <w:t>-0.69 - -0.40</w:t>
            </w:r>
          </w:p>
        </w:tc>
        <w:tc>
          <w:tcPr>
            <w:tcW w:w="3379" w:type="dxa"/>
          </w:tcPr>
          <w:p w:rsidR="004355D6" w:rsidRPr="004355D6" w:rsidRDefault="004355D6" w:rsidP="004355D6">
            <w:pPr>
              <w:spacing w:line="360" w:lineRule="auto"/>
              <w:jc w:val="center"/>
              <w:cnfStyle w:val="000000000000"/>
              <w:rPr>
                <w:sz w:val="22"/>
                <w:szCs w:val="22"/>
                <w:lang w:val="en-US"/>
              </w:rPr>
            </w:pPr>
            <w:r w:rsidRPr="004355D6">
              <w:rPr>
                <w:sz w:val="22"/>
                <w:szCs w:val="22"/>
                <w:lang w:val="en-US"/>
              </w:rPr>
              <w:t>“vidutinis”</w:t>
            </w:r>
          </w:p>
        </w:tc>
        <w:tc>
          <w:tcPr>
            <w:tcW w:w="3380" w:type="dxa"/>
          </w:tcPr>
          <w:p w:rsidR="004355D6" w:rsidRPr="004355D6" w:rsidRDefault="004355D6" w:rsidP="004355D6">
            <w:pPr>
              <w:spacing w:line="360" w:lineRule="auto"/>
              <w:jc w:val="center"/>
              <w:cnfStyle w:val="000000000000"/>
              <w:rPr>
                <w:sz w:val="22"/>
                <w:szCs w:val="22"/>
                <w:lang w:val="en-US"/>
              </w:rPr>
            </w:pPr>
            <w:r w:rsidRPr="004355D6">
              <w:rPr>
                <w:sz w:val="22"/>
                <w:szCs w:val="22"/>
                <w:lang w:val="en-US"/>
              </w:rPr>
              <w:t>0.40-0.69</w:t>
            </w:r>
          </w:p>
        </w:tc>
      </w:tr>
      <w:tr w:rsidR="004355D6" w:rsidRPr="004355D6" w:rsidTr="004355D6">
        <w:trPr>
          <w:cnfStyle w:val="000000100000"/>
          <w:jc w:val="center"/>
        </w:trPr>
        <w:tc>
          <w:tcPr>
            <w:cnfStyle w:val="001000000000"/>
            <w:tcW w:w="3379" w:type="dxa"/>
          </w:tcPr>
          <w:p w:rsidR="004355D6" w:rsidRPr="004355D6" w:rsidRDefault="004355D6" w:rsidP="004355D6">
            <w:pPr>
              <w:spacing w:line="360" w:lineRule="auto"/>
              <w:jc w:val="center"/>
              <w:rPr>
                <w:b w:val="0"/>
                <w:sz w:val="22"/>
                <w:szCs w:val="22"/>
                <w:lang w:val="en-US"/>
              </w:rPr>
            </w:pPr>
            <w:r w:rsidRPr="004355D6">
              <w:rPr>
                <w:b w:val="0"/>
                <w:sz w:val="22"/>
                <w:szCs w:val="22"/>
                <w:lang w:val="en-US"/>
              </w:rPr>
              <w:t>-0.89 - -0.70</w:t>
            </w:r>
          </w:p>
        </w:tc>
        <w:tc>
          <w:tcPr>
            <w:tcW w:w="3379" w:type="dxa"/>
          </w:tcPr>
          <w:p w:rsidR="004355D6" w:rsidRPr="004355D6" w:rsidRDefault="004355D6" w:rsidP="004355D6">
            <w:pPr>
              <w:spacing w:line="360" w:lineRule="auto"/>
              <w:jc w:val="center"/>
              <w:cnfStyle w:val="000000100000"/>
              <w:rPr>
                <w:sz w:val="22"/>
                <w:szCs w:val="22"/>
                <w:lang w:val="en-US"/>
              </w:rPr>
            </w:pPr>
            <w:r w:rsidRPr="004355D6">
              <w:rPr>
                <w:sz w:val="22"/>
                <w:szCs w:val="22"/>
                <w:lang w:val="en-US"/>
              </w:rPr>
              <w:t>“stiprus”</w:t>
            </w:r>
          </w:p>
        </w:tc>
        <w:tc>
          <w:tcPr>
            <w:tcW w:w="3380" w:type="dxa"/>
          </w:tcPr>
          <w:p w:rsidR="004355D6" w:rsidRPr="004355D6" w:rsidRDefault="004355D6" w:rsidP="004355D6">
            <w:pPr>
              <w:spacing w:line="360" w:lineRule="auto"/>
              <w:jc w:val="center"/>
              <w:cnfStyle w:val="000000100000"/>
              <w:rPr>
                <w:sz w:val="22"/>
                <w:szCs w:val="22"/>
                <w:lang w:val="en-US"/>
              </w:rPr>
            </w:pPr>
            <w:r w:rsidRPr="004355D6">
              <w:rPr>
                <w:sz w:val="22"/>
                <w:szCs w:val="22"/>
                <w:lang w:val="en-US"/>
              </w:rPr>
              <w:t>0.70-0.89</w:t>
            </w:r>
          </w:p>
        </w:tc>
      </w:tr>
      <w:tr w:rsidR="004355D6" w:rsidRPr="004355D6" w:rsidTr="004355D6">
        <w:trPr>
          <w:jc w:val="center"/>
        </w:trPr>
        <w:tc>
          <w:tcPr>
            <w:cnfStyle w:val="001000000000"/>
            <w:tcW w:w="3379" w:type="dxa"/>
          </w:tcPr>
          <w:p w:rsidR="004355D6" w:rsidRPr="004355D6" w:rsidRDefault="004355D6" w:rsidP="004355D6">
            <w:pPr>
              <w:spacing w:line="360" w:lineRule="auto"/>
              <w:jc w:val="center"/>
              <w:rPr>
                <w:b w:val="0"/>
                <w:sz w:val="22"/>
                <w:szCs w:val="22"/>
                <w:lang w:val="en-US"/>
              </w:rPr>
            </w:pPr>
            <w:r w:rsidRPr="004355D6">
              <w:rPr>
                <w:b w:val="0"/>
                <w:sz w:val="22"/>
                <w:szCs w:val="22"/>
                <w:lang w:val="en-US"/>
              </w:rPr>
              <w:t>-0.99 - -0.90</w:t>
            </w:r>
          </w:p>
        </w:tc>
        <w:tc>
          <w:tcPr>
            <w:tcW w:w="3379" w:type="dxa"/>
          </w:tcPr>
          <w:p w:rsidR="004355D6" w:rsidRPr="004355D6" w:rsidRDefault="004355D6" w:rsidP="004355D6">
            <w:pPr>
              <w:spacing w:line="360" w:lineRule="auto"/>
              <w:jc w:val="center"/>
              <w:cnfStyle w:val="000000000000"/>
              <w:rPr>
                <w:sz w:val="22"/>
                <w:szCs w:val="22"/>
                <w:lang w:val="en-US"/>
              </w:rPr>
            </w:pPr>
            <w:r w:rsidRPr="004355D6">
              <w:rPr>
                <w:sz w:val="22"/>
                <w:szCs w:val="22"/>
                <w:lang w:val="en-US"/>
              </w:rPr>
              <w:t>“labia stiprus”</w:t>
            </w:r>
          </w:p>
        </w:tc>
        <w:tc>
          <w:tcPr>
            <w:tcW w:w="3380" w:type="dxa"/>
          </w:tcPr>
          <w:p w:rsidR="004355D6" w:rsidRPr="004355D6" w:rsidRDefault="004355D6" w:rsidP="004355D6">
            <w:pPr>
              <w:spacing w:line="360" w:lineRule="auto"/>
              <w:jc w:val="center"/>
              <w:cnfStyle w:val="000000000000"/>
              <w:rPr>
                <w:sz w:val="22"/>
                <w:szCs w:val="22"/>
                <w:lang w:val="en-US"/>
              </w:rPr>
            </w:pPr>
            <w:r w:rsidRPr="004355D6">
              <w:rPr>
                <w:sz w:val="22"/>
                <w:szCs w:val="22"/>
                <w:lang w:val="en-US"/>
              </w:rPr>
              <w:t>0.90-0.99</w:t>
            </w:r>
          </w:p>
        </w:tc>
      </w:tr>
      <w:tr w:rsidR="004355D6" w:rsidRPr="004355D6" w:rsidTr="004355D6">
        <w:trPr>
          <w:cnfStyle w:val="000000100000"/>
          <w:jc w:val="center"/>
        </w:trPr>
        <w:tc>
          <w:tcPr>
            <w:cnfStyle w:val="001000000000"/>
            <w:tcW w:w="3379" w:type="dxa"/>
          </w:tcPr>
          <w:p w:rsidR="004355D6" w:rsidRPr="004355D6" w:rsidRDefault="004355D6" w:rsidP="004355D6">
            <w:pPr>
              <w:spacing w:line="360" w:lineRule="auto"/>
              <w:jc w:val="center"/>
              <w:rPr>
                <w:b w:val="0"/>
                <w:sz w:val="22"/>
                <w:szCs w:val="22"/>
                <w:lang w:val="en-US"/>
              </w:rPr>
            </w:pPr>
            <w:r w:rsidRPr="004355D6">
              <w:rPr>
                <w:b w:val="0"/>
                <w:sz w:val="22"/>
                <w:szCs w:val="22"/>
                <w:lang w:val="en-US"/>
              </w:rPr>
              <w:t>-1.00</w:t>
            </w:r>
          </w:p>
        </w:tc>
        <w:tc>
          <w:tcPr>
            <w:tcW w:w="3379" w:type="dxa"/>
          </w:tcPr>
          <w:p w:rsidR="004355D6" w:rsidRPr="004355D6" w:rsidRDefault="004355D6" w:rsidP="004355D6">
            <w:pPr>
              <w:spacing w:line="360" w:lineRule="auto"/>
              <w:jc w:val="center"/>
              <w:cnfStyle w:val="000000100000"/>
              <w:rPr>
                <w:sz w:val="22"/>
                <w:szCs w:val="22"/>
                <w:lang w:val="en-US"/>
              </w:rPr>
            </w:pPr>
            <w:r w:rsidRPr="004355D6">
              <w:rPr>
                <w:sz w:val="22"/>
                <w:szCs w:val="22"/>
                <w:lang w:val="en-US"/>
              </w:rPr>
              <w:t>“visiškai tikslus”</w:t>
            </w:r>
          </w:p>
        </w:tc>
        <w:tc>
          <w:tcPr>
            <w:tcW w:w="3380" w:type="dxa"/>
          </w:tcPr>
          <w:p w:rsidR="004355D6" w:rsidRPr="004355D6" w:rsidRDefault="004355D6" w:rsidP="004355D6">
            <w:pPr>
              <w:spacing w:line="360" w:lineRule="auto"/>
              <w:jc w:val="center"/>
              <w:cnfStyle w:val="000000100000"/>
              <w:rPr>
                <w:sz w:val="22"/>
                <w:szCs w:val="22"/>
                <w:lang w:val="en-US"/>
              </w:rPr>
            </w:pPr>
            <w:r w:rsidRPr="004355D6">
              <w:rPr>
                <w:sz w:val="22"/>
                <w:szCs w:val="22"/>
                <w:lang w:val="en-US"/>
              </w:rPr>
              <w:t>1.00</w:t>
            </w:r>
          </w:p>
        </w:tc>
      </w:tr>
    </w:tbl>
    <w:p w:rsidR="004355D6" w:rsidRDefault="004355D6" w:rsidP="004355D6">
      <w:pPr>
        <w:rPr>
          <w:b/>
          <w:lang w:val="en-US"/>
        </w:rPr>
      </w:pPr>
    </w:p>
    <w:p w:rsidR="00863B4D" w:rsidRDefault="00863B4D" w:rsidP="00863B4D">
      <w:pPr>
        <w:jc w:val="right"/>
        <w:rPr>
          <w:b/>
          <w:bCs/>
        </w:rPr>
      </w:pPr>
      <w:r>
        <w:rPr>
          <w:b/>
          <w:lang w:val="en-US"/>
        </w:rPr>
        <w:br w:type="column"/>
      </w:r>
      <w:r>
        <w:rPr>
          <w:b/>
          <w:bCs/>
        </w:rPr>
        <w:t>6 PRIEDAS</w:t>
      </w:r>
    </w:p>
    <w:p w:rsidR="00863B4D" w:rsidRDefault="00863B4D" w:rsidP="00863B4D">
      <w:pPr>
        <w:jc w:val="center"/>
        <w:rPr>
          <w:b/>
          <w:bCs/>
        </w:rPr>
      </w:pPr>
    </w:p>
    <w:p w:rsidR="00863B4D" w:rsidRDefault="00863B4D" w:rsidP="00863B4D">
      <w:pPr>
        <w:jc w:val="center"/>
        <w:rPr>
          <w:b/>
          <w:bCs/>
        </w:rPr>
      </w:pPr>
      <w:r w:rsidRPr="00E13A36">
        <w:rPr>
          <w:b/>
          <w:bCs/>
        </w:rPr>
        <w:t>1 lentelė. Vertinamų įmonių intelektinio kapitalo lygio skaičiavimas 2009-2012 metais</w:t>
      </w:r>
    </w:p>
    <w:p w:rsidR="00863B4D" w:rsidRPr="00E13A36" w:rsidRDefault="00863B4D" w:rsidP="00863B4D">
      <w:pPr>
        <w:jc w:val="center"/>
        <w:rPr>
          <w:b/>
          <w:bCs/>
        </w:rPr>
      </w:pPr>
    </w:p>
    <w:tbl>
      <w:tblPr>
        <w:tblW w:w="0" w:type="auto"/>
        <w:tblInd w:w="68" w:type="dxa"/>
        <w:tblLayout w:type="fixed"/>
        <w:tblLook w:val="04A0"/>
      </w:tblPr>
      <w:tblGrid>
        <w:gridCol w:w="4027"/>
        <w:gridCol w:w="1166"/>
        <w:gridCol w:w="1116"/>
        <w:gridCol w:w="1116"/>
        <w:gridCol w:w="1266"/>
        <w:gridCol w:w="1039"/>
      </w:tblGrid>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548DD4"/>
            <w:noWrap/>
            <w:vAlign w:val="center"/>
            <w:hideMark/>
          </w:tcPr>
          <w:p w:rsidR="00863B4D" w:rsidRPr="00B56D9D" w:rsidRDefault="00863B4D" w:rsidP="00863B4D">
            <w:pPr>
              <w:jc w:val="center"/>
              <w:rPr>
                <w:b/>
                <w:bCs/>
                <w:sz w:val="18"/>
                <w:szCs w:val="18"/>
              </w:rPr>
            </w:pPr>
            <w:r w:rsidRPr="00B56D9D">
              <w:rPr>
                <w:b/>
                <w:bCs/>
                <w:sz w:val="18"/>
                <w:szCs w:val="18"/>
              </w:rPr>
              <w:t>APB „Apranga“</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863B4D" w:rsidRPr="00B56D9D" w:rsidRDefault="00863B4D" w:rsidP="00863B4D">
            <w:pPr>
              <w:jc w:val="center"/>
              <w:rPr>
                <w:b/>
                <w:bCs/>
                <w:color w:val="000000"/>
                <w:sz w:val="18"/>
                <w:szCs w:val="18"/>
              </w:rPr>
            </w:pPr>
            <w:r w:rsidRPr="00B56D9D">
              <w:rPr>
                <w:b/>
                <w:bCs/>
                <w:color w:val="000000"/>
                <w:sz w:val="18"/>
                <w:szCs w:val="18"/>
              </w:rPr>
              <w:t>FINANSINIAI RODIKLIAI</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Grynasis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-8823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6983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26711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29533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149526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118765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133446</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158864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Nuosavas kapitalas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82175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89157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102046</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111120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ROA - turto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-5.90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5.88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20.02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18.59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ROE - kapitalo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-10.74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7.83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26.18</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26.58</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PRIDĖTINĖS VERTĖS INTELEKTINIO KAPITALO KOEFICIENTAS VAIC</w:t>
            </w:r>
            <w:r>
              <w:rPr>
                <w:b/>
                <w:bCs/>
                <w:sz w:val="18"/>
                <w:szCs w:val="18"/>
              </w:rPr>
              <w: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OP - veiklos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-8784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8478</w:t>
            </w:r>
          </w:p>
        </w:tc>
        <w:tc>
          <w:tcPr>
            <w:tcW w:w="111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28771</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31519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EC - išlaidos darbuotojams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22733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18863</w:t>
            </w:r>
          </w:p>
        </w:tc>
        <w:tc>
          <w:tcPr>
            <w:tcW w:w="111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24670</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29865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D + A - nusidėvėjimas ir amortizacija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10734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9027</w:t>
            </w:r>
          </w:p>
        </w:tc>
        <w:tc>
          <w:tcPr>
            <w:tcW w:w="111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8814</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8823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 - pridėtinė vertė</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24683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36368</w:t>
            </w:r>
          </w:p>
        </w:tc>
        <w:tc>
          <w:tcPr>
            <w:tcW w:w="111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62255</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70207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CA - bendras turtas minus nematerialius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148557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118135</w:t>
            </w:r>
          </w:p>
        </w:tc>
        <w:tc>
          <w:tcPr>
            <w:tcW w:w="111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133001</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158620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HC - visas DU</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22733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18863</w:t>
            </w:r>
          </w:p>
        </w:tc>
        <w:tc>
          <w:tcPr>
            <w:tcW w:w="111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24670</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29865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 - struktūrinis kapitalas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1950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17505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37585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40342</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VACA = VA/CA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0.31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0.47</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0.44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VAHU =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1.93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2.35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STVA = ST/VA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0.08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0.48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0.60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0.57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APB „Apranga“ VAIC</w:t>
            </w:r>
            <w:r>
              <w:rPr>
                <w:b/>
                <w:bCs/>
                <w:sz w:val="18"/>
                <w:szCs w:val="18"/>
              </w:rPr>
              <w:t>™</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1.33</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2.72</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3.60</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3.37</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Intelektinio kapitalo efektyvumas, ICE</w:t>
            </w:r>
          </w:p>
        </w:tc>
        <w:tc>
          <w:tcPr>
            <w:tcW w:w="11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1.16</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2.41</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3.13</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2.93</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APSKAIČIUOTOSIOS NEMATERIALIOS VERTĖS METODAS CIV</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Pelnas prieš mokesčius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-12410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7173</w:t>
            </w:r>
          </w:p>
        </w:tc>
        <w:tc>
          <w:tcPr>
            <w:tcW w:w="111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28321</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31307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149526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118765</w:t>
            </w:r>
          </w:p>
        </w:tc>
        <w:tc>
          <w:tcPr>
            <w:tcW w:w="111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133446</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158864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Nematerialus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969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630</w:t>
            </w:r>
          </w:p>
        </w:tc>
        <w:tc>
          <w:tcPr>
            <w:tcW w:w="111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445</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244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Pelno mokesčio tarifas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Kapitalo kaina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3B4D" w:rsidRPr="00B56D9D" w:rsidRDefault="00863B4D" w:rsidP="00863B4D">
            <w:pPr>
              <w:rPr>
                <w:b/>
                <w:bCs/>
                <w:sz w:val="18"/>
                <w:szCs w:val="18"/>
              </w:rPr>
            </w:pPr>
            <w:r w:rsidRPr="00B56D9D">
              <w:rPr>
                <w:b/>
                <w:bCs/>
                <w:sz w:val="18"/>
                <w:szCs w:val="18"/>
              </w:rPr>
              <w:t>Ekonominė veiklos rūšis: G47 Mažmeninė prekyba, išskyrus variklinių transporto priemonių ir motociklų prekybą*</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pelnas prieš mokesčius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-32873</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256443</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512842</w:t>
            </w:r>
          </w:p>
        </w:tc>
        <w:tc>
          <w:tcPr>
            <w:tcW w:w="1266" w:type="dxa"/>
            <w:tcBorders>
              <w:top w:val="nil"/>
              <w:left w:val="nil"/>
              <w:bottom w:val="single" w:sz="4" w:space="0" w:color="auto"/>
              <w:right w:val="single" w:sz="4" w:space="0" w:color="auto"/>
            </w:tcBorders>
            <w:shd w:val="clear" w:color="000000" w:fill="C5D9F1"/>
            <w:noWrap/>
            <w:vAlign w:val="bottom"/>
            <w:hideMark/>
          </w:tcPr>
          <w:p w:rsidR="00863B4D" w:rsidRPr="00B56D9D" w:rsidRDefault="00863B4D" w:rsidP="00863B4D">
            <w:pPr>
              <w:jc w:val="center"/>
              <w:rPr>
                <w:sz w:val="18"/>
                <w:szCs w:val="18"/>
              </w:rPr>
            </w:pPr>
            <w:r>
              <w:rPr>
                <w:sz w:val="18"/>
                <w:szCs w:val="18"/>
              </w:rPr>
              <w:t>-</w:t>
            </w:r>
            <w:r w:rsidRPr="00B56D9D">
              <w:rPr>
                <w:sz w:val="18"/>
                <w:szCs w:val="18"/>
              </w:rPr>
              <w:t> </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10645678</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10440484</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11113161</w:t>
            </w:r>
          </w:p>
        </w:tc>
        <w:tc>
          <w:tcPr>
            <w:tcW w:w="1266" w:type="dxa"/>
            <w:tcBorders>
              <w:top w:val="nil"/>
              <w:left w:val="nil"/>
              <w:bottom w:val="single" w:sz="4" w:space="0" w:color="auto"/>
              <w:right w:val="single" w:sz="4" w:space="0" w:color="auto"/>
            </w:tcBorders>
            <w:shd w:val="clear" w:color="000000" w:fill="C5D9F1"/>
            <w:noWrap/>
            <w:vAlign w:val="bottom"/>
            <w:hideMark/>
          </w:tcPr>
          <w:p w:rsidR="00863B4D" w:rsidRPr="009667AB" w:rsidRDefault="00863B4D" w:rsidP="00863B4D">
            <w:pPr>
              <w:jc w:val="center"/>
              <w:rPr>
                <w:sz w:val="18"/>
                <w:szCs w:val="18"/>
              </w:rPr>
            </w:pPr>
            <w:r w:rsidRPr="00B56D9D">
              <w:rPr>
                <w:rFonts w:ascii="Calibri" w:hAnsi="Calibri"/>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nematerialus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192716</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193268</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187845</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191382</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ROA</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-0.31</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2.46</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4.61</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5.56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Šakos ROA ir Įmonės ROA skirtumas (jei didesnis už 0, rodiklis toliau neskaičiuojamas)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5.59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-3.42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-15.41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-13.03</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Pr>
                <w:sz w:val="18"/>
                <w:szCs w:val="18"/>
              </w:rPr>
              <w:t>-</w:t>
            </w:r>
            <w:r w:rsidRPr="00B56D9D">
              <w:rPr>
                <w:sz w:val="18"/>
                <w:szCs w:val="18"/>
              </w:rPr>
              <w:t> </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APB „Apranga“ CIV</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0</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35001.05</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183263.32</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259872.56</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b/>
                <w:bCs/>
                <w:sz w:val="18"/>
                <w:szCs w:val="18"/>
              </w:rPr>
            </w:pPr>
            <w:r w:rsidRPr="00B56D9D">
              <w:rPr>
                <w:b/>
                <w:bCs/>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548DD4"/>
            <w:noWrap/>
            <w:vAlign w:val="center"/>
            <w:hideMark/>
          </w:tcPr>
          <w:p w:rsidR="00863B4D" w:rsidRPr="00B56D9D" w:rsidRDefault="00863B4D" w:rsidP="00863B4D">
            <w:pPr>
              <w:jc w:val="center"/>
              <w:rPr>
                <w:b/>
                <w:bCs/>
                <w:sz w:val="18"/>
                <w:szCs w:val="18"/>
              </w:rPr>
            </w:pPr>
            <w:r w:rsidRPr="00B56D9D">
              <w:rPr>
                <w:b/>
                <w:bCs/>
                <w:sz w:val="18"/>
                <w:szCs w:val="18"/>
              </w:rPr>
              <w:t>AB „City service“</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863B4D" w:rsidRPr="00B56D9D" w:rsidRDefault="00863B4D" w:rsidP="00863B4D">
            <w:pPr>
              <w:jc w:val="center"/>
              <w:rPr>
                <w:b/>
                <w:bCs/>
                <w:color w:val="000000"/>
                <w:sz w:val="18"/>
                <w:szCs w:val="18"/>
              </w:rPr>
            </w:pPr>
            <w:r w:rsidRPr="00B56D9D">
              <w:rPr>
                <w:b/>
                <w:bCs/>
                <w:color w:val="000000"/>
                <w:sz w:val="18"/>
                <w:szCs w:val="18"/>
              </w:rPr>
              <w:t>FINANSINIAI RODIKLIAI</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Grynasis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10665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15050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12103</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7132</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136852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219413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201819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250113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Nuosavas kapitalas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68251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143488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147688</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147550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ROA - turto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7.79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6.86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6.00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2.85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ROE - kapitalo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15.63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10.49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8.19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4.83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PRIDĖTINĖS VERTĖS INTELEKTINIO KAPITALO KOEFICIENTAS VAIC</w:t>
            </w:r>
            <w:r>
              <w:rPr>
                <w:b/>
                <w:bCs/>
                <w:sz w:val="18"/>
                <w:szCs w:val="18"/>
              </w:rPr>
              <w: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OP - veiklos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7674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14816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11316</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1680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EC - išlaidos darbuotojams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22537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26178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29292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5416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D + A - nusidėvėjimas ir amortizacija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1133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1169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1529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 - pridėtinė vertė</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31344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42163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42137</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7361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AF3226">
        <w:trPr>
          <w:trHeight w:val="227"/>
        </w:trPr>
        <w:tc>
          <w:tcPr>
            <w:tcW w:w="4027" w:type="dxa"/>
            <w:tcBorders>
              <w:top w:val="nil"/>
              <w:left w:val="single" w:sz="4" w:space="0" w:color="auto"/>
              <w:bottom w:val="single" w:sz="4" w:space="0" w:color="365F91" w:themeColor="accent1" w:themeShade="BF"/>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CA - bendras turtas minus nematerialius turtas</w:t>
            </w:r>
          </w:p>
        </w:tc>
        <w:tc>
          <w:tcPr>
            <w:tcW w:w="1166" w:type="dxa"/>
            <w:tcBorders>
              <w:top w:val="nil"/>
              <w:left w:val="nil"/>
              <w:bottom w:val="single" w:sz="4" w:space="0" w:color="365F91" w:themeColor="accent1" w:themeShade="BF"/>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136815</w:t>
            </w:r>
          </w:p>
        </w:tc>
        <w:tc>
          <w:tcPr>
            <w:tcW w:w="1116" w:type="dxa"/>
            <w:tcBorders>
              <w:top w:val="nil"/>
              <w:left w:val="nil"/>
              <w:bottom w:val="single" w:sz="4" w:space="0" w:color="365F91" w:themeColor="accent1" w:themeShade="BF"/>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218629</w:t>
            </w:r>
          </w:p>
        </w:tc>
        <w:tc>
          <w:tcPr>
            <w:tcW w:w="1116" w:type="dxa"/>
            <w:tcBorders>
              <w:top w:val="nil"/>
              <w:left w:val="nil"/>
              <w:bottom w:val="single" w:sz="4" w:space="0" w:color="365F91" w:themeColor="accent1" w:themeShade="BF"/>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200633</w:t>
            </w:r>
          </w:p>
        </w:tc>
        <w:tc>
          <w:tcPr>
            <w:tcW w:w="1266" w:type="dxa"/>
            <w:tcBorders>
              <w:top w:val="nil"/>
              <w:left w:val="nil"/>
              <w:bottom w:val="single" w:sz="4" w:space="0" w:color="365F91" w:themeColor="accent1" w:themeShade="BF"/>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250110</w:t>
            </w:r>
          </w:p>
        </w:tc>
        <w:tc>
          <w:tcPr>
            <w:tcW w:w="1039" w:type="dxa"/>
            <w:tcBorders>
              <w:top w:val="nil"/>
              <w:left w:val="nil"/>
              <w:bottom w:val="single" w:sz="4" w:space="0" w:color="365F91" w:themeColor="accent1" w:themeShade="BF"/>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AF3226" w:rsidRPr="00B56D9D" w:rsidTr="00AF3226">
        <w:trPr>
          <w:trHeight w:val="227"/>
        </w:trPr>
        <w:tc>
          <w:tcPr>
            <w:tcW w:w="9730" w:type="dxa"/>
            <w:gridSpan w:val="6"/>
            <w:tcBorders>
              <w:top w:val="single" w:sz="4" w:space="0" w:color="365F91" w:themeColor="accent1" w:themeShade="BF"/>
            </w:tcBorders>
            <w:shd w:val="clear" w:color="auto" w:fill="auto"/>
            <w:noWrap/>
            <w:vAlign w:val="center"/>
          </w:tcPr>
          <w:p w:rsidR="00AF3226" w:rsidRPr="00B56D9D" w:rsidRDefault="00AF3226" w:rsidP="00AF3226">
            <w:pPr>
              <w:jc w:val="right"/>
              <w:rPr>
                <w:sz w:val="18"/>
                <w:szCs w:val="18"/>
              </w:rPr>
            </w:pPr>
            <w:r>
              <w:rPr>
                <w:sz w:val="18"/>
                <w:szCs w:val="18"/>
              </w:rPr>
              <w:t>1 lentelės tęsinys kitame puslapyje</w:t>
            </w:r>
          </w:p>
        </w:tc>
      </w:tr>
      <w:tr w:rsidR="00AF3226" w:rsidRPr="00B56D9D" w:rsidTr="00AF3226">
        <w:trPr>
          <w:trHeight w:val="227"/>
        </w:trPr>
        <w:tc>
          <w:tcPr>
            <w:tcW w:w="9730" w:type="dxa"/>
            <w:gridSpan w:val="6"/>
            <w:tcBorders>
              <w:bottom w:val="single" w:sz="4" w:space="0" w:color="auto"/>
            </w:tcBorders>
            <w:shd w:val="clear" w:color="auto" w:fill="auto"/>
            <w:noWrap/>
            <w:vAlign w:val="center"/>
          </w:tcPr>
          <w:p w:rsidR="00AF3226" w:rsidRPr="00B56D9D" w:rsidRDefault="00AF3226" w:rsidP="00AF3226">
            <w:pPr>
              <w:jc w:val="right"/>
              <w:rPr>
                <w:sz w:val="18"/>
                <w:szCs w:val="18"/>
              </w:rPr>
            </w:pPr>
            <w:r>
              <w:rPr>
                <w:sz w:val="18"/>
                <w:szCs w:val="18"/>
              </w:rPr>
              <w:t>1 lentelės tęsinys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HC - visas DU</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22537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26179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29292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5416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 - struktūrinis kapitalas (VA-HC)</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8807</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15999</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12845</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1945</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VACA = VA/CA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0.03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VAHU =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1.61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STVA = ST/VA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0.38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0.30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AB „City Service“ VAIC</w:t>
            </w:r>
            <w:r>
              <w:rPr>
                <w:b/>
                <w:bCs/>
                <w:sz w:val="18"/>
                <w:szCs w:val="18"/>
              </w:rPr>
              <w:t>™</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1.90</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2.18</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1.95</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1.65</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Intelektinio kapitalo efektyvumas, ICE</w:t>
            </w:r>
          </w:p>
        </w:tc>
        <w:tc>
          <w:tcPr>
            <w:tcW w:w="11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1.67</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1.99</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1.74</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1.62</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APSKAIČIUOTOSIOS NEMATERIALIOS VERTĖS METODAS CIV</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Pelnas prieš mokesčius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12521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17247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13537</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7569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136852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219413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201819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250113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Nematerialus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784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1186</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Pelno mokesčio tarifas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Kapitalo kaina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rPr>
                <w:b/>
                <w:bCs/>
                <w:sz w:val="18"/>
                <w:szCs w:val="18"/>
              </w:rPr>
            </w:pPr>
            <w:r w:rsidRPr="00B56D9D">
              <w:rPr>
                <w:b/>
                <w:bCs/>
                <w:sz w:val="18"/>
                <w:szCs w:val="18"/>
              </w:rPr>
              <w:t>Ekonominė veiklos rūšis: N82 Administracinė veikla, įstaigų ir kitų verslo įmonių aptarnavimo veikla*</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pelnas prieš mokesčius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4370</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23323</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13714</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427611</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454177</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416076</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nematerialus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3718</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6780</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5958</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3851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ROA</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1.02</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5.14</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3.3</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7.82</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Šakos ROA ir Įmonės ROA skirtumas (jei didesnis už 0, rodiklis toliau neskaičiuojamas)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-6.77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-1.72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-2.70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4.97</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Pr>
                <w:sz w:val="18"/>
                <w:szCs w:val="18"/>
              </w:rPr>
              <w:t>-</w:t>
            </w:r>
            <w:r w:rsidRPr="00B56D9D">
              <w:rPr>
                <w:sz w:val="18"/>
                <w:szCs w:val="18"/>
              </w:rPr>
              <w:t> </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AB „City Service“ CIV</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92226.21</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48557.70</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56677.75</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0</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b/>
                <w:bCs/>
                <w:sz w:val="18"/>
                <w:szCs w:val="18"/>
              </w:rPr>
            </w:pPr>
            <w:r w:rsidRPr="00B56D9D">
              <w:rPr>
                <w:b/>
                <w:bCs/>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548DD4"/>
            <w:noWrap/>
            <w:vAlign w:val="center"/>
            <w:hideMark/>
          </w:tcPr>
          <w:p w:rsidR="00863B4D" w:rsidRPr="00B56D9D" w:rsidRDefault="00863B4D" w:rsidP="00863B4D">
            <w:pPr>
              <w:jc w:val="center"/>
              <w:rPr>
                <w:b/>
                <w:bCs/>
                <w:sz w:val="18"/>
                <w:szCs w:val="18"/>
              </w:rPr>
            </w:pPr>
            <w:r w:rsidRPr="00B56D9D">
              <w:rPr>
                <w:b/>
                <w:bCs/>
                <w:sz w:val="18"/>
                <w:szCs w:val="18"/>
              </w:rPr>
              <w:t>AB „Grigiškės“</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863B4D" w:rsidRPr="00B56D9D" w:rsidRDefault="00863B4D" w:rsidP="00863B4D">
            <w:pPr>
              <w:jc w:val="center"/>
              <w:rPr>
                <w:b/>
                <w:bCs/>
                <w:color w:val="000000"/>
                <w:sz w:val="18"/>
                <w:szCs w:val="18"/>
              </w:rPr>
            </w:pPr>
            <w:r w:rsidRPr="00B56D9D">
              <w:rPr>
                <w:b/>
                <w:bCs/>
                <w:color w:val="000000"/>
                <w:sz w:val="18"/>
                <w:szCs w:val="18"/>
              </w:rPr>
              <w:t>FINANSINIAI RODIKLIAI</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Grynasis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3005392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1519709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13535020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8481868</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116372224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149270901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150936114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164633590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Nuosavas kapitalas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68698116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80108212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92443232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99725100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ROA - turto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8.97</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5.15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ROE - kapitalo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4.37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1.90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14.64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8.51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PRIDĖTINĖS VERTĖS INTELEKTINIO KAPITALO KOEFICIENTAS VAIC</w:t>
            </w:r>
            <w:r>
              <w:rPr>
                <w:b/>
                <w:bCs/>
                <w:sz w:val="18"/>
                <w:szCs w:val="18"/>
              </w:rPr>
              <w: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OP - veiklos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5288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2388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9053</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9211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EC - išlaidos darbuotojams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5592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5646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5682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4860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D + A - nusidėvėjimas ir amortizacija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15282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13833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13454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11397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 - pridėtinė vertė</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26162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21867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28189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25468</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CA - bendras turtas minus nematerialius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116273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149142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150718</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163321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HC - visas DU</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4860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5682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5646</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5592</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 - struktūrinis kapitalas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21302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16185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22543</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19876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VACA = VA/CA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VAHU =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5.38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3.85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4.99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4.55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STVA = ST/VA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0.81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0.74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0.80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0.78</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AB „Grigiškės“ VAIC</w:t>
            </w:r>
            <w:r>
              <w:rPr>
                <w:b/>
                <w:bCs/>
                <w:sz w:val="18"/>
                <w:szCs w:val="18"/>
              </w:rPr>
              <w:t>™</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6.42</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4.74</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5.98</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5.49</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Intelektinio kapitalo efektyvumas, ICE</w:t>
            </w:r>
          </w:p>
        </w:tc>
        <w:tc>
          <w:tcPr>
            <w:tcW w:w="11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6.20</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4.59</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5.79</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5.33</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APSKAIČIUOTOSIOS NEMATERIALIOS VERTĖS METODAS CIV</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Pelnas prieš mokesčius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3547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1607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13488</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8718</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116372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149271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150936</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164634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Nematerialus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219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Pelno mokesčio tarifas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Kapitalo kaina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rPr>
                <w:b/>
                <w:bCs/>
                <w:sz w:val="18"/>
                <w:szCs w:val="18"/>
              </w:rPr>
            </w:pPr>
            <w:r w:rsidRPr="00B56D9D">
              <w:rPr>
                <w:b/>
                <w:bCs/>
                <w:sz w:val="18"/>
                <w:szCs w:val="18"/>
              </w:rPr>
              <w:t>Ekonominė veiklos rūšis: C17 Popieriaus ir popieriaus gaminių gamyba*</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pelnas prieš mokesčius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33426</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57635</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50142</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646438</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813625</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835259</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nematerialus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7384</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6424</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3987</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4320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AF3226">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ROA</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5.17</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7.08</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6.</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8.31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AF3226" w:rsidRPr="00B56D9D" w:rsidTr="00146EDE">
        <w:trPr>
          <w:trHeight w:val="227"/>
        </w:trPr>
        <w:tc>
          <w:tcPr>
            <w:tcW w:w="9730" w:type="dxa"/>
            <w:gridSpan w:val="6"/>
            <w:tcBorders>
              <w:top w:val="single" w:sz="4" w:space="0" w:color="365F91" w:themeColor="accent1" w:themeShade="BF"/>
            </w:tcBorders>
            <w:shd w:val="clear" w:color="auto" w:fill="auto"/>
            <w:noWrap/>
            <w:vAlign w:val="center"/>
          </w:tcPr>
          <w:p w:rsidR="00AF3226" w:rsidRPr="00B56D9D" w:rsidRDefault="00AF3226" w:rsidP="00146EDE">
            <w:pPr>
              <w:jc w:val="right"/>
              <w:rPr>
                <w:sz w:val="18"/>
                <w:szCs w:val="18"/>
              </w:rPr>
            </w:pPr>
            <w:r>
              <w:rPr>
                <w:sz w:val="18"/>
                <w:szCs w:val="18"/>
              </w:rPr>
              <w:t>1 lentelės tęsinys kitame puslapyje</w:t>
            </w:r>
          </w:p>
        </w:tc>
      </w:tr>
      <w:tr w:rsidR="00AF3226" w:rsidRPr="00B56D9D" w:rsidTr="00AF3226">
        <w:trPr>
          <w:trHeight w:val="227"/>
        </w:trPr>
        <w:tc>
          <w:tcPr>
            <w:tcW w:w="9730" w:type="dxa"/>
            <w:gridSpan w:val="6"/>
            <w:shd w:val="clear" w:color="auto" w:fill="auto"/>
            <w:noWrap/>
            <w:vAlign w:val="center"/>
          </w:tcPr>
          <w:p w:rsidR="00AF3226" w:rsidRPr="00B56D9D" w:rsidRDefault="00AF3226" w:rsidP="00146EDE">
            <w:pPr>
              <w:jc w:val="right"/>
              <w:rPr>
                <w:sz w:val="18"/>
                <w:szCs w:val="18"/>
              </w:rPr>
            </w:pPr>
          </w:p>
        </w:tc>
      </w:tr>
      <w:tr w:rsidR="00AF3226" w:rsidRPr="00B56D9D" w:rsidTr="00AF3226">
        <w:trPr>
          <w:trHeight w:val="227"/>
        </w:trPr>
        <w:tc>
          <w:tcPr>
            <w:tcW w:w="9730" w:type="dxa"/>
            <w:gridSpan w:val="6"/>
            <w:tcBorders>
              <w:top w:val="nil"/>
              <w:bottom w:val="single" w:sz="4" w:space="0" w:color="auto"/>
            </w:tcBorders>
            <w:shd w:val="clear" w:color="auto" w:fill="auto"/>
            <w:vAlign w:val="center"/>
          </w:tcPr>
          <w:p w:rsidR="00AF3226" w:rsidRPr="00B56D9D" w:rsidRDefault="00AF3226" w:rsidP="00AF3226">
            <w:pPr>
              <w:jc w:val="right"/>
              <w:rPr>
                <w:sz w:val="18"/>
                <w:szCs w:val="18"/>
              </w:rPr>
            </w:pPr>
            <w:r>
              <w:rPr>
                <w:sz w:val="18"/>
                <w:szCs w:val="18"/>
              </w:rPr>
              <w:t>1 lentelės tęsinys</w:t>
            </w:r>
          </w:p>
        </w:tc>
      </w:tr>
      <w:tr w:rsidR="00863B4D" w:rsidRPr="00B56D9D" w:rsidTr="00AF3226">
        <w:trPr>
          <w:trHeight w:val="227"/>
        </w:trPr>
        <w:tc>
          <w:tcPr>
            <w:tcW w:w="4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Šakos ROA ir Įmonės ROA skirtumas (jei didesnis už 0, rodiklis toliau neskaičiuojamas)</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2.59</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6.06</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-2.97</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3.16</w:t>
            </w:r>
          </w:p>
        </w:tc>
        <w:tc>
          <w:tcPr>
            <w:tcW w:w="1039" w:type="dxa"/>
            <w:tcBorders>
              <w:top w:val="single" w:sz="4" w:space="0" w:color="auto"/>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AB „Grigiškės“ CIV</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0.00</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0.00</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36496.96</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0.00</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b/>
                <w:bCs/>
                <w:sz w:val="18"/>
                <w:szCs w:val="18"/>
              </w:rPr>
            </w:pPr>
            <w:r w:rsidRPr="00B56D9D">
              <w:rPr>
                <w:b/>
                <w:bCs/>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548DD4"/>
            <w:noWrap/>
            <w:vAlign w:val="center"/>
            <w:hideMark/>
          </w:tcPr>
          <w:p w:rsidR="00863B4D" w:rsidRPr="00B56D9D" w:rsidRDefault="00863B4D" w:rsidP="00863B4D">
            <w:pPr>
              <w:jc w:val="center"/>
              <w:rPr>
                <w:b/>
                <w:bCs/>
                <w:sz w:val="18"/>
                <w:szCs w:val="18"/>
              </w:rPr>
            </w:pPr>
            <w:r w:rsidRPr="00B56D9D">
              <w:rPr>
                <w:b/>
                <w:bCs/>
                <w:sz w:val="18"/>
                <w:szCs w:val="18"/>
              </w:rPr>
              <w:t>AB „Lietuvos dujos“</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863B4D" w:rsidRPr="00B56D9D" w:rsidRDefault="00863B4D" w:rsidP="00863B4D">
            <w:pPr>
              <w:jc w:val="center"/>
              <w:rPr>
                <w:b/>
                <w:bCs/>
                <w:color w:val="000000"/>
                <w:sz w:val="18"/>
                <w:szCs w:val="18"/>
              </w:rPr>
            </w:pPr>
            <w:r w:rsidRPr="00B56D9D">
              <w:rPr>
                <w:b/>
                <w:bCs/>
                <w:color w:val="000000"/>
                <w:sz w:val="18"/>
                <w:szCs w:val="18"/>
              </w:rPr>
              <w:t>FINANSINIAI RODIKLIAI</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Grynasis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94847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159715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95686</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75964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2549809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2708936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2698137</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2928563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Nuosavas kapitalas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1989996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2078611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2054297</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2058261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ROA - turto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3.72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5.90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3.55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ROE - kapitalo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4.77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7.68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4.66</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3.69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PRIDĖTINĖS VERTĖS INTELEKTINIO KAPITALO KOEFICIENTAS VAIC</w:t>
            </w:r>
            <w:r>
              <w:rPr>
                <w:b/>
                <w:bCs/>
                <w:sz w:val="18"/>
                <w:szCs w:val="18"/>
              </w:rPr>
              <w: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OP - veiklos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117349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148085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122330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70009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EC - išlaidos darbuotojams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95610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99303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97641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99150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D + A - nusidėvėjimas ir amortizacija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97491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98712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111535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114144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 - pridėtinė vertė</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310450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346100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331506</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283303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CA - bendras turtas minus nematerialius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2545913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2705084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2694755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2925940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HC - visas DU</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95610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99303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97641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99150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 - struktūrinis kapitalas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214840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246797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233865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184153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VACA = VA/CA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VAHU =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3.25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3.49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3.40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2.86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STVA = ST/VA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0.69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0.71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0.71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0.65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AB „Lietuvos dujos“ VAIC</w:t>
            </w:r>
            <w:r>
              <w:rPr>
                <w:b/>
                <w:bCs/>
                <w:sz w:val="18"/>
                <w:szCs w:val="18"/>
              </w:rPr>
              <w:t>™</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4.06</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4.33</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4.22</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3.60</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Intelektinio kapitalo efektyvumas, ICE</w:t>
            </w:r>
          </w:p>
        </w:tc>
        <w:tc>
          <w:tcPr>
            <w:tcW w:w="11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3.94</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4.20</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4.10</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3.51</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rPr>
                <w:b/>
                <w:bCs/>
                <w:sz w:val="18"/>
                <w:szCs w:val="18"/>
              </w:rPr>
            </w:pPr>
            <w:r w:rsidRPr="00B56D9D">
              <w:rPr>
                <w:b/>
                <w:bCs/>
                <w:sz w:val="18"/>
                <w:szCs w:val="18"/>
              </w:rPr>
              <w:t>APSKAIČIUOTOSIOS NEMATERIALIOS VERTĖS METODAS CIV</w:t>
            </w:r>
          </w:p>
        </w:tc>
        <w:tc>
          <w:tcPr>
            <w:tcW w:w="1166" w:type="dxa"/>
            <w:tcBorders>
              <w:top w:val="nil"/>
              <w:left w:val="nil"/>
              <w:bottom w:val="single" w:sz="4" w:space="0" w:color="auto"/>
              <w:right w:val="single" w:sz="4" w:space="0" w:color="auto"/>
            </w:tcBorders>
            <w:shd w:val="clear" w:color="000000" w:fill="8DB3E2"/>
            <w:noWrap/>
            <w:vAlign w:val="center"/>
            <w:hideMark/>
          </w:tcPr>
          <w:p w:rsidR="00863B4D" w:rsidRPr="00B56D9D" w:rsidRDefault="00863B4D" w:rsidP="00863B4D">
            <w:pPr>
              <w:rPr>
                <w:b/>
                <w:bCs/>
                <w:sz w:val="18"/>
                <w:szCs w:val="18"/>
              </w:rPr>
            </w:pPr>
            <w:r w:rsidRPr="00B56D9D">
              <w:rPr>
                <w:b/>
                <w:bCs/>
                <w:sz w:val="18"/>
                <w:szCs w:val="18"/>
              </w:rPr>
              <w:t> </w:t>
            </w:r>
          </w:p>
        </w:tc>
        <w:tc>
          <w:tcPr>
            <w:tcW w:w="1116" w:type="dxa"/>
            <w:tcBorders>
              <w:top w:val="nil"/>
              <w:left w:val="nil"/>
              <w:bottom w:val="single" w:sz="4" w:space="0" w:color="auto"/>
              <w:right w:val="single" w:sz="4" w:space="0" w:color="auto"/>
            </w:tcBorders>
            <w:shd w:val="clear" w:color="000000" w:fill="8DB3E2"/>
            <w:noWrap/>
            <w:vAlign w:val="center"/>
            <w:hideMark/>
          </w:tcPr>
          <w:p w:rsidR="00863B4D" w:rsidRPr="00B56D9D" w:rsidRDefault="00863B4D" w:rsidP="00863B4D">
            <w:pPr>
              <w:rPr>
                <w:b/>
                <w:bCs/>
                <w:sz w:val="18"/>
                <w:szCs w:val="18"/>
              </w:rPr>
            </w:pPr>
            <w:r w:rsidRPr="00B56D9D">
              <w:rPr>
                <w:b/>
                <w:bCs/>
                <w:sz w:val="18"/>
                <w:szCs w:val="18"/>
              </w:rPr>
              <w:t> </w:t>
            </w:r>
          </w:p>
        </w:tc>
        <w:tc>
          <w:tcPr>
            <w:tcW w:w="1116" w:type="dxa"/>
            <w:tcBorders>
              <w:top w:val="nil"/>
              <w:left w:val="nil"/>
              <w:bottom w:val="single" w:sz="4" w:space="0" w:color="auto"/>
              <w:right w:val="single" w:sz="4" w:space="0" w:color="auto"/>
            </w:tcBorders>
            <w:shd w:val="clear" w:color="000000" w:fill="8DB3E2"/>
            <w:noWrap/>
            <w:vAlign w:val="center"/>
            <w:hideMark/>
          </w:tcPr>
          <w:p w:rsidR="00863B4D" w:rsidRPr="00B56D9D" w:rsidRDefault="00863B4D" w:rsidP="00863B4D">
            <w:pPr>
              <w:rPr>
                <w:b/>
                <w:bCs/>
                <w:sz w:val="18"/>
                <w:szCs w:val="18"/>
              </w:rPr>
            </w:pPr>
            <w:r w:rsidRPr="00B56D9D">
              <w:rPr>
                <w:b/>
                <w:bCs/>
                <w:sz w:val="18"/>
                <w:szCs w:val="18"/>
              </w:rPr>
              <w:t> </w:t>
            </w:r>
          </w:p>
        </w:tc>
        <w:tc>
          <w:tcPr>
            <w:tcW w:w="1266" w:type="dxa"/>
            <w:tcBorders>
              <w:top w:val="nil"/>
              <w:left w:val="nil"/>
              <w:bottom w:val="single" w:sz="4" w:space="0" w:color="auto"/>
              <w:right w:val="single" w:sz="4" w:space="0" w:color="auto"/>
            </w:tcBorders>
            <w:shd w:val="clear" w:color="000000" w:fill="8DB3E2"/>
            <w:noWrap/>
            <w:vAlign w:val="center"/>
            <w:hideMark/>
          </w:tcPr>
          <w:p w:rsidR="00863B4D" w:rsidRPr="00B56D9D" w:rsidRDefault="00863B4D" w:rsidP="00863B4D">
            <w:pPr>
              <w:rPr>
                <w:b/>
                <w:bCs/>
                <w:sz w:val="18"/>
                <w:szCs w:val="18"/>
              </w:rPr>
            </w:pPr>
            <w:r w:rsidRPr="00B56D9D">
              <w:rPr>
                <w:b/>
                <w:bCs/>
                <w:sz w:val="18"/>
                <w:szCs w:val="18"/>
              </w:rPr>
              <w:t> </w:t>
            </w:r>
          </w:p>
        </w:tc>
        <w:tc>
          <w:tcPr>
            <w:tcW w:w="1039" w:type="dxa"/>
            <w:tcBorders>
              <w:top w:val="nil"/>
              <w:left w:val="nil"/>
              <w:bottom w:val="single" w:sz="4" w:space="0" w:color="auto"/>
              <w:right w:val="single" w:sz="4" w:space="0" w:color="auto"/>
            </w:tcBorders>
            <w:shd w:val="clear" w:color="000000" w:fill="8DB3E2"/>
            <w:noWrap/>
            <w:vAlign w:val="center"/>
            <w:hideMark/>
          </w:tcPr>
          <w:p w:rsidR="00863B4D" w:rsidRPr="00B56D9D" w:rsidRDefault="00863B4D" w:rsidP="00863B4D">
            <w:pPr>
              <w:rPr>
                <w:b/>
                <w:bCs/>
                <w:sz w:val="18"/>
                <w:szCs w:val="18"/>
              </w:rPr>
            </w:pPr>
            <w:r w:rsidRPr="00B56D9D">
              <w:rPr>
                <w:b/>
                <w:bCs/>
                <w:sz w:val="18"/>
                <w:szCs w:val="18"/>
              </w:rPr>
              <w:t> </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Pelnas prieš mokesčius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120013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149144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104417</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71537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2549809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2708936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2698137</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2928563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Nematerialus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3896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3852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3382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2623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Pelno mokesčio tarifas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Kapitalo kaina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rPr>
                <w:b/>
                <w:bCs/>
                <w:sz w:val="18"/>
                <w:szCs w:val="18"/>
              </w:rPr>
            </w:pPr>
            <w:r w:rsidRPr="00B56D9D">
              <w:rPr>
                <w:b/>
                <w:bCs/>
                <w:sz w:val="18"/>
                <w:szCs w:val="18"/>
              </w:rPr>
              <w:t>Ekonominė veiklos rūšis: D35 Elektros, dujų, garo tiekimas ir oro kondicionavimas*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pelnas prieš mokesčius;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-1002595</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400832</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312630</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324200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19732111</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21385182</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19270138</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nematerialus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49840</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188692</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362641</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362590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ROA</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-5.08</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1.87</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1.62</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1.68</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Šakos ROA ir Įmonės ROA skirtumas (jei didesnis už 0, rodiklis toliau neskaičiuojamas)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-8.80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-4.03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-1.93</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-0.91</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Pr>
                <w:sz w:val="18"/>
                <w:szCs w:val="18"/>
              </w:rPr>
              <w:t>-</w:t>
            </w:r>
            <w:r w:rsidRPr="00B56D9D">
              <w:rPr>
                <w:sz w:val="18"/>
                <w:szCs w:val="18"/>
              </w:rPr>
              <w:t> </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AB „Lietuvos dujos“ CIV</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2072698.74</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813393.95</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496884.80</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22309900.01</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b/>
                <w:bCs/>
                <w:sz w:val="18"/>
                <w:szCs w:val="18"/>
              </w:rPr>
            </w:pPr>
            <w:r w:rsidRPr="00B56D9D">
              <w:rPr>
                <w:b/>
                <w:bCs/>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548DD4"/>
            <w:noWrap/>
            <w:vAlign w:val="center"/>
            <w:hideMark/>
          </w:tcPr>
          <w:p w:rsidR="00863B4D" w:rsidRPr="00B56D9D" w:rsidRDefault="00863B4D" w:rsidP="00863B4D">
            <w:pPr>
              <w:jc w:val="center"/>
              <w:rPr>
                <w:b/>
                <w:bCs/>
                <w:sz w:val="18"/>
                <w:szCs w:val="18"/>
              </w:rPr>
            </w:pPr>
            <w:r w:rsidRPr="00B56D9D">
              <w:rPr>
                <w:b/>
                <w:bCs/>
                <w:sz w:val="18"/>
                <w:szCs w:val="18"/>
              </w:rPr>
              <w:t>AB „Panevėžio statybos trestas“</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863B4D" w:rsidRPr="00B56D9D" w:rsidRDefault="00863B4D" w:rsidP="00863B4D">
            <w:pPr>
              <w:jc w:val="center"/>
              <w:rPr>
                <w:b/>
                <w:bCs/>
                <w:color w:val="000000"/>
                <w:sz w:val="18"/>
                <w:szCs w:val="18"/>
              </w:rPr>
            </w:pPr>
            <w:r w:rsidRPr="00B56D9D">
              <w:rPr>
                <w:b/>
                <w:bCs/>
                <w:color w:val="000000"/>
                <w:sz w:val="18"/>
                <w:szCs w:val="18"/>
              </w:rPr>
              <w:t>FINANSINIAI RODIKLIAI</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Grynasis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4814168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10145295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1595942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1448149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 xml:space="preserve">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184480251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186583848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208600421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200559010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 xml:space="preserve">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Nuosavas kapitalas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123587281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132588076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130434694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131868420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 xml:space="preserve">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ROA - turto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5.44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0.77</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0.72</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ROE - kapitalo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3.90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7.65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PRIDĖTINĖS VERTĖS INTELEKTINIO KAPITALO KOEFICIENTAS VAIC</w:t>
            </w:r>
            <w:r>
              <w:rPr>
                <w:b/>
                <w:bCs/>
                <w:sz w:val="18"/>
                <w:szCs w:val="18"/>
              </w:rPr>
              <w: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OP - veiklos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4219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9324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3993</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1356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EC - išlaidos darbuotojams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27790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31007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36041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36197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D + A - nusidėvėjimas ir amortizacija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6484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5687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4866</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3847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AF3226">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 - pridėtinė vertė</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38493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46018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44900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41400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AF3226" w:rsidRPr="00B56D9D" w:rsidTr="00865FC9">
        <w:trPr>
          <w:trHeight w:val="227"/>
        </w:trPr>
        <w:tc>
          <w:tcPr>
            <w:tcW w:w="9730" w:type="dxa"/>
            <w:gridSpan w:val="6"/>
            <w:tcBorders>
              <w:top w:val="single" w:sz="4" w:space="0" w:color="auto"/>
            </w:tcBorders>
            <w:shd w:val="clear" w:color="auto" w:fill="auto"/>
            <w:noWrap/>
            <w:vAlign w:val="center"/>
          </w:tcPr>
          <w:p w:rsidR="00AF3226" w:rsidRPr="00B56D9D" w:rsidRDefault="00AF3226" w:rsidP="00AF3226">
            <w:pPr>
              <w:jc w:val="right"/>
              <w:rPr>
                <w:sz w:val="18"/>
                <w:szCs w:val="18"/>
              </w:rPr>
            </w:pPr>
            <w:r>
              <w:rPr>
                <w:sz w:val="18"/>
                <w:szCs w:val="18"/>
              </w:rPr>
              <w:t>1 lentelės tęsinys kitame puslapyje</w:t>
            </w:r>
          </w:p>
        </w:tc>
      </w:tr>
      <w:tr w:rsidR="00AF3226" w:rsidRPr="00B56D9D" w:rsidTr="009A562C">
        <w:trPr>
          <w:trHeight w:val="227"/>
        </w:trPr>
        <w:tc>
          <w:tcPr>
            <w:tcW w:w="9730" w:type="dxa"/>
            <w:gridSpan w:val="6"/>
            <w:tcBorders>
              <w:bottom w:val="single" w:sz="4" w:space="0" w:color="auto"/>
            </w:tcBorders>
            <w:shd w:val="clear" w:color="auto" w:fill="auto"/>
            <w:noWrap/>
            <w:vAlign w:val="center"/>
          </w:tcPr>
          <w:p w:rsidR="00AF3226" w:rsidRPr="00B56D9D" w:rsidRDefault="00AF3226" w:rsidP="00AF3226">
            <w:pPr>
              <w:jc w:val="right"/>
              <w:rPr>
                <w:sz w:val="18"/>
                <w:szCs w:val="18"/>
              </w:rPr>
            </w:pPr>
            <w:r>
              <w:rPr>
                <w:sz w:val="18"/>
                <w:szCs w:val="18"/>
              </w:rPr>
              <w:t>1 lentelės tęsinys</w:t>
            </w:r>
          </w:p>
        </w:tc>
      </w:tr>
      <w:tr w:rsidR="00863B4D" w:rsidRPr="00B56D9D" w:rsidTr="00AF3226">
        <w:trPr>
          <w:trHeight w:val="227"/>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CA - bendras turtas minus nematerialius turtas</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184400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186559</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208579</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200370</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HC - visas DU</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27790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31007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36041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36197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 - struktūrinis kapitalas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10703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15011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8859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5203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VACA = VA/CA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VAHU =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STVA = ST/VA</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0.28</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0.33</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0.20</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0.13</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AB „Panevėžio statybos trestas“ VAIC</w:t>
            </w:r>
            <w:r>
              <w:rPr>
                <w:b/>
                <w:bCs/>
                <w:sz w:val="18"/>
                <w:szCs w:val="18"/>
              </w:rPr>
              <w:t>™</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1.87</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2.06</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1.66</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1.48</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Intelektinio kapitalo efektyvumas, ICE</w:t>
            </w:r>
          </w:p>
        </w:tc>
        <w:tc>
          <w:tcPr>
            <w:tcW w:w="11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1.66</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1.81</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1.44</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1.27</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APSKAIČIUOTOSIOS NEMATERIALIOS VERTĖS METODAS CIV</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Pelnas prieš mokesčius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8140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11239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4567</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2312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184480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186584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208600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200559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Nematerialus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Pelno mokesčio tarifas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Kapitalo kaina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rPr>
                <w:b/>
                <w:bCs/>
                <w:sz w:val="18"/>
                <w:szCs w:val="18"/>
              </w:rPr>
            </w:pPr>
            <w:r w:rsidRPr="00B56D9D">
              <w:rPr>
                <w:b/>
                <w:bCs/>
                <w:sz w:val="18"/>
                <w:szCs w:val="18"/>
              </w:rPr>
              <w:t>Ekonominė veiklos rūšis: F41 Pastatų statyba*</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pelnas prieš mokesčius;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-744436</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-383702</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-201179</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10882116</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9600465</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8552746</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nematerialus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59303</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60184</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44837</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10601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ROA</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-6.84</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-2.35</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-1.21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Šakos ROA ir Įmonės ROA skirtumas (jei didesnis už 0, rodiklis toliau neskaičiuojamas)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-9.45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-9.44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-3.12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-1.93</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AB „Panevėžio statybos trestas“ CIV</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172853.50</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155575.27</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78849.81</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19191.41</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548DD4"/>
            <w:noWrap/>
            <w:vAlign w:val="center"/>
            <w:hideMark/>
          </w:tcPr>
          <w:p w:rsidR="00863B4D" w:rsidRPr="00B56D9D" w:rsidRDefault="00863B4D" w:rsidP="00863B4D">
            <w:pPr>
              <w:jc w:val="center"/>
              <w:rPr>
                <w:b/>
                <w:bCs/>
                <w:sz w:val="18"/>
                <w:szCs w:val="18"/>
              </w:rPr>
            </w:pPr>
            <w:r w:rsidRPr="00B56D9D">
              <w:rPr>
                <w:b/>
                <w:bCs/>
                <w:sz w:val="18"/>
                <w:szCs w:val="18"/>
              </w:rPr>
              <w:t>AB „Pieno žvaigždės“</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863B4D" w:rsidRPr="00B56D9D" w:rsidRDefault="00863B4D" w:rsidP="00863B4D">
            <w:pPr>
              <w:jc w:val="center"/>
              <w:rPr>
                <w:b/>
                <w:bCs/>
                <w:color w:val="000000"/>
                <w:sz w:val="18"/>
                <w:szCs w:val="18"/>
              </w:rPr>
            </w:pPr>
            <w:r w:rsidRPr="00B56D9D">
              <w:rPr>
                <w:b/>
                <w:bCs/>
                <w:color w:val="000000"/>
                <w:sz w:val="18"/>
                <w:szCs w:val="18"/>
              </w:rPr>
              <w:t>FINANSINIAI RODIKLIAI</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Grynasis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14565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18570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25685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29066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335222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325835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333403</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337721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Nuosavas kapitalas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148812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147043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147832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148499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ROA - turto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4.34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5.70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7.70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8.61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ROE - kapitalo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9.79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12.63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17.37</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19.57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PRIDĖTINĖS VERTĖS INTELEKTINIO KAPITALO KOEFICIENTAS VAIC</w:t>
            </w:r>
            <w:r>
              <w:rPr>
                <w:b/>
                <w:bCs/>
                <w:sz w:val="18"/>
                <w:szCs w:val="18"/>
              </w:rPr>
              <w: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OP - veiklos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26756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24908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34173</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39241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EC - išlaidos darbuotojams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39913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34982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34584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37599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D + A - nusidėvėjimas ir amortizacija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42576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39798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33413</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32018</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 - pridėtinė vertė</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109245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99688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102170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108858</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CA - bendras turtas minus nematerialius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334327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324637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332504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337007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HC - visas DU</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39913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34982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34584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37599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 - struktūrinis kapitalas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69332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64706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67586</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71259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VACA = VA/CA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0.33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0.31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0.31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0.32</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VAHU =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2.74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2.85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STVA = ST/VA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0.63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0.65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0.66</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0.65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AB „Pieno žvaigždės“ VAIC</w:t>
            </w:r>
            <w:r>
              <w:rPr>
                <w:b/>
                <w:bCs/>
                <w:sz w:val="18"/>
                <w:szCs w:val="18"/>
              </w:rPr>
              <w:t>™</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3.70</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3.81</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3.92</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3.87</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Intelektinio kapitalo efektyvumas, ICE</w:t>
            </w:r>
          </w:p>
        </w:tc>
        <w:tc>
          <w:tcPr>
            <w:tcW w:w="11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3.37</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3.50</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3.62</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3.55</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APSKAIČIUOTOSIOS NEMATERIALIOS VERTĖS METODAS CIV</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Pelnas prieš mokesčius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19668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21813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2996</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34168</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335222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325835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333403</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337721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Nematerialus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895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1198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899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714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Pelno mokesčio tarifas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Kapitalo kaina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rPr>
                <w:b/>
                <w:bCs/>
                <w:sz w:val="18"/>
                <w:szCs w:val="18"/>
              </w:rPr>
            </w:pPr>
            <w:r w:rsidRPr="00B56D9D">
              <w:rPr>
                <w:b/>
                <w:bCs/>
                <w:sz w:val="18"/>
                <w:szCs w:val="18"/>
              </w:rPr>
              <w:t xml:space="preserve"> Ekonominė veiklos rūšis: C10 Maisto produktų gamyba*</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pelnas prieš mokesčius;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252996</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242895</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290587</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5117573</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5238573</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5774507</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AF3226">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nematerialus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73911</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48404</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43923</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25586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AF3226" w:rsidRPr="00B56D9D" w:rsidTr="00AF3226">
        <w:trPr>
          <w:trHeight w:val="227"/>
        </w:trPr>
        <w:tc>
          <w:tcPr>
            <w:tcW w:w="9730" w:type="dxa"/>
            <w:gridSpan w:val="6"/>
            <w:tcBorders>
              <w:top w:val="single" w:sz="4" w:space="0" w:color="auto"/>
            </w:tcBorders>
            <w:shd w:val="clear" w:color="auto" w:fill="auto"/>
            <w:noWrap/>
            <w:vAlign w:val="center"/>
          </w:tcPr>
          <w:p w:rsidR="00AF3226" w:rsidRPr="00B56D9D" w:rsidRDefault="00AF3226" w:rsidP="00AF3226">
            <w:pPr>
              <w:jc w:val="right"/>
              <w:rPr>
                <w:sz w:val="18"/>
                <w:szCs w:val="18"/>
              </w:rPr>
            </w:pPr>
            <w:r>
              <w:rPr>
                <w:sz w:val="18"/>
                <w:szCs w:val="18"/>
              </w:rPr>
              <w:t>1 lentelės tęsinys kitame puslapyje</w:t>
            </w:r>
          </w:p>
        </w:tc>
      </w:tr>
      <w:tr w:rsidR="00AF3226" w:rsidRPr="00B56D9D" w:rsidTr="00E52ACC">
        <w:trPr>
          <w:trHeight w:val="227"/>
        </w:trPr>
        <w:tc>
          <w:tcPr>
            <w:tcW w:w="9730" w:type="dxa"/>
            <w:gridSpan w:val="6"/>
            <w:tcBorders>
              <w:bottom w:val="single" w:sz="4" w:space="0" w:color="auto"/>
            </w:tcBorders>
            <w:shd w:val="clear" w:color="auto" w:fill="auto"/>
            <w:noWrap/>
            <w:vAlign w:val="center"/>
          </w:tcPr>
          <w:p w:rsidR="00AF3226" w:rsidRPr="00B56D9D" w:rsidRDefault="00AF3226" w:rsidP="00AF3226">
            <w:pPr>
              <w:jc w:val="right"/>
              <w:rPr>
                <w:sz w:val="18"/>
                <w:szCs w:val="18"/>
              </w:rPr>
            </w:pPr>
            <w:r>
              <w:rPr>
                <w:sz w:val="18"/>
                <w:szCs w:val="18"/>
              </w:rPr>
              <w:t>1 lentelės tęsinys</w:t>
            </w:r>
          </w:p>
        </w:tc>
      </w:tr>
      <w:tr w:rsidR="00863B4D" w:rsidRPr="00B56D9D" w:rsidTr="00AF3226">
        <w:trPr>
          <w:trHeight w:val="227"/>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ROA</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4.94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4.64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6.15</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Šakos ROA ir Įmonės ROA skirtumas (jei didesnis už 0, rodiklis toliau neskaičiuojamas)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0.60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-2.67</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-2.46</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Pr>
                <w:sz w:val="18"/>
                <w:szCs w:val="18"/>
              </w:rPr>
              <w:t>-</w:t>
            </w:r>
            <w:r w:rsidRPr="00B56D9D">
              <w:rPr>
                <w:sz w:val="18"/>
                <w:szCs w:val="18"/>
              </w:rPr>
              <w:t> </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AB „Pieno žvaigždės“ CIV</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0.00</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54953.62</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-115087.38</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283621.09</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548DD4"/>
            <w:noWrap/>
            <w:vAlign w:val="center"/>
            <w:hideMark/>
          </w:tcPr>
          <w:p w:rsidR="00863B4D" w:rsidRPr="00B56D9D" w:rsidRDefault="00863B4D" w:rsidP="00863B4D">
            <w:pPr>
              <w:jc w:val="center"/>
              <w:rPr>
                <w:b/>
                <w:bCs/>
                <w:sz w:val="18"/>
                <w:szCs w:val="18"/>
              </w:rPr>
            </w:pPr>
            <w:r w:rsidRPr="00B56D9D">
              <w:rPr>
                <w:b/>
                <w:bCs/>
                <w:sz w:val="18"/>
                <w:szCs w:val="18"/>
              </w:rPr>
              <w:t>AB „Rokiškio sūris“</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863B4D" w:rsidRPr="00B56D9D" w:rsidRDefault="00863B4D" w:rsidP="00863B4D">
            <w:pPr>
              <w:jc w:val="center"/>
              <w:rPr>
                <w:b/>
                <w:bCs/>
                <w:color w:val="000000"/>
                <w:sz w:val="18"/>
                <w:szCs w:val="18"/>
              </w:rPr>
            </w:pPr>
            <w:r w:rsidRPr="00B56D9D">
              <w:rPr>
                <w:b/>
                <w:bCs/>
                <w:color w:val="000000"/>
                <w:sz w:val="18"/>
                <w:szCs w:val="18"/>
              </w:rPr>
              <w:t>FINANSINIAI RODIKLIAI</w:t>
            </w:r>
          </w:p>
        </w:tc>
      </w:tr>
      <w:tr w:rsidR="00863B4D" w:rsidRPr="00B56D9D" w:rsidTr="00863B4D">
        <w:trPr>
          <w:trHeight w:val="227"/>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Grynasis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8350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24878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19884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14320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325925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308390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412762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396955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Nuosavas kapitalas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173253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182809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257264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268077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ROA - turto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8.07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4.82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3.61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ROE - kapitalo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4.82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13.61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7.73</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5.34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PRIDĖTINĖS VERTĖS INTELEKTINIO KAPITALO KOEFICIENTAS VAIC</w:t>
            </w:r>
            <w:r>
              <w:rPr>
                <w:b/>
                <w:bCs/>
                <w:sz w:val="18"/>
                <w:szCs w:val="18"/>
              </w:rPr>
              <w: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OP - veiklos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15344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29971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26657</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17910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EC - išlaidos darbuotojams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29661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29377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34164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35927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D + A - nusidėvėjimas ir amortizacija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23124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21077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18329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27661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 - pridėtinė vertė</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68129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80425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79150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81498</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CA - bendras turtas minus nematerialius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325525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307826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412338</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396741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HC - visas DU</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29661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29377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34164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35927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 - struktūrinis kapitalas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38468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51048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44986</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45571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VACA = VA/CA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VAHU =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2.30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2.74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2.32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2.27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STVA = ST/VA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0.56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0.63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0.57</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0.56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AB „Rokiškio sūris“ VAIC</w:t>
            </w:r>
            <w:r>
              <w:rPr>
                <w:b/>
                <w:bCs/>
                <w:sz w:val="18"/>
                <w:szCs w:val="18"/>
              </w:rPr>
              <w:t>™</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3.07</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3.63</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3.08</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3.03</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Intelektinio kapitalo efektyvumas, ICE</w:t>
            </w:r>
          </w:p>
        </w:tc>
        <w:tc>
          <w:tcPr>
            <w:tcW w:w="11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2.86</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3.37</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2.89</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2.83</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APSKAIČIUOTOSIOS NEMATERIALIOS VERTĖS METODAS CIV</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Pelnas prieš mokesčius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13083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28954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25148</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16848</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325925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308390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412762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396955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Nematerialus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400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564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424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214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Pelno mokesčio tarifas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Kapitalo kaina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rPr>
                <w:b/>
                <w:bCs/>
                <w:sz w:val="18"/>
                <w:szCs w:val="18"/>
              </w:rPr>
            </w:pPr>
            <w:r w:rsidRPr="00B56D9D">
              <w:rPr>
                <w:b/>
                <w:bCs/>
                <w:sz w:val="18"/>
                <w:szCs w:val="18"/>
              </w:rPr>
              <w:t>Ekonominė veiklos rūšis: C10 Maisto produktų gamyba*</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pelnas prieš mokesčius;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252996</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242895</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290587</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5117573</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5238573</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5774507</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nematerialus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73911</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48404</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43923</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25586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ROA</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4.94</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4.64</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5.03</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6.15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Šakos ROA ir Įmonės ROA skirtumas (jei didesnis už 0, rodiklis toliau neskaičiuojamas)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2.38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-3.43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2.54</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Pr>
                <w:sz w:val="18"/>
                <w:szCs w:val="18"/>
              </w:rPr>
              <w:t>-</w:t>
            </w:r>
            <w:r w:rsidRPr="00B56D9D">
              <w:rPr>
                <w:sz w:val="18"/>
                <w:szCs w:val="18"/>
              </w:rPr>
              <w:t> </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AB „Rokiškio sūris“ CIV</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0.00</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120760.05</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0.00</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0.00</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548DD4"/>
            <w:noWrap/>
            <w:vAlign w:val="center"/>
            <w:hideMark/>
          </w:tcPr>
          <w:p w:rsidR="00863B4D" w:rsidRPr="00B56D9D" w:rsidRDefault="00863B4D" w:rsidP="00863B4D">
            <w:pPr>
              <w:jc w:val="center"/>
              <w:rPr>
                <w:b/>
                <w:bCs/>
                <w:sz w:val="18"/>
                <w:szCs w:val="18"/>
              </w:rPr>
            </w:pPr>
            <w:r w:rsidRPr="00B56D9D">
              <w:rPr>
                <w:b/>
                <w:bCs/>
                <w:sz w:val="18"/>
                <w:szCs w:val="18"/>
              </w:rPr>
              <w:t>TEO LT, AB</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863B4D" w:rsidRPr="00B56D9D" w:rsidRDefault="00863B4D" w:rsidP="00863B4D">
            <w:pPr>
              <w:jc w:val="center"/>
              <w:rPr>
                <w:b/>
                <w:bCs/>
                <w:color w:val="000000"/>
                <w:sz w:val="18"/>
                <w:szCs w:val="18"/>
              </w:rPr>
            </w:pPr>
            <w:r w:rsidRPr="00B56D9D">
              <w:rPr>
                <w:b/>
                <w:bCs/>
                <w:color w:val="000000"/>
                <w:sz w:val="18"/>
                <w:szCs w:val="18"/>
              </w:rPr>
              <w:t>FINANSINIAI RODIKLIAI</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Grynasis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161367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161808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152840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154869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1119070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1143557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1101209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1116380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Nuosavas kapitalas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1003973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1002650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1015663</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1015168</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ROA - turto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14.42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13.88</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13.87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ROE - kapitalo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16.07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16.14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15.05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15.26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PRIDĖTINĖS VERTĖS INTELEKTINIO KAPITALO KOEFICIENTAS VAIC</w:t>
            </w:r>
            <w:r>
              <w:rPr>
                <w:b/>
                <w:bCs/>
                <w:sz w:val="18"/>
                <w:szCs w:val="18"/>
              </w:rPr>
              <w: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OP - veiklos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187358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176222</w:t>
            </w:r>
          </w:p>
        </w:tc>
        <w:tc>
          <w:tcPr>
            <w:tcW w:w="111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166589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170647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EC - išlaidos darbuotojams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140083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116621</w:t>
            </w:r>
          </w:p>
        </w:tc>
        <w:tc>
          <w:tcPr>
            <w:tcW w:w="111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114800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124213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D + A - nusidėvėjimas ir amortizacija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133651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124055</w:t>
            </w:r>
          </w:p>
        </w:tc>
        <w:tc>
          <w:tcPr>
            <w:tcW w:w="111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124920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118564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AF3226">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 - pridėtinė vertė</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461092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416898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406309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413424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AF3226" w:rsidRPr="00B56D9D" w:rsidTr="00AF3226">
        <w:trPr>
          <w:trHeight w:val="217"/>
        </w:trPr>
        <w:tc>
          <w:tcPr>
            <w:tcW w:w="9730" w:type="dxa"/>
            <w:gridSpan w:val="6"/>
            <w:tcBorders>
              <w:top w:val="single" w:sz="4" w:space="0" w:color="auto"/>
            </w:tcBorders>
            <w:shd w:val="clear" w:color="auto" w:fill="auto"/>
            <w:noWrap/>
            <w:vAlign w:val="center"/>
          </w:tcPr>
          <w:p w:rsidR="00AF3226" w:rsidRPr="00B56D9D" w:rsidRDefault="00AF3226" w:rsidP="00AF3226">
            <w:pPr>
              <w:jc w:val="right"/>
              <w:rPr>
                <w:sz w:val="18"/>
                <w:szCs w:val="18"/>
              </w:rPr>
            </w:pPr>
            <w:r>
              <w:rPr>
                <w:sz w:val="18"/>
                <w:szCs w:val="18"/>
              </w:rPr>
              <w:t>1 lentelės tęsinys kitame puslapyje</w:t>
            </w:r>
          </w:p>
        </w:tc>
      </w:tr>
      <w:tr w:rsidR="00AF3226" w:rsidRPr="00B56D9D" w:rsidTr="00AF3226">
        <w:trPr>
          <w:trHeight w:val="288"/>
        </w:trPr>
        <w:tc>
          <w:tcPr>
            <w:tcW w:w="9730" w:type="dxa"/>
            <w:gridSpan w:val="6"/>
            <w:tcBorders>
              <w:bottom w:val="single" w:sz="4" w:space="0" w:color="auto"/>
            </w:tcBorders>
            <w:shd w:val="clear" w:color="auto" w:fill="auto"/>
            <w:noWrap/>
            <w:vAlign w:val="center"/>
          </w:tcPr>
          <w:p w:rsidR="00AF3226" w:rsidRPr="00B56D9D" w:rsidRDefault="00AF3226" w:rsidP="00AF3226">
            <w:pPr>
              <w:jc w:val="right"/>
              <w:rPr>
                <w:sz w:val="18"/>
                <w:szCs w:val="18"/>
              </w:rPr>
            </w:pPr>
            <w:r>
              <w:rPr>
                <w:sz w:val="18"/>
                <w:szCs w:val="18"/>
              </w:rPr>
              <w:t>1 lentelės tęsinys</w:t>
            </w:r>
          </w:p>
        </w:tc>
      </w:tr>
      <w:tr w:rsidR="00863B4D" w:rsidRPr="00B56D9D" w:rsidTr="00AF3226">
        <w:trPr>
          <w:trHeight w:val="227"/>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CA - bendras turtas minus nematerialius turtas</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1092027</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1112413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1074999</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1090295</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HC - visas DU</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140083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116621</w:t>
            </w:r>
          </w:p>
        </w:tc>
        <w:tc>
          <w:tcPr>
            <w:tcW w:w="111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114800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124213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 - struktūrinis kapitalas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321009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300277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291509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289211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VACA = VA/CA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0.42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0.37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0.38</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0.38</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VAHU =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3.29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3.57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3.54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3.33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STVA = ST/VA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0.70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0.72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0.72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0.70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TEO LT, AB VAIC</w:t>
            </w:r>
            <w:r>
              <w:rPr>
                <w:b/>
                <w:bCs/>
                <w:sz w:val="18"/>
                <w:szCs w:val="18"/>
              </w:rPr>
              <w:t>™</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4.41</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4.67</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4.63</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4.41</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Intelektinio kapitalo efektyvumas, ICE</w:t>
            </w:r>
          </w:p>
        </w:tc>
        <w:tc>
          <w:tcPr>
            <w:tcW w:w="11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3.99</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4.30</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4.26</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4.03</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APSKAIČIUOTOSIOS NEMATERIALIOS VERTĖS METODAS CIV</w:t>
            </w:r>
          </w:p>
        </w:tc>
      </w:tr>
      <w:tr w:rsidR="00863B4D" w:rsidRPr="00B56D9D" w:rsidTr="00863B4D">
        <w:trPr>
          <w:trHeight w:val="227"/>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Pelnas prieš mokesčius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189237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177448</w:t>
            </w:r>
          </w:p>
        </w:tc>
        <w:tc>
          <w:tcPr>
            <w:tcW w:w="111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168769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171467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1119070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1143557</w:t>
            </w:r>
          </w:p>
        </w:tc>
        <w:tc>
          <w:tcPr>
            <w:tcW w:w="111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1101209</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1116380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Nematerialus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27043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31144</w:t>
            </w:r>
          </w:p>
        </w:tc>
        <w:tc>
          <w:tcPr>
            <w:tcW w:w="111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26210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26085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Pelno mokesčio tarifas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Kapitalo kaina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63B4D" w:rsidRPr="00B56D9D" w:rsidRDefault="00863B4D" w:rsidP="00863B4D">
            <w:pPr>
              <w:rPr>
                <w:b/>
                <w:bCs/>
                <w:sz w:val="18"/>
                <w:szCs w:val="18"/>
              </w:rPr>
            </w:pPr>
            <w:r w:rsidRPr="00B56D9D">
              <w:rPr>
                <w:b/>
                <w:bCs/>
                <w:sz w:val="18"/>
                <w:szCs w:val="18"/>
              </w:rPr>
              <w:t>Ekonominė veiklos rūšis: J61 Telekomunikacijos*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pelnas prieš mokesčius;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414944</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404129</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346372</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4041420</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4219363</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4541450</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nematerialus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819263</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758385</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721366</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739795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ROA</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10.27</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9.58</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7.63</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8.83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Šakos ROA ir Įmonės ROA skirtumas (jei didesnis už 0, rodiklis toliau neskaičiuojamas)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-4.57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-6.25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-5.04</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TEO LT, AB CIV</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403480.94</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394739.96</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591824.44</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1423310.06</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548DD4"/>
            <w:noWrap/>
            <w:vAlign w:val="center"/>
            <w:hideMark/>
          </w:tcPr>
          <w:p w:rsidR="00863B4D" w:rsidRPr="00B56D9D" w:rsidRDefault="00863B4D" w:rsidP="00863B4D">
            <w:pPr>
              <w:jc w:val="center"/>
              <w:rPr>
                <w:b/>
                <w:bCs/>
                <w:sz w:val="18"/>
                <w:szCs w:val="18"/>
              </w:rPr>
            </w:pPr>
            <w:r w:rsidRPr="00B56D9D">
              <w:rPr>
                <w:b/>
                <w:bCs/>
                <w:sz w:val="18"/>
                <w:szCs w:val="18"/>
              </w:rPr>
              <w:t>AB „Vilkyškių pieninė“</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863B4D" w:rsidRPr="00B56D9D" w:rsidRDefault="00863B4D" w:rsidP="00863B4D">
            <w:pPr>
              <w:jc w:val="center"/>
              <w:rPr>
                <w:b/>
                <w:bCs/>
                <w:sz w:val="18"/>
                <w:szCs w:val="18"/>
              </w:rPr>
            </w:pPr>
            <w:r w:rsidRPr="00B56D9D">
              <w:rPr>
                <w:b/>
                <w:bCs/>
                <w:sz w:val="18"/>
                <w:szCs w:val="18"/>
              </w:rPr>
              <w:t>FINANSINIAI RODIKLIAI</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Grynasis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4104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3064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13546</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5175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102044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102906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122995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143229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Nuosavas kapitalas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38679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40615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49966</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51409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ROA - turto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4.02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11.01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3.61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ROE - kapitalo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10.61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7.54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27.11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10.07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PRIDĖTINĖS VERTĖS INTELEKTINIO KAPITALO KOEFICIENTAS VAIC</w:t>
            </w:r>
            <w:r>
              <w:rPr>
                <w:b/>
                <w:bCs/>
                <w:sz w:val="18"/>
                <w:szCs w:val="18"/>
              </w:rPr>
              <w: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OP - veiklos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7610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4903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2035</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-3486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EC - išlaidos darbuotojams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11105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12790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14035</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15685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D + A - nusidėvėjimas ir amortizacija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4448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4535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5347</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4247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 - pridėtinė vertė</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23163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22228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21417</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16446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CA - bendras turtas minus nematerialius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101436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102510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122862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143226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HC - visas DU</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11105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12790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14035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15685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 - struktūrinis kapitalas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12058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9438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7382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761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VACA = VA/CA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0.22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0.17</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VAHU =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1.74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1.53</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STVA = ST/VA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0.52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0.42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0.34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0.05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AB „Vilkyškių pieninė“ VAIC</w:t>
            </w:r>
            <w:r>
              <w:rPr>
                <w:b/>
                <w:bCs/>
                <w:sz w:val="18"/>
                <w:szCs w:val="18"/>
              </w:rPr>
              <w:t>™</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2.83</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2.38</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2.04</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1.21</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Intelektinio kapitalo efektyvumas, ICE</w:t>
            </w:r>
          </w:p>
        </w:tc>
        <w:tc>
          <w:tcPr>
            <w:tcW w:w="11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2.61</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2.16</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1.87</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1.09</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APSKAIČIUOTOSIOS NEMATERIALIOS VERTĖS METODAS CIV</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Pelnas prieš mokesčius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5353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3568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13509</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4403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102044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102906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122995</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143229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Nematerialus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608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396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133</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Pelno mokesčio tarifas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Kapitalo kaina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rPr>
                <w:b/>
                <w:bCs/>
                <w:sz w:val="18"/>
                <w:szCs w:val="18"/>
              </w:rPr>
            </w:pPr>
            <w:r w:rsidRPr="00B56D9D">
              <w:rPr>
                <w:b/>
                <w:bCs/>
                <w:sz w:val="18"/>
                <w:szCs w:val="18"/>
              </w:rPr>
              <w:t>Ekonominė veiklos rūšis: C10 Maisto produktų gamyba*</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pelnas prieš mokesčius;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252996</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242895</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290587</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5117573</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5238573</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5774507</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AF3226">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nematerialus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73911</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48404</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43923</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25586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AF3226" w:rsidRPr="00B56D9D" w:rsidTr="00D70316">
        <w:trPr>
          <w:trHeight w:val="227"/>
        </w:trPr>
        <w:tc>
          <w:tcPr>
            <w:tcW w:w="9730" w:type="dxa"/>
            <w:gridSpan w:val="6"/>
            <w:tcBorders>
              <w:top w:val="single" w:sz="4" w:space="0" w:color="auto"/>
            </w:tcBorders>
            <w:shd w:val="clear" w:color="auto" w:fill="auto"/>
            <w:noWrap/>
            <w:vAlign w:val="center"/>
          </w:tcPr>
          <w:p w:rsidR="00AF3226" w:rsidRPr="00B56D9D" w:rsidRDefault="00AF3226" w:rsidP="00AF3226">
            <w:pPr>
              <w:jc w:val="right"/>
              <w:rPr>
                <w:sz w:val="18"/>
                <w:szCs w:val="18"/>
              </w:rPr>
            </w:pPr>
            <w:r>
              <w:rPr>
                <w:sz w:val="18"/>
                <w:szCs w:val="18"/>
              </w:rPr>
              <w:t>1 lentelės tęsinys kitame puslapyje</w:t>
            </w:r>
          </w:p>
        </w:tc>
      </w:tr>
      <w:tr w:rsidR="00AF3226" w:rsidRPr="00B56D9D" w:rsidTr="007F28A8">
        <w:trPr>
          <w:trHeight w:val="227"/>
        </w:trPr>
        <w:tc>
          <w:tcPr>
            <w:tcW w:w="9730" w:type="dxa"/>
            <w:gridSpan w:val="6"/>
            <w:tcBorders>
              <w:top w:val="nil"/>
              <w:bottom w:val="single" w:sz="4" w:space="0" w:color="auto"/>
            </w:tcBorders>
            <w:shd w:val="clear" w:color="auto" w:fill="auto"/>
            <w:noWrap/>
            <w:vAlign w:val="center"/>
          </w:tcPr>
          <w:p w:rsidR="00AF3226" w:rsidRPr="00B56D9D" w:rsidRDefault="00AF3226" w:rsidP="00AF3226">
            <w:pPr>
              <w:jc w:val="right"/>
              <w:rPr>
                <w:sz w:val="18"/>
                <w:szCs w:val="18"/>
              </w:rPr>
            </w:pPr>
            <w:r>
              <w:rPr>
                <w:sz w:val="18"/>
                <w:szCs w:val="18"/>
              </w:rPr>
              <w:t>1 lentelės tęsinys</w:t>
            </w:r>
          </w:p>
        </w:tc>
      </w:tr>
      <w:tr w:rsidR="00863B4D" w:rsidRPr="00B56D9D" w:rsidTr="00AF3226">
        <w:trPr>
          <w:trHeight w:val="227"/>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ROA</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4.94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4.64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5.03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6.15</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Šakos ROA ir Įmonės ROA skirtumas (jei didesnis už 0, rodiklis toliau neskaičiuojamas)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0.92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1.66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-5.98</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2.54</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Pr>
                <w:sz w:val="18"/>
                <w:szCs w:val="18"/>
              </w:rPr>
              <w:t>-</w:t>
            </w:r>
            <w:r w:rsidRPr="00B56D9D">
              <w:rPr>
                <w:sz w:val="18"/>
                <w:szCs w:val="18"/>
              </w:rPr>
              <w:t> </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AB „Vilkyškių pieninė“ CIV</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0.00</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0.00</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60420.57</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0.00</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548DD4"/>
            <w:noWrap/>
            <w:vAlign w:val="center"/>
            <w:hideMark/>
          </w:tcPr>
          <w:p w:rsidR="00863B4D" w:rsidRPr="00B56D9D" w:rsidRDefault="00863B4D" w:rsidP="00863B4D">
            <w:pPr>
              <w:jc w:val="center"/>
              <w:rPr>
                <w:b/>
                <w:bCs/>
                <w:sz w:val="18"/>
                <w:szCs w:val="18"/>
              </w:rPr>
            </w:pPr>
            <w:r w:rsidRPr="00B56D9D">
              <w:rPr>
                <w:b/>
                <w:bCs/>
                <w:sz w:val="18"/>
                <w:szCs w:val="18"/>
              </w:rPr>
              <w:t>AB „Vilniaus baldai“</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863B4D" w:rsidRPr="00B56D9D" w:rsidRDefault="00863B4D" w:rsidP="00863B4D">
            <w:pPr>
              <w:jc w:val="center"/>
              <w:rPr>
                <w:b/>
                <w:bCs/>
                <w:color w:val="000000"/>
                <w:sz w:val="18"/>
                <w:szCs w:val="18"/>
              </w:rPr>
            </w:pPr>
            <w:r w:rsidRPr="00B56D9D">
              <w:rPr>
                <w:b/>
                <w:bCs/>
                <w:color w:val="000000"/>
                <w:sz w:val="18"/>
                <w:szCs w:val="18"/>
              </w:rPr>
              <w:t>FINANSINIAI RODIKLIAI</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Grynasis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15589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27848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26823</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26824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77943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108666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115972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98419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Nuosavas kapitalas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44869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72717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83995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71956</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ROA - turto grąžos rodiklis</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25.63</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23.13</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27.25</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ROE - kapitalo grąžos rodiklis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34.74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38.30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31.93</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37.28</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PRIDĖTINĖS VERTĖS INTELEKTINIO KAPITALO KOEFICIENTAS VAIC</w:t>
            </w:r>
            <w:r>
              <w:rPr>
                <w:b/>
                <w:bCs/>
                <w:sz w:val="18"/>
                <w:szCs w:val="18"/>
              </w:rPr>
              <w: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OP - veiklos pelnas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19744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31816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29725</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29198</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EC - išlaidos darbuotojams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19435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20865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22068</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23081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D + A - nusidėvėjimas ir amortizacija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6222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6387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6388</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5569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 - pridėtinė vertė</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45401</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59068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58181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57848</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CA - bendras turtas minus nematerialius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77673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108343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115785</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98362</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HC - visas DU</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19435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20865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22068</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23081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 - struktūrinis kapitalas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25966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38203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36113</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34767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VACA = VA/CA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0.58</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0.55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0.50</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0.59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VAHU = VA/HC</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2.34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2.83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2.64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2.51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STVA = ST/VA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0.57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0.65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0.62</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0.60</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AB „Vilniaus baldai“ VAIC</w:t>
            </w:r>
            <w:r>
              <w:rPr>
                <w:b/>
                <w:bCs/>
                <w:sz w:val="18"/>
                <w:szCs w:val="18"/>
              </w:rPr>
              <w:t>™</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3.49</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4.02</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3.76</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3.70</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Intelektinio kapitalo efektyvumas, ICE</w:t>
            </w:r>
          </w:p>
        </w:tc>
        <w:tc>
          <w:tcPr>
            <w:tcW w:w="11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2.91</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3.48</w:t>
            </w:r>
          </w:p>
        </w:tc>
        <w:tc>
          <w:tcPr>
            <w:tcW w:w="111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3.26</w:t>
            </w:r>
          </w:p>
        </w:tc>
        <w:tc>
          <w:tcPr>
            <w:tcW w:w="1266" w:type="dxa"/>
            <w:tcBorders>
              <w:top w:val="nil"/>
              <w:left w:val="nil"/>
              <w:bottom w:val="single" w:sz="4" w:space="0" w:color="auto"/>
              <w:right w:val="single" w:sz="4" w:space="0" w:color="auto"/>
            </w:tcBorders>
            <w:shd w:val="clear" w:color="000000" w:fill="C5D9F1"/>
            <w:noWrap/>
            <w:vAlign w:val="center"/>
            <w:hideMark/>
          </w:tcPr>
          <w:p w:rsidR="00863B4D" w:rsidRPr="00B56D9D" w:rsidRDefault="00863B4D" w:rsidP="00863B4D">
            <w:pPr>
              <w:jc w:val="center"/>
              <w:rPr>
                <w:b/>
                <w:bCs/>
                <w:sz w:val="18"/>
                <w:szCs w:val="18"/>
              </w:rPr>
            </w:pPr>
            <w:r w:rsidRPr="00B56D9D">
              <w:rPr>
                <w:b/>
                <w:bCs/>
                <w:sz w:val="18"/>
                <w:szCs w:val="18"/>
              </w:rPr>
              <w:t>3.11</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000000" w:fill="8DB3E2"/>
            <w:noWrap/>
            <w:vAlign w:val="center"/>
            <w:hideMark/>
          </w:tcPr>
          <w:p w:rsidR="00863B4D" w:rsidRPr="00B56D9D" w:rsidRDefault="00863B4D" w:rsidP="00863B4D">
            <w:pPr>
              <w:jc w:val="center"/>
              <w:rPr>
                <w:b/>
                <w:bCs/>
                <w:sz w:val="18"/>
                <w:szCs w:val="18"/>
              </w:rPr>
            </w:pPr>
            <w:r w:rsidRPr="00B56D9D">
              <w:rPr>
                <w:b/>
                <w:bCs/>
                <w:sz w:val="18"/>
                <w:szCs w:val="18"/>
              </w:rPr>
              <w:t>APSKAIČIUOTOSIOS NEMATERIALIOS VERTĖS METODAS CIV</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Rodikliai</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2009</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b/>
                <w:bCs/>
                <w:sz w:val="18"/>
                <w:szCs w:val="18"/>
              </w:rPr>
            </w:pPr>
            <w:r w:rsidRPr="00B56D9D">
              <w:rPr>
                <w:b/>
                <w:bCs/>
                <w:sz w:val="18"/>
                <w:szCs w:val="18"/>
              </w:rPr>
              <w:t>2012</w:t>
            </w:r>
          </w:p>
        </w:tc>
        <w:tc>
          <w:tcPr>
            <w:tcW w:w="1039" w:type="dxa"/>
            <w:tcBorders>
              <w:top w:val="nil"/>
              <w:left w:val="nil"/>
              <w:bottom w:val="single" w:sz="4" w:space="0" w:color="auto"/>
              <w:right w:val="single" w:sz="4" w:space="0" w:color="auto"/>
            </w:tcBorders>
            <w:shd w:val="clear" w:color="auto" w:fill="auto"/>
            <w:vAlign w:val="center"/>
            <w:hideMark/>
          </w:tcPr>
          <w:p w:rsidR="00863B4D" w:rsidRPr="00D61F1C" w:rsidRDefault="00863B4D" w:rsidP="00863B4D">
            <w:pPr>
              <w:jc w:val="center"/>
              <w:rPr>
                <w:b/>
                <w:sz w:val="18"/>
                <w:szCs w:val="18"/>
              </w:rPr>
            </w:pPr>
            <w:r w:rsidRPr="00D61F1C">
              <w:rPr>
                <w:b/>
                <w:sz w:val="18"/>
                <w:szCs w:val="18"/>
              </w:rPr>
              <w:t>Matavimo vienetas</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Pelnas prieš mokesčius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19242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32742</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30942</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29643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77943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108666</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115972</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98419</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Nematerialus turtas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270</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323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187</w:t>
            </w:r>
          </w:p>
        </w:tc>
        <w:tc>
          <w:tcPr>
            <w:tcW w:w="1266" w:type="dxa"/>
            <w:tcBorders>
              <w:top w:val="nil"/>
              <w:left w:val="nil"/>
              <w:bottom w:val="single" w:sz="4" w:space="0" w:color="auto"/>
              <w:right w:val="single" w:sz="4" w:space="0" w:color="auto"/>
            </w:tcBorders>
            <w:shd w:val="clear" w:color="auto" w:fill="auto"/>
            <w:noWrap/>
            <w:vAlign w:val="bottom"/>
            <w:hideMark/>
          </w:tcPr>
          <w:p w:rsidR="00863B4D" w:rsidRPr="00B56D9D" w:rsidRDefault="00863B4D" w:rsidP="00863B4D">
            <w:pPr>
              <w:jc w:val="center"/>
              <w:rPr>
                <w:sz w:val="18"/>
                <w:szCs w:val="18"/>
              </w:rPr>
            </w:pPr>
            <w:r w:rsidRPr="00B56D9D">
              <w:rPr>
                <w:sz w:val="18"/>
                <w:szCs w:val="18"/>
              </w:rPr>
              <w:t>57</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Pelno mokesčio tarifas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0.15</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Kapitalo kaina</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0.1024</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973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rPr>
                <w:b/>
                <w:bCs/>
                <w:sz w:val="18"/>
                <w:szCs w:val="18"/>
              </w:rPr>
            </w:pPr>
            <w:r w:rsidRPr="00B56D9D">
              <w:rPr>
                <w:b/>
                <w:bCs/>
                <w:sz w:val="18"/>
                <w:szCs w:val="18"/>
              </w:rPr>
              <w:t>Ekonominė veiklos rūšis: C31 Baldų gamyba*</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pelnas prieš mokesčius;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32227</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119167</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140853</w:t>
            </w:r>
          </w:p>
        </w:tc>
        <w:tc>
          <w:tcPr>
            <w:tcW w:w="1266" w:type="dxa"/>
            <w:tcBorders>
              <w:top w:val="nil"/>
              <w:left w:val="nil"/>
              <w:bottom w:val="single" w:sz="4" w:space="0" w:color="auto"/>
              <w:right w:val="single" w:sz="4" w:space="0" w:color="auto"/>
            </w:tcBorders>
            <w:shd w:val="clear" w:color="000000" w:fill="C5D9F1"/>
            <w:noWrap/>
            <w:vAlign w:val="bottom"/>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1486619</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1597176</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1825397</w:t>
            </w:r>
          </w:p>
        </w:tc>
        <w:tc>
          <w:tcPr>
            <w:tcW w:w="1266" w:type="dxa"/>
            <w:tcBorders>
              <w:top w:val="nil"/>
              <w:left w:val="nil"/>
              <w:bottom w:val="single" w:sz="4" w:space="0" w:color="auto"/>
              <w:right w:val="single" w:sz="4" w:space="0" w:color="auto"/>
            </w:tcBorders>
            <w:shd w:val="clear" w:color="000000" w:fill="C5D9F1"/>
            <w:noWrap/>
            <w:vAlign w:val="bottom"/>
            <w:hideMark/>
          </w:tcPr>
          <w:p w:rsidR="00863B4D" w:rsidRPr="00B56D9D" w:rsidRDefault="00863B4D" w:rsidP="00863B4D">
            <w:pPr>
              <w:jc w:val="center"/>
              <w:rPr>
                <w:sz w:val="18"/>
                <w:szCs w:val="18"/>
              </w:rPr>
            </w:pPr>
            <w:r w:rsidRPr="00B56D9D">
              <w:rPr>
                <w:sz w:val="18"/>
                <w:szCs w:val="18"/>
              </w:rPr>
              <w:t> </w:t>
            </w:r>
            <w:r>
              <w:rPr>
                <w:sz w:val="18"/>
                <w:szCs w:val="18"/>
              </w:rPr>
              <w:t>-</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nematerialus turtas</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6215</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6534</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10659</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10213</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tūkst. Lt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Šakos ROA</w:t>
            </w:r>
          </w:p>
        </w:tc>
        <w:tc>
          <w:tcPr>
            <w:tcW w:w="11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2.17</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7.46</w:t>
            </w:r>
          </w:p>
        </w:tc>
        <w:tc>
          <w:tcPr>
            <w:tcW w:w="111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7.72</w:t>
            </w:r>
          </w:p>
        </w:tc>
        <w:tc>
          <w:tcPr>
            <w:tcW w:w="1266"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9.91</w:t>
            </w:r>
          </w:p>
        </w:tc>
        <w:tc>
          <w:tcPr>
            <w:tcW w:w="1039" w:type="dxa"/>
            <w:tcBorders>
              <w:top w:val="nil"/>
              <w:left w:val="nil"/>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koef.</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auto" w:fill="auto"/>
            <w:vAlign w:val="center"/>
            <w:hideMark/>
          </w:tcPr>
          <w:p w:rsidR="00863B4D" w:rsidRPr="00B56D9D" w:rsidRDefault="00863B4D" w:rsidP="00863B4D">
            <w:pPr>
              <w:jc w:val="center"/>
              <w:rPr>
                <w:sz w:val="18"/>
                <w:szCs w:val="18"/>
              </w:rPr>
            </w:pPr>
            <w:r w:rsidRPr="00B56D9D">
              <w:rPr>
                <w:sz w:val="18"/>
                <w:szCs w:val="18"/>
              </w:rPr>
              <w:t>Šakos ROA ir Įmonės ROA skirtumas (jei didesnis už 0, rodiklis toliau neskaičiuojamas)</w:t>
            </w:r>
          </w:p>
        </w:tc>
        <w:tc>
          <w:tcPr>
            <w:tcW w:w="11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-17.83</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-18.17</w:t>
            </w:r>
          </w:p>
        </w:tc>
        <w:tc>
          <w:tcPr>
            <w:tcW w:w="111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-15.41</w:t>
            </w:r>
          </w:p>
        </w:tc>
        <w:tc>
          <w:tcPr>
            <w:tcW w:w="1266" w:type="dxa"/>
            <w:tcBorders>
              <w:top w:val="nil"/>
              <w:left w:val="nil"/>
              <w:bottom w:val="single" w:sz="4" w:space="0" w:color="auto"/>
              <w:right w:val="single" w:sz="4" w:space="0" w:color="auto"/>
            </w:tcBorders>
            <w:shd w:val="clear" w:color="auto" w:fill="auto"/>
            <w:noWrap/>
            <w:vAlign w:val="center"/>
            <w:hideMark/>
          </w:tcPr>
          <w:p w:rsidR="00863B4D" w:rsidRPr="00B56D9D" w:rsidRDefault="00863B4D" w:rsidP="00863B4D">
            <w:pPr>
              <w:jc w:val="center"/>
              <w:rPr>
                <w:sz w:val="18"/>
                <w:szCs w:val="18"/>
              </w:rPr>
            </w:pPr>
            <w:r w:rsidRPr="00B56D9D">
              <w:rPr>
                <w:sz w:val="18"/>
                <w:szCs w:val="18"/>
              </w:rPr>
              <w:t>-17.34</w:t>
            </w:r>
          </w:p>
        </w:tc>
        <w:tc>
          <w:tcPr>
            <w:tcW w:w="1039" w:type="dxa"/>
            <w:tcBorders>
              <w:top w:val="nil"/>
              <w:left w:val="nil"/>
              <w:bottom w:val="single" w:sz="4" w:space="0" w:color="auto"/>
              <w:right w:val="single" w:sz="4" w:space="0" w:color="auto"/>
            </w:tcBorders>
            <w:shd w:val="clear" w:color="000000" w:fill="C5D9F1"/>
            <w:vAlign w:val="center"/>
            <w:hideMark/>
          </w:tcPr>
          <w:p w:rsidR="00863B4D" w:rsidRPr="00B56D9D" w:rsidRDefault="00863B4D" w:rsidP="00863B4D">
            <w:pPr>
              <w:jc w:val="center"/>
              <w:rPr>
                <w:sz w:val="18"/>
                <w:szCs w:val="18"/>
              </w:rPr>
            </w:pPr>
            <w:r w:rsidRPr="00B56D9D">
              <w:rPr>
                <w:sz w:val="18"/>
                <w:szCs w:val="18"/>
              </w:rPr>
              <w:t> </w:t>
            </w:r>
            <w:r>
              <w:rPr>
                <w:sz w:val="18"/>
                <w:szCs w:val="18"/>
              </w:rPr>
              <w:t>-</w:t>
            </w:r>
          </w:p>
        </w:tc>
      </w:tr>
      <w:tr w:rsidR="00863B4D" w:rsidRPr="00B56D9D" w:rsidTr="00863B4D">
        <w:trPr>
          <w:trHeight w:val="227"/>
        </w:trPr>
        <w:tc>
          <w:tcPr>
            <w:tcW w:w="4027" w:type="dxa"/>
            <w:tcBorders>
              <w:top w:val="nil"/>
              <w:left w:val="single" w:sz="4" w:space="0" w:color="auto"/>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AB „Vilniaus baldai“ CIV</w:t>
            </w:r>
          </w:p>
        </w:tc>
        <w:tc>
          <w:tcPr>
            <w:tcW w:w="11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145688.11</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204408.46</w:t>
            </w:r>
          </w:p>
        </w:tc>
        <w:tc>
          <w:tcPr>
            <w:tcW w:w="111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182245.42</w:t>
            </w:r>
          </w:p>
        </w:tc>
        <w:tc>
          <w:tcPr>
            <w:tcW w:w="1266" w:type="dxa"/>
            <w:tcBorders>
              <w:top w:val="nil"/>
              <w:left w:val="nil"/>
              <w:bottom w:val="single" w:sz="4" w:space="0" w:color="auto"/>
              <w:right w:val="single" w:sz="4" w:space="0" w:color="auto"/>
            </w:tcBorders>
            <w:shd w:val="clear" w:color="000000" w:fill="C6D9F1"/>
            <w:noWrap/>
            <w:vAlign w:val="center"/>
            <w:hideMark/>
          </w:tcPr>
          <w:p w:rsidR="00863B4D" w:rsidRPr="00B56D9D" w:rsidRDefault="00863B4D" w:rsidP="00863B4D">
            <w:pPr>
              <w:jc w:val="center"/>
              <w:rPr>
                <w:b/>
                <w:bCs/>
                <w:sz w:val="18"/>
                <w:szCs w:val="18"/>
              </w:rPr>
            </w:pPr>
            <w:r w:rsidRPr="00B56D9D">
              <w:rPr>
                <w:b/>
                <w:bCs/>
                <w:sz w:val="18"/>
                <w:szCs w:val="18"/>
              </w:rPr>
              <w:t>246060.06</w:t>
            </w:r>
          </w:p>
        </w:tc>
        <w:tc>
          <w:tcPr>
            <w:tcW w:w="1039" w:type="dxa"/>
            <w:tcBorders>
              <w:top w:val="nil"/>
              <w:left w:val="nil"/>
              <w:bottom w:val="single" w:sz="4" w:space="0" w:color="auto"/>
              <w:right w:val="single" w:sz="4" w:space="0" w:color="auto"/>
            </w:tcBorders>
            <w:shd w:val="clear" w:color="000000" w:fill="C6D9F1"/>
            <w:vAlign w:val="center"/>
            <w:hideMark/>
          </w:tcPr>
          <w:p w:rsidR="00863B4D" w:rsidRPr="00B56D9D" w:rsidRDefault="00863B4D" w:rsidP="00863B4D">
            <w:pPr>
              <w:jc w:val="center"/>
              <w:rPr>
                <w:sz w:val="18"/>
                <w:szCs w:val="18"/>
              </w:rPr>
            </w:pPr>
            <w:r w:rsidRPr="00B56D9D">
              <w:rPr>
                <w:sz w:val="18"/>
                <w:szCs w:val="18"/>
              </w:rPr>
              <w:t>koef.</w:t>
            </w:r>
          </w:p>
        </w:tc>
      </w:tr>
    </w:tbl>
    <w:p w:rsidR="00863B4D" w:rsidRPr="00E13A36" w:rsidRDefault="00863B4D" w:rsidP="00863B4D">
      <w:pPr>
        <w:rPr>
          <w:b/>
          <w:bCs/>
        </w:rPr>
      </w:pPr>
    </w:p>
    <w:p w:rsidR="00863B4D" w:rsidRDefault="00863B4D" w:rsidP="00863B4D">
      <w:pPr>
        <w:rPr>
          <w:sz w:val="20"/>
          <w:szCs w:val="20"/>
        </w:rPr>
      </w:pPr>
      <w:r w:rsidRPr="00E13A36">
        <w:rPr>
          <w:sz w:val="20"/>
          <w:szCs w:val="20"/>
        </w:rPr>
        <w:t>Rodikliai apskaičiuoti remiantis audituotomis įmonių metinių finansinių ataskaitų ir Lietuvos Respublikos Statistikos departamento duomenimis pagal metodologinėje šio darbo dalyje nurodytas rodiklių skaičiavimo formules.</w:t>
      </w:r>
    </w:p>
    <w:p w:rsidR="00863B4D" w:rsidRPr="00FB4592" w:rsidRDefault="00863B4D" w:rsidP="00863B4D">
      <w:pPr>
        <w:rPr>
          <w:sz w:val="20"/>
          <w:szCs w:val="20"/>
        </w:rPr>
      </w:pPr>
      <w:r>
        <w:rPr>
          <w:sz w:val="20"/>
          <w:szCs w:val="20"/>
          <w:lang w:val="en-US"/>
        </w:rPr>
        <w:t>* Palyginimas su pramon</w:t>
      </w:r>
      <w:r>
        <w:rPr>
          <w:sz w:val="20"/>
          <w:szCs w:val="20"/>
        </w:rPr>
        <w:t>ės šaka pagal ekonominės veiklos rūšių klasifikatorių.</w:t>
      </w:r>
    </w:p>
    <w:p w:rsidR="00863B4D" w:rsidRPr="00E13A36" w:rsidRDefault="00863B4D" w:rsidP="00863B4D"/>
    <w:p w:rsidR="00863B4D" w:rsidRPr="002D7EBA" w:rsidRDefault="00863B4D" w:rsidP="00863B4D">
      <w:pPr>
        <w:jc w:val="center"/>
        <w:rPr>
          <w:b/>
          <w:bCs/>
        </w:rPr>
      </w:pPr>
      <w:r w:rsidRPr="002D7EBA">
        <w:rPr>
          <w:b/>
          <w:bCs/>
        </w:rPr>
        <w:t xml:space="preserve">2 lentelė. </w:t>
      </w:r>
      <w:r w:rsidR="002D7EBA" w:rsidRPr="002D7EBA">
        <w:rPr>
          <w:b/>
          <w:bCs/>
        </w:rPr>
        <w:t>OMX Talinas</w:t>
      </w:r>
      <w:r w:rsidRPr="002D7EBA">
        <w:rPr>
          <w:b/>
          <w:bCs/>
        </w:rPr>
        <w:t xml:space="preserve"> vertinamų įmonių intelektinio kapitalo lygio skaičiavimas 2009-2012 metais</w:t>
      </w:r>
    </w:p>
    <w:p w:rsidR="00863B4D" w:rsidRPr="002D7EBA" w:rsidRDefault="00863B4D" w:rsidP="00863B4D"/>
    <w:tbl>
      <w:tblPr>
        <w:tblW w:w="9752" w:type="dxa"/>
        <w:jc w:val="center"/>
        <w:tblLayout w:type="fixed"/>
        <w:tblCellMar>
          <w:left w:w="0" w:type="dxa"/>
          <w:right w:w="0" w:type="dxa"/>
        </w:tblCellMar>
        <w:tblLook w:val="04A0"/>
      </w:tblPr>
      <w:tblGrid>
        <w:gridCol w:w="3966"/>
        <w:gridCol w:w="1129"/>
        <w:gridCol w:w="1129"/>
        <w:gridCol w:w="1129"/>
        <w:gridCol w:w="1270"/>
        <w:gridCol w:w="1129"/>
      </w:tblGrid>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548DD4"/>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Tallinna Kaubamaja AS</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4E2"/>
            <w:noWrap/>
            <w:tcMar>
              <w:top w:w="15" w:type="dxa"/>
              <w:left w:w="15" w:type="dxa"/>
              <w:bottom w:w="0" w:type="dxa"/>
              <w:right w:w="15" w:type="dxa"/>
            </w:tcMar>
            <w:vAlign w:val="bottom"/>
            <w:hideMark/>
          </w:tcPr>
          <w:p w:rsidR="00863B4D" w:rsidRPr="00D61F1C" w:rsidRDefault="00863B4D" w:rsidP="00863B4D">
            <w:pPr>
              <w:jc w:val="center"/>
              <w:rPr>
                <w:b/>
                <w:bCs/>
                <w:color w:val="000000"/>
                <w:sz w:val="18"/>
                <w:szCs w:val="18"/>
              </w:rPr>
            </w:pPr>
            <w:r w:rsidRPr="00D61F1C">
              <w:rPr>
                <w:b/>
                <w:bCs/>
                <w:color w:val="000000"/>
                <w:sz w:val="18"/>
                <w:szCs w:val="18"/>
              </w:rPr>
              <w:t>FINANSINIAI RODIKLIAI</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ind w:right="2667"/>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contextualSpacing/>
              <w:jc w:val="center"/>
              <w:rPr>
                <w:sz w:val="18"/>
                <w:szCs w:val="18"/>
              </w:rPr>
            </w:pPr>
            <w:r w:rsidRPr="00D61F1C">
              <w:rPr>
                <w:sz w:val="18"/>
                <w:szCs w:val="18"/>
              </w:rPr>
              <w:t>Grynasis pelnas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-12575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16646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21538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20870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254435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260211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262466</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287840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Nuosavas kapitalas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103167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128811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139460</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146179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AF3226" w:rsidRPr="00D61F1C" w:rsidTr="00AF3226">
        <w:trPr>
          <w:trHeight w:val="288"/>
          <w:jc w:val="center"/>
        </w:trPr>
        <w:tc>
          <w:tcPr>
            <w:tcW w:w="9752" w:type="dxa"/>
            <w:gridSpan w:val="6"/>
            <w:tcBorders>
              <w:top w:val="single" w:sz="4" w:space="0" w:color="auto"/>
            </w:tcBorders>
            <w:shd w:val="clear" w:color="auto" w:fill="auto"/>
            <w:noWrap/>
            <w:tcMar>
              <w:top w:w="15" w:type="dxa"/>
              <w:left w:w="15" w:type="dxa"/>
              <w:bottom w:w="0" w:type="dxa"/>
              <w:right w:w="15" w:type="dxa"/>
            </w:tcMar>
            <w:vAlign w:val="center"/>
          </w:tcPr>
          <w:p w:rsidR="00AF3226" w:rsidRPr="00D61F1C" w:rsidRDefault="00AF3226" w:rsidP="00AF3226">
            <w:pPr>
              <w:jc w:val="right"/>
              <w:rPr>
                <w:sz w:val="18"/>
                <w:szCs w:val="18"/>
              </w:rPr>
            </w:pPr>
            <w:r>
              <w:rPr>
                <w:sz w:val="18"/>
                <w:szCs w:val="18"/>
              </w:rPr>
              <w:t>2 lentelės tęsinys kitame puslapyje</w:t>
            </w:r>
          </w:p>
        </w:tc>
      </w:tr>
      <w:tr w:rsidR="00AF3226" w:rsidRPr="00D61F1C" w:rsidTr="00393898">
        <w:trPr>
          <w:trHeight w:val="227"/>
          <w:jc w:val="center"/>
        </w:trPr>
        <w:tc>
          <w:tcPr>
            <w:tcW w:w="9752" w:type="dxa"/>
            <w:gridSpan w:val="6"/>
            <w:tcBorders>
              <w:top w:val="nil"/>
              <w:bottom w:val="single" w:sz="4" w:space="0" w:color="auto"/>
            </w:tcBorders>
            <w:shd w:val="clear" w:color="auto" w:fill="auto"/>
            <w:noWrap/>
            <w:tcMar>
              <w:top w:w="15" w:type="dxa"/>
              <w:left w:w="15" w:type="dxa"/>
              <w:bottom w:w="0" w:type="dxa"/>
              <w:right w:w="15" w:type="dxa"/>
            </w:tcMar>
            <w:vAlign w:val="center"/>
          </w:tcPr>
          <w:p w:rsidR="00AF3226" w:rsidRPr="00D61F1C" w:rsidRDefault="00AF3226" w:rsidP="00AF3226">
            <w:pPr>
              <w:jc w:val="right"/>
              <w:rPr>
                <w:sz w:val="18"/>
                <w:szCs w:val="18"/>
              </w:rPr>
            </w:pPr>
            <w:r>
              <w:rPr>
                <w:sz w:val="18"/>
                <w:szCs w:val="18"/>
              </w:rPr>
              <w:t>2 lentelės tęsinys</w:t>
            </w:r>
          </w:p>
        </w:tc>
      </w:tr>
      <w:tr w:rsidR="00863B4D" w:rsidRPr="00D61F1C" w:rsidTr="00AF3226">
        <w:trPr>
          <w:trHeight w:val="227"/>
          <w:jc w:val="center"/>
        </w:trPr>
        <w:tc>
          <w:tcPr>
            <w:tcW w:w="39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ROA - turto grąžos rodiklis</w:t>
            </w:r>
          </w:p>
        </w:tc>
        <w:tc>
          <w:tcPr>
            <w:tcW w:w="112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-4.94</w:t>
            </w:r>
          </w:p>
        </w:tc>
        <w:tc>
          <w:tcPr>
            <w:tcW w:w="112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6.40</w:t>
            </w:r>
          </w:p>
        </w:tc>
        <w:tc>
          <w:tcPr>
            <w:tcW w:w="112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8.21</w:t>
            </w:r>
          </w:p>
        </w:tc>
        <w:tc>
          <w:tcPr>
            <w:tcW w:w="12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7.25</w:t>
            </w:r>
          </w:p>
        </w:tc>
        <w:tc>
          <w:tcPr>
            <w:tcW w:w="112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ROE - kapitalo grąžos rodiklis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-12.19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12.92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15.44</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14.28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PRIDĖTINĖS VERTĖS INTELEKTINIO KAPITALO KOEFICIENTAS VAIC</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OP - veiklos pelnas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-9868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18601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sz w:val="18"/>
                <w:szCs w:val="18"/>
              </w:rPr>
            </w:pPr>
            <w:r w:rsidRPr="00D61F1C">
              <w:rPr>
                <w:sz w:val="18"/>
                <w:szCs w:val="18"/>
              </w:rPr>
              <w:t>26073</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sz w:val="18"/>
                <w:szCs w:val="18"/>
              </w:rPr>
            </w:pPr>
            <w:r w:rsidRPr="00D61F1C">
              <w:rPr>
                <w:sz w:val="18"/>
                <w:szCs w:val="18"/>
              </w:rPr>
              <w:t>26019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EC - išlaidos darbuotojams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39247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34764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sz w:val="18"/>
                <w:szCs w:val="18"/>
              </w:rPr>
            </w:pPr>
            <w:r w:rsidRPr="00D61F1C">
              <w:rPr>
                <w:sz w:val="18"/>
                <w:szCs w:val="18"/>
              </w:rPr>
              <w:t>34145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sz w:val="18"/>
                <w:szCs w:val="18"/>
              </w:rPr>
            </w:pPr>
            <w:r w:rsidRPr="00D61F1C">
              <w:rPr>
                <w:sz w:val="18"/>
                <w:szCs w:val="18"/>
              </w:rPr>
              <w:t>36376</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D + A - nusidėvėjimas ir amortizacija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11444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10482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sz w:val="18"/>
                <w:szCs w:val="18"/>
              </w:rPr>
            </w:pPr>
            <w:r w:rsidRPr="00D61F1C">
              <w:rPr>
                <w:sz w:val="18"/>
                <w:szCs w:val="18"/>
              </w:rPr>
              <w:t>9976</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sz w:val="18"/>
                <w:szCs w:val="18"/>
              </w:rPr>
            </w:pPr>
            <w:r w:rsidRPr="00D61F1C">
              <w:rPr>
                <w:sz w:val="18"/>
                <w:szCs w:val="18"/>
              </w:rPr>
              <w:t>10525</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 - pridėtinė vertė</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40823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63847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sz w:val="18"/>
                <w:szCs w:val="18"/>
              </w:rPr>
            </w:pPr>
            <w:r w:rsidRPr="00D61F1C">
              <w:rPr>
                <w:sz w:val="18"/>
                <w:szCs w:val="18"/>
              </w:rPr>
              <w:t>70194</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sz w:val="18"/>
                <w:szCs w:val="18"/>
              </w:rPr>
            </w:pPr>
            <w:r w:rsidRPr="00D61F1C">
              <w:rPr>
                <w:sz w:val="18"/>
                <w:szCs w:val="18"/>
              </w:rPr>
              <w:t>72920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CA - bendras turtas minus nematerialius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250471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256678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sz w:val="18"/>
                <w:szCs w:val="18"/>
              </w:rPr>
            </w:pPr>
            <w:r w:rsidRPr="00D61F1C">
              <w:rPr>
                <w:sz w:val="18"/>
                <w:szCs w:val="18"/>
              </w:rPr>
              <w:t>252657</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sz w:val="18"/>
                <w:szCs w:val="18"/>
              </w:rPr>
            </w:pPr>
            <w:r w:rsidRPr="00D61F1C">
              <w:rPr>
                <w:sz w:val="18"/>
                <w:szCs w:val="18"/>
              </w:rPr>
              <w:t>276604</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HC - visas DU</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39247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34764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34145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36376</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ST - struktūrinis kapitalas (VA-HC)</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1576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29083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36049</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36544</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VACA = VA/CA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VAHU = VA/HC</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1.04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1.84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2.06</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2.00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STVA = ST/VA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0.04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0.46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0.51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0.50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Tallinna Kaubamaja AS VAIC</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1.24</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2.54</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2.85</w:t>
            </w:r>
          </w:p>
        </w:tc>
        <w:tc>
          <w:tcPr>
            <w:tcW w:w="1270"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2.77</w:t>
            </w:r>
          </w:p>
        </w:tc>
        <w:tc>
          <w:tcPr>
            <w:tcW w:w="1129" w:type="dxa"/>
            <w:tcBorders>
              <w:top w:val="nil"/>
              <w:left w:val="nil"/>
              <w:bottom w:val="single" w:sz="4" w:space="0" w:color="auto"/>
              <w:right w:val="single" w:sz="4" w:space="0" w:color="auto"/>
            </w:tcBorders>
            <w:shd w:val="clear" w:color="000000" w:fill="C6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Intelektinio kapitalo efektyvumas, ICE</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1.08</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2.29</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2.57</w:t>
            </w:r>
          </w:p>
        </w:tc>
        <w:tc>
          <w:tcPr>
            <w:tcW w:w="1270"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2.51</w:t>
            </w:r>
          </w:p>
        </w:tc>
        <w:tc>
          <w:tcPr>
            <w:tcW w:w="1129" w:type="dxa"/>
            <w:tcBorders>
              <w:top w:val="nil"/>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APSKAIČIUOTOSIOS NEMATERIALIOS VERTĖS METODAS CIV</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Pelnas prieš mokesčius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-12298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17096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sz w:val="18"/>
                <w:szCs w:val="18"/>
              </w:rPr>
            </w:pPr>
            <w:r w:rsidRPr="00D61F1C">
              <w:rPr>
                <w:sz w:val="18"/>
                <w:szCs w:val="18"/>
              </w:rPr>
              <w:t>24573</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sz w:val="18"/>
                <w:szCs w:val="18"/>
              </w:rPr>
            </w:pPr>
            <w:r w:rsidRPr="00D61F1C">
              <w:rPr>
                <w:sz w:val="18"/>
                <w:szCs w:val="18"/>
              </w:rPr>
              <w:t>24631</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254435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260211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262466</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287840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Nematerialus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3964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3533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sz w:val="18"/>
                <w:szCs w:val="18"/>
              </w:rPr>
            </w:pPr>
            <w:r w:rsidRPr="00D61F1C">
              <w:rPr>
                <w:sz w:val="18"/>
                <w:szCs w:val="18"/>
              </w:rPr>
              <w:t>9809</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sz w:val="18"/>
                <w:szCs w:val="18"/>
              </w:rPr>
            </w:pPr>
            <w:r w:rsidRPr="00D61F1C">
              <w:rPr>
                <w:sz w:val="18"/>
                <w:szCs w:val="18"/>
              </w:rPr>
              <w:t>11236</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Pelno mokesčio tarifas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Kapitalo kaina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863B4D" w:rsidRPr="00D61F1C" w:rsidRDefault="00863B4D" w:rsidP="00863B4D">
            <w:pPr>
              <w:rPr>
                <w:b/>
                <w:bCs/>
                <w:sz w:val="18"/>
                <w:szCs w:val="18"/>
              </w:rPr>
            </w:pPr>
            <w:r w:rsidRPr="00D61F1C">
              <w:rPr>
                <w:b/>
                <w:bCs/>
                <w:sz w:val="18"/>
                <w:szCs w:val="18"/>
              </w:rPr>
              <w:t>Ekonominė veiklos rūšis: G46 Wholesale trade, except of motor vehicles and motorcycles*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pelnas prieš mokesčius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17183.1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28720.2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45382.9</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36597.3</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544519.3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478399.7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488015.9</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526738.8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nematerialus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41614.8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35615.7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19849.6</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30258.7</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ROA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1.15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4.59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7.58</w:t>
            </w:r>
          </w:p>
        </w:tc>
        <w:tc>
          <w:tcPr>
            <w:tcW w:w="127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ROA ir Įmonės ROA skirtumas (jei didesnis už 0, rodiklis toliau neskaičiuojamas)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-1.81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-0.63</w:t>
            </w:r>
          </w:p>
        </w:tc>
        <w:tc>
          <w:tcPr>
            <w:tcW w:w="1270" w:type="dxa"/>
            <w:tcBorders>
              <w:top w:val="nil"/>
              <w:left w:val="nil"/>
              <w:bottom w:val="single" w:sz="4" w:space="0" w:color="auto"/>
              <w:right w:val="single" w:sz="4" w:space="0" w:color="auto"/>
            </w:tcBorders>
            <w:shd w:val="clear" w:color="000000" w:fill="B8CCE4"/>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w:t>
            </w:r>
          </w:p>
        </w:tc>
        <w:tc>
          <w:tcPr>
            <w:tcW w:w="1129" w:type="dxa"/>
            <w:tcBorders>
              <w:top w:val="nil"/>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Tallinna Kaubamaja AS CIV</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0</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2256.35</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408.96</w:t>
            </w:r>
          </w:p>
        </w:tc>
        <w:tc>
          <w:tcPr>
            <w:tcW w:w="1270"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w:t>
            </w:r>
          </w:p>
        </w:tc>
        <w:tc>
          <w:tcPr>
            <w:tcW w:w="1129" w:type="dxa"/>
            <w:tcBorders>
              <w:top w:val="nil"/>
              <w:left w:val="nil"/>
              <w:bottom w:val="single" w:sz="4" w:space="0" w:color="auto"/>
              <w:right w:val="single" w:sz="4" w:space="0" w:color="auto"/>
            </w:tcBorders>
            <w:shd w:val="clear" w:color="000000" w:fill="C6D9F1"/>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548DD4"/>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AS Tallinna Vesi</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4E2"/>
            <w:noWrap/>
            <w:tcMar>
              <w:top w:w="15" w:type="dxa"/>
              <w:left w:w="15" w:type="dxa"/>
              <w:bottom w:w="0" w:type="dxa"/>
              <w:right w:w="15" w:type="dxa"/>
            </w:tcMar>
            <w:vAlign w:val="bottom"/>
            <w:hideMark/>
          </w:tcPr>
          <w:p w:rsidR="00863B4D" w:rsidRPr="00D61F1C" w:rsidRDefault="00863B4D" w:rsidP="00863B4D">
            <w:pPr>
              <w:jc w:val="center"/>
              <w:rPr>
                <w:b/>
                <w:bCs/>
                <w:color w:val="000000"/>
                <w:sz w:val="18"/>
                <w:szCs w:val="18"/>
              </w:rPr>
            </w:pPr>
            <w:r w:rsidRPr="00D61F1C">
              <w:rPr>
                <w:b/>
                <w:bCs/>
                <w:color w:val="000000"/>
                <w:sz w:val="18"/>
                <w:szCs w:val="18"/>
              </w:rPr>
              <w:t>FINANSINIAI RODIKLIAI</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Grynasis pelnas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21726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16405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21513</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22599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176782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183856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192069</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200728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Nuosavas kapitalas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88914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73363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78875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84673</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ROA - turto grąžos rodiklis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12.29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8.92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11.20</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11.26</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ROE - kapitalo grąžos rodiklis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24.43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22.36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27.27</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26.69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PRIDĖTINĖS VERTĖS INTELEKTINIO KAPITALO KOEFICIENTAS VAIC</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OP - veiklos pelnas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29523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27464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28890</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28771</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EC - išlaidos darbuotojams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5785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6083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6403</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6868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D + A - nusidėvėjimas ir amortizacija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5698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6520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5729</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5879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 - pridėtinė vertė</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41006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40067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41022</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41518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CA - bendras turtas minus nematerialius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174205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181884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190492</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199574</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HC - visas DU</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5785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6083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6403</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6868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ST - struktūrinis kapitalas (VA-HC)</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8807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15999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34619</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34650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VACA = VA/CA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0.22</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0.21</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VAHU = VA/HC</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6.59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6.41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6.05</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STVA = ST/VA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0.40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0.84</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0.83</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AS Tallinna Vesi VAIC</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7.54</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7.21</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7.47</w:t>
            </w:r>
          </w:p>
        </w:tc>
        <w:tc>
          <w:tcPr>
            <w:tcW w:w="1270"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7.09</w:t>
            </w:r>
          </w:p>
        </w:tc>
        <w:tc>
          <w:tcPr>
            <w:tcW w:w="1129" w:type="dxa"/>
            <w:tcBorders>
              <w:top w:val="nil"/>
              <w:left w:val="nil"/>
              <w:bottom w:val="single" w:sz="4" w:space="0" w:color="auto"/>
              <w:right w:val="single" w:sz="4" w:space="0" w:color="auto"/>
            </w:tcBorders>
            <w:shd w:val="clear" w:color="000000" w:fill="C6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Intelektinio kapitalo efektyvumas, ICE</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7.30</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6.99</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7.25</w:t>
            </w:r>
          </w:p>
        </w:tc>
        <w:tc>
          <w:tcPr>
            <w:tcW w:w="1270"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6.88</w:t>
            </w:r>
          </w:p>
        </w:tc>
        <w:tc>
          <w:tcPr>
            <w:tcW w:w="1129" w:type="dxa"/>
            <w:tcBorders>
              <w:top w:val="nil"/>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APSKAIČIUOTOSIOS NEMATERIALIOS VERTĖS METODAS CIV</w:t>
            </w:r>
          </w:p>
        </w:tc>
      </w:tr>
      <w:tr w:rsidR="00AF3226" w:rsidRPr="00D61F1C" w:rsidTr="00DC750E">
        <w:trPr>
          <w:trHeight w:val="227"/>
          <w:jc w:val="center"/>
        </w:trPr>
        <w:tc>
          <w:tcPr>
            <w:tcW w:w="9752" w:type="dxa"/>
            <w:gridSpan w:val="6"/>
            <w:tcBorders>
              <w:top w:val="single" w:sz="4" w:space="0" w:color="auto"/>
            </w:tcBorders>
            <w:shd w:val="clear" w:color="auto" w:fill="auto"/>
            <w:noWrap/>
            <w:tcMar>
              <w:top w:w="15" w:type="dxa"/>
              <w:left w:w="15" w:type="dxa"/>
              <w:bottom w:w="0" w:type="dxa"/>
              <w:right w:w="15" w:type="dxa"/>
            </w:tcMar>
            <w:vAlign w:val="center"/>
          </w:tcPr>
          <w:p w:rsidR="00AF3226" w:rsidRPr="00D61F1C" w:rsidRDefault="00AF3226" w:rsidP="00AF3226">
            <w:pPr>
              <w:jc w:val="right"/>
              <w:rPr>
                <w:b/>
                <w:bCs/>
                <w:sz w:val="18"/>
                <w:szCs w:val="18"/>
              </w:rPr>
            </w:pPr>
            <w:r>
              <w:rPr>
                <w:sz w:val="18"/>
                <w:szCs w:val="18"/>
              </w:rPr>
              <w:t>2 lentelės tęsinys kitame puslapyje</w:t>
            </w:r>
          </w:p>
        </w:tc>
      </w:tr>
      <w:tr w:rsidR="00AF3226" w:rsidRPr="00D61F1C" w:rsidTr="00CA7AC5">
        <w:trPr>
          <w:trHeight w:val="227"/>
          <w:jc w:val="center"/>
        </w:trPr>
        <w:tc>
          <w:tcPr>
            <w:tcW w:w="9752" w:type="dxa"/>
            <w:gridSpan w:val="6"/>
            <w:tcBorders>
              <w:top w:val="nil"/>
              <w:bottom w:val="single" w:sz="4" w:space="0" w:color="auto"/>
            </w:tcBorders>
            <w:shd w:val="clear" w:color="auto" w:fill="auto"/>
            <w:noWrap/>
            <w:tcMar>
              <w:top w:w="15" w:type="dxa"/>
              <w:left w:w="15" w:type="dxa"/>
              <w:bottom w:w="0" w:type="dxa"/>
              <w:right w:w="15" w:type="dxa"/>
            </w:tcMar>
            <w:vAlign w:val="center"/>
          </w:tcPr>
          <w:p w:rsidR="00AF3226" w:rsidRPr="00D61F1C" w:rsidRDefault="00AF3226" w:rsidP="00AF3226">
            <w:pPr>
              <w:jc w:val="right"/>
              <w:rPr>
                <w:b/>
                <w:bCs/>
                <w:sz w:val="18"/>
                <w:szCs w:val="18"/>
              </w:rPr>
            </w:pPr>
            <w:r>
              <w:rPr>
                <w:sz w:val="18"/>
                <w:szCs w:val="18"/>
              </w:rPr>
              <w:t xml:space="preserve">2 lentelės tęsinys </w:t>
            </w:r>
          </w:p>
        </w:tc>
      </w:tr>
      <w:tr w:rsidR="00863B4D" w:rsidRPr="00D61F1C" w:rsidTr="00AF3226">
        <w:trPr>
          <w:trHeight w:val="227"/>
          <w:jc w:val="center"/>
        </w:trPr>
        <w:tc>
          <w:tcPr>
            <w:tcW w:w="39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Pelnas prieš mokesčius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25633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24900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25766</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27065</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176782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183856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192069</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200728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Nematerialus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2577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1972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1577</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1154</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Pelno mokesčio tarifas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Kapitalo kaina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rPr>
                <w:b/>
                <w:bCs/>
                <w:sz w:val="18"/>
                <w:szCs w:val="18"/>
              </w:rPr>
            </w:pPr>
            <w:r w:rsidRPr="00D61F1C">
              <w:rPr>
                <w:b/>
                <w:bCs/>
                <w:sz w:val="18"/>
                <w:szCs w:val="18"/>
              </w:rPr>
              <w:t>Ekonominė veiklos rūšis: E36 Water collection, treatment and supply*</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pelnas prieš mokesčius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32187.1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30349.3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34324.2</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109435.1</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490006.5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548225.7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598333.4</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687830.6</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nematerialus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3108.9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2700.8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2294.8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1603</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ROA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4.61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3.21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4.06</w:t>
            </w:r>
          </w:p>
        </w:tc>
        <w:tc>
          <w:tcPr>
            <w:tcW w:w="1270" w:type="dxa"/>
            <w:tcBorders>
              <w:top w:val="nil"/>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ROA ir Įmonės ROA skirtumas (jei didesnis už 0, rodiklis toliau neskaičiuojamas)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-7.68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-5.71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-7.14</w:t>
            </w:r>
          </w:p>
        </w:tc>
        <w:tc>
          <w:tcPr>
            <w:tcW w:w="1270"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w:t>
            </w:r>
          </w:p>
        </w:tc>
        <w:tc>
          <w:tcPr>
            <w:tcW w:w="1129" w:type="dxa"/>
            <w:tcBorders>
              <w:top w:val="nil"/>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AS Tallinna Vesi CIV</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71234.64</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74586.70</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74661.82</w:t>
            </w:r>
          </w:p>
        </w:tc>
        <w:tc>
          <w:tcPr>
            <w:tcW w:w="1270"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w:t>
            </w:r>
          </w:p>
        </w:tc>
        <w:tc>
          <w:tcPr>
            <w:tcW w:w="1129" w:type="dxa"/>
            <w:tcBorders>
              <w:top w:val="nil"/>
              <w:left w:val="nil"/>
              <w:bottom w:val="single" w:sz="4" w:space="0" w:color="auto"/>
              <w:right w:val="single" w:sz="4" w:space="0" w:color="auto"/>
            </w:tcBorders>
            <w:shd w:val="clear" w:color="000000" w:fill="C6D9F1"/>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548DD4"/>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AS Harju Elekter</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4E2"/>
            <w:noWrap/>
            <w:tcMar>
              <w:top w:w="15" w:type="dxa"/>
              <w:left w:w="15" w:type="dxa"/>
              <w:bottom w:w="0" w:type="dxa"/>
              <w:right w:w="15" w:type="dxa"/>
            </w:tcMar>
            <w:vAlign w:val="bottom"/>
            <w:hideMark/>
          </w:tcPr>
          <w:p w:rsidR="00863B4D" w:rsidRPr="00D61F1C" w:rsidRDefault="00863B4D" w:rsidP="00863B4D">
            <w:pPr>
              <w:jc w:val="center"/>
              <w:rPr>
                <w:b/>
                <w:bCs/>
                <w:color w:val="000000"/>
                <w:sz w:val="18"/>
                <w:szCs w:val="18"/>
              </w:rPr>
            </w:pPr>
            <w:r w:rsidRPr="00D61F1C">
              <w:rPr>
                <w:b/>
                <w:bCs/>
                <w:color w:val="000000"/>
                <w:sz w:val="18"/>
                <w:szCs w:val="18"/>
              </w:rPr>
              <w:t>FINANSINIAI RODIKLIAI</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Grynasis pelnas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1386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2295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2948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3603</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39507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55114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52920</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59609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Nuosavas kapitalas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32211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45546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42034</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50136</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ROA - turto grąžos rodiklis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3.51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4.16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5.57</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6.04</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ROE - kapitalo grąžos rodiklis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4.30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5.04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7.01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7.19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PRIDĖTINĖS VERTĖS INTELEKTINIO KAPITALO KOEFICIENTAS VAIC</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OP - veiklos pelnas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1809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1519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2025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1970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EC - išlaidos darbuotojams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9411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9097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10892</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11861</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D + A - nusidėvėjimas ir amortizacija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1275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1379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1353</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1469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 - pridėtinė vertė</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12495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11995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14270</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15300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CA - bendras turtas minus nematerialius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39136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54693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52498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59158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HC - visas DU</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9411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9097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10892</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11861</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ST - struktūrinis kapitalas (VA-HC)</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3084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2898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3378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3439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VACA = VA/CA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0.32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0.27</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VAHU = VA/HC</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1.33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1.32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1.31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STVA = ST/VA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0.24</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AS Harju Elekter VAIC</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1.89</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1.78</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1.82</w:t>
            </w:r>
          </w:p>
        </w:tc>
        <w:tc>
          <w:tcPr>
            <w:tcW w:w="1270"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1.77</w:t>
            </w:r>
          </w:p>
        </w:tc>
        <w:tc>
          <w:tcPr>
            <w:tcW w:w="1129" w:type="dxa"/>
            <w:tcBorders>
              <w:top w:val="nil"/>
              <w:left w:val="nil"/>
              <w:bottom w:val="single" w:sz="4" w:space="0" w:color="auto"/>
              <w:right w:val="single" w:sz="4" w:space="0" w:color="auto"/>
            </w:tcBorders>
            <w:shd w:val="clear" w:color="000000" w:fill="C6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Intelektinio kapitalo efektyvumas, ICE</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1.57</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1.56</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1.55</w:t>
            </w:r>
          </w:p>
        </w:tc>
        <w:tc>
          <w:tcPr>
            <w:tcW w:w="1270"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1.51</w:t>
            </w:r>
          </w:p>
        </w:tc>
        <w:tc>
          <w:tcPr>
            <w:tcW w:w="1129" w:type="dxa"/>
            <w:tcBorders>
              <w:top w:val="nil"/>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APSKAIČIUOTOSIOS NEMATERIALIOS VERTĖS METODAS CIV</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Pelnas prieš mokesčius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1792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2622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3266</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4085</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39507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55114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52920</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59609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Nematerialus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371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421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422</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451</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Pelno mokesčio tarifas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Kapitalo kaina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rPr>
                <w:b/>
                <w:bCs/>
                <w:sz w:val="18"/>
                <w:szCs w:val="18"/>
              </w:rPr>
            </w:pPr>
            <w:r w:rsidRPr="00D61F1C">
              <w:rPr>
                <w:b/>
                <w:bCs/>
                <w:sz w:val="18"/>
                <w:szCs w:val="18"/>
              </w:rPr>
              <w:t>Ekonominė veiklos rūšis: C27 Manufacture of electrical equipment*</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pelnas prieš mokesčius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14038.4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27163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41588.4</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39594.3</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87040.3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85698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88254.7</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99716.7</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nematerialus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2123.9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1788.5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2263.8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6780.4</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ROA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3.74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10.12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13.13</w:t>
            </w:r>
          </w:p>
        </w:tc>
        <w:tc>
          <w:tcPr>
            <w:tcW w:w="127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ROA ir Įmonės ROA skirtumas (jei didesnis už 0, rodiklis toliau neskaičiuojamas)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5.96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7.56</w:t>
            </w:r>
          </w:p>
        </w:tc>
        <w:tc>
          <w:tcPr>
            <w:tcW w:w="1270" w:type="dxa"/>
            <w:tcBorders>
              <w:top w:val="nil"/>
              <w:left w:val="nil"/>
              <w:bottom w:val="single" w:sz="4" w:space="0" w:color="auto"/>
              <w:right w:val="single" w:sz="4" w:space="0" w:color="auto"/>
            </w:tcBorders>
            <w:shd w:val="clear" w:color="000000" w:fill="B8CCE4"/>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w:t>
            </w:r>
          </w:p>
        </w:tc>
        <w:tc>
          <w:tcPr>
            <w:tcW w:w="1129" w:type="dxa"/>
            <w:tcBorders>
              <w:top w:val="nil"/>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 </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AS Harju Elekter CIV</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0.00</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0.00</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0.00</w:t>
            </w:r>
          </w:p>
        </w:tc>
        <w:tc>
          <w:tcPr>
            <w:tcW w:w="1270"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w:t>
            </w:r>
          </w:p>
        </w:tc>
        <w:tc>
          <w:tcPr>
            <w:tcW w:w="1129" w:type="dxa"/>
            <w:tcBorders>
              <w:top w:val="nil"/>
              <w:left w:val="nil"/>
              <w:bottom w:val="single" w:sz="4" w:space="0" w:color="auto"/>
              <w:right w:val="single" w:sz="4" w:space="0" w:color="auto"/>
            </w:tcBorders>
            <w:shd w:val="clear" w:color="000000" w:fill="C6D9F1"/>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548DD4"/>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AS Merko Ehitus</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4E2"/>
            <w:noWrap/>
            <w:tcMar>
              <w:top w:w="15" w:type="dxa"/>
              <w:left w:w="15" w:type="dxa"/>
              <w:bottom w:w="0" w:type="dxa"/>
              <w:right w:w="15" w:type="dxa"/>
            </w:tcMar>
            <w:vAlign w:val="bottom"/>
            <w:hideMark/>
          </w:tcPr>
          <w:p w:rsidR="00863B4D" w:rsidRPr="00D61F1C" w:rsidRDefault="00863B4D" w:rsidP="00863B4D">
            <w:pPr>
              <w:jc w:val="center"/>
              <w:rPr>
                <w:b/>
                <w:bCs/>
                <w:color w:val="000000"/>
                <w:sz w:val="18"/>
                <w:szCs w:val="18"/>
              </w:rPr>
            </w:pPr>
            <w:r w:rsidRPr="00D61F1C">
              <w:rPr>
                <w:b/>
                <w:bCs/>
                <w:color w:val="000000"/>
                <w:sz w:val="18"/>
                <w:szCs w:val="18"/>
              </w:rPr>
              <w:t>FINANSINIAI RODIKLIAI</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AF3226" w:rsidRPr="00D61F1C" w:rsidTr="00181BA6">
        <w:trPr>
          <w:trHeight w:val="227"/>
          <w:jc w:val="center"/>
        </w:trPr>
        <w:tc>
          <w:tcPr>
            <w:tcW w:w="9752" w:type="dxa"/>
            <w:gridSpan w:val="6"/>
            <w:tcBorders>
              <w:top w:val="single" w:sz="4" w:space="0" w:color="auto"/>
            </w:tcBorders>
            <w:shd w:val="clear" w:color="auto" w:fill="auto"/>
            <w:noWrap/>
            <w:tcMar>
              <w:top w:w="15" w:type="dxa"/>
              <w:left w:w="15" w:type="dxa"/>
              <w:bottom w:w="0" w:type="dxa"/>
              <w:right w:w="15" w:type="dxa"/>
            </w:tcMar>
            <w:vAlign w:val="center"/>
          </w:tcPr>
          <w:p w:rsidR="00AF3226" w:rsidRPr="00D61F1C" w:rsidRDefault="00AF3226" w:rsidP="00AF3226">
            <w:pPr>
              <w:jc w:val="right"/>
              <w:rPr>
                <w:sz w:val="18"/>
                <w:szCs w:val="18"/>
              </w:rPr>
            </w:pPr>
            <w:r>
              <w:rPr>
                <w:sz w:val="18"/>
                <w:szCs w:val="18"/>
              </w:rPr>
              <w:t>2 lentelės tęsinys kitame puslapyje</w:t>
            </w:r>
          </w:p>
        </w:tc>
      </w:tr>
      <w:tr w:rsidR="00AF3226" w:rsidRPr="00D61F1C" w:rsidTr="00094F49">
        <w:trPr>
          <w:trHeight w:val="227"/>
          <w:jc w:val="center"/>
        </w:trPr>
        <w:tc>
          <w:tcPr>
            <w:tcW w:w="9752" w:type="dxa"/>
            <w:gridSpan w:val="6"/>
            <w:tcBorders>
              <w:top w:val="nil"/>
              <w:bottom w:val="single" w:sz="4" w:space="0" w:color="auto"/>
            </w:tcBorders>
            <w:shd w:val="clear" w:color="auto" w:fill="auto"/>
            <w:noWrap/>
            <w:tcMar>
              <w:top w:w="15" w:type="dxa"/>
              <w:left w:w="15" w:type="dxa"/>
              <w:bottom w:w="0" w:type="dxa"/>
              <w:right w:w="15" w:type="dxa"/>
            </w:tcMar>
            <w:vAlign w:val="center"/>
          </w:tcPr>
          <w:p w:rsidR="00AF3226" w:rsidRPr="00D61F1C" w:rsidRDefault="00AF3226" w:rsidP="00AF3226">
            <w:pPr>
              <w:jc w:val="right"/>
              <w:rPr>
                <w:sz w:val="18"/>
                <w:szCs w:val="18"/>
              </w:rPr>
            </w:pPr>
            <w:r>
              <w:rPr>
                <w:sz w:val="18"/>
                <w:szCs w:val="18"/>
              </w:rPr>
              <w:t xml:space="preserve">2 lentelės tęsinys </w:t>
            </w:r>
          </w:p>
        </w:tc>
      </w:tr>
      <w:tr w:rsidR="00863B4D" w:rsidRPr="00D61F1C" w:rsidTr="00AF3226">
        <w:trPr>
          <w:trHeight w:val="227"/>
          <w:jc w:val="center"/>
        </w:trPr>
        <w:tc>
          <w:tcPr>
            <w:tcW w:w="396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Grynasis pelnas</w:t>
            </w:r>
          </w:p>
        </w:tc>
        <w:tc>
          <w:tcPr>
            <w:tcW w:w="112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7118</w:t>
            </w:r>
          </w:p>
        </w:tc>
        <w:tc>
          <w:tcPr>
            <w:tcW w:w="112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1060</w:t>
            </w:r>
          </w:p>
        </w:tc>
        <w:tc>
          <w:tcPr>
            <w:tcW w:w="112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-14156</w:t>
            </w:r>
          </w:p>
        </w:tc>
        <w:tc>
          <w:tcPr>
            <w:tcW w:w="12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7613</w:t>
            </w:r>
          </w:p>
        </w:tc>
        <w:tc>
          <w:tcPr>
            <w:tcW w:w="112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224584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195581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220337</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225048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Nuosavas kapitalas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137666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126168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110596</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118267</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ROA - turto grąžos rodiklis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3.17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0.54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-6.42</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3.38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ROE - kapitalo grąžos rodiklis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5.17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0.84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-12.80</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6.44</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PRIDĖTINĖS VERTĖS INTELEKTINIO KAPITALO KOEFICIENTAS VAIC</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OP - veiklos pelnas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8440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2380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-12348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8758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EC - išlaidos darbuotojams**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23171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21294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22472</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27888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D + A - nusidėvėjimas ir amortizacija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2395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2427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2242</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2608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 - pridėtinė vertė</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34006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26101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12366</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39254</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CA - bendras turtas minus nematerialius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223035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194073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218910</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223683</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HC - visas DU</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23171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21294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22472</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27888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ST - struktūrinis kapitalas (VA-HC)</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10835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4807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-10106</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11366</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VACA = VA/CA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0.06</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VAHU = VA/HC</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1.47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0.55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1.41</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STVA = ST/VA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0.32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-0.82</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AS Merko Ehitus VAIC</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1.94</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1.54</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-0.21</w:t>
            </w:r>
          </w:p>
        </w:tc>
        <w:tc>
          <w:tcPr>
            <w:tcW w:w="1270"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1.87</w:t>
            </w:r>
          </w:p>
        </w:tc>
        <w:tc>
          <w:tcPr>
            <w:tcW w:w="1129" w:type="dxa"/>
            <w:tcBorders>
              <w:top w:val="nil"/>
              <w:left w:val="nil"/>
              <w:bottom w:val="single" w:sz="4" w:space="0" w:color="auto"/>
              <w:right w:val="single" w:sz="4" w:space="0" w:color="auto"/>
            </w:tcBorders>
            <w:shd w:val="clear" w:color="000000" w:fill="C6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Intelektinio kapitalo efektyvumas, ICE</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1.79</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1.41</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-0.27</w:t>
            </w:r>
          </w:p>
        </w:tc>
        <w:tc>
          <w:tcPr>
            <w:tcW w:w="1270"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1.70</w:t>
            </w:r>
          </w:p>
        </w:tc>
        <w:tc>
          <w:tcPr>
            <w:tcW w:w="1129" w:type="dxa"/>
            <w:tcBorders>
              <w:top w:val="nil"/>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rPr>
                <w:b/>
                <w:bCs/>
                <w:sz w:val="18"/>
                <w:szCs w:val="18"/>
              </w:rPr>
            </w:pPr>
            <w:r w:rsidRPr="00D61F1C">
              <w:rPr>
                <w:b/>
                <w:bCs/>
                <w:sz w:val="18"/>
                <w:szCs w:val="18"/>
              </w:rPr>
              <w:t>APSKAIČIUOTOSIOS NEMATERIALIOS VERTĖS METODAS CIV</w:t>
            </w:r>
          </w:p>
        </w:tc>
        <w:tc>
          <w:tcPr>
            <w:tcW w:w="1129" w:type="dxa"/>
            <w:tcBorders>
              <w:top w:val="nil"/>
              <w:left w:val="nil"/>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rPr>
                <w:b/>
                <w:bCs/>
                <w:sz w:val="18"/>
                <w:szCs w:val="18"/>
              </w:rPr>
            </w:pPr>
            <w:r w:rsidRPr="00D61F1C">
              <w:rPr>
                <w:b/>
                <w:bCs/>
                <w:sz w:val="18"/>
                <w:szCs w:val="18"/>
              </w:rPr>
              <w:t> </w:t>
            </w:r>
          </w:p>
        </w:tc>
        <w:tc>
          <w:tcPr>
            <w:tcW w:w="1129" w:type="dxa"/>
            <w:tcBorders>
              <w:top w:val="nil"/>
              <w:left w:val="nil"/>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rPr>
                <w:b/>
                <w:bCs/>
                <w:sz w:val="18"/>
                <w:szCs w:val="18"/>
              </w:rPr>
            </w:pPr>
            <w:r w:rsidRPr="00D61F1C">
              <w:rPr>
                <w:b/>
                <w:bCs/>
                <w:sz w:val="18"/>
                <w:szCs w:val="18"/>
              </w:rPr>
              <w:t> </w:t>
            </w:r>
          </w:p>
        </w:tc>
        <w:tc>
          <w:tcPr>
            <w:tcW w:w="1129" w:type="dxa"/>
            <w:tcBorders>
              <w:top w:val="nil"/>
              <w:left w:val="nil"/>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rPr>
                <w:b/>
                <w:bCs/>
                <w:sz w:val="18"/>
                <w:szCs w:val="18"/>
              </w:rPr>
            </w:pPr>
            <w:r w:rsidRPr="00D61F1C">
              <w:rPr>
                <w:b/>
                <w:bCs/>
                <w:sz w:val="18"/>
                <w:szCs w:val="18"/>
              </w:rPr>
              <w:t> </w:t>
            </w:r>
          </w:p>
        </w:tc>
        <w:tc>
          <w:tcPr>
            <w:tcW w:w="1270" w:type="dxa"/>
            <w:tcBorders>
              <w:top w:val="nil"/>
              <w:left w:val="nil"/>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rPr>
                <w:b/>
                <w:bCs/>
                <w:sz w:val="18"/>
                <w:szCs w:val="18"/>
              </w:rPr>
            </w:pPr>
            <w:r w:rsidRPr="00D61F1C">
              <w:rPr>
                <w:b/>
                <w:bCs/>
                <w:sz w:val="18"/>
                <w:szCs w:val="18"/>
              </w:rPr>
              <w:t> </w:t>
            </w:r>
          </w:p>
        </w:tc>
        <w:tc>
          <w:tcPr>
            <w:tcW w:w="1129" w:type="dxa"/>
            <w:tcBorders>
              <w:top w:val="nil"/>
              <w:left w:val="nil"/>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rPr>
                <w:b/>
                <w:bCs/>
                <w:sz w:val="18"/>
                <w:szCs w:val="18"/>
              </w:rPr>
            </w:pPr>
            <w:r w:rsidRPr="00D61F1C">
              <w:rPr>
                <w:b/>
                <w:bCs/>
                <w:sz w:val="18"/>
                <w:szCs w:val="18"/>
              </w:rPr>
              <w:t> </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Pelnas prieš mokesčius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7661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1770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-14035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7902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224584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195581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220337</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225048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Nematerialus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1549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1508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1427</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1365</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Pelno mokesčio tarifas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Kapitalo kaina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rPr>
                <w:b/>
                <w:bCs/>
                <w:sz w:val="18"/>
                <w:szCs w:val="18"/>
              </w:rPr>
            </w:pPr>
            <w:r w:rsidRPr="00D61F1C">
              <w:rPr>
                <w:b/>
                <w:bCs/>
                <w:sz w:val="18"/>
                <w:szCs w:val="18"/>
              </w:rPr>
              <w:t>Ekonominė veiklos rūšis: F41 Construction of buildings*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pelnas prieš mokesčius;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3055.8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3005.6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14814.7</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118354.8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145854.3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105774.2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105114.3</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103646</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nematerialus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1510.3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3059.1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9677.9</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1312.7</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ROA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-1.82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-1.52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-1.67</w:t>
            </w:r>
          </w:p>
        </w:tc>
        <w:tc>
          <w:tcPr>
            <w:tcW w:w="127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ROA ir Įmonės ROA skirtumas (jei didesnis už 0, rodiklis toliau neskaičiuojamas)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-4.99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-2.06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4.75</w:t>
            </w:r>
          </w:p>
        </w:tc>
        <w:tc>
          <w:tcPr>
            <w:tcW w:w="1270" w:type="dxa"/>
            <w:tcBorders>
              <w:top w:val="nil"/>
              <w:left w:val="nil"/>
              <w:bottom w:val="single" w:sz="4" w:space="0" w:color="auto"/>
              <w:right w:val="single" w:sz="4" w:space="0" w:color="auto"/>
            </w:tcBorders>
            <w:shd w:val="clear" w:color="000000" w:fill="B8CCE4"/>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w:t>
            </w:r>
          </w:p>
        </w:tc>
        <w:tc>
          <w:tcPr>
            <w:tcW w:w="1129" w:type="dxa"/>
            <w:tcBorders>
              <w:top w:val="nil"/>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 </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AS Merko Ehitus CIV</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14831.80</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-19724.35</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0.00</w:t>
            </w:r>
          </w:p>
        </w:tc>
        <w:tc>
          <w:tcPr>
            <w:tcW w:w="1270"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w:t>
            </w:r>
          </w:p>
        </w:tc>
        <w:tc>
          <w:tcPr>
            <w:tcW w:w="1129" w:type="dxa"/>
            <w:tcBorders>
              <w:top w:val="nil"/>
              <w:left w:val="nil"/>
              <w:bottom w:val="single" w:sz="4" w:space="0" w:color="auto"/>
              <w:right w:val="single" w:sz="4" w:space="0" w:color="auto"/>
            </w:tcBorders>
            <w:shd w:val="clear" w:color="000000" w:fill="C6D9F1"/>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548DD4"/>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AS Premia Foods</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4E2"/>
            <w:noWrap/>
            <w:tcMar>
              <w:top w:w="15" w:type="dxa"/>
              <w:left w:w="15" w:type="dxa"/>
              <w:bottom w:w="0" w:type="dxa"/>
              <w:right w:w="15" w:type="dxa"/>
            </w:tcMar>
            <w:vAlign w:val="bottom"/>
            <w:hideMark/>
          </w:tcPr>
          <w:p w:rsidR="00863B4D" w:rsidRPr="00D61F1C" w:rsidRDefault="00863B4D" w:rsidP="00863B4D">
            <w:pPr>
              <w:jc w:val="center"/>
              <w:rPr>
                <w:b/>
                <w:bCs/>
                <w:color w:val="000000"/>
                <w:sz w:val="18"/>
                <w:szCs w:val="18"/>
              </w:rPr>
            </w:pPr>
            <w:r w:rsidRPr="00D61F1C">
              <w:rPr>
                <w:b/>
                <w:bCs/>
                <w:color w:val="000000"/>
                <w:sz w:val="18"/>
                <w:szCs w:val="18"/>
              </w:rPr>
              <w:t>FINANSINIAI RODIKLIAI</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Grynasis pelnas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691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1302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-554</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73</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62828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68944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64118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63183</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Nuosavas kapitalas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27745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41372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40508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36453</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ROA - turto grąžos rodiklis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1.89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-0.86</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ROE - kapitalo grąžos rodiklis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2.49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3.15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-1.37</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PRIDĖTINĖS VERTĖS INTELEKTINIO KAPITALO KOEFICIENTAS VAIC</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BB2A0E" w:rsidRDefault="00863B4D" w:rsidP="00863B4D">
            <w:pPr>
              <w:jc w:val="center"/>
              <w:rPr>
                <w:b/>
                <w:sz w:val="18"/>
                <w:szCs w:val="18"/>
              </w:rPr>
            </w:pPr>
            <w:r w:rsidRPr="00BB2A0E">
              <w:rPr>
                <w:b/>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OP - veiklos pelnas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2516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3069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171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64</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EC - išlaidos darbuotojams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10525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11257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12277</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11494</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D + A - nusidėvėjimas ir amortizacija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3686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4018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3965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3220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 - pridėtinė vertė</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16727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18344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16413</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14778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CA - bendras turtas minus nematerialius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42642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45376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41103</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40635</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HC - visas DU</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10525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11257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12277</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11494</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ST - struktūrinis kapitalas (VA-HC)</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6202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7087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4136</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3284</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VACA = VA/CA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0.39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0.40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0.40</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0.36</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VAHU = VA/HC</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1.59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1.63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1.34</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STVA = ST/VA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0.37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0.39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AF3226" w:rsidRPr="00D61F1C" w:rsidTr="00EC08C5">
        <w:trPr>
          <w:trHeight w:val="227"/>
          <w:jc w:val="center"/>
        </w:trPr>
        <w:tc>
          <w:tcPr>
            <w:tcW w:w="9752" w:type="dxa"/>
            <w:gridSpan w:val="6"/>
            <w:tcBorders>
              <w:top w:val="single" w:sz="4" w:space="0" w:color="auto"/>
            </w:tcBorders>
            <w:shd w:val="clear" w:color="000000" w:fill="auto"/>
            <w:noWrap/>
            <w:tcMar>
              <w:top w:w="15" w:type="dxa"/>
              <w:left w:w="15" w:type="dxa"/>
              <w:bottom w:w="0" w:type="dxa"/>
              <w:right w:w="15" w:type="dxa"/>
            </w:tcMar>
            <w:vAlign w:val="center"/>
          </w:tcPr>
          <w:p w:rsidR="00AF3226" w:rsidRPr="00D61F1C" w:rsidRDefault="00AF3226" w:rsidP="00AF3226">
            <w:pPr>
              <w:jc w:val="right"/>
              <w:rPr>
                <w:sz w:val="18"/>
                <w:szCs w:val="18"/>
              </w:rPr>
            </w:pPr>
            <w:r>
              <w:rPr>
                <w:sz w:val="18"/>
                <w:szCs w:val="18"/>
              </w:rPr>
              <w:t>2 lentelės tęsinys kitame puslapyje</w:t>
            </w:r>
          </w:p>
        </w:tc>
      </w:tr>
      <w:tr w:rsidR="00AF3226" w:rsidRPr="00D61F1C" w:rsidTr="00AF3226">
        <w:trPr>
          <w:trHeight w:val="227"/>
          <w:jc w:val="center"/>
        </w:trPr>
        <w:tc>
          <w:tcPr>
            <w:tcW w:w="9752" w:type="dxa"/>
            <w:gridSpan w:val="6"/>
            <w:tcBorders>
              <w:top w:val="nil"/>
              <w:bottom w:val="single" w:sz="4" w:space="0" w:color="auto"/>
            </w:tcBorders>
            <w:shd w:val="clear" w:color="000000" w:fill="auto"/>
            <w:noWrap/>
            <w:tcMar>
              <w:top w:w="15" w:type="dxa"/>
              <w:left w:w="15" w:type="dxa"/>
              <w:bottom w:w="0" w:type="dxa"/>
              <w:right w:w="15" w:type="dxa"/>
            </w:tcMar>
            <w:vAlign w:val="center"/>
          </w:tcPr>
          <w:p w:rsidR="00AF3226" w:rsidRPr="00D61F1C" w:rsidRDefault="00AF3226" w:rsidP="00AF3226">
            <w:pPr>
              <w:jc w:val="right"/>
              <w:rPr>
                <w:sz w:val="18"/>
                <w:szCs w:val="18"/>
              </w:rPr>
            </w:pPr>
            <w:r>
              <w:rPr>
                <w:sz w:val="18"/>
                <w:szCs w:val="18"/>
              </w:rPr>
              <w:t xml:space="preserve">2 lentelės tęsinys </w:t>
            </w:r>
          </w:p>
        </w:tc>
      </w:tr>
      <w:tr w:rsidR="00863B4D" w:rsidRPr="00D61F1C" w:rsidTr="00AF3226">
        <w:trPr>
          <w:trHeight w:val="227"/>
          <w:jc w:val="center"/>
        </w:trPr>
        <w:tc>
          <w:tcPr>
            <w:tcW w:w="3966" w:type="dxa"/>
            <w:tcBorders>
              <w:top w:val="single" w:sz="4" w:space="0" w:color="auto"/>
              <w:left w:val="single" w:sz="4" w:space="0" w:color="auto"/>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AS Premia Foods VAIC</w:t>
            </w:r>
          </w:p>
        </w:tc>
        <w:tc>
          <w:tcPr>
            <w:tcW w:w="1129" w:type="dxa"/>
            <w:tcBorders>
              <w:top w:val="single" w:sz="4" w:space="0" w:color="auto"/>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2.35</w:t>
            </w:r>
          </w:p>
        </w:tc>
        <w:tc>
          <w:tcPr>
            <w:tcW w:w="1129" w:type="dxa"/>
            <w:tcBorders>
              <w:top w:val="single" w:sz="4" w:space="0" w:color="auto"/>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2.42</w:t>
            </w:r>
          </w:p>
        </w:tc>
        <w:tc>
          <w:tcPr>
            <w:tcW w:w="1129" w:type="dxa"/>
            <w:tcBorders>
              <w:top w:val="single" w:sz="4" w:space="0" w:color="auto"/>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1.99</w:t>
            </w:r>
          </w:p>
        </w:tc>
        <w:tc>
          <w:tcPr>
            <w:tcW w:w="1270" w:type="dxa"/>
            <w:tcBorders>
              <w:top w:val="single" w:sz="4" w:space="0" w:color="auto"/>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1.87</w:t>
            </w:r>
          </w:p>
        </w:tc>
        <w:tc>
          <w:tcPr>
            <w:tcW w:w="1129" w:type="dxa"/>
            <w:tcBorders>
              <w:top w:val="single" w:sz="4" w:space="0" w:color="auto"/>
              <w:left w:val="nil"/>
              <w:bottom w:val="single" w:sz="4" w:space="0" w:color="auto"/>
              <w:right w:val="single" w:sz="4" w:space="0" w:color="auto"/>
            </w:tcBorders>
            <w:shd w:val="clear" w:color="000000" w:fill="C6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Intelektinio kapitalo efektyvumas, ICE</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1.96</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2.02</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1.59</w:t>
            </w:r>
          </w:p>
        </w:tc>
        <w:tc>
          <w:tcPr>
            <w:tcW w:w="1270"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1.51</w:t>
            </w:r>
          </w:p>
        </w:tc>
        <w:tc>
          <w:tcPr>
            <w:tcW w:w="1129" w:type="dxa"/>
            <w:tcBorders>
              <w:top w:val="nil"/>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APSKAIČIUOTOSIOS NEMATERIALIOS VERTĖS METODAS CIV</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Pelnas prieš mokesčius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650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1691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-698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-461</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62828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68944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64118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63183</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Nematerialus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20186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23568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23015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22548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Pelno mokesčio tarifas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Kapitalo kaina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rPr>
                <w:b/>
                <w:bCs/>
                <w:sz w:val="18"/>
                <w:szCs w:val="18"/>
              </w:rPr>
            </w:pPr>
            <w:r w:rsidRPr="00D61F1C">
              <w:rPr>
                <w:b/>
                <w:bCs/>
                <w:sz w:val="18"/>
                <w:szCs w:val="18"/>
              </w:rPr>
              <w:t>Ekonominė veiklos rūšis: C10 Manufacture of food products*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pelnas prieš mokesčius;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35369.2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31177.7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29821.3</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50493.5</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346158.8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373927.8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405386.5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432230.9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nematerialus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83274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79195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74702.9</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74187.9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ROA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2.1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2.57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1.71</w:t>
            </w:r>
          </w:p>
        </w:tc>
        <w:tc>
          <w:tcPr>
            <w:tcW w:w="127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ROA ir Įmonės ROA skirtumas (jei didesnis už 0, rodiklis toliau neskaičiuojamas)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1.00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0.68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2.57</w:t>
            </w:r>
          </w:p>
        </w:tc>
        <w:tc>
          <w:tcPr>
            <w:tcW w:w="1270" w:type="dxa"/>
            <w:tcBorders>
              <w:top w:val="nil"/>
              <w:left w:val="nil"/>
              <w:bottom w:val="single" w:sz="4" w:space="0" w:color="auto"/>
              <w:right w:val="single" w:sz="4" w:space="0" w:color="auto"/>
            </w:tcBorders>
            <w:shd w:val="clear" w:color="000000" w:fill="B8CCE4"/>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w:t>
            </w:r>
          </w:p>
        </w:tc>
        <w:tc>
          <w:tcPr>
            <w:tcW w:w="1129" w:type="dxa"/>
            <w:tcBorders>
              <w:top w:val="nil"/>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 </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AS Premia Foods CIV</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0.00</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0.00</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0.00</w:t>
            </w:r>
          </w:p>
        </w:tc>
        <w:tc>
          <w:tcPr>
            <w:tcW w:w="1270"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w:t>
            </w:r>
          </w:p>
        </w:tc>
        <w:tc>
          <w:tcPr>
            <w:tcW w:w="1129" w:type="dxa"/>
            <w:tcBorders>
              <w:top w:val="nil"/>
              <w:left w:val="nil"/>
              <w:bottom w:val="single" w:sz="4" w:space="0" w:color="auto"/>
              <w:right w:val="single" w:sz="4" w:space="0" w:color="auto"/>
            </w:tcBorders>
            <w:shd w:val="clear" w:color="000000" w:fill="C6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548DD4"/>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AS Skano Group</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4E2"/>
            <w:noWrap/>
            <w:tcMar>
              <w:top w:w="15" w:type="dxa"/>
              <w:left w:w="15" w:type="dxa"/>
              <w:bottom w:w="0" w:type="dxa"/>
              <w:right w:w="15" w:type="dxa"/>
            </w:tcMar>
            <w:vAlign w:val="bottom"/>
            <w:hideMark/>
          </w:tcPr>
          <w:p w:rsidR="00863B4D" w:rsidRPr="00D61F1C" w:rsidRDefault="00863B4D" w:rsidP="00863B4D">
            <w:pPr>
              <w:jc w:val="center"/>
              <w:rPr>
                <w:b/>
                <w:bCs/>
                <w:color w:val="000000"/>
                <w:sz w:val="18"/>
                <w:szCs w:val="18"/>
              </w:rPr>
            </w:pPr>
            <w:r w:rsidRPr="00D61F1C">
              <w:rPr>
                <w:b/>
                <w:bCs/>
                <w:color w:val="000000"/>
                <w:sz w:val="18"/>
                <w:szCs w:val="18"/>
              </w:rPr>
              <w:t>FINANSINIAI RODIKLIAI</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Grynasis pelnas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771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2565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-201</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8488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9115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15950</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15471</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Nuosavas kapitalas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4570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5331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7693</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7482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ROA - turto grąžos rodiklis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8.46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16.08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-1.30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ROE - kapitalo grąžos rodiklis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14.46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33.34</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-2.69</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PRIDĖTINĖS VERTĖS INTELEKTINIO KAPITALO KOEFICIENTAS VAIC</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OP - veiklos pelnas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177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887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2759</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74</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EC - išlaidos darbuotojams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3182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3451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4322</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4610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D + A - nusidėvėjimas ir amortizacija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516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543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677</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966</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 - pridėtinė vertė</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3875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4881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7758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5650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CA - bendras turtas minus nematerialius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8487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9095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15934</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15448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HC - visas DU</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3182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3451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4322</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4610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ST - struktūrinis kapitalas (VA-HC)</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693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1430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3436</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1040</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VACA = VA/CA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0.46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0.54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0.49</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0.37</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VAHU = VA/HC</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1.22</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1.41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1.80</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1.23</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STVA = ST/VA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0.44</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AS Skano Group VAIC</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1.85</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2.24</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2.72</w:t>
            </w:r>
          </w:p>
        </w:tc>
        <w:tc>
          <w:tcPr>
            <w:tcW w:w="1270"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1.78</w:t>
            </w:r>
          </w:p>
        </w:tc>
        <w:tc>
          <w:tcPr>
            <w:tcW w:w="1129" w:type="dxa"/>
            <w:tcBorders>
              <w:top w:val="nil"/>
              <w:left w:val="nil"/>
              <w:bottom w:val="single" w:sz="4" w:space="0" w:color="auto"/>
              <w:right w:val="single" w:sz="4" w:space="0" w:color="auto"/>
            </w:tcBorders>
            <w:shd w:val="clear" w:color="000000" w:fill="C6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Intelektinio kapitalo efektyvumas, ICE</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1.40</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1.71</w:t>
            </w:r>
          </w:p>
        </w:tc>
        <w:tc>
          <w:tcPr>
            <w:tcW w:w="1129"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2.24</w:t>
            </w:r>
          </w:p>
        </w:tc>
        <w:tc>
          <w:tcPr>
            <w:tcW w:w="1270" w:type="dxa"/>
            <w:tcBorders>
              <w:top w:val="nil"/>
              <w:left w:val="nil"/>
              <w:bottom w:val="single" w:sz="4" w:space="0" w:color="auto"/>
              <w:right w:val="single" w:sz="4" w:space="0" w:color="auto"/>
            </w:tcBorders>
            <w:shd w:val="clear" w:color="000000" w:fill="C5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1.41</w:t>
            </w:r>
          </w:p>
        </w:tc>
        <w:tc>
          <w:tcPr>
            <w:tcW w:w="1129" w:type="dxa"/>
            <w:tcBorders>
              <w:top w:val="nil"/>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000000" w:fill="8DB3E2"/>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APSKAIČIUOTOSIOS NEMATERIALIOS VERTĖS METODAS CIV</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Rodikliai</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2009</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2011</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2012</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Matavimo vienetas</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Pelnas prieš mokesčius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778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2572</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-184</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8488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9115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15950</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15471</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Nematerialus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20</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16</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23</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Pelno mokesčio tarifas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0.2658</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Kapitalo kaina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0.1455</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rPr>
                <w:b/>
                <w:bCs/>
                <w:sz w:val="18"/>
                <w:szCs w:val="18"/>
              </w:rPr>
            </w:pPr>
            <w:r w:rsidRPr="00D61F1C">
              <w:rPr>
                <w:b/>
                <w:bCs/>
                <w:sz w:val="18"/>
                <w:szCs w:val="18"/>
              </w:rPr>
              <w:t xml:space="preserve"> Ekonominė veiklos rūšis: C16 Manufacture of wood and wood products and plaits, except furniture*</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pelnas prieš mokesčius;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28183.7</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86704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104479.5</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92062.5</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354257.4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357916.3</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370604.4</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397979.7</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nematerialus turtas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15534.6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9965.6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8564.6</w:t>
            </w:r>
          </w:p>
        </w:tc>
        <w:tc>
          <w:tcPr>
            <w:tcW w:w="127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8199.6</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tūkst. EUR</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ROA</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0.96</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9.24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B4D" w:rsidRPr="00D61F1C" w:rsidRDefault="00863B4D" w:rsidP="00863B4D">
            <w:pPr>
              <w:jc w:val="center"/>
              <w:rPr>
                <w:color w:val="000000"/>
                <w:sz w:val="18"/>
                <w:szCs w:val="18"/>
              </w:rPr>
            </w:pPr>
            <w:r w:rsidRPr="00D61F1C">
              <w:rPr>
                <w:color w:val="000000"/>
                <w:sz w:val="18"/>
                <w:szCs w:val="18"/>
              </w:rPr>
              <w:t>9.88</w:t>
            </w:r>
          </w:p>
        </w:tc>
        <w:tc>
          <w:tcPr>
            <w:tcW w:w="127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w:t>
            </w:r>
          </w:p>
        </w:tc>
        <w:tc>
          <w:tcPr>
            <w:tcW w:w="112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Šakos ROA ir Įmonės ROA skirtumas (jei didesnis už 0, rodiklis toliau neskaičiuojamas)</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0.84</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0.78</w:t>
            </w:r>
          </w:p>
        </w:tc>
        <w:tc>
          <w:tcPr>
            <w:tcW w:w="11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-6.20</w:t>
            </w:r>
          </w:p>
        </w:tc>
        <w:tc>
          <w:tcPr>
            <w:tcW w:w="1270" w:type="dxa"/>
            <w:tcBorders>
              <w:top w:val="nil"/>
              <w:left w:val="nil"/>
              <w:bottom w:val="single" w:sz="4" w:space="0" w:color="auto"/>
              <w:right w:val="single" w:sz="4" w:space="0" w:color="auto"/>
            </w:tcBorders>
            <w:shd w:val="clear" w:color="000000" w:fill="B8CCE4"/>
            <w:noWrap/>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w:t>
            </w:r>
          </w:p>
        </w:tc>
        <w:tc>
          <w:tcPr>
            <w:tcW w:w="1129" w:type="dxa"/>
            <w:tcBorders>
              <w:top w:val="nil"/>
              <w:left w:val="nil"/>
              <w:bottom w:val="single" w:sz="4" w:space="0" w:color="auto"/>
              <w:right w:val="single" w:sz="4" w:space="0" w:color="auto"/>
            </w:tcBorders>
            <w:shd w:val="clear" w:color="000000" w:fill="C5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 </w:t>
            </w:r>
          </w:p>
        </w:tc>
      </w:tr>
      <w:tr w:rsidR="00863B4D" w:rsidRPr="00D61F1C" w:rsidTr="00AF3226">
        <w:trPr>
          <w:trHeight w:val="227"/>
          <w:jc w:val="center"/>
        </w:trPr>
        <w:tc>
          <w:tcPr>
            <w:tcW w:w="3966" w:type="dxa"/>
            <w:tcBorders>
              <w:top w:val="nil"/>
              <w:left w:val="single" w:sz="4" w:space="0" w:color="auto"/>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AS Skano Group CIV</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0.00</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0.00</w:t>
            </w:r>
          </w:p>
        </w:tc>
        <w:tc>
          <w:tcPr>
            <w:tcW w:w="1129"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-10224.93</w:t>
            </w:r>
          </w:p>
        </w:tc>
        <w:tc>
          <w:tcPr>
            <w:tcW w:w="1270" w:type="dxa"/>
            <w:tcBorders>
              <w:top w:val="nil"/>
              <w:left w:val="nil"/>
              <w:bottom w:val="single" w:sz="4" w:space="0" w:color="auto"/>
              <w:right w:val="single" w:sz="4" w:space="0" w:color="auto"/>
            </w:tcBorders>
            <w:shd w:val="clear" w:color="000000" w:fill="C6D9F1"/>
            <w:noWrap/>
            <w:tcMar>
              <w:top w:w="15" w:type="dxa"/>
              <w:left w:w="15" w:type="dxa"/>
              <w:bottom w:w="0" w:type="dxa"/>
              <w:right w:w="15" w:type="dxa"/>
            </w:tcMar>
            <w:vAlign w:val="center"/>
            <w:hideMark/>
          </w:tcPr>
          <w:p w:rsidR="00863B4D" w:rsidRPr="00D61F1C" w:rsidRDefault="00863B4D" w:rsidP="00863B4D">
            <w:pPr>
              <w:jc w:val="center"/>
              <w:rPr>
                <w:b/>
                <w:bCs/>
                <w:sz w:val="18"/>
                <w:szCs w:val="18"/>
              </w:rPr>
            </w:pPr>
            <w:r w:rsidRPr="00D61F1C">
              <w:rPr>
                <w:b/>
                <w:bCs/>
                <w:sz w:val="18"/>
                <w:szCs w:val="18"/>
              </w:rPr>
              <w:t>-</w:t>
            </w:r>
          </w:p>
        </w:tc>
        <w:tc>
          <w:tcPr>
            <w:tcW w:w="1129" w:type="dxa"/>
            <w:tcBorders>
              <w:top w:val="nil"/>
              <w:left w:val="nil"/>
              <w:bottom w:val="single" w:sz="4" w:space="0" w:color="auto"/>
              <w:right w:val="single" w:sz="4" w:space="0" w:color="auto"/>
            </w:tcBorders>
            <w:shd w:val="clear" w:color="000000" w:fill="C6D9F1"/>
            <w:tcMar>
              <w:top w:w="15" w:type="dxa"/>
              <w:left w:w="15" w:type="dxa"/>
              <w:bottom w:w="0" w:type="dxa"/>
              <w:right w:w="15" w:type="dxa"/>
            </w:tcMar>
            <w:vAlign w:val="center"/>
            <w:hideMark/>
          </w:tcPr>
          <w:p w:rsidR="00863B4D" w:rsidRPr="00D61F1C" w:rsidRDefault="00863B4D" w:rsidP="00863B4D">
            <w:pPr>
              <w:jc w:val="center"/>
              <w:rPr>
                <w:sz w:val="18"/>
                <w:szCs w:val="18"/>
              </w:rPr>
            </w:pPr>
            <w:r w:rsidRPr="00D61F1C">
              <w:rPr>
                <w:sz w:val="18"/>
                <w:szCs w:val="18"/>
              </w:rPr>
              <w:t>koef.</w:t>
            </w:r>
          </w:p>
        </w:tc>
      </w:tr>
    </w:tbl>
    <w:p w:rsidR="00863B4D" w:rsidRDefault="00863B4D" w:rsidP="00863B4D">
      <w:pPr>
        <w:pStyle w:val="ListParagraph"/>
        <w:spacing w:line="360" w:lineRule="auto"/>
        <w:jc w:val="right"/>
        <w:rPr>
          <w:rFonts w:ascii="Times New Roman" w:hAnsi="Times New Roman"/>
          <w:b/>
          <w:lang w:eastAsia="ja-JP"/>
        </w:rPr>
      </w:pPr>
    </w:p>
    <w:p w:rsidR="00863B4D" w:rsidRDefault="00863B4D" w:rsidP="00863B4D">
      <w:pPr>
        <w:rPr>
          <w:sz w:val="20"/>
          <w:szCs w:val="20"/>
        </w:rPr>
      </w:pPr>
      <w:r w:rsidRPr="00E13A36">
        <w:rPr>
          <w:sz w:val="20"/>
          <w:szCs w:val="20"/>
        </w:rPr>
        <w:t xml:space="preserve">Rodikliai apskaičiuoti remiantis audituotomis įmonių metinių finansinių ataskaitų ir </w:t>
      </w:r>
      <w:r>
        <w:rPr>
          <w:sz w:val="20"/>
          <w:szCs w:val="20"/>
        </w:rPr>
        <w:t>Estijos</w:t>
      </w:r>
      <w:r w:rsidRPr="00E13A36">
        <w:rPr>
          <w:sz w:val="20"/>
          <w:szCs w:val="20"/>
        </w:rPr>
        <w:t xml:space="preserve"> Statistikos </w:t>
      </w:r>
      <w:r>
        <w:rPr>
          <w:sz w:val="20"/>
          <w:szCs w:val="20"/>
        </w:rPr>
        <w:t xml:space="preserve">institucijos EEsti Statistika </w:t>
      </w:r>
      <w:r w:rsidRPr="00E13A36">
        <w:rPr>
          <w:sz w:val="20"/>
          <w:szCs w:val="20"/>
        </w:rPr>
        <w:t>duomenimis pagal metodologinėje šio darbo dalyje nurodytas rodiklių skaičiavimo formules.</w:t>
      </w:r>
    </w:p>
    <w:p w:rsidR="00863B4D" w:rsidRDefault="00863B4D" w:rsidP="00863B4D">
      <w:pPr>
        <w:ind w:left="720"/>
        <w:rPr>
          <w:sz w:val="20"/>
          <w:szCs w:val="20"/>
        </w:rPr>
      </w:pPr>
      <w:r w:rsidRPr="00D61F1C">
        <w:rPr>
          <w:sz w:val="18"/>
          <w:szCs w:val="18"/>
        </w:rPr>
        <w:t>*</w:t>
      </w:r>
      <w:r>
        <w:rPr>
          <w:sz w:val="18"/>
          <w:szCs w:val="18"/>
        </w:rPr>
        <w:t xml:space="preserve">  </w:t>
      </w:r>
      <w:r>
        <w:rPr>
          <w:sz w:val="20"/>
          <w:szCs w:val="20"/>
          <w:lang w:val="en-US"/>
        </w:rPr>
        <w:t>Palyginimas su pramon</w:t>
      </w:r>
      <w:r>
        <w:rPr>
          <w:sz w:val="20"/>
          <w:szCs w:val="20"/>
        </w:rPr>
        <w:t>ės šaka pagal ekonominės veiklos rūšių klasifikatorių.</w:t>
      </w:r>
    </w:p>
    <w:p w:rsidR="00863B4D" w:rsidRPr="00BB2A0E" w:rsidRDefault="00863B4D" w:rsidP="00863B4D">
      <w:pPr>
        <w:ind w:left="720"/>
        <w:rPr>
          <w:sz w:val="20"/>
          <w:szCs w:val="20"/>
        </w:rPr>
      </w:pPr>
      <w:r w:rsidRPr="00BB2A0E">
        <w:rPr>
          <w:sz w:val="22"/>
          <w:szCs w:val="22"/>
        </w:rPr>
        <w:t>**</w:t>
      </w:r>
      <w:r w:rsidRPr="00BB2A0E">
        <w:rPr>
          <w:sz w:val="20"/>
          <w:szCs w:val="20"/>
        </w:rPr>
        <w:t xml:space="preserve"> </w:t>
      </w:r>
      <w:r w:rsidRPr="00BB2A0E">
        <w:rPr>
          <w:color w:val="000000"/>
          <w:sz w:val="20"/>
          <w:szCs w:val="20"/>
        </w:rPr>
        <w:t xml:space="preserve"> Kursas 1 EUR - 15,6466 Estijos kronos</w:t>
      </w:r>
    </w:p>
    <w:p w:rsidR="00863B4D" w:rsidRPr="00FB4592" w:rsidRDefault="00863B4D" w:rsidP="00863B4D">
      <w:pPr>
        <w:ind w:left="360"/>
        <w:rPr>
          <w:sz w:val="20"/>
          <w:szCs w:val="20"/>
        </w:rPr>
      </w:pPr>
    </w:p>
    <w:p w:rsidR="00C84BB9" w:rsidRPr="00C8222E" w:rsidRDefault="00863B4D" w:rsidP="00863B4D">
      <w:pPr>
        <w:jc w:val="right"/>
        <w:rPr>
          <w:b/>
          <w:lang w:val="en-US"/>
        </w:rPr>
      </w:pPr>
      <w:r>
        <w:rPr>
          <w:b/>
          <w:lang w:eastAsia="ja-JP"/>
        </w:rPr>
        <w:t xml:space="preserve"> </w:t>
      </w:r>
    </w:p>
    <w:p w:rsidR="00AF3F4F" w:rsidRDefault="00AF3F4F" w:rsidP="00AF3F4F">
      <w:pPr>
        <w:pStyle w:val="ListParagraph"/>
        <w:spacing w:line="360" w:lineRule="auto"/>
        <w:jc w:val="right"/>
        <w:rPr>
          <w:rFonts w:ascii="Times New Roman" w:hAnsi="Times New Roman"/>
          <w:b/>
          <w:lang w:eastAsia="ja-JP"/>
        </w:rPr>
      </w:pPr>
      <w:r>
        <w:rPr>
          <w:lang w:val="en-US"/>
        </w:rPr>
        <w:br w:type="column"/>
      </w:r>
      <w:r w:rsidRPr="006F1476">
        <w:rPr>
          <w:rFonts w:ascii="Times New Roman" w:hAnsi="Times New Roman"/>
          <w:b/>
          <w:lang w:eastAsia="ja-JP"/>
        </w:rPr>
        <w:t>7 PRIEDAS</w:t>
      </w:r>
    </w:p>
    <w:p w:rsidR="00AF3F4F" w:rsidRPr="00586554" w:rsidRDefault="00AF3F4F" w:rsidP="00AF3F4F">
      <w:pPr>
        <w:pStyle w:val="ListParagraph"/>
        <w:spacing w:line="360" w:lineRule="auto"/>
        <w:jc w:val="center"/>
        <w:rPr>
          <w:rFonts w:ascii="Times New Roman" w:hAnsi="Times New Roman"/>
          <w:b/>
          <w:lang w:eastAsia="ja-JP"/>
        </w:rPr>
      </w:pPr>
      <w:r w:rsidRPr="00586554">
        <w:rPr>
          <w:rFonts w:ascii="Times New Roman" w:hAnsi="Times New Roman"/>
          <w:b/>
          <w:lang w:eastAsia="ja-JP"/>
        </w:rPr>
        <w:t>1 lentelė. Įmonių nefinansinių rodiklių koreliacija 2009-2012 metais</w:t>
      </w:r>
    </w:p>
    <w:tbl>
      <w:tblPr>
        <w:tblW w:w="963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73"/>
        <w:gridCol w:w="2296"/>
        <w:gridCol w:w="1418"/>
        <w:gridCol w:w="1417"/>
        <w:gridCol w:w="1418"/>
        <w:gridCol w:w="1417"/>
      </w:tblGrid>
      <w:tr w:rsidR="00AF3F4F" w:rsidRPr="007B7037" w:rsidTr="00AF3F4F">
        <w:trPr>
          <w:cantSplit/>
        </w:trPr>
        <w:tc>
          <w:tcPr>
            <w:tcW w:w="3969" w:type="dxa"/>
            <w:gridSpan w:val="2"/>
            <w:tcBorders>
              <w:top w:val="single" w:sz="16" w:space="0" w:color="000000"/>
              <w:left w:val="single" w:sz="16" w:space="0" w:color="000000"/>
              <w:bottom w:val="single" w:sz="16" w:space="0" w:color="000000"/>
              <w:right w:val="nil"/>
            </w:tcBorders>
            <w:shd w:val="clear" w:color="auto" w:fill="FFFFFF"/>
            <w:vAlign w:val="bottom"/>
          </w:tcPr>
          <w:p w:rsidR="00AF3F4F" w:rsidRPr="007B7037" w:rsidRDefault="00AF3F4F" w:rsidP="00AF3F4F">
            <w:pPr>
              <w:rPr>
                <w:sz w:val="20"/>
                <w:szCs w:val="20"/>
              </w:rPr>
            </w:pPr>
          </w:p>
        </w:tc>
        <w:tc>
          <w:tcPr>
            <w:tcW w:w="1418" w:type="dxa"/>
            <w:tcBorders>
              <w:top w:val="single" w:sz="16" w:space="0" w:color="000000"/>
              <w:left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VAIC</w:t>
            </w:r>
            <w:r>
              <w:rPr>
                <w:sz w:val="20"/>
                <w:szCs w:val="20"/>
              </w:rPr>
              <w:t>™</w:t>
            </w:r>
            <w:r w:rsidRPr="007B7037">
              <w:rPr>
                <w:sz w:val="20"/>
                <w:szCs w:val="20"/>
              </w:rPr>
              <w:t xml:space="preserve"> 2009</w:t>
            </w:r>
          </w:p>
        </w:tc>
        <w:tc>
          <w:tcPr>
            <w:tcW w:w="1417"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VACA 2009</w:t>
            </w:r>
          </w:p>
        </w:tc>
        <w:tc>
          <w:tcPr>
            <w:tcW w:w="1418"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VAHU 2009</w:t>
            </w:r>
          </w:p>
        </w:tc>
        <w:tc>
          <w:tcPr>
            <w:tcW w:w="1417" w:type="dxa"/>
            <w:tcBorders>
              <w:top w:val="single" w:sz="16" w:space="0" w:color="000000"/>
              <w:bottom w:val="single" w:sz="16" w:space="0" w:color="000000"/>
              <w:right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STVA 2009</w:t>
            </w:r>
          </w:p>
        </w:tc>
      </w:tr>
      <w:tr w:rsidR="00AF3F4F" w:rsidRPr="007B7037" w:rsidTr="00AF3F4F">
        <w:trPr>
          <w:cantSplit/>
        </w:trPr>
        <w:tc>
          <w:tcPr>
            <w:tcW w:w="1673" w:type="dxa"/>
            <w:vMerge w:val="restart"/>
            <w:tcBorders>
              <w:top w:val="single" w:sz="16" w:space="0" w:color="000000"/>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VAIC</w:t>
            </w:r>
            <w:r>
              <w:rPr>
                <w:sz w:val="20"/>
                <w:szCs w:val="20"/>
              </w:rPr>
              <w:t>™</w:t>
            </w:r>
            <w:r w:rsidRPr="007B7037">
              <w:rPr>
                <w:sz w:val="20"/>
                <w:szCs w:val="20"/>
              </w:rPr>
              <w:t xml:space="preserve"> 2009</w:t>
            </w:r>
          </w:p>
        </w:tc>
        <w:tc>
          <w:tcPr>
            <w:tcW w:w="2296" w:type="dxa"/>
            <w:tcBorders>
              <w:top w:val="single" w:sz="16" w:space="0" w:color="000000"/>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single" w:sz="16" w:space="0" w:color="000000"/>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417"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.210</w:t>
            </w:r>
          </w:p>
        </w:tc>
        <w:tc>
          <w:tcPr>
            <w:tcW w:w="1418"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.990</w:t>
            </w:r>
            <w:r w:rsidRPr="007B7037">
              <w:rPr>
                <w:sz w:val="20"/>
                <w:szCs w:val="20"/>
                <w:vertAlign w:val="superscript"/>
              </w:rPr>
              <w:t>**</w:t>
            </w:r>
          </w:p>
        </w:tc>
        <w:tc>
          <w:tcPr>
            <w:tcW w:w="1417" w:type="dxa"/>
            <w:tcBorders>
              <w:top w:val="single" w:sz="16" w:space="0" w:color="000000"/>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.924</w:t>
            </w:r>
            <w:r w:rsidRPr="007B7037">
              <w:rPr>
                <w:sz w:val="20"/>
                <w:szCs w:val="20"/>
                <w:vertAlign w:val="superscript"/>
              </w:rPr>
              <w:t>**</w:t>
            </w:r>
          </w:p>
        </w:tc>
      </w:tr>
      <w:tr w:rsidR="00AF3F4F" w:rsidRPr="007B7037" w:rsidTr="00AF3F4F">
        <w:trPr>
          <w:cantSplit/>
        </w:trPr>
        <w:tc>
          <w:tcPr>
            <w:tcW w:w="1673" w:type="dxa"/>
            <w:vMerge/>
            <w:tcBorders>
              <w:top w:val="single" w:sz="16" w:space="0" w:color="000000"/>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rPr>
                <w:sz w:val="20"/>
                <w:szCs w:val="20"/>
              </w:rPr>
            </w:pP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.561</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r>
      <w:tr w:rsidR="00AF3F4F" w:rsidRPr="007B7037" w:rsidTr="00AF3F4F">
        <w:trPr>
          <w:cantSplit/>
        </w:trPr>
        <w:tc>
          <w:tcPr>
            <w:tcW w:w="1673" w:type="dxa"/>
            <w:vMerge/>
            <w:tcBorders>
              <w:top w:val="single" w:sz="16" w:space="0" w:color="000000"/>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8"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673"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VACA 2009</w:t>
            </w: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.210</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.088</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.278</w:t>
            </w:r>
          </w:p>
        </w:tc>
      </w:tr>
      <w:tr w:rsidR="00AF3F4F" w:rsidRPr="007B7037" w:rsidTr="00AF3F4F">
        <w:trPr>
          <w:cantSplit/>
        </w:trPr>
        <w:tc>
          <w:tcPr>
            <w:tcW w:w="1673"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.561</w:t>
            </w:r>
          </w:p>
        </w:tc>
        <w:tc>
          <w:tcPr>
            <w:tcW w:w="1417" w:type="dxa"/>
            <w:tcBorders>
              <w:top w:val="nil"/>
              <w:bottom w:val="nil"/>
            </w:tcBorders>
            <w:shd w:val="clear" w:color="auto" w:fill="FFFFFF"/>
            <w:vAlign w:val="center"/>
          </w:tcPr>
          <w:p w:rsidR="00AF3F4F" w:rsidRPr="007B7037" w:rsidRDefault="00AF3F4F" w:rsidP="00AF3F4F">
            <w:pPr>
              <w:rPr>
                <w:sz w:val="20"/>
                <w:szCs w:val="20"/>
              </w:rPr>
            </w:pP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.809</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.436</w:t>
            </w:r>
          </w:p>
        </w:tc>
      </w:tr>
      <w:tr w:rsidR="00AF3F4F" w:rsidRPr="007B7037" w:rsidTr="00AF3F4F">
        <w:trPr>
          <w:cantSplit/>
        </w:trPr>
        <w:tc>
          <w:tcPr>
            <w:tcW w:w="1673"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8"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673"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VAHU 2009</w:t>
            </w: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.990</w:t>
            </w:r>
            <w:r w:rsidRPr="007B7037">
              <w:rPr>
                <w:sz w:val="20"/>
                <w:szCs w:val="20"/>
                <w:vertAlign w:val="superscript"/>
              </w:rPr>
              <w:t>**</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.088</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.879</w:t>
            </w:r>
            <w:r w:rsidRPr="007B7037">
              <w:rPr>
                <w:sz w:val="20"/>
                <w:szCs w:val="20"/>
                <w:vertAlign w:val="superscript"/>
              </w:rPr>
              <w:t>**</w:t>
            </w:r>
          </w:p>
        </w:tc>
      </w:tr>
      <w:tr w:rsidR="00AF3F4F" w:rsidRPr="007B7037" w:rsidTr="00AF3F4F">
        <w:trPr>
          <w:cantSplit/>
        </w:trPr>
        <w:tc>
          <w:tcPr>
            <w:tcW w:w="1673"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.809</w:t>
            </w:r>
          </w:p>
        </w:tc>
        <w:tc>
          <w:tcPr>
            <w:tcW w:w="1418" w:type="dxa"/>
            <w:tcBorders>
              <w:top w:val="nil"/>
              <w:bottom w:val="nil"/>
            </w:tcBorders>
            <w:shd w:val="clear" w:color="auto" w:fill="FFFFFF"/>
            <w:vAlign w:val="center"/>
          </w:tcPr>
          <w:p w:rsidR="00AF3F4F" w:rsidRPr="007B7037" w:rsidRDefault="00AF3F4F" w:rsidP="00AF3F4F">
            <w:pPr>
              <w:rPr>
                <w:sz w:val="20"/>
                <w:szCs w:val="20"/>
              </w:rPr>
            </w:pP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.001</w:t>
            </w:r>
          </w:p>
        </w:tc>
      </w:tr>
      <w:tr w:rsidR="00AF3F4F" w:rsidRPr="007B7037" w:rsidTr="00AF3F4F">
        <w:trPr>
          <w:cantSplit/>
        </w:trPr>
        <w:tc>
          <w:tcPr>
            <w:tcW w:w="1673"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8"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673" w:type="dxa"/>
            <w:vMerge w:val="restart"/>
            <w:tcBorders>
              <w:top w:val="nil"/>
              <w:left w:val="single" w:sz="16" w:space="0" w:color="000000"/>
              <w:bottom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STVA 2009</w:t>
            </w: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.924</w:t>
            </w:r>
            <w:r w:rsidRPr="007B7037">
              <w:rPr>
                <w:sz w:val="20"/>
                <w:szCs w:val="20"/>
                <w:vertAlign w:val="superscript"/>
              </w:rPr>
              <w:t>**</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.278</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.879</w:t>
            </w:r>
            <w:r w:rsidRPr="007B7037">
              <w:rPr>
                <w:sz w:val="20"/>
                <w:szCs w:val="20"/>
                <w:vertAlign w:val="superscript"/>
              </w:rPr>
              <w:t>**</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r>
      <w:tr w:rsidR="00AF3F4F" w:rsidRPr="007B7037" w:rsidTr="00AF3F4F">
        <w:trPr>
          <w:cantSplit/>
        </w:trPr>
        <w:tc>
          <w:tcPr>
            <w:tcW w:w="1673" w:type="dxa"/>
            <w:vMerge/>
            <w:tcBorders>
              <w:top w:val="nil"/>
              <w:left w:val="single" w:sz="16" w:space="0" w:color="000000"/>
              <w:bottom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.436</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.001</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rPr>
                <w:sz w:val="20"/>
                <w:szCs w:val="20"/>
              </w:rPr>
            </w:pPr>
          </w:p>
        </w:tc>
      </w:tr>
      <w:tr w:rsidR="00AF3F4F" w:rsidRPr="007B7037" w:rsidTr="00AF3F4F">
        <w:trPr>
          <w:cantSplit/>
        </w:trPr>
        <w:tc>
          <w:tcPr>
            <w:tcW w:w="1673" w:type="dxa"/>
            <w:vMerge/>
            <w:tcBorders>
              <w:top w:val="nil"/>
              <w:left w:val="single" w:sz="16" w:space="0" w:color="000000"/>
              <w:bottom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single" w:sz="16" w:space="0" w:color="000000"/>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8"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bottom w:val="single" w:sz="16" w:space="0" w:color="000000"/>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3969" w:type="dxa"/>
            <w:gridSpan w:val="2"/>
            <w:tcBorders>
              <w:top w:val="single" w:sz="16" w:space="0" w:color="000000"/>
              <w:left w:val="single" w:sz="16" w:space="0" w:color="000000"/>
              <w:bottom w:val="single" w:sz="16" w:space="0" w:color="000000"/>
              <w:right w:val="nil"/>
            </w:tcBorders>
            <w:shd w:val="clear" w:color="auto" w:fill="FFFFFF"/>
            <w:vAlign w:val="bottom"/>
          </w:tcPr>
          <w:p w:rsidR="00AF3F4F" w:rsidRPr="007B7037" w:rsidRDefault="00AF3F4F" w:rsidP="00AF3F4F">
            <w:pPr>
              <w:rPr>
                <w:sz w:val="20"/>
                <w:szCs w:val="20"/>
              </w:rPr>
            </w:pPr>
          </w:p>
        </w:tc>
        <w:tc>
          <w:tcPr>
            <w:tcW w:w="1418" w:type="dxa"/>
            <w:tcBorders>
              <w:top w:val="single" w:sz="16" w:space="0" w:color="000000"/>
              <w:left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VAIC</w:t>
            </w:r>
            <w:r>
              <w:rPr>
                <w:sz w:val="20"/>
                <w:szCs w:val="20"/>
              </w:rPr>
              <w:t>™</w:t>
            </w:r>
            <w:r w:rsidRPr="007B7037">
              <w:rPr>
                <w:sz w:val="20"/>
                <w:szCs w:val="20"/>
              </w:rPr>
              <w:t xml:space="preserve"> 2010</w:t>
            </w:r>
          </w:p>
        </w:tc>
        <w:tc>
          <w:tcPr>
            <w:tcW w:w="1417"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VACA 2010</w:t>
            </w:r>
          </w:p>
        </w:tc>
        <w:tc>
          <w:tcPr>
            <w:tcW w:w="1418"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VAHU 2010</w:t>
            </w:r>
          </w:p>
        </w:tc>
        <w:tc>
          <w:tcPr>
            <w:tcW w:w="1417" w:type="dxa"/>
            <w:tcBorders>
              <w:top w:val="single" w:sz="16" w:space="0" w:color="000000"/>
              <w:bottom w:val="single" w:sz="16" w:space="0" w:color="000000"/>
              <w:right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STVA 2010</w:t>
            </w:r>
          </w:p>
        </w:tc>
      </w:tr>
      <w:tr w:rsidR="00AF3F4F" w:rsidRPr="007B7037" w:rsidTr="00AF3F4F">
        <w:trPr>
          <w:cantSplit/>
        </w:trPr>
        <w:tc>
          <w:tcPr>
            <w:tcW w:w="1673" w:type="dxa"/>
            <w:vMerge w:val="restart"/>
            <w:tcBorders>
              <w:top w:val="single" w:sz="16" w:space="0" w:color="000000"/>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VAIC</w:t>
            </w:r>
            <w:r>
              <w:rPr>
                <w:sz w:val="20"/>
                <w:szCs w:val="20"/>
              </w:rPr>
              <w:t>™</w:t>
            </w:r>
            <w:r w:rsidRPr="007B7037">
              <w:rPr>
                <w:sz w:val="20"/>
                <w:szCs w:val="20"/>
              </w:rPr>
              <w:t xml:space="preserve"> 2010</w:t>
            </w:r>
          </w:p>
        </w:tc>
        <w:tc>
          <w:tcPr>
            <w:tcW w:w="2296" w:type="dxa"/>
            <w:tcBorders>
              <w:top w:val="single" w:sz="16" w:space="0" w:color="000000"/>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single" w:sz="16" w:space="0" w:color="000000"/>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417"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.149</w:t>
            </w:r>
          </w:p>
        </w:tc>
        <w:tc>
          <w:tcPr>
            <w:tcW w:w="1418"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.990</w:t>
            </w:r>
            <w:r w:rsidRPr="007B7037">
              <w:rPr>
                <w:sz w:val="20"/>
                <w:szCs w:val="20"/>
                <w:vertAlign w:val="superscript"/>
              </w:rPr>
              <w:t>**</w:t>
            </w:r>
          </w:p>
        </w:tc>
        <w:tc>
          <w:tcPr>
            <w:tcW w:w="1417" w:type="dxa"/>
            <w:tcBorders>
              <w:top w:val="single" w:sz="16" w:space="0" w:color="000000"/>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.988</w:t>
            </w:r>
            <w:r w:rsidRPr="007B7037">
              <w:rPr>
                <w:sz w:val="20"/>
                <w:szCs w:val="20"/>
                <w:vertAlign w:val="superscript"/>
              </w:rPr>
              <w:t>**</w:t>
            </w:r>
          </w:p>
        </w:tc>
      </w:tr>
      <w:tr w:rsidR="00AF3F4F" w:rsidRPr="007B7037" w:rsidTr="00AF3F4F">
        <w:trPr>
          <w:cantSplit/>
        </w:trPr>
        <w:tc>
          <w:tcPr>
            <w:tcW w:w="1673" w:type="dxa"/>
            <w:vMerge/>
            <w:tcBorders>
              <w:top w:val="single" w:sz="16" w:space="0" w:color="000000"/>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rPr>
                <w:sz w:val="20"/>
                <w:szCs w:val="20"/>
              </w:rPr>
            </w:pP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.681</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r>
      <w:tr w:rsidR="00AF3F4F" w:rsidRPr="007B7037" w:rsidTr="00AF3F4F">
        <w:trPr>
          <w:cantSplit/>
        </w:trPr>
        <w:tc>
          <w:tcPr>
            <w:tcW w:w="1673" w:type="dxa"/>
            <w:vMerge/>
            <w:tcBorders>
              <w:top w:val="single" w:sz="16" w:space="0" w:color="000000"/>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8"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673"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VACA 2010</w:t>
            </w: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.149</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.013</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.141</w:t>
            </w:r>
          </w:p>
        </w:tc>
      </w:tr>
      <w:tr w:rsidR="00AF3F4F" w:rsidRPr="007B7037" w:rsidTr="00AF3F4F">
        <w:trPr>
          <w:cantSplit/>
        </w:trPr>
        <w:tc>
          <w:tcPr>
            <w:tcW w:w="1673"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.681</w:t>
            </w:r>
          </w:p>
        </w:tc>
        <w:tc>
          <w:tcPr>
            <w:tcW w:w="1417" w:type="dxa"/>
            <w:tcBorders>
              <w:top w:val="nil"/>
              <w:bottom w:val="nil"/>
            </w:tcBorders>
            <w:shd w:val="clear" w:color="auto" w:fill="FFFFFF"/>
            <w:vAlign w:val="center"/>
          </w:tcPr>
          <w:p w:rsidR="00AF3F4F" w:rsidRPr="007B7037" w:rsidRDefault="00AF3F4F" w:rsidP="00AF3F4F">
            <w:pPr>
              <w:rPr>
                <w:sz w:val="20"/>
                <w:szCs w:val="20"/>
              </w:rPr>
            </w:pP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.971</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.697</w:t>
            </w:r>
          </w:p>
        </w:tc>
      </w:tr>
      <w:tr w:rsidR="00AF3F4F" w:rsidRPr="007B7037" w:rsidTr="00AF3F4F">
        <w:trPr>
          <w:cantSplit/>
        </w:trPr>
        <w:tc>
          <w:tcPr>
            <w:tcW w:w="1673"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8"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673"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VAHU 2010</w:t>
            </w: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.990</w:t>
            </w:r>
            <w:r w:rsidRPr="007B7037">
              <w:rPr>
                <w:sz w:val="20"/>
                <w:szCs w:val="20"/>
                <w:vertAlign w:val="superscript"/>
              </w:rPr>
              <w:t>**</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.013</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.976</w:t>
            </w:r>
            <w:r w:rsidRPr="007B7037">
              <w:rPr>
                <w:sz w:val="20"/>
                <w:szCs w:val="20"/>
                <w:vertAlign w:val="superscript"/>
              </w:rPr>
              <w:t>**</w:t>
            </w:r>
          </w:p>
        </w:tc>
      </w:tr>
      <w:tr w:rsidR="00AF3F4F" w:rsidRPr="007B7037" w:rsidTr="00AF3F4F">
        <w:trPr>
          <w:cantSplit/>
        </w:trPr>
        <w:tc>
          <w:tcPr>
            <w:tcW w:w="1673"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.971</w:t>
            </w:r>
          </w:p>
        </w:tc>
        <w:tc>
          <w:tcPr>
            <w:tcW w:w="1418" w:type="dxa"/>
            <w:tcBorders>
              <w:top w:val="nil"/>
              <w:bottom w:val="nil"/>
            </w:tcBorders>
            <w:shd w:val="clear" w:color="auto" w:fill="FFFFFF"/>
            <w:vAlign w:val="center"/>
          </w:tcPr>
          <w:p w:rsidR="00AF3F4F" w:rsidRPr="007B7037" w:rsidRDefault="00AF3F4F" w:rsidP="00AF3F4F">
            <w:pPr>
              <w:rPr>
                <w:sz w:val="20"/>
                <w:szCs w:val="20"/>
              </w:rPr>
            </w:pP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r>
      <w:tr w:rsidR="00AF3F4F" w:rsidRPr="007B7037" w:rsidTr="00AF3F4F">
        <w:trPr>
          <w:cantSplit/>
        </w:trPr>
        <w:tc>
          <w:tcPr>
            <w:tcW w:w="1673"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8"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673" w:type="dxa"/>
            <w:vMerge w:val="restart"/>
            <w:tcBorders>
              <w:top w:val="nil"/>
              <w:left w:val="single" w:sz="16" w:space="0" w:color="000000"/>
              <w:bottom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STVA 2010</w:t>
            </w: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.988</w:t>
            </w:r>
            <w:r w:rsidRPr="007B7037">
              <w:rPr>
                <w:sz w:val="20"/>
                <w:szCs w:val="20"/>
                <w:vertAlign w:val="superscript"/>
              </w:rPr>
              <w:t>**</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.141</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.976</w:t>
            </w:r>
            <w:r w:rsidRPr="007B7037">
              <w:rPr>
                <w:sz w:val="20"/>
                <w:szCs w:val="20"/>
                <w:vertAlign w:val="superscript"/>
              </w:rPr>
              <w:t>**</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r>
      <w:tr w:rsidR="00AF3F4F" w:rsidRPr="007B7037" w:rsidTr="00AF3F4F">
        <w:trPr>
          <w:cantSplit/>
        </w:trPr>
        <w:tc>
          <w:tcPr>
            <w:tcW w:w="1673" w:type="dxa"/>
            <w:vMerge/>
            <w:tcBorders>
              <w:top w:val="nil"/>
              <w:left w:val="single" w:sz="16" w:space="0" w:color="000000"/>
              <w:bottom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.697</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rPr>
                <w:sz w:val="20"/>
                <w:szCs w:val="20"/>
              </w:rPr>
            </w:pPr>
          </w:p>
        </w:tc>
      </w:tr>
      <w:tr w:rsidR="00AF3F4F" w:rsidRPr="007B7037" w:rsidTr="00AF3F4F">
        <w:trPr>
          <w:cantSplit/>
        </w:trPr>
        <w:tc>
          <w:tcPr>
            <w:tcW w:w="1673" w:type="dxa"/>
            <w:vMerge/>
            <w:tcBorders>
              <w:top w:val="nil"/>
              <w:left w:val="single" w:sz="16" w:space="0" w:color="000000"/>
              <w:bottom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single" w:sz="16" w:space="0" w:color="000000"/>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8"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bottom w:val="single" w:sz="16" w:space="0" w:color="000000"/>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3969" w:type="dxa"/>
            <w:gridSpan w:val="2"/>
            <w:tcBorders>
              <w:top w:val="single" w:sz="16" w:space="0" w:color="000000"/>
              <w:left w:val="single" w:sz="16" w:space="0" w:color="000000"/>
              <w:bottom w:val="single" w:sz="16" w:space="0" w:color="000000"/>
              <w:right w:val="nil"/>
            </w:tcBorders>
            <w:shd w:val="clear" w:color="auto" w:fill="FFFFFF"/>
            <w:vAlign w:val="bottom"/>
          </w:tcPr>
          <w:p w:rsidR="00AF3F4F" w:rsidRPr="007B7037" w:rsidRDefault="00AF3F4F" w:rsidP="00AF3F4F">
            <w:pPr>
              <w:rPr>
                <w:sz w:val="20"/>
                <w:szCs w:val="20"/>
              </w:rPr>
            </w:pPr>
          </w:p>
        </w:tc>
        <w:tc>
          <w:tcPr>
            <w:tcW w:w="1418" w:type="dxa"/>
            <w:tcBorders>
              <w:top w:val="single" w:sz="16" w:space="0" w:color="000000"/>
              <w:left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VAIC</w:t>
            </w:r>
            <w:r>
              <w:rPr>
                <w:sz w:val="20"/>
                <w:szCs w:val="20"/>
              </w:rPr>
              <w:t>™</w:t>
            </w:r>
            <w:r w:rsidRPr="007B7037">
              <w:rPr>
                <w:sz w:val="20"/>
                <w:szCs w:val="20"/>
              </w:rPr>
              <w:t xml:space="preserve"> 2011</w:t>
            </w:r>
          </w:p>
        </w:tc>
        <w:tc>
          <w:tcPr>
            <w:tcW w:w="1417"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VACA 2011</w:t>
            </w:r>
          </w:p>
        </w:tc>
        <w:tc>
          <w:tcPr>
            <w:tcW w:w="1418"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VAHU 2011</w:t>
            </w:r>
          </w:p>
        </w:tc>
        <w:tc>
          <w:tcPr>
            <w:tcW w:w="1417" w:type="dxa"/>
            <w:tcBorders>
              <w:top w:val="single" w:sz="16" w:space="0" w:color="000000"/>
              <w:bottom w:val="single" w:sz="16" w:space="0" w:color="000000"/>
              <w:right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STVA 2011</w:t>
            </w:r>
          </w:p>
        </w:tc>
      </w:tr>
      <w:tr w:rsidR="00AF3F4F" w:rsidRPr="007B7037" w:rsidTr="00AF3F4F">
        <w:trPr>
          <w:cantSplit/>
        </w:trPr>
        <w:tc>
          <w:tcPr>
            <w:tcW w:w="1673" w:type="dxa"/>
            <w:vMerge w:val="restart"/>
            <w:tcBorders>
              <w:top w:val="single" w:sz="16" w:space="0" w:color="000000"/>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VAIC</w:t>
            </w:r>
            <w:r>
              <w:rPr>
                <w:sz w:val="20"/>
                <w:szCs w:val="20"/>
              </w:rPr>
              <w:t>™</w:t>
            </w:r>
            <w:r w:rsidRPr="007B7037">
              <w:rPr>
                <w:sz w:val="20"/>
                <w:szCs w:val="20"/>
              </w:rPr>
              <w:t xml:space="preserve"> 2011</w:t>
            </w:r>
          </w:p>
        </w:tc>
        <w:tc>
          <w:tcPr>
            <w:tcW w:w="2296" w:type="dxa"/>
            <w:tcBorders>
              <w:top w:val="single" w:sz="16" w:space="0" w:color="000000"/>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single" w:sz="16" w:space="0" w:color="000000"/>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417"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.175</w:t>
            </w:r>
          </w:p>
        </w:tc>
        <w:tc>
          <w:tcPr>
            <w:tcW w:w="1418"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.990</w:t>
            </w:r>
            <w:r w:rsidRPr="007B7037">
              <w:rPr>
                <w:sz w:val="20"/>
                <w:szCs w:val="20"/>
                <w:vertAlign w:val="superscript"/>
              </w:rPr>
              <w:t>**</w:t>
            </w:r>
          </w:p>
        </w:tc>
        <w:tc>
          <w:tcPr>
            <w:tcW w:w="1417" w:type="dxa"/>
            <w:tcBorders>
              <w:top w:val="single" w:sz="16" w:space="0" w:color="000000"/>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.953</w:t>
            </w:r>
            <w:r w:rsidRPr="007B7037">
              <w:rPr>
                <w:sz w:val="20"/>
                <w:szCs w:val="20"/>
                <w:vertAlign w:val="superscript"/>
              </w:rPr>
              <w:t>**</w:t>
            </w:r>
          </w:p>
        </w:tc>
      </w:tr>
      <w:tr w:rsidR="00AF3F4F" w:rsidRPr="007B7037" w:rsidTr="00AF3F4F">
        <w:trPr>
          <w:cantSplit/>
        </w:trPr>
        <w:tc>
          <w:tcPr>
            <w:tcW w:w="1673" w:type="dxa"/>
            <w:vMerge/>
            <w:tcBorders>
              <w:top w:val="single" w:sz="16" w:space="0" w:color="000000"/>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rPr>
                <w:sz w:val="20"/>
                <w:szCs w:val="20"/>
              </w:rPr>
            </w:pP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.629</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r>
      <w:tr w:rsidR="00AF3F4F" w:rsidRPr="007B7037" w:rsidTr="00AF3F4F">
        <w:trPr>
          <w:cantSplit/>
        </w:trPr>
        <w:tc>
          <w:tcPr>
            <w:tcW w:w="1673" w:type="dxa"/>
            <w:vMerge/>
            <w:tcBorders>
              <w:top w:val="single" w:sz="16" w:space="0" w:color="000000"/>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8"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673"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VACA 2011</w:t>
            </w: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.175</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.046</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.237</w:t>
            </w:r>
          </w:p>
        </w:tc>
      </w:tr>
      <w:tr w:rsidR="00AF3F4F" w:rsidRPr="007B7037" w:rsidTr="00AF3F4F">
        <w:trPr>
          <w:cantSplit/>
        </w:trPr>
        <w:tc>
          <w:tcPr>
            <w:tcW w:w="1673"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.629</w:t>
            </w:r>
          </w:p>
        </w:tc>
        <w:tc>
          <w:tcPr>
            <w:tcW w:w="1417" w:type="dxa"/>
            <w:tcBorders>
              <w:top w:val="nil"/>
              <w:bottom w:val="nil"/>
            </w:tcBorders>
            <w:shd w:val="clear" w:color="auto" w:fill="FFFFFF"/>
            <w:vAlign w:val="center"/>
          </w:tcPr>
          <w:p w:rsidR="00AF3F4F" w:rsidRPr="007B7037" w:rsidRDefault="00AF3F4F" w:rsidP="00AF3F4F">
            <w:pPr>
              <w:rPr>
                <w:sz w:val="20"/>
                <w:szCs w:val="20"/>
              </w:rPr>
            </w:pP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.900</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.509</w:t>
            </w:r>
          </w:p>
        </w:tc>
      </w:tr>
      <w:tr w:rsidR="00AF3F4F" w:rsidRPr="007B7037" w:rsidTr="00AF3F4F">
        <w:trPr>
          <w:cantSplit/>
        </w:trPr>
        <w:tc>
          <w:tcPr>
            <w:tcW w:w="1673"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8"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673"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VAHU 2011</w:t>
            </w: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.990</w:t>
            </w:r>
            <w:r w:rsidRPr="007B7037">
              <w:rPr>
                <w:sz w:val="20"/>
                <w:szCs w:val="20"/>
                <w:vertAlign w:val="superscript"/>
              </w:rPr>
              <w:t>**</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.046</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.919</w:t>
            </w:r>
            <w:r w:rsidRPr="007B7037">
              <w:rPr>
                <w:sz w:val="20"/>
                <w:szCs w:val="20"/>
                <w:vertAlign w:val="superscript"/>
              </w:rPr>
              <w:t>**</w:t>
            </w:r>
          </w:p>
        </w:tc>
      </w:tr>
      <w:tr w:rsidR="00AF3F4F" w:rsidRPr="007B7037" w:rsidTr="00AF3F4F">
        <w:trPr>
          <w:cantSplit/>
        </w:trPr>
        <w:tc>
          <w:tcPr>
            <w:tcW w:w="1673"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.900</w:t>
            </w:r>
          </w:p>
        </w:tc>
        <w:tc>
          <w:tcPr>
            <w:tcW w:w="1418" w:type="dxa"/>
            <w:tcBorders>
              <w:top w:val="nil"/>
              <w:bottom w:val="nil"/>
            </w:tcBorders>
            <w:shd w:val="clear" w:color="auto" w:fill="FFFFFF"/>
            <w:vAlign w:val="center"/>
          </w:tcPr>
          <w:p w:rsidR="00AF3F4F" w:rsidRPr="007B7037" w:rsidRDefault="00AF3F4F" w:rsidP="00AF3F4F">
            <w:pPr>
              <w:rPr>
                <w:sz w:val="20"/>
                <w:szCs w:val="20"/>
              </w:rPr>
            </w:pP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r>
      <w:tr w:rsidR="00AF3F4F" w:rsidRPr="007B7037" w:rsidTr="00AF3F4F">
        <w:trPr>
          <w:cantSplit/>
        </w:trPr>
        <w:tc>
          <w:tcPr>
            <w:tcW w:w="1673"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8"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673" w:type="dxa"/>
            <w:vMerge w:val="restart"/>
            <w:tcBorders>
              <w:top w:val="nil"/>
              <w:left w:val="single" w:sz="16" w:space="0" w:color="000000"/>
              <w:bottom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STVA 2011</w:t>
            </w: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.953</w:t>
            </w:r>
            <w:r w:rsidRPr="007B7037">
              <w:rPr>
                <w:sz w:val="20"/>
                <w:szCs w:val="20"/>
                <w:vertAlign w:val="superscript"/>
              </w:rPr>
              <w:t>**</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.237</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.919</w:t>
            </w:r>
            <w:r w:rsidRPr="007B7037">
              <w:rPr>
                <w:sz w:val="20"/>
                <w:szCs w:val="20"/>
                <w:vertAlign w:val="superscript"/>
              </w:rPr>
              <w:t>**</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r>
      <w:tr w:rsidR="00AF3F4F" w:rsidRPr="007B7037" w:rsidTr="00AF3F4F">
        <w:trPr>
          <w:cantSplit/>
        </w:trPr>
        <w:tc>
          <w:tcPr>
            <w:tcW w:w="1673" w:type="dxa"/>
            <w:vMerge/>
            <w:tcBorders>
              <w:top w:val="nil"/>
              <w:left w:val="single" w:sz="16" w:space="0" w:color="000000"/>
              <w:bottom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.509</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rPr>
                <w:sz w:val="20"/>
                <w:szCs w:val="20"/>
              </w:rPr>
            </w:pPr>
          </w:p>
        </w:tc>
      </w:tr>
      <w:tr w:rsidR="00AF3F4F" w:rsidRPr="007B7037" w:rsidTr="00AF3F4F">
        <w:trPr>
          <w:cantSplit/>
        </w:trPr>
        <w:tc>
          <w:tcPr>
            <w:tcW w:w="1673" w:type="dxa"/>
            <w:vMerge/>
            <w:tcBorders>
              <w:top w:val="nil"/>
              <w:left w:val="single" w:sz="16" w:space="0" w:color="000000"/>
              <w:bottom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single" w:sz="16" w:space="0" w:color="000000"/>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8"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bottom w:val="single" w:sz="16" w:space="0" w:color="000000"/>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3969" w:type="dxa"/>
            <w:gridSpan w:val="2"/>
            <w:tcBorders>
              <w:top w:val="single" w:sz="16" w:space="0" w:color="000000"/>
              <w:left w:val="single" w:sz="16" w:space="0" w:color="000000"/>
              <w:bottom w:val="single" w:sz="16" w:space="0" w:color="000000"/>
              <w:right w:val="nil"/>
            </w:tcBorders>
            <w:shd w:val="clear" w:color="auto" w:fill="FFFFFF"/>
            <w:vAlign w:val="bottom"/>
          </w:tcPr>
          <w:p w:rsidR="00AF3F4F" w:rsidRPr="007B7037" w:rsidRDefault="00AF3F4F" w:rsidP="00AF3F4F">
            <w:pPr>
              <w:rPr>
                <w:sz w:val="20"/>
                <w:szCs w:val="20"/>
              </w:rPr>
            </w:pPr>
          </w:p>
        </w:tc>
        <w:tc>
          <w:tcPr>
            <w:tcW w:w="1418" w:type="dxa"/>
            <w:tcBorders>
              <w:top w:val="single" w:sz="16" w:space="0" w:color="000000"/>
              <w:left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VAIC</w:t>
            </w:r>
            <w:r>
              <w:rPr>
                <w:sz w:val="20"/>
                <w:szCs w:val="20"/>
              </w:rPr>
              <w:t>™</w:t>
            </w:r>
            <w:r w:rsidRPr="007B7037">
              <w:rPr>
                <w:sz w:val="20"/>
                <w:szCs w:val="20"/>
              </w:rPr>
              <w:t xml:space="preserve"> 2012</w:t>
            </w:r>
          </w:p>
        </w:tc>
        <w:tc>
          <w:tcPr>
            <w:tcW w:w="1417"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VACA 2012</w:t>
            </w:r>
          </w:p>
        </w:tc>
        <w:tc>
          <w:tcPr>
            <w:tcW w:w="1418"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VAHU 2012</w:t>
            </w:r>
          </w:p>
        </w:tc>
        <w:tc>
          <w:tcPr>
            <w:tcW w:w="1417" w:type="dxa"/>
            <w:tcBorders>
              <w:top w:val="single" w:sz="16" w:space="0" w:color="000000"/>
              <w:bottom w:val="single" w:sz="16" w:space="0" w:color="000000"/>
              <w:right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STVA 2012</w:t>
            </w:r>
          </w:p>
        </w:tc>
      </w:tr>
      <w:tr w:rsidR="00AF3F4F" w:rsidRPr="007B7037" w:rsidTr="00AF3F4F">
        <w:trPr>
          <w:cantSplit/>
        </w:trPr>
        <w:tc>
          <w:tcPr>
            <w:tcW w:w="1673" w:type="dxa"/>
            <w:vMerge w:val="restart"/>
            <w:tcBorders>
              <w:top w:val="single" w:sz="16" w:space="0" w:color="000000"/>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VAIC</w:t>
            </w:r>
            <w:r>
              <w:rPr>
                <w:sz w:val="20"/>
                <w:szCs w:val="20"/>
              </w:rPr>
              <w:t>™</w:t>
            </w:r>
            <w:r w:rsidRPr="007B7037">
              <w:rPr>
                <w:sz w:val="20"/>
                <w:szCs w:val="20"/>
              </w:rPr>
              <w:t xml:space="preserve"> 2012</w:t>
            </w:r>
          </w:p>
        </w:tc>
        <w:tc>
          <w:tcPr>
            <w:tcW w:w="2296" w:type="dxa"/>
            <w:tcBorders>
              <w:top w:val="single" w:sz="16" w:space="0" w:color="000000"/>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single" w:sz="16" w:space="0" w:color="000000"/>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417"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.388</w:t>
            </w:r>
          </w:p>
        </w:tc>
        <w:tc>
          <w:tcPr>
            <w:tcW w:w="1418"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.985</w:t>
            </w:r>
            <w:r w:rsidRPr="007B7037">
              <w:rPr>
                <w:sz w:val="20"/>
                <w:szCs w:val="20"/>
                <w:vertAlign w:val="superscript"/>
              </w:rPr>
              <w:t>**</w:t>
            </w:r>
          </w:p>
        </w:tc>
        <w:tc>
          <w:tcPr>
            <w:tcW w:w="1417" w:type="dxa"/>
            <w:tcBorders>
              <w:top w:val="single" w:sz="16" w:space="0" w:color="000000"/>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.958</w:t>
            </w:r>
            <w:r w:rsidRPr="007B7037">
              <w:rPr>
                <w:sz w:val="20"/>
                <w:szCs w:val="20"/>
                <w:vertAlign w:val="superscript"/>
              </w:rPr>
              <w:t>**</w:t>
            </w:r>
          </w:p>
        </w:tc>
      </w:tr>
      <w:tr w:rsidR="00AF3F4F" w:rsidRPr="007B7037" w:rsidTr="00AF3F4F">
        <w:trPr>
          <w:cantSplit/>
        </w:trPr>
        <w:tc>
          <w:tcPr>
            <w:tcW w:w="1673" w:type="dxa"/>
            <w:vMerge/>
            <w:tcBorders>
              <w:top w:val="single" w:sz="16" w:space="0" w:color="000000"/>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rPr>
                <w:sz w:val="20"/>
                <w:szCs w:val="20"/>
              </w:rPr>
            </w:pP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.269</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r>
      <w:tr w:rsidR="00AF3F4F" w:rsidRPr="007B7037" w:rsidTr="00AF3F4F">
        <w:trPr>
          <w:cantSplit/>
        </w:trPr>
        <w:tc>
          <w:tcPr>
            <w:tcW w:w="1673" w:type="dxa"/>
            <w:vMerge/>
            <w:tcBorders>
              <w:top w:val="single" w:sz="16" w:space="0" w:color="000000"/>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8"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673"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VACA 2012</w:t>
            </w: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.388</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.232</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.412</w:t>
            </w:r>
          </w:p>
        </w:tc>
      </w:tr>
      <w:tr w:rsidR="00AF3F4F" w:rsidRPr="007B7037" w:rsidTr="00AF3F4F">
        <w:trPr>
          <w:cantSplit/>
        </w:trPr>
        <w:tc>
          <w:tcPr>
            <w:tcW w:w="1673"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.269</w:t>
            </w:r>
          </w:p>
        </w:tc>
        <w:tc>
          <w:tcPr>
            <w:tcW w:w="1417" w:type="dxa"/>
            <w:tcBorders>
              <w:top w:val="nil"/>
              <w:bottom w:val="nil"/>
            </w:tcBorders>
            <w:shd w:val="clear" w:color="auto" w:fill="FFFFFF"/>
            <w:vAlign w:val="center"/>
          </w:tcPr>
          <w:p w:rsidR="00AF3F4F" w:rsidRPr="007B7037" w:rsidRDefault="00AF3F4F" w:rsidP="00AF3F4F">
            <w:pPr>
              <w:rPr>
                <w:sz w:val="20"/>
                <w:szCs w:val="20"/>
              </w:rPr>
            </w:pP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.519</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.236</w:t>
            </w:r>
          </w:p>
        </w:tc>
      </w:tr>
      <w:tr w:rsidR="00AF3F4F" w:rsidRPr="007B7037" w:rsidTr="00AF3F4F">
        <w:trPr>
          <w:cantSplit/>
        </w:trPr>
        <w:tc>
          <w:tcPr>
            <w:tcW w:w="1673"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8"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673"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VAHU 2012</w:t>
            </w: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.985</w:t>
            </w:r>
            <w:r w:rsidRPr="007B7037">
              <w:rPr>
                <w:sz w:val="20"/>
                <w:szCs w:val="20"/>
                <w:vertAlign w:val="superscript"/>
              </w:rPr>
              <w:t>**</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.232</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.917</w:t>
            </w:r>
            <w:r w:rsidRPr="007B7037">
              <w:rPr>
                <w:sz w:val="20"/>
                <w:szCs w:val="20"/>
                <w:vertAlign w:val="superscript"/>
              </w:rPr>
              <w:t>**</w:t>
            </w:r>
          </w:p>
        </w:tc>
      </w:tr>
      <w:tr w:rsidR="00AF3F4F" w:rsidRPr="007B7037" w:rsidTr="00AF3F4F">
        <w:trPr>
          <w:cantSplit/>
        </w:trPr>
        <w:tc>
          <w:tcPr>
            <w:tcW w:w="1673"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.519</w:t>
            </w:r>
          </w:p>
        </w:tc>
        <w:tc>
          <w:tcPr>
            <w:tcW w:w="1418" w:type="dxa"/>
            <w:tcBorders>
              <w:top w:val="nil"/>
              <w:bottom w:val="nil"/>
            </w:tcBorders>
            <w:shd w:val="clear" w:color="auto" w:fill="FFFFFF"/>
            <w:vAlign w:val="center"/>
          </w:tcPr>
          <w:p w:rsidR="00AF3F4F" w:rsidRPr="007B7037" w:rsidRDefault="00AF3F4F" w:rsidP="00AF3F4F">
            <w:pPr>
              <w:rPr>
                <w:sz w:val="20"/>
                <w:szCs w:val="20"/>
              </w:rPr>
            </w:pP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r>
      <w:tr w:rsidR="00AF3F4F" w:rsidRPr="007B7037" w:rsidTr="00AF3F4F">
        <w:trPr>
          <w:cantSplit/>
        </w:trPr>
        <w:tc>
          <w:tcPr>
            <w:tcW w:w="1673"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8"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673" w:type="dxa"/>
            <w:vMerge w:val="restart"/>
            <w:tcBorders>
              <w:top w:val="nil"/>
              <w:left w:val="single" w:sz="16" w:space="0" w:color="000000"/>
              <w:bottom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STVA 2012</w:t>
            </w: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.958</w:t>
            </w:r>
            <w:r w:rsidRPr="007B7037">
              <w:rPr>
                <w:sz w:val="20"/>
                <w:szCs w:val="20"/>
                <w:vertAlign w:val="superscript"/>
              </w:rPr>
              <w:t>**</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.412</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.917</w:t>
            </w:r>
            <w:r w:rsidRPr="007B7037">
              <w:rPr>
                <w:sz w:val="20"/>
                <w:szCs w:val="20"/>
                <w:vertAlign w:val="superscript"/>
              </w:rPr>
              <w:t>**</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r>
      <w:tr w:rsidR="00AF3F4F" w:rsidRPr="007B7037" w:rsidTr="00AF3F4F">
        <w:trPr>
          <w:cantSplit/>
        </w:trPr>
        <w:tc>
          <w:tcPr>
            <w:tcW w:w="1673" w:type="dxa"/>
            <w:vMerge/>
            <w:tcBorders>
              <w:top w:val="nil"/>
              <w:left w:val="single" w:sz="16" w:space="0" w:color="000000"/>
              <w:bottom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417"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.236</w:t>
            </w:r>
          </w:p>
        </w:tc>
        <w:tc>
          <w:tcPr>
            <w:tcW w:w="1418"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417" w:type="dxa"/>
            <w:tcBorders>
              <w:top w:val="nil"/>
              <w:bottom w:val="nil"/>
              <w:right w:val="single" w:sz="16" w:space="0" w:color="000000"/>
            </w:tcBorders>
            <w:shd w:val="clear" w:color="auto" w:fill="FFFFFF"/>
            <w:vAlign w:val="center"/>
          </w:tcPr>
          <w:p w:rsidR="00AF3F4F" w:rsidRPr="007B7037" w:rsidRDefault="00AF3F4F" w:rsidP="00AF3F4F">
            <w:pPr>
              <w:rPr>
                <w:sz w:val="20"/>
                <w:szCs w:val="20"/>
              </w:rPr>
            </w:pPr>
          </w:p>
        </w:tc>
      </w:tr>
      <w:tr w:rsidR="00AF3F4F" w:rsidRPr="007B7037" w:rsidTr="00AF3F4F">
        <w:trPr>
          <w:cantSplit/>
        </w:trPr>
        <w:tc>
          <w:tcPr>
            <w:tcW w:w="1673" w:type="dxa"/>
            <w:vMerge/>
            <w:tcBorders>
              <w:top w:val="nil"/>
              <w:left w:val="single" w:sz="16" w:space="0" w:color="000000"/>
              <w:bottom w:val="single" w:sz="16" w:space="0" w:color="000000"/>
              <w:right w:val="nil"/>
            </w:tcBorders>
            <w:shd w:val="clear" w:color="auto" w:fill="FFFFFF"/>
          </w:tcPr>
          <w:p w:rsidR="00AF3F4F" w:rsidRPr="007B7037" w:rsidRDefault="00AF3F4F" w:rsidP="00AF3F4F">
            <w:pPr>
              <w:rPr>
                <w:sz w:val="20"/>
                <w:szCs w:val="20"/>
              </w:rPr>
            </w:pPr>
          </w:p>
        </w:tc>
        <w:tc>
          <w:tcPr>
            <w:tcW w:w="2296" w:type="dxa"/>
            <w:tcBorders>
              <w:top w:val="nil"/>
              <w:left w:val="nil"/>
              <w:bottom w:val="single" w:sz="16" w:space="0" w:color="000000"/>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8"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417" w:type="dxa"/>
            <w:tcBorders>
              <w:top w:val="nil"/>
              <w:bottom w:val="single" w:sz="16" w:space="0" w:color="000000"/>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bl>
    <w:p w:rsidR="00AF3F4F" w:rsidRPr="00586554" w:rsidRDefault="00AF3F4F" w:rsidP="00AF3F4F">
      <w:pPr>
        <w:spacing w:line="360" w:lineRule="auto"/>
        <w:jc w:val="center"/>
        <w:rPr>
          <w:b/>
          <w:lang w:eastAsia="ja-JP"/>
        </w:rPr>
      </w:pPr>
      <w:r w:rsidRPr="00586554">
        <w:rPr>
          <w:b/>
          <w:lang w:eastAsia="ja-JP"/>
        </w:rPr>
        <w:t>2 lentelė. Įmonių finansinių ir nefinansinių rodiklių koreliacija 2009-2012 metais</w:t>
      </w:r>
    </w:p>
    <w:tbl>
      <w:tblPr>
        <w:tblW w:w="96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54"/>
        <w:gridCol w:w="1990"/>
        <w:gridCol w:w="1418"/>
        <w:gridCol w:w="1134"/>
        <w:gridCol w:w="1134"/>
        <w:gridCol w:w="1276"/>
        <w:gridCol w:w="1134"/>
      </w:tblGrid>
      <w:tr w:rsidR="00AF3F4F" w:rsidRPr="007B7037" w:rsidTr="00AF3F4F">
        <w:trPr>
          <w:cantSplit/>
        </w:trPr>
        <w:tc>
          <w:tcPr>
            <w:tcW w:w="3544" w:type="dxa"/>
            <w:gridSpan w:val="2"/>
            <w:tcBorders>
              <w:top w:val="single" w:sz="16" w:space="0" w:color="000000"/>
              <w:left w:val="single" w:sz="16" w:space="0" w:color="000000"/>
              <w:bottom w:val="single" w:sz="16" w:space="0" w:color="000000"/>
              <w:right w:val="nil"/>
            </w:tcBorders>
            <w:shd w:val="clear" w:color="auto" w:fill="FFFFFF"/>
            <w:vAlign w:val="bottom"/>
          </w:tcPr>
          <w:p w:rsidR="00AF3F4F" w:rsidRPr="007B7037" w:rsidRDefault="00AF3F4F" w:rsidP="00AF3F4F">
            <w:pPr>
              <w:rPr>
                <w:sz w:val="20"/>
                <w:szCs w:val="20"/>
              </w:rPr>
            </w:pPr>
          </w:p>
        </w:tc>
        <w:tc>
          <w:tcPr>
            <w:tcW w:w="1418" w:type="dxa"/>
            <w:tcBorders>
              <w:top w:val="single" w:sz="16" w:space="0" w:color="000000"/>
              <w:left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VAIC</w:t>
            </w:r>
            <w:r>
              <w:rPr>
                <w:sz w:val="20"/>
                <w:szCs w:val="20"/>
              </w:rPr>
              <w:t>™</w:t>
            </w:r>
            <w:r w:rsidRPr="007B7037">
              <w:rPr>
                <w:sz w:val="20"/>
                <w:szCs w:val="20"/>
              </w:rPr>
              <w:t xml:space="preserve"> 2009</w:t>
            </w:r>
          </w:p>
        </w:tc>
        <w:tc>
          <w:tcPr>
            <w:tcW w:w="1134"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ICE 2009</w:t>
            </w:r>
          </w:p>
        </w:tc>
        <w:tc>
          <w:tcPr>
            <w:tcW w:w="1134"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CIV 2009</w:t>
            </w:r>
          </w:p>
        </w:tc>
        <w:tc>
          <w:tcPr>
            <w:tcW w:w="1276"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ROA 2009</w:t>
            </w:r>
          </w:p>
        </w:tc>
        <w:tc>
          <w:tcPr>
            <w:tcW w:w="1134" w:type="dxa"/>
            <w:tcBorders>
              <w:top w:val="single" w:sz="16" w:space="0" w:color="000000"/>
              <w:bottom w:val="single" w:sz="16" w:space="0" w:color="000000"/>
              <w:right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ROE 2009</w:t>
            </w:r>
          </w:p>
        </w:tc>
      </w:tr>
      <w:tr w:rsidR="00AF3F4F" w:rsidRPr="007B7037" w:rsidTr="00AF3F4F">
        <w:trPr>
          <w:cantSplit/>
        </w:trPr>
        <w:tc>
          <w:tcPr>
            <w:tcW w:w="1554" w:type="dxa"/>
            <w:vMerge w:val="restart"/>
            <w:tcBorders>
              <w:top w:val="single" w:sz="16" w:space="0" w:color="000000"/>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VAIC</w:t>
            </w:r>
            <w:r>
              <w:rPr>
                <w:sz w:val="20"/>
                <w:szCs w:val="20"/>
              </w:rPr>
              <w:t>™</w:t>
            </w:r>
            <w:r w:rsidRPr="007B7037">
              <w:rPr>
                <w:sz w:val="20"/>
                <w:szCs w:val="20"/>
              </w:rPr>
              <w:t xml:space="preserve"> 2009</w:t>
            </w:r>
          </w:p>
        </w:tc>
        <w:tc>
          <w:tcPr>
            <w:tcW w:w="1990" w:type="dxa"/>
            <w:tcBorders>
              <w:top w:val="single" w:sz="16" w:space="0" w:color="000000"/>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single" w:sz="16" w:space="0" w:color="000000"/>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134"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.996</w:t>
            </w:r>
            <w:r w:rsidRPr="007B7037">
              <w:rPr>
                <w:sz w:val="20"/>
                <w:szCs w:val="20"/>
                <w:vertAlign w:val="superscript"/>
              </w:rPr>
              <w:t>**</w:t>
            </w:r>
          </w:p>
        </w:tc>
        <w:tc>
          <w:tcPr>
            <w:tcW w:w="1134"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.193</w:t>
            </w:r>
          </w:p>
        </w:tc>
        <w:tc>
          <w:tcPr>
            <w:tcW w:w="1276"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.177</w:t>
            </w:r>
          </w:p>
        </w:tc>
        <w:tc>
          <w:tcPr>
            <w:tcW w:w="1134" w:type="dxa"/>
            <w:tcBorders>
              <w:top w:val="single" w:sz="16" w:space="0" w:color="000000"/>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.084</w:t>
            </w:r>
          </w:p>
        </w:tc>
      </w:tr>
      <w:tr w:rsidR="00AF3F4F" w:rsidRPr="007B7037" w:rsidTr="00AF3F4F">
        <w:trPr>
          <w:cantSplit/>
        </w:trPr>
        <w:tc>
          <w:tcPr>
            <w:tcW w:w="1554" w:type="dxa"/>
            <w:vMerge/>
            <w:tcBorders>
              <w:top w:val="single" w:sz="16" w:space="0" w:color="000000"/>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rPr>
                <w:sz w:val="20"/>
                <w:szCs w:val="20"/>
              </w:rPr>
            </w:pP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.593</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.625</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.818</w:t>
            </w:r>
          </w:p>
        </w:tc>
      </w:tr>
      <w:tr w:rsidR="00AF3F4F" w:rsidRPr="007B7037" w:rsidTr="00AF3F4F">
        <w:trPr>
          <w:cantSplit/>
        </w:trPr>
        <w:tc>
          <w:tcPr>
            <w:tcW w:w="1554" w:type="dxa"/>
            <w:vMerge/>
            <w:tcBorders>
              <w:top w:val="single" w:sz="16" w:space="0" w:color="000000"/>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554"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ICE 2009</w:t>
            </w: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.996</w:t>
            </w:r>
            <w:r w:rsidRPr="007B7037">
              <w:rPr>
                <w:sz w:val="20"/>
                <w:szCs w:val="20"/>
                <w:vertAlign w:val="superscript"/>
              </w:rPr>
              <w:t>**</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.222</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.094</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.001</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134" w:type="dxa"/>
            <w:tcBorders>
              <w:top w:val="nil"/>
              <w:bottom w:val="nil"/>
            </w:tcBorders>
            <w:shd w:val="clear" w:color="auto" w:fill="FFFFFF"/>
            <w:vAlign w:val="center"/>
          </w:tcPr>
          <w:p w:rsidR="00AF3F4F" w:rsidRPr="007B7037" w:rsidRDefault="00AF3F4F" w:rsidP="00AF3F4F">
            <w:pPr>
              <w:rPr>
                <w:sz w:val="20"/>
                <w:szCs w:val="20"/>
              </w:rPr>
            </w:pP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.538</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.796</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.997</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554"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CIV 2009</w:t>
            </w: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.193</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.222</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-.008</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-.116</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.593</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.538</w:t>
            </w:r>
          </w:p>
        </w:tc>
        <w:tc>
          <w:tcPr>
            <w:tcW w:w="1134" w:type="dxa"/>
            <w:tcBorders>
              <w:top w:val="nil"/>
              <w:bottom w:val="nil"/>
            </w:tcBorders>
            <w:shd w:val="clear" w:color="auto" w:fill="FFFFFF"/>
            <w:vAlign w:val="center"/>
          </w:tcPr>
          <w:p w:rsidR="00AF3F4F" w:rsidRPr="007B7037" w:rsidRDefault="00AF3F4F" w:rsidP="00AF3F4F">
            <w:pPr>
              <w:rPr>
                <w:sz w:val="20"/>
                <w:szCs w:val="20"/>
              </w:rPr>
            </w:pP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.982</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.750</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554"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ROA 2009</w:t>
            </w: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.177</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.094</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-.008</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.949</w:t>
            </w:r>
            <w:r w:rsidRPr="007B7037">
              <w:rPr>
                <w:sz w:val="20"/>
                <w:szCs w:val="20"/>
                <w:vertAlign w:val="superscript"/>
              </w:rPr>
              <w:t>**</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.625</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.796</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.982</w:t>
            </w:r>
          </w:p>
        </w:tc>
        <w:tc>
          <w:tcPr>
            <w:tcW w:w="1276" w:type="dxa"/>
            <w:tcBorders>
              <w:top w:val="nil"/>
              <w:bottom w:val="nil"/>
            </w:tcBorders>
            <w:shd w:val="clear" w:color="auto" w:fill="FFFFFF"/>
            <w:vAlign w:val="center"/>
          </w:tcPr>
          <w:p w:rsidR="00AF3F4F" w:rsidRPr="007B7037" w:rsidRDefault="00AF3F4F" w:rsidP="00AF3F4F">
            <w:pPr>
              <w:rPr>
                <w:sz w:val="20"/>
                <w:szCs w:val="20"/>
              </w:rPr>
            </w:pP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554" w:type="dxa"/>
            <w:vMerge w:val="restart"/>
            <w:tcBorders>
              <w:top w:val="nil"/>
              <w:left w:val="single" w:sz="16" w:space="0" w:color="000000"/>
              <w:bottom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ROE 2009</w:t>
            </w: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.084</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.001</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-.116</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.949</w:t>
            </w:r>
            <w:r w:rsidRPr="007B7037">
              <w:rPr>
                <w:sz w:val="20"/>
                <w:szCs w:val="20"/>
                <w:vertAlign w:val="superscript"/>
              </w:rPr>
              <w:t>**</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r>
      <w:tr w:rsidR="00AF3F4F" w:rsidRPr="007B7037" w:rsidTr="00AF3F4F">
        <w:trPr>
          <w:cantSplit/>
        </w:trPr>
        <w:tc>
          <w:tcPr>
            <w:tcW w:w="1554" w:type="dxa"/>
            <w:vMerge/>
            <w:tcBorders>
              <w:top w:val="nil"/>
              <w:left w:val="single" w:sz="16" w:space="0" w:color="000000"/>
              <w:bottom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.818</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.997</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.750</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rPr>
                <w:sz w:val="20"/>
                <w:szCs w:val="20"/>
              </w:rPr>
            </w:pPr>
          </w:p>
        </w:tc>
      </w:tr>
      <w:tr w:rsidR="00AF3F4F" w:rsidRPr="007B7037" w:rsidTr="00AF3F4F">
        <w:trPr>
          <w:cantSplit/>
        </w:trPr>
        <w:tc>
          <w:tcPr>
            <w:tcW w:w="1554" w:type="dxa"/>
            <w:vMerge/>
            <w:tcBorders>
              <w:top w:val="nil"/>
              <w:left w:val="single" w:sz="16" w:space="0" w:color="000000"/>
              <w:bottom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single" w:sz="16" w:space="0" w:color="000000"/>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bottom w:val="single" w:sz="16" w:space="0" w:color="000000"/>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3544" w:type="dxa"/>
            <w:gridSpan w:val="2"/>
            <w:tcBorders>
              <w:top w:val="single" w:sz="16" w:space="0" w:color="000000"/>
              <w:left w:val="single" w:sz="16" w:space="0" w:color="000000"/>
              <w:bottom w:val="single" w:sz="16" w:space="0" w:color="000000"/>
              <w:right w:val="nil"/>
            </w:tcBorders>
            <w:shd w:val="clear" w:color="auto" w:fill="FFFFFF"/>
            <w:vAlign w:val="bottom"/>
          </w:tcPr>
          <w:p w:rsidR="00AF3F4F" w:rsidRPr="007B7037" w:rsidRDefault="00AF3F4F" w:rsidP="00AF3F4F">
            <w:pPr>
              <w:rPr>
                <w:sz w:val="20"/>
                <w:szCs w:val="20"/>
              </w:rPr>
            </w:pPr>
          </w:p>
        </w:tc>
        <w:tc>
          <w:tcPr>
            <w:tcW w:w="1418" w:type="dxa"/>
            <w:tcBorders>
              <w:top w:val="single" w:sz="16" w:space="0" w:color="000000"/>
              <w:left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VAIC</w:t>
            </w:r>
            <w:r>
              <w:rPr>
                <w:sz w:val="20"/>
                <w:szCs w:val="20"/>
              </w:rPr>
              <w:t>™</w:t>
            </w:r>
            <w:r w:rsidRPr="007B7037">
              <w:rPr>
                <w:sz w:val="20"/>
                <w:szCs w:val="20"/>
              </w:rPr>
              <w:t xml:space="preserve"> 2010</w:t>
            </w:r>
          </w:p>
        </w:tc>
        <w:tc>
          <w:tcPr>
            <w:tcW w:w="1134"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ICE 2010</w:t>
            </w:r>
          </w:p>
        </w:tc>
        <w:tc>
          <w:tcPr>
            <w:tcW w:w="1134"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CIV 2010</w:t>
            </w:r>
          </w:p>
        </w:tc>
        <w:tc>
          <w:tcPr>
            <w:tcW w:w="1276"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ROA 2010</w:t>
            </w:r>
          </w:p>
        </w:tc>
        <w:tc>
          <w:tcPr>
            <w:tcW w:w="1134" w:type="dxa"/>
            <w:tcBorders>
              <w:top w:val="single" w:sz="16" w:space="0" w:color="000000"/>
              <w:bottom w:val="single" w:sz="16" w:space="0" w:color="000000"/>
              <w:right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ROE 2010</w:t>
            </w:r>
          </w:p>
        </w:tc>
      </w:tr>
      <w:tr w:rsidR="00AF3F4F" w:rsidRPr="007B7037" w:rsidTr="00AF3F4F">
        <w:trPr>
          <w:cantSplit/>
        </w:trPr>
        <w:tc>
          <w:tcPr>
            <w:tcW w:w="1554" w:type="dxa"/>
            <w:vMerge w:val="restart"/>
            <w:tcBorders>
              <w:top w:val="single" w:sz="16" w:space="0" w:color="000000"/>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VAIC</w:t>
            </w:r>
            <w:r>
              <w:rPr>
                <w:sz w:val="20"/>
                <w:szCs w:val="20"/>
              </w:rPr>
              <w:t>™</w:t>
            </w:r>
            <w:r w:rsidRPr="007B7037">
              <w:rPr>
                <w:sz w:val="20"/>
                <w:szCs w:val="20"/>
              </w:rPr>
              <w:t xml:space="preserve"> 2010</w:t>
            </w:r>
          </w:p>
        </w:tc>
        <w:tc>
          <w:tcPr>
            <w:tcW w:w="1990" w:type="dxa"/>
            <w:tcBorders>
              <w:top w:val="single" w:sz="16" w:space="0" w:color="000000"/>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single" w:sz="16" w:space="0" w:color="000000"/>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134"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.993</w:t>
            </w:r>
            <w:r w:rsidRPr="007B7037">
              <w:rPr>
                <w:sz w:val="20"/>
                <w:szCs w:val="20"/>
                <w:vertAlign w:val="superscript"/>
              </w:rPr>
              <w:t>**</w:t>
            </w:r>
          </w:p>
        </w:tc>
        <w:tc>
          <w:tcPr>
            <w:tcW w:w="1134"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.445</w:t>
            </w:r>
          </w:p>
        </w:tc>
        <w:tc>
          <w:tcPr>
            <w:tcW w:w="1276"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.272</w:t>
            </w:r>
          </w:p>
        </w:tc>
        <w:tc>
          <w:tcPr>
            <w:tcW w:w="1134" w:type="dxa"/>
            <w:tcBorders>
              <w:top w:val="single" w:sz="16" w:space="0" w:color="000000"/>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.211</w:t>
            </w:r>
          </w:p>
        </w:tc>
      </w:tr>
      <w:tr w:rsidR="00AF3F4F" w:rsidRPr="007B7037" w:rsidTr="00AF3F4F">
        <w:trPr>
          <w:cantSplit/>
        </w:trPr>
        <w:tc>
          <w:tcPr>
            <w:tcW w:w="1554" w:type="dxa"/>
            <w:vMerge/>
            <w:tcBorders>
              <w:top w:val="single" w:sz="16" w:space="0" w:color="000000"/>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rPr>
                <w:sz w:val="20"/>
                <w:szCs w:val="20"/>
              </w:rPr>
            </w:pP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.197</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.447</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.559</w:t>
            </w:r>
          </w:p>
        </w:tc>
      </w:tr>
      <w:tr w:rsidR="00AF3F4F" w:rsidRPr="007B7037" w:rsidTr="00AF3F4F">
        <w:trPr>
          <w:cantSplit/>
        </w:trPr>
        <w:tc>
          <w:tcPr>
            <w:tcW w:w="1554" w:type="dxa"/>
            <w:vMerge/>
            <w:tcBorders>
              <w:top w:val="single" w:sz="16" w:space="0" w:color="000000"/>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554"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ICE 2010</w:t>
            </w: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.993</w:t>
            </w:r>
            <w:r w:rsidRPr="007B7037">
              <w:rPr>
                <w:sz w:val="20"/>
                <w:szCs w:val="20"/>
                <w:vertAlign w:val="superscript"/>
              </w:rPr>
              <w:t>**</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.463</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.171</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.108</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134" w:type="dxa"/>
            <w:tcBorders>
              <w:top w:val="nil"/>
              <w:bottom w:val="nil"/>
            </w:tcBorders>
            <w:shd w:val="clear" w:color="auto" w:fill="FFFFFF"/>
            <w:vAlign w:val="center"/>
          </w:tcPr>
          <w:p w:rsidR="00AF3F4F" w:rsidRPr="007B7037" w:rsidRDefault="00AF3F4F" w:rsidP="00AF3F4F">
            <w:pPr>
              <w:rPr>
                <w:sz w:val="20"/>
                <w:szCs w:val="20"/>
              </w:rPr>
            </w:pP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.178</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.636</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.766</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554"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CIV 2010</w:t>
            </w: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.445</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.463</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.212</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.095</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.197</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.178</w:t>
            </w:r>
          </w:p>
        </w:tc>
        <w:tc>
          <w:tcPr>
            <w:tcW w:w="1134" w:type="dxa"/>
            <w:tcBorders>
              <w:top w:val="nil"/>
              <w:bottom w:val="nil"/>
            </w:tcBorders>
            <w:shd w:val="clear" w:color="auto" w:fill="FFFFFF"/>
            <w:vAlign w:val="center"/>
          </w:tcPr>
          <w:p w:rsidR="00AF3F4F" w:rsidRPr="007B7037" w:rsidRDefault="00AF3F4F" w:rsidP="00AF3F4F">
            <w:pPr>
              <w:rPr>
                <w:sz w:val="20"/>
                <w:szCs w:val="20"/>
              </w:rPr>
            </w:pP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.556</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.794</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554"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ROA 2010</w:t>
            </w: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.272</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.171</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.212</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.972</w:t>
            </w:r>
            <w:r w:rsidRPr="007B7037">
              <w:rPr>
                <w:sz w:val="20"/>
                <w:szCs w:val="20"/>
                <w:vertAlign w:val="superscript"/>
              </w:rPr>
              <w:t>**</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.447</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.636</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.556</w:t>
            </w:r>
          </w:p>
        </w:tc>
        <w:tc>
          <w:tcPr>
            <w:tcW w:w="1276" w:type="dxa"/>
            <w:tcBorders>
              <w:top w:val="nil"/>
              <w:bottom w:val="nil"/>
            </w:tcBorders>
            <w:shd w:val="clear" w:color="auto" w:fill="FFFFFF"/>
            <w:vAlign w:val="center"/>
          </w:tcPr>
          <w:p w:rsidR="00AF3F4F" w:rsidRPr="007B7037" w:rsidRDefault="00AF3F4F" w:rsidP="00AF3F4F">
            <w:pPr>
              <w:rPr>
                <w:sz w:val="20"/>
                <w:szCs w:val="20"/>
              </w:rPr>
            </w:pP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554" w:type="dxa"/>
            <w:vMerge w:val="restart"/>
            <w:tcBorders>
              <w:top w:val="nil"/>
              <w:left w:val="single" w:sz="16" w:space="0" w:color="000000"/>
              <w:bottom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ROE 2010</w:t>
            </w: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.211</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.108</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.095</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.972</w:t>
            </w:r>
            <w:r w:rsidRPr="007B7037">
              <w:rPr>
                <w:sz w:val="20"/>
                <w:szCs w:val="20"/>
                <w:vertAlign w:val="superscript"/>
              </w:rPr>
              <w:t>**</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r>
      <w:tr w:rsidR="00AF3F4F" w:rsidRPr="007B7037" w:rsidTr="00AF3F4F">
        <w:trPr>
          <w:cantSplit/>
        </w:trPr>
        <w:tc>
          <w:tcPr>
            <w:tcW w:w="1554" w:type="dxa"/>
            <w:vMerge/>
            <w:tcBorders>
              <w:top w:val="nil"/>
              <w:left w:val="single" w:sz="16" w:space="0" w:color="000000"/>
              <w:bottom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.559</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.766</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.794</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rPr>
                <w:sz w:val="20"/>
                <w:szCs w:val="20"/>
              </w:rPr>
            </w:pPr>
          </w:p>
        </w:tc>
      </w:tr>
      <w:tr w:rsidR="00AF3F4F" w:rsidRPr="007B7037" w:rsidTr="00AF3F4F">
        <w:trPr>
          <w:cantSplit/>
        </w:trPr>
        <w:tc>
          <w:tcPr>
            <w:tcW w:w="1554" w:type="dxa"/>
            <w:vMerge/>
            <w:tcBorders>
              <w:top w:val="nil"/>
              <w:left w:val="single" w:sz="16" w:space="0" w:color="000000"/>
              <w:bottom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single" w:sz="16" w:space="0" w:color="000000"/>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bottom w:val="single" w:sz="16" w:space="0" w:color="000000"/>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3544" w:type="dxa"/>
            <w:gridSpan w:val="2"/>
            <w:tcBorders>
              <w:top w:val="single" w:sz="16" w:space="0" w:color="000000"/>
              <w:left w:val="single" w:sz="16" w:space="0" w:color="000000"/>
              <w:bottom w:val="single" w:sz="16" w:space="0" w:color="000000"/>
              <w:right w:val="nil"/>
            </w:tcBorders>
            <w:shd w:val="clear" w:color="auto" w:fill="FFFFFF"/>
            <w:vAlign w:val="bottom"/>
          </w:tcPr>
          <w:p w:rsidR="00AF3F4F" w:rsidRPr="007B7037" w:rsidRDefault="00AF3F4F" w:rsidP="00AF3F4F">
            <w:pPr>
              <w:rPr>
                <w:sz w:val="20"/>
                <w:szCs w:val="20"/>
              </w:rPr>
            </w:pPr>
          </w:p>
        </w:tc>
        <w:tc>
          <w:tcPr>
            <w:tcW w:w="1418" w:type="dxa"/>
            <w:tcBorders>
              <w:top w:val="single" w:sz="16" w:space="0" w:color="000000"/>
              <w:left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VAIC</w:t>
            </w:r>
            <w:r>
              <w:rPr>
                <w:sz w:val="20"/>
                <w:szCs w:val="20"/>
              </w:rPr>
              <w:t>™</w:t>
            </w:r>
            <w:r w:rsidRPr="007B7037">
              <w:rPr>
                <w:sz w:val="20"/>
                <w:szCs w:val="20"/>
              </w:rPr>
              <w:t xml:space="preserve"> 2011</w:t>
            </w:r>
          </w:p>
        </w:tc>
        <w:tc>
          <w:tcPr>
            <w:tcW w:w="1134"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ICE 2011</w:t>
            </w:r>
          </w:p>
        </w:tc>
        <w:tc>
          <w:tcPr>
            <w:tcW w:w="1134"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CIV 2011</w:t>
            </w:r>
          </w:p>
        </w:tc>
        <w:tc>
          <w:tcPr>
            <w:tcW w:w="1276"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ROA 2011</w:t>
            </w:r>
          </w:p>
        </w:tc>
        <w:tc>
          <w:tcPr>
            <w:tcW w:w="1134" w:type="dxa"/>
            <w:tcBorders>
              <w:top w:val="single" w:sz="16" w:space="0" w:color="000000"/>
              <w:bottom w:val="single" w:sz="16" w:space="0" w:color="000000"/>
              <w:right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ROE 2011</w:t>
            </w:r>
          </w:p>
        </w:tc>
      </w:tr>
      <w:tr w:rsidR="00AF3F4F" w:rsidRPr="007B7037" w:rsidTr="00AF3F4F">
        <w:trPr>
          <w:cantSplit/>
        </w:trPr>
        <w:tc>
          <w:tcPr>
            <w:tcW w:w="1554" w:type="dxa"/>
            <w:vMerge w:val="restart"/>
            <w:tcBorders>
              <w:top w:val="single" w:sz="16" w:space="0" w:color="000000"/>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VAIC</w:t>
            </w:r>
            <w:r>
              <w:rPr>
                <w:sz w:val="20"/>
                <w:szCs w:val="20"/>
              </w:rPr>
              <w:t>™</w:t>
            </w:r>
            <w:r w:rsidRPr="007B7037">
              <w:rPr>
                <w:sz w:val="20"/>
                <w:szCs w:val="20"/>
              </w:rPr>
              <w:t xml:space="preserve"> 2011</w:t>
            </w:r>
          </w:p>
        </w:tc>
        <w:tc>
          <w:tcPr>
            <w:tcW w:w="1990" w:type="dxa"/>
            <w:tcBorders>
              <w:top w:val="single" w:sz="16" w:space="0" w:color="000000"/>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single" w:sz="16" w:space="0" w:color="000000"/>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134"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.995</w:t>
            </w:r>
            <w:r w:rsidRPr="007B7037">
              <w:rPr>
                <w:sz w:val="20"/>
                <w:szCs w:val="20"/>
                <w:vertAlign w:val="superscript"/>
              </w:rPr>
              <w:t>**</w:t>
            </w:r>
          </w:p>
        </w:tc>
        <w:tc>
          <w:tcPr>
            <w:tcW w:w="1134"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.311</w:t>
            </w:r>
          </w:p>
        </w:tc>
        <w:tc>
          <w:tcPr>
            <w:tcW w:w="1276"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.282</w:t>
            </w:r>
          </w:p>
        </w:tc>
        <w:tc>
          <w:tcPr>
            <w:tcW w:w="1134" w:type="dxa"/>
            <w:tcBorders>
              <w:top w:val="single" w:sz="16" w:space="0" w:color="000000"/>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.157</w:t>
            </w:r>
          </w:p>
        </w:tc>
      </w:tr>
      <w:tr w:rsidR="00AF3F4F" w:rsidRPr="007B7037" w:rsidTr="00AF3F4F">
        <w:trPr>
          <w:cantSplit/>
        </w:trPr>
        <w:tc>
          <w:tcPr>
            <w:tcW w:w="1554" w:type="dxa"/>
            <w:vMerge/>
            <w:tcBorders>
              <w:top w:val="single" w:sz="16" w:space="0" w:color="000000"/>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rPr>
                <w:sz w:val="20"/>
                <w:szCs w:val="20"/>
              </w:rPr>
            </w:pP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.381</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.430</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.665</w:t>
            </w:r>
          </w:p>
        </w:tc>
      </w:tr>
      <w:tr w:rsidR="00AF3F4F" w:rsidRPr="007B7037" w:rsidTr="00AF3F4F">
        <w:trPr>
          <w:cantSplit/>
        </w:trPr>
        <w:tc>
          <w:tcPr>
            <w:tcW w:w="1554" w:type="dxa"/>
            <w:vMerge/>
            <w:tcBorders>
              <w:top w:val="single" w:sz="16" w:space="0" w:color="000000"/>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554"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ICE 2011</w:t>
            </w: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.995</w:t>
            </w:r>
            <w:r w:rsidRPr="007B7037">
              <w:rPr>
                <w:sz w:val="20"/>
                <w:szCs w:val="20"/>
                <w:vertAlign w:val="superscript"/>
              </w:rPr>
              <w:t>**</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.301</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.199</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.092</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134" w:type="dxa"/>
            <w:tcBorders>
              <w:top w:val="nil"/>
              <w:bottom w:val="nil"/>
            </w:tcBorders>
            <w:shd w:val="clear" w:color="auto" w:fill="FFFFFF"/>
            <w:vAlign w:val="center"/>
          </w:tcPr>
          <w:p w:rsidR="00AF3F4F" w:rsidRPr="007B7037" w:rsidRDefault="00AF3F4F" w:rsidP="00AF3F4F">
            <w:pPr>
              <w:rPr>
                <w:sz w:val="20"/>
                <w:szCs w:val="20"/>
              </w:rPr>
            </w:pP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.398</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.582</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.801</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554"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CIV 2011</w:t>
            </w: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.311</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.301</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.186</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-.080</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.381</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.398</w:t>
            </w:r>
          </w:p>
        </w:tc>
        <w:tc>
          <w:tcPr>
            <w:tcW w:w="1134" w:type="dxa"/>
            <w:tcBorders>
              <w:top w:val="nil"/>
              <w:bottom w:val="nil"/>
            </w:tcBorders>
            <w:shd w:val="clear" w:color="auto" w:fill="FFFFFF"/>
            <w:vAlign w:val="center"/>
          </w:tcPr>
          <w:p w:rsidR="00AF3F4F" w:rsidRPr="007B7037" w:rsidRDefault="00AF3F4F" w:rsidP="00AF3F4F">
            <w:pPr>
              <w:rPr>
                <w:sz w:val="20"/>
                <w:szCs w:val="20"/>
              </w:rPr>
            </w:pP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.606</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.827</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554"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ROA 2011</w:t>
            </w: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.282</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.199</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.186</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.900</w:t>
            </w:r>
            <w:r w:rsidRPr="007B7037">
              <w:rPr>
                <w:sz w:val="20"/>
                <w:szCs w:val="20"/>
                <w:vertAlign w:val="superscript"/>
              </w:rPr>
              <w:t>**</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.430</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.582</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.606</w:t>
            </w:r>
          </w:p>
        </w:tc>
        <w:tc>
          <w:tcPr>
            <w:tcW w:w="1276" w:type="dxa"/>
            <w:tcBorders>
              <w:top w:val="nil"/>
              <w:bottom w:val="nil"/>
            </w:tcBorders>
            <w:shd w:val="clear" w:color="auto" w:fill="FFFFFF"/>
            <w:vAlign w:val="center"/>
          </w:tcPr>
          <w:p w:rsidR="00AF3F4F" w:rsidRPr="007B7037" w:rsidRDefault="00AF3F4F" w:rsidP="00AF3F4F">
            <w:pPr>
              <w:rPr>
                <w:sz w:val="20"/>
                <w:szCs w:val="20"/>
              </w:rPr>
            </w:pP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554" w:type="dxa"/>
            <w:vMerge w:val="restart"/>
            <w:tcBorders>
              <w:top w:val="nil"/>
              <w:left w:val="single" w:sz="16" w:space="0" w:color="000000"/>
              <w:bottom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ROE 2011</w:t>
            </w: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.157</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.092</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-.080</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.900</w:t>
            </w:r>
            <w:r w:rsidRPr="007B7037">
              <w:rPr>
                <w:sz w:val="20"/>
                <w:szCs w:val="20"/>
                <w:vertAlign w:val="superscript"/>
              </w:rPr>
              <w:t>**</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r>
      <w:tr w:rsidR="00AF3F4F" w:rsidRPr="007B7037" w:rsidTr="00AF3F4F">
        <w:trPr>
          <w:cantSplit/>
        </w:trPr>
        <w:tc>
          <w:tcPr>
            <w:tcW w:w="1554" w:type="dxa"/>
            <w:vMerge/>
            <w:tcBorders>
              <w:top w:val="nil"/>
              <w:left w:val="single" w:sz="16" w:space="0" w:color="000000"/>
              <w:bottom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.665</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.801</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.827</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rPr>
                <w:sz w:val="20"/>
                <w:szCs w:val="20"/>
              </w:rPr>
            </w:pPr>
          </w:p>
        </w:tc>
      </w:tr>
      <w:tr w:rsidR="00AF3F4F" w:rsidRPr="007B7037" w:rsidTr="00AF3F4F">
        <w:trPr>
          <w:cantSplit/>
        </w:trPr>
        <w:tc>
          <w:tcPr>
            <w:tcW w:w="1554" w:type="dxa"/>
            <w:vMerge/>
            <w:tcBorders>
              <w:top w:val="nil"/>
              <w:left w:val="single" w:sz="16" w:space="0" w:color="000000"/>
              <w:bottom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single" w:sz="16" w:space="0" w:color="000000"/>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bottom w:val="single" w:sz="16" w:space="0" w:color="000000"/>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3544" w:type="dxa"/>
            <w:gridSpan w:val="2"/>
            <w:tcBorders>
              <w:top w:val="single" w:sz="16" w:space="0" w:color="000000"/>
              <w:left w:val="single" w:sz="16" w:space="0" w:color="000000"/>
              <w:bottom w:val="single" w:sz="16" w:space="0" w:color="000000"/>
              <w:right w:val="nil"/>
            </w:tcBorders>
            <w:shd w:val="clear" w:color="auto" w:fill="FFFFFF"/>
            <w:vAlign w:val="bottom"/>
          </w:tcPr>
          <w:p w:rsidR="00AF3F4F" w:rsidRPr="007B7037" w:rsidRDefault="00AF3F4F" w:rsidP="00AF3F4F">
            <w:pPr>
              <w:rPr>
                <w:sz w:val="20"/>
                <w:szCs w:val="20"/>
              </w:rPr>
            </w:pPr>
          </w:p>
        </w:tc>
        <w:tc>
          <w:tcPr>
            <w:tcW w:w="1418" w:type="dxa"/>
            <w:tcBorders>
              <w:top w:val="single" w:sz="16" w:space="0" w:color="000000"/>
              <w:left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VAIC</w:t>
            </w:r>
            <w:r>
              <w:rPr>
                <w:sz w:val="20"/>
                <w:szCs w:val="20"/>
              </w:rPr>
              <w:t>™</w:t>
            </w:r>
            <w:r w:rsidRPr="007B7037">
              <w:rPr>
                <w:sz w:val="20"/>
                <w:szCs w:val="20"/>
              </w:rPr>
              <w:t xml:space="preserve"> 2012</w:t>
            </w:r>
          </w:p>
        </w:tc>
        <w:tc>
          <w:tcPr>
            <w:tcW w:w="1134"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ICE 2012</w:t>
            </w:r>
          </w:p>
        </w:tc>
        <w:tc>
          <w:tcPr>
            <w:tcW w:w="1134"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CIV 2012</w:t>
            </w:r>
          </w:p>
        </w:tc>
        <w:tc>
          <w:tcPr>
            <w:tcW w:w="1276" w:type="dxa"/>
            <w:tcBorders>
              <w:top w:val="single" w:sz="16" w:space="0" w:color="000000"/>
              <w:bottom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ROA 2012</w:t>
            </w:r>
          </w:p>
        </w:tc>
        <w:tc>
          <w:tcPr>
            <w:tcW w:w="1134" w:type="dxa"/>
            <w:tcBorders>
              <w:top w:val="single" w:sz="16" w:space="0" w:color="000000"/>
              <w:bottom w:val="single" w:sz="16" w:space="0" w:color="000000"/>
              <w:right w:val="single" w:sz="16" w:space="0" w:color="000000"/>
            </w:tcBorders>
            <w:shd w:val="clear" w:color="auto" w:fill="FFFFFF"/>
            <w:vAlign w:val="bottom"/>
          </w:tcPr>
          <w:p w:rsidR="00AF3F4F" w:rsidRPr="007B7037" w:rsidRDefault="00AF3F4F" w:rsidP="00AF3F4F">
            <w:pPr>
              <w:ind w:left="60" w:right="60"/>
              <w:jc w:val="center"/>
              <w:rPr>
                <w:sz w:val="20"/>
                <w:szCs w:val="20"/>
              </w:rPr>
            </w:pPr>
            <w:r w:rsidRPr="007B7037">
              <w:rPr>
                <w:sz w:val="20"/>
                <w:szCs w:val="20"/>
              </w:rPr>
              <w:t>ROE 2012</w:t>
            </w:r>
          </w:p>
        </w:tc>
      </w:tr>
      <w:tr w:rsidR="00AF3F4F" w:rsidRPr="007B7037" w:rsidTr="00AF3F4F">
        <w:trPr>
          <w:cantSplit/>
        </w:trPr>
        <w:tc>
          <w:tcPr>
            <w:tcW w:w="1554" w:type="dxa"/>
            <w:vMerge w:val="restart"/>
            <w:tcBorders>
              <w:top w:val="single" w:sz="16" w:space="0" w:color="000000"/>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VAIC</w:t>
            </w:r>
            <w:r>
              <w:rPr>
                <w:sz w:val="20"/>
                <w:szCs w:val="20"/>
              </w:rPr>
              <w:t>™</w:t>
            </w:r>
            <w:r w:rsidRPr="007B7037">
              <w:rPr>
                <w:sz w:val="20"/>
                <w:szCs w:val="20"/>
              </w:rPr>
              <w:t xml:space="preserve"> 2012</w:t>
            </w:r>
          </w:p>
        </w:tc>
        <w:tc>
          <w:tcPr>
            <w:tcW w:w="1990" w:type="dxa"/>
            <w:tcBorders>
              <w:top w:val="single" w:sz="16" w:space="0" w:color="000000"/>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single" w:sz="16" w:space="0" w:color="000000"/>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134"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.992</w:t>
            </w:r>
            <w:r w:rsidRPr="007B7037">
              <w:rPr>
                <w:sz w:val="20"/>
                <w:szCs w:val="20"/>
                <w:vertAlign w:val="superscript"/>
              </w:rPr>
              <w:t>**</w:t>
            </w:r>
          </w:p>
        </w:tc>
        <w:tc>
          <w:tcPr>
            <w:tcW w:w="1134"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.133</w:t>
            </w:r>
          </w:p>
        </w:tc>
        <w:tc>
          <w:tcPr>
            <w:tcW w:w="1276" w:type="dxa"/>
            <w:tcBorders>
              <w:top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.379</w:t>
            </w:r>
          </w:p>
        </w:tc>
        <w:tc>
          <w:tcPr>
            <w:tcW w:w="1134" w:type="dxa"/>
            <w:tcBorders>
              <w:top w:val="single" w:sz="16" w:space="0" w:color="000000"/>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.335</w:t>
            </w:r>
          </w:p>
        </w:tc>
      </w:tr>
      <w:tr w:rsidR="00AF3F4F" w:rsidRPr="007B7037" w:rsidTr="00AF3F4F">
        <w:trPr>
          <w:cantSplit/>
        </w:trPr>
        <w:tc>
          <w:tcPr>
            <w:tcW w:w="1554" w:type="dxa"/>
            <w:vMerge/>
            <w:tcBorders>
              <w:top w:val="single" w:sz="16" w:space="0" w:color="000000"/>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rPr>
                <w:sz w:val="20"/>
                <w:szCs w:val="20"/>
              </w:rPr>
            </w:pP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.715</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.280</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.344</w:t>
            </w:r>
          </w:p>
        </w:tc>
      </w:tr>
      <w:tr w:rsidR="00AF3F4F" w:rsidRPr="007B7037" w:rsidTr="00586554">
        <w:trPr>
          <w:cantSplit/>
        </w:trPr>
        <w:tc>
          <w:tcPr>
            <w:tcW w:w="1554" w:type="dxa"/>
            <w:vMerge/>
            <w:tcBorders>
              <w:top w:val="single" w:sz="16" w:space="0" w:color="000000"/>
              <w:left w:val="single" w:sz="16" w:space="0" w:color="000000"/>
              <w:bottom w:val="single" w:sz="4" w:space="0" w:color="auto"/>
              <w:right w:val="nil"/>
            </w:tcBorders>
            <w:shd w:val="clear" w:color="auto" w:fill="FFFFFF"/>
          </w:tcPr>
          <w:p w:rsidR="00AF3F4F" w:rsidRPr="007B7037" w:rsidRDefault="00AF3F4F" w:rsidP="00AF3F4F">
            <w:pPr>
              <w:rPr>
                <w:sz w:val="20"/>
                <w:szCs w:val="20"/>
              </w:rPr>
            </w:pPr>
          </w:p>
        </w:tc>
        <w:tc>
          <w:tcPr>
            <w:tcW w:w="1990" w:type="dxa"/>
            <w:tcBorders>
              <w:top w:val="nil"/>
              <w:left w:val="nil"/>
              <w:bottom w:val="single" w:sz="4" w:space="0" w:color="auto"/>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bottom w:val="single" w:sz="4" w:space="0" w:color="auto"/>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bottom w:val="single" w:sz="4" w:space="0" w:color="auto"/>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bottom w:val="single" w:sz="4" w:space="0" w:color="auto"/>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bottom w:val="single" w:sz="4" w:space="0" w:color="auto"/>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bottom w:val="single" w:sz="4" w:space="0" w:color="auto"/>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586554" w:rsidRPr="007B7037" w:rsidTr="00586554">
        <w:trPr>
          <w:cantSplit/>
        </w:trPr>
        <w:tc>
          <w:tcPr>
            <w:tcW w:w="9640" w:type="dxa"/>
            <w:gridSpan w:val="7"/>
            <w:tcBorders>
              <w:top w:val="single" w:sz="4" w:space="0" w:color="auto"/>
              <w:left w:val="nil"/>
              <w:bottom w:val="nil"/>
              <w:right w:val="nil"/>
            </w:tcBorders>
            <w:shd w:val="clear" w:color="auto" w:fill="FFFFFF"/>
          </w:tcPr>
          <w:p w:rsidR="00586554" w:rsidRDefault="00586554" w:rsidP="00AF3F4F">
            <w:pPr>
              <w:rPr>
                <w:sz w:val="20"/>
                <w:szCs w:val="20"/>
              </w:rPr>
            </w:pPr>
          </w:p>
          <w:p w:rsidR="00586554" w:rsidRDefault="00586554" w:rsidP="00AF3F4F">
            <w:pPr>
              <w:ind w:left="60" w:right="60"/>
              <w:jc w:val="right"/>
              <w:rPr>
                <w:sz w:val="20"/>
                <w:szCs w:val="20"/>
              </w:rPr>
            </w:pPr>
            <w:r>
              <w:rPr>
                <w:sz w:val="20"/>
                <w:szCs w:val="20"/>
              </w:rPr>
              <w:t>2 lentelės tęsinys kitame puslapyje</w:t>
            </w:r>
          </w:p>
          <w:p w:rsidR="00586554" w:rsidRPr="007B7037" w:rsidRDefault="00586554" w:rsidP="00AF3F4F">
            <w:pPr>
              <w:ind w:left="60" w:right="60"/>
              <w:jc w:val="right"/>
              <w:rPr>
                <w:sz w:val="20"/>
                <w:szCs w:val="20"/>
              </w:rPr>
            </w:pPr>
          </w:p>
        </w:tc>
      </w:tr>
      <w:tr w:rsidR="00586554" w:rsidRPr="007B7037" w:rsidTr="00586554">
        <w:trPr>
          <w:cantSplit/>
        </w:trPr>
        <w:tc>
          <w:tcPr>
            <w:tcW w:w="9640" w:type="dxa"/>
            <w:gridSpan w:val="7"/>
            <w:tcBorders>
              <w:top w:val="nil"/>
              <w:left w:val="nil"/>
              <w:bottom w:val="single" w:sz="4" w:space="0" w:color="auto"/>
              <w:right w:val="nil"/>
            </w:tcBorders>
            <w:shd w:val="clear" w:color="auto" w:fill="FFFFFF"/>
          </w:tcPr>
          <w:p w:rsidR="00586554" w:rsidRDefault="00586554" w:rsidP="00586554">
            <w:pPr>
              <w:jc w:val="right"/>
              <w:rPr>
                <w:sz w:val="20"/>
                <w:szCs w:val="20"/>
              </w:rPr>
            </w:pPr>
            <w:r>
              <w:rPr>
                <w:sz w:val="20"/>
                <w:szCs w:val="20"/>
              </w:rPr>
              <w:t>2 lentelės tęsinys</w:t>
            </w:r>
          </w:p>
        </w:tc>
      </w:tr>
      <w:tr w:rsidR="00AF3F4F" w:rsidRPr="007B7037" w:rsidTr="00586554">
        <w:trPr>
          <w:cantSplit/>
        </w:trPr>
        <w:tc>
          <w:tcPr>
            <w:tcW w:w="1554" w:type="dxa"/>
            <w:vMerge w:val="restart"/>
            <w:tcBorders>
              <w:top w:val="single" w:sz="4" w:space="0" w:color="auto"/>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ICE 2012</w:t>
            </w:r>
          </w:p>
        </w:tc>
        <w:tc>
          <w:tcPr>
            <w:tcW w:w="1990" w:type="dxa"/>
            <w:tcBorders>
              <w:top w:val="single" w:sz="4" w:space="0" w:color="auto"/>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single" w:sz="4" w:space="0" w:color="auto"/>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.992</w:t>
            </w:r>
            <w:r w:rsidRPr="007B7037">
              <w:rPr>
                <w:sz w:val="20"/>
                <w:szCs w:val="20"/>
                <w:vertAlign w:val="superscript"/>
              </w:rPr>
              <w:t>**</w:t>
            </w:r>
          </w:p>
        </w:tc>
        <w:tc>
          <w:tcPr>
            <w:tcW w:w="1134" w:type="dxa"/>
            <w:tcBorders>
              <w:top w:val="single" w:sz="4" w:space="0" w:color="auto"/>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134" w:type="dxa"/>
            <w:tcBorders>
              <w:top w:val="single" w:sz="4" w:space="0" w:color="auto"/>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.178</w:t>
            </w:r>
          </w:p>
        </w:tc>
        <w:tc>
          <w:tcPr>
            <w:tcW w:w="1276" w:type="dxa"/>
            <w:tcBorders>
              <w:top w:val="single" w:sz="4" w:space="0" w:color="auto"/>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.271</w:t>
            </w:r>
          </w:p>
        </w:tc>
        <w:tc>
          <w:tcPr>
            <w:tcW w:w="1134" w:type="dxa"/>
            <w:tcBorders>
              <w:top w:val="single" w:sz="4" w:space="0" w:color="auto"/>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.229</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134" w:type="dxa"/>
            <w:tcBorders>
              <w:top w:val="nil"/>
              <w:bottom w:val="nil"/>
            </w:tcBorders>
            <w:shd w:val="clear" w:color="auto" w:fill="FFFFFF"/>
            <w:vAlign w:val="center"/>
          </w:tcPr>
          <w:p w:rsidR="00AF3F4F" w:rsidRPr="007B7037" w:rsidRDefault="00AF3F4F" w:rsidP="00AF3F4F">
            <w:pPr>
              <w:rPr>
                <w:sz w:val="20"/>
                <w:szCs w:val="20"/>
              </w:rPr>
            </w:pP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.622</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.448</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.525</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554"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CIV 2012</w:t>
            </w: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.133</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.178</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-.224</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-.273</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.715</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.622</w:t>
            </w:r>
          </w:p>
        </w:tc>
        <w:tc>
          <w:tcPr>
            <w:tcW w:w="1134" w:type="dxa"/>
            <w:tcBorders>
              <w:top w:val="nil"/>
              <w:bottom w:val="nil"/>
            </w:tcBorders>
            <w:shd w:val="clear" w:color="auto" w:fill="FFFFFF"/>
            <w:vAlign w:val="center"/>
          </w:tcPr>
          <w:p w:rsidR="00AF3F4F" w:rsidRPr="007B7037" w:rsidRDefault="00AF3F4F" w:rsidP="00AF3F4F">
            <w:pPr>
              <w:rPr>
                <w:sz w:val="20"/>
                <w:szCs w:val="20"/>
              </w:rPr>
            </w:pP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.533</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.445</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554" w:type="dxa"/>
            <w:vMerge w:val="restart"/>
            <w:tcBorders>
              <w:top w:val="nil"/>
              <w:left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ROA 2012</w:t>
            </w: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.379</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.271</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-.224</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.965</w:t>
            </w:r>
            <w:r w:rsidRPr="007B7037">
              <w:rPr>
                <w:sz w:val="20"/>
                <w:szCs w:val="20"/>
                <w:vertAlign w:val="superscript"/>
              </w:rPr>
              <w:t>**</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.280</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.448</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.533</w:t>
            </w:r>
          </w:p>
        </w:tc>
        <w:tc>
          <w:tcPr>
            <w:tcW w:w="1276" w:type="dxa"/>
            <w:tcBorders>
              <w:top w:val="nil"/>
              <w:bottom w:val="nil"/>
            </w:tcBorders>
            <w:shd w:val="clear" w:color="auto" w:fill="FFFFFF"/>
            <w:vAlign w:val="center"/>
          </w:tcPr>
          <w:p w:rsidR="00AF3F4F" w:rsidRPr="007B7037" w:rsidRDefault="00AF3F4F" w:rsidP="00AF3F4F">
            <w:pPr>
              <w:rPr>
                <w:sz w:val="20"/>
                <w:szCs w:val="20"/>
              </w:rPr>
            </w:pP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r>
      <w:tr w:rsidR="00AF3F4F" w:rsidRPr="007B7037" w:rsidTr="00AF3F4F">
        <w:trPr>
          <w:cantSplit/>
        </w:trPr>
        <w:tc>
          <w:tcPr>
            <w:tcW w:w="1554" w:type="dxa"/>
            <w:vMerge/>
            <w:tcBorders>
              <w:top w:val="nil"/>
              <w:left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r w:rsidR="00AF3F4F" w:rsidRPr="007B7037" w:rsidTr="00AF3F4F">
        <w:trPr>
          <w:cantSplit/>
        </w:trPr>
        <w:tc>
          <w:tcPr>
            <w:tcW w:w="1554" w:type="dxa"/>
            <w:vMerge w:val="restart"/>
            <w:tcBorders>
              <w:top w:val="nil"/>
              <w:left w:val="single" w:sz="16" w:space="0" w:color="000000"/>
              <w:bottom w:val="single" w:sz="16" w:space="0" w:color="000000"/>
              <w:right w:val="nil"/>
            </w:tcBorders>
            <w:shd w:val="clear" w:color="auto" w:fill="FFFFFF"/>
          </w:tcPr>
          <w:p w:rsidR="00AF3F4F" w:rsidRPr="007B7037" w:rsidRDefault="00AF3F4F" w:rsidP="00AF3F4F">
            <w:pPr>
              <w:ind w:left="60" w:right="60"/>
              <w:rPr>
                <w:sz w:val="20"/>
                <w:szCs w:val="20"/>
              </w:rPr>
            </w:pPr>
            <w:r w:rsidRPr="007B7037">
              <w:rPr>
                <w:sz w:val="20"/>
                <w:szCs w:val="20"/>
              </w:rPr>
              <w:t>ROE 2012</w:t>
            </w: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.335</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.229</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-.273</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.965</w:t>
            </w:r>
            <w:r w:rsidRPr="007B7037">
              <w:rPr>
                <w:sz w:val="20"/>
                <w:szCs w:val="20"/>
                <w:vertAlign w:val="superscript"/>
              </w:rPr>
              <w:t>**</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w:t>
            </w:r>
          </w:p>
        </w:tc>
      </w:tr>
      <w:tr w:rsidR="00AF3F4F" w:rsidRPr="007B7037" w:rsidTr="00AF3F4F">
        <w:trPr>
          <w:cantSplit/>
        </w:trPr>
        <w:tc>
          <w:tcPr>
            <w:tcW w:w="1554" w:type="dxa"/>
            <w:vMerge/>
            <w:tcBorders>
              <w:top w:val="nil"/>
              <w:left w:val="single" w:sz="16" w:space="0" w:color="000000"/>
              <w:bottom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nil"/>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Sig. (2-tailed)</w:t>
            </w:r>
          </w:p>
        </w:tc>
        <w:tc>
          <w:tcPr>
            <w:tcW w:w="1418" w:type="dxa"/>
            <w:tcBorders>
              <w:top w:val="nil"/>
              <w:left w:val="single" w:sz="16" w:space="0" w:color="000000"/>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.344</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.525</w:t>
            </w:r>
          </w:p>
        </w:tc>
        <w:tc>
          <w:tcPr>
            <w:tcW w:w="1134"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.445</w:t>
            </w:r>
          </w:p>
        </w:tc>
        <w:tc>
          <w:tcPr>
            <w:tcW w:w="1276" w:type="dxa"/>
            <w:tcBorders>
              <w:top w:val="nil"/>
              <w:bottom w:val="nil"/>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.000</w:t>
            </w:r>
          </w:p>
        </w:tc>
        <w:tc>
          <w:tcPr>
            <w:tcW w:w="1134" w:type="dxa"/>
            <w:tcBorders>
              <w:top w:val="nil"/>
              <w:bottom w:val="nil"/>
              <w:right w:val="single" w:sz="16" w:space="0" w:color="000000"/>
            </w:tcBorders>
            <w:shd w:val="clear" w:color="auto" w:fill="FFFFFF"/>
            <w:vAlign w:val="center"/>
          </w:tcPr>
          <w:p w:rsidR="00AF3F4F" w:rsidRPr="007B7037" w:rsidRDefault="00AF3F4F" w:rsidP="00AF3F4F">
            <w:pPr>
              <w:rPr>
                <w:sz w:val="20"/>
                <w:szCs w:val="20"/>
              </w:rPr>
            </w:pPr>
          </w:p>
        </w:tc>
      </w:tr>
      <w:tr w:rsidR="00AF3F4F" w:rsidRPr="007B7037" w:rsidTr="00AF3F4F">
        <w:trPr>
          <w:cantSplit/>
        </w:trPr>
        <w:tc>
          <w:tcPr>
            <w:tcW w:w="1554" w:type="dxa"/>
            <w:vMerge/>
            <w:tcBorders>
              <w:top w:val="nil"/>
              <w:left w:val="single" w:sz="16" w:space="0" w:color="000000"/>
              <w:bottom w:val="single" w:sz="16" w:space="0" w:color="000000"/>
              <w:right w:val="nil"/>
            </w:tcBorders>
            <w:shd w:val="clear" w:color="auto" w:fill="FFFFFF"/>
          </w:tcPr>
          <w:p w:rsidR="00AF3F4F" w:rsidRPr="007B7037" w:rsidRDefault="00AF3F4F" w:rsidP="00AF3F4F">
            <w:pPr>
              <w:rPr>
                <w:sz w:val="20"/>
                <w:szCs w:val="20"/>
              </w:rPr>
            </w:pPr>
          </w:p>
        </w:tc>
        <w:tc>
          <w:tcPr>
            <w:tcW w:w="1990" w:type="dxa"/>
            <w:tcBorders>
              <w:top w:val="nil"/>
              <w:left w:val="nil"/>
              <w:bottom w:val="single" w:sz="16" w:space="0" w:color="000000"/>
              <w:right w:val="single" w:sz="16" w:space="0" w:color="000000"/>
            </w:tcBorders>
            <w:shd w:val="clear" w:color="auto" w:fill="FFFFFF"/>
          </w:tcPr>
          <w:p w:rsidR="00AF3F4F" w:rsidRPr="007B7037" w:rsidRDefault="00AF3F4F" w:rsidP="00AF3F4F">
            <w:pPr>
              <w:ind w:left="60" w:right="60"/>
              <w:rPr>
                <w:sz w:val="20"/>
                <w:szCs w:val="20"/>
              </w:rPr>
            </w:pPr>
            <w:r w:rsidRPr="007B7037">
              <w:rPr>
                <w:sz w:val="20"/>
                <w:szCs w:val="20"/>
              </w:rPr>
              <w:t>N</w:t>
            </w:r>
          </w:p>
        </w:tc>
        <w:tc>
          <w:tcPr>
            <w:tcW w:w="1418" w:type="dxa"/>
            <w:tcBorders>
              <w:top w:val="nil"/>
              <w:left w:val="single" w:sz="16" w:space="0" w:color="000000"/>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276" w:type="dxa"/>
            <w:tcBorders>
              <w:top w:val="nil"/>
              <w:bottom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c>
          <w:tcPr>
            <w:tcW w:w="1134" w:type="dxa"/>
            <w:tcBorders>
              <w:top w:val="nil"/>
              <w:bottom w:val="single" w:sz="16" w:space="0" w:color="000000"/>
              <w:right w:val="single" w:sz="16" w:space="0" w:color="000000"/>
            </w:tcBorders>
            <w:shd w:val="clear" w:color="auto" w:fill="FFFFFF"/>
            <w:vAlign w:val="center"/>
          </w:tcPr>
          <w:p w:rsidR="00AF3F4F" w:rsidRPr="007B7037" w:rsidRDefault="00AF3F4F" w:rsidP="00AF3F4F">
            <w:pPr>
              <w:ind w:left="60" w:right="60"/>
              <w:jc w:val="right"/>
              <w:rPr>
                <w:sz w:val="20"/>
                <w:szCs w:val="20"/>
              </w:rPr>
            </w:pPr>
            <w:r w:rsidRPr="007B7037">
              <w:rPr>
                <w:sz w:val="20"/>
                <w:szCs w:val="20"/>
              </w:rPr>
              <w:t>10</w:t>
            </w:r>
          </w:p>
        </w:tc>
      </w:tr>
    </w:tbl>
    <w:p w:rsidR="00AF3F4F" w:rsidRPr="00D61F1C" w:rsidRDefault="00AF3F4F" w:rsidP="00AF3F4F">
      <w:pPr>
        <w:widowControl w:val="0"/>
        <w:autoSpaceDE w:val="0"/>
        <w:autoSpaceDN w:val="0"/>
        <w:adjustRightInd w:val="0"/>
        <w:spacing w:after="240"/>
        <w:rPr>
          <w:sz w:val="20"/>
          <w:szCs w:val="20"/>
          <w:lang w:val="en-US"/>
        </w:rPr>
      </w:pPr>
      <w:r w:rsidRPr="00D61F1C">
        <w:rPr>
          <w:sz w:val="20"/>
          <w:szCs w:val="20"/>
          <w:lang w:val="en-US"/>
        </w:rPr>
        <w:t>** Koreliacija reikšminga, kai p&lt;0,01 (abipusis ryšys).</w:t>
      </w:r>
    </w:p>
    <w:p w:rsidR="00AF3F4F" w:rsidRDefault="00AF3F4F" w:rsidP="00AF3F4F">
      <w:pPr>
        <w:spacing w:line="360" w:lineRule="auto"/>
        <w:ind w:firstLine="567"/>
        <w:jc w:val="both"/>
        <w:rPr>
          <w:b/>
          <w:lang w:eastAsia="ja-JP"/>
        </w:rPr>
      </w:pPr>
    </w:p>
    <w:p w:rsidR="00AF3F4F" w:rsidRPr="002D7EBA" w:rsidRDefault="002D7EBA" w:rsidP="002D7EBA">
      <w:pPr>
        <w:spacing w:line="360" w:lineRule="auto"/>
        <w:ind w:firstLine="567"/>
        <w:jc w:val="center"/>
        <w:rPr>
          <w:b/>
          <w:lang w:eastAsia="ja-JP"/>
        </w:rPr>
      </w:pPr>
      <w:r w:rsidRPr="002D7EBA">
        <w:rPr>
          <w:b/>
          <w:lang w:eastAsia="ja-JP"/>
        </w:rPr>
        <w:t>3 lentelė. 6 atrinktų Lietuvos įmonių vidutinių rodiklių ryšių koreliacija</w:t>
      </w:r>
      <w:r w:rsidR="00AF3F4F" w:rsidRPr="002D7EBA">
        <w:rPr>
          <w:b/>
          <w:lang w:eastAsia="ja-JP"/>
        </w:rPr>
        <w:t xml:space="preserve"> p</w:t>
      </w:r>
      <w:r w:rsidRPr="002D7EBA">
        <w:rPr>
          <w:b/>
          <w:lang w:eastAsia="ja-JP"/>
        </w:rPr>
        <w:t>alyginimui su Estijos įmonėmis</w:t>
      </w:r>
    </w:p>
    <w:p w:rsidR="002D7EBA" w:rsidRPr="002D7EBA" w:rsidRDefault="002D7EBA" w:rsidP="002D7EBA">
      <w:pPr>
        <w:ind w:firstLine="567"/>
        <w:jc w:val="center"/>
        <w:rPr>
          <w:b/>
          <w:lang w:eastAsia="ja-JP"/>
        </w:rPr>
      </w:pPr>
    </w:p>
    <w:tbl>
      <w:tblPr>
        <w:tblW w:w="96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2268"/>
        <w:gridCol w:w="1418"/>
        <w:gridCol w:w="1134"/>
        <w:gridCol w:w="1134"/>
        <w:gridCol w:w="1276"/>
        <w:gridCol w:w="1134"/>
      </w:tblGrid>
      <w:tr w:rsidR="00AF3F4F" w:rsidRPr="000A4225" w:rsidTr="00AF3F4F">
        <w:trPr>
          <w:cantSplit/>
        </w:trPr>
        <w:tc>
          <w:tcPr>
            <w:tcW w:w="3544" w:type="dxa"/>
            <w:gridSpan w:val="2"/>
            <w:tcBorders>
              <w:top w:val="single" w:sz="16" w:space="0" w:color="000000"/>
              <w:left w:val="single" w:sz="16" w:space="0" w:color="000000"/>
              <w:bottom w:val="single" w:sz="16" w:space="0" w:color="000000"/>
              <w:right w:val="nil"/>
            </w:tcBorders>
            <w:shd w:val="clear" w:color="auto" w:fill="FFFFFF"/>
            <w:vAlign w:val="bottom"/>
          </w:tcPr>
          <w:p w:rsidR="00AF3F4F" w:rsidRPr="000A4225" w:rsidRDefault="00AF3F4F" w:rsidP="00AF3F4F">
            <w:pPr>
              <w:rPr>
                <w:sz w:val="20"/>
                <w:szCs w:val="20"/>
              </w:rPr>
            </w:pPr>
          </w:p>
        </w:tc>
        <w:tc>
          <w:tcPr>
            <w:tcW w:w="1418" w:type="dxa"/>
            <w:tcBorders>
              <w:top w:val="single" w:sz="16" w:space="0" w:color="000000"/>
              <w:left w:val="single" w:sz="16" w:space="0" w:color="000000"/>
              <w:bottom w:val="single" w:sz="16" w:space="0" w:color="000000"/>
            </w:tcBorders>
            <w:shd w:val="clear" w:color="auto" w:fill="FFFFFF"/>
            <w:vAlign w:val="bottom"/>
          </w:tcPr>
          <w:p w:rsidR="00AF3F4F" w:rsidRPr="000A4225" w:rsidRDefault="00AF3F4F" w:rsidP="00AF3F4F">
            <w:pPr>
              <w:spacing w:line="320" w:lineRule="atLeast"/>
              <w:ind w:left="60" w:right="60"/>
              <w:jc w:val="center"/>
              <w:rPr>
                <w:sz w:val="20"/>
                <w:szCs w:val="20"/>
              </w:rPr>
            </w:pPr>
            <w:r w:rsidRPr="000A4225">
              <w:rPr>
                <w:sz w:val="20"/>
                <w:szCs w:val="20"/>
              </w:rPr>
              <w:t>VAIC</w:t>
            </w:r>
            <w:r>
              <w:rPr>
                <w:sz w:val="20"/>
                <w:szCs w:val="20"/>
              </w:rPr>
              <w:t>™</w:t>
            </w:r>
            <w:r w:rsidRPr="000A4225">
              <w:rPr>
                <w:sz w:val="20"/>
                <w:szCs w:val="20"/>
              </w:rPr>
              <w:t xml:space="preserve"> VIDURKIS</w:t>
            </w:r>
          </w:p>
        </w:tc>
        <w:tc>
          <w:tcPr>
            <w:tcW w:w="1134" w:type="dxa"/>
            <w:tcBorders>
              <w:top w:val="single" w:sz="16" w:space="0" w:color="000000"/>
              <w:bottom w:val="single" w:sz="16" w:space="0" w:color="000000"/>
            </w:tcBorders>
            <w:shd w:val="clear" w:color="auto" w:fill="FFFFFF"/>
            <w:vAlign w:val="bottom"/>
          </w:tcPr>
          <w:p w:rsidR="00AF3F4F" w:rsidRPr="000A4225" w:rsidRDefault="00AF3F4F" w:rsidP="00AF3F4F">
            <w:pPr>
              <w:spacing w:line="320" w:lineRule="atLeast"/>
              <w:ind w:left="60" w:right="60"/>
              <w:jc w:val="center"/>
              <w:rPr>
                <w:sz w:val="20"/>
                <w:szCs w:val="20"/>
              </w:rPr>
            </w:pPr>
            <w:r w:rsidRPr="000A4225">
              <w:rPr>
                <w:sz w:val="20"/>
                <w:szCs w:val="20"/>
              </w:rPr>
              <w:t>ICE VIDURKIS</w:t>
            </w:r>
          </w:p>
        </w:tc>
        <w:tc>
          <w:tcPr>
            <w:tcW w:w="1134" w:type="dxa"/>
            <w:tcBorders>
              <w:top w:val="single" w:sz="16" w:space="0" w:color="000000"/>
              <w:bottom w:val="single" w:sz="16" w:space="0" w:color="000000"/>
            </w:tcBorders>
            <w:shd w:val="clear" w:color="auto" w:fill="FFFFFF"/>
            <w:vAlign w:val="bottom"/>
          </w:tcPr>
          <w:p w:rsidR="00AF3F4F" w:rsidRPr="000A4225" w:rsidRDefault="00AF3F4F" w:rsidP="00AF3F4F">
            <w:pPr>
              <w:spacing w:line="320" w:lineRule="atLeast"/>
              <w:ind w:left="60" w:right="60"/>
              <w:jc w:val="center"/>
              <w:rPr>
                <w:sz w:val="20"/>
                <w:szCs w:val="20"/>
              </w:rPr>
            </w:pPr>
            <w:r w:rsidRPr="000A4225">
              <w:rPr>
                <w:sz w:val="20"/>
                <w:szCs w:val="20"/>
              </w:rPr>
              <w:t>CIV VIDURKIS</w:t>
            </w:r>
          </w:p>
        </w:tc>
        <w:tc>
          <w:tcPr>
            <w:tcW w:w="1276" w:type="dxa"/>
            <w:tcBorders>
              <w:top w:val="single" w:sz="16" w:space="0" w:color="000000"/>
              <w:bottom w:val="single" w:sz="16" w:space="0" w:color="000000"/>
            </w:tcBorders>
            <w:shd w:val="clear" w:color="auto" w:fill="FFFFFF"/>
            <w:vAlign w:val="bottom"/>
          </w:tcPr>
          <w:p w:rsidR="00AF3F4F" w:rsidRPr="000A4225" w:rsidRDefault="00AF3F4F" w:rsidP="00AF3F4F">
            <w:pPr>
              <w:spacing w:line="320" w:lineRule="atLeast"/>
              <w:ind w:left="60" w:right="60"/>
              <w:jc w:val="center"/>
              <w:rPr>
                <w:sz w:val="20"/>
                <w:szCs w:val="20"/>
              </w:rPr>
            </w:pPr>
            <w:r w:rsidRPr="000A4225">
              <w:rPr>
                <w:sz w:val="20"/>
                <w:szCs w:val="20"/>
              </w:rPr>
              <w:t>ROA VIDURKIS</w:t>
            </w:r>
          </w:p>
        </w:tc>
        <w:tc>
          <w:tcPr>
            <w:tcW w:w="1134" w:type="dxa"/>
            <w:tcBorders>
              <w:top w:val="single" w:sz="16" w:space="0" w:color="000000"/>
              <w:bottom w:val="single" w:sz="16" w:space="0" w:color="000000"/>
              <w:right w:val="single" w:sz="16" w:space="0" w:color="000000"/>
            </w:tcBorders>
            <w:shd w:val="clear" w:color="auto" w:fill="FFFFFF"/>
            <w:vAlign w:val="bottom"/>
          </w:tcPr>
          <w:p w:rsidR="00AF3F4F" w:rsidRPr="000A4225" w:rsidRDefault="00AF3F4F" w:rsidP="00AF3F4F">
            <w:pPr>
              <w:spacing w:line="320" w:lineRule="atLeast"/>
              <w:ind w:left="60" w:right="60"/>
              <w:jc w:val="center"/>
              <w:rPr>
                <w:sz w:val="20"/>
                <w:szCs w:val="20"/>
              </w:rPr>
            </w:pPr>
            <w:r w:rsidRPr="000A4225">
              <w:rPr>
                <w:sz w:val="20"/>
                <w:szCs w:val="20"/>
              </w:rPr>
              <w:t>ROE VIDURKIS</w:t>
            </w:r>
          </w:p>
        </w:tc>
      </w:tr>
      <w:tr w:rsidR="00AF3F4F" w:rsidRPr="000A4225" w:rsidTr="00AF3F4F">
        <w:trPr>
          <w:cantSplit/>
        </w:trPr>
        <w:tc>
          <w:tcPr>
            <w:tcW w:w="1276" w:type="dxa"/>
            <w:vMerge w:val="restart"/>
            <w:tcBorders>
              <w:top w:val="single" w:sz="16" w:space="0" w:color="000000"/>
              <w:left w:val="single" w:sz="16" w:space="0" w:color="000000"/>
              <w:right w:val="nil"/>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VAIC</w:t>
            </w:r>
            <w:r>
              <w:rPr>
                <w:sz w:val="20"/>
                <w:szCs w:val="20"/>
              </w:rPr>
              <w:t>™</w:t>
            </w:r>
            <w:r w:rsidRPr="000A4225">
              <w:rPr>
                <w:sz w:val="20"/>
                <w:szCs w:val="20"/>
              </w:rPr>
              <w:t xml:space="preserve"> VIDURKIS</w:t>
            </w:r>
          </w:p>
        </w:tc>
        <w:tc>
          <w:tcPr>
            <w:tcW w:w="2268" w:type="dxa"/>
            <w:tcBorders>
              <w:top w:val="single" w:sz="16" w:space="0" w:color="000000"/>
              <w:left w:val="nil"/>
              <w:bottom w:val="nil"/>
              <w:right w:val="single" w:sz="16" w:space="0" w:color="000000"/>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Pearson Correlation</w:t>
            </w:r>
          </w:p>
        </w:tc>
        <w:tc>
          <w:tcPr>
            <w:tcW w:w="1418" w:type="dxa"/>
            <w:tcBorders>
              <w:top w:val="single" w:sz="16" w:space="0" w:color="000000"/>
              <w:left w:val="single" w:sz="16" w:space="0" w:color="000000"/>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1</w:t>
            </w:r>
          </w:p>
        </w:tc>
        <w:tc>
          <w:tcPr>
            <w:tcW w:w="1134" w:type="dxa"/>
            <w:tcBorders>
              <w:top w:val="single" w:sz="16" w:space="0" w:color="000000"/>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.988</w:t>
            </w:r>
            <w:r w:rsidRPr="000A4225">
              <w:rPr>
                <w:sz w:val="20"/>
                <w:szCs w:val="20"/>
                <w:vertAlign w:val="superscript"/>
              </w:rPr>
              <w:t>**</w:t>
            </w:r>
          </w:p>
        </w:tc>
        <w:tc>
          <w:tcPr>
            <w:tcW w:w="1134" w:type="dxa"/>
            <w:tcBorders>
              <w:top w:val="single" w:sz="16" w:space="0" w:color="000000"/>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.473</w:t>
            </w:r>
          </w:p>
        </w:tc>
        <w:tc>
          <w:tcPr>
            <w:tcW w:w="1276" w:type="dxa"/>
            <w:tcBorders>
              <w:top w:val="single" w:sz="16" w:space="0" w:color="000000"/>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.364</w:t>
            </w:r>
          </w:p>
        </w:tc>
        <w:tc>
          <w:tcPr>
            <w:tcW w:w="1134" w:type="dxa"/>
            <w:tcBorders>
              <w:top w:val="single" w:sz="16" w:space="0" w:color="000000"/>
              <w:bottom w:val="nil"/>
              <w:righ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.439</w:t>
            </w:r>
          </w:p>
        </w:tc>
      </w:tr>
      <w:tr w:rsidR="00AF3F4F" w:rsidRPr="000A4225" w:rsidTr="00AF3F4F">
        <w:trPr>
          <w:cantSplit/>
        </w:trPr>
        <w:tc>
          <w:tcPr>
            <w:tcW w:w="1276" w:type="dxa"/>
            <w:vMerge/>
            <w:tcBorders>
              <w:top w:val="single" w:sz="16" w:space="0" w:color="000000"/>
              <w:left w:val="single" w:sz="16" w:space="0" w:color="000000"/>
              <w:right w:val="nil"/>
            </w:tcBorders>
            <w:shd w:val="clear" w:color="auto" w:fill="FFFFFF"/>
          </w:tcPr>
          <w:p w:rsidR="00AF3F4F" w:rsidRPr="000A4225" w:rsidRDefault="00AF3F4F" w:rsidP="00AF3F4F">
            <w:pPr>
              <w:rPr>
                <w:sz w:val="20"/>
                <w:szCs w:val="20"/>
              </w:rPr>
            </w:pPr>
          </w:p>
        </w:tc>
        <w:tc>
          <w:tcPr>
            <w:tcW w:w="2268" w:type="dxa"/>
            <w:tcBorders>
              <w:top w:val="nil"/>
              <w:left w:val="nil"/>
              <w:bottom w:val="nil"/>
              <w:right w:val="single" w:sz="16" w:space="0" w:color="000000"/>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Sig. (2-tailed)</w:t>
            </w:r>
          </w:p>
        </w:tc>
        <w:tc>
          <w:tcPr>
            <w:tcW w:w="1418" w:type="dxa"/>
            <w:tcBorders>
              <w:top w:val="nil"/>
              <w:left w:val="single" w:sz="16" w:space="0" w:color="000000"/>
              <w:bottom w:val="nil"/>
            </w:tcBorders>
            <w:shd w:val="clear" w:color="auto" w:fill="FFFFFF"/>
            <w:vAlign w:val="center"/>
          </w:tcPr>
          <w:p w:rsidR="00AF3F4F" w:rsidRPr="000A4225" w:rsidRDefault="00AF3F4F" w:rsidP="00AF3F4F">
            <w:pPr>
              <w:rPr>
                <w:sz w:val="20"/>
                <w:szCs w:val="20"/>
              </w:rPr>
            </w:pPr>
          </w:p>
        </w:tc>
        <w:tc>
          <w:tcPr>
            <w:tcW w:w="1134"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.000</w:t>
            </w:r>
          </w:p>
        </w:tc>
        <w:tc>
          <w:tcPr>
            <w:tcW w:w="1134"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.344</w:t>
            </w:r>
          </w:p>
        </w:tc>
        <w:tc>
          <w:tcPr>
            <w:tcW w:w="1276"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.478</w:t>
            </w:r>
          </w:p>
        </w:tc>
        <w:tc>
          <w:tcPr>
            <w:tcW w:w="1134" w:type="dxa"/>
            <w:tcBorders>
              <w:top w:val="nil"/>
              <w:bottom w:val="nil"/>
              <w:righ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.384</w:t>
            </w:r>
          </w:p>
        </w:tc>
      </w:tr>
      <w:tr w:rsidR="00AF3F4F" w:rsidRPr="000A4225" w:rsidTr="00AF3F4F">
        <w:trPr>
          <w:cantSplit/>
        </w:trPr>
        <w:tc>
          <w:tcPr>
            <w:tcW w:w="1276" w:type="dxa"/>
            <w:vMerge/>
            <w:tcBorders>
              <w:top w:val="single" w:sz="16" w:space="0" w:color="000000"/>
              <w:left w:val="single" w:sz="16" w:space="0" w:color="000000"/>
              <w:right w:val="nil"/>
            </w:tcBorders>
            <w:shd w:val="clear" w:color="auto" w:fill="FFFFFF"/>
          </w:tcPr>
          <w:p w:rsidR="00AF3F4F" w:rsidRPr="000A4225" w:rsidRDefault="00AF3F4F" w:rsidP="00AF3F4F">
            <w:pPr>
              <w:rPr>
                <w:sz w:val="20"/>
                <w:szCs w:val="20"/>
              </w:rPr>
            </w:pPr>
          </w:p>
        </w:tc>
        <w:tc>
          <w:tcPr>
            <w:tcW w:w="2268" w:type="dxa"/>
            <w:tcBorders>
              <w:top w:val="nil"/>
              <w:left w:val="nil"/>
              <w:right w:val="single" w:sz="16" w:space="0" w:color="000000"/>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N</w:t>
            </w:r>
          </w:p>
        </w:tc>
        <w:tc>
          <w:tcPr>
            <w:tcW w:w="1418" w:type="dxa"/>
            <w:tcBorders>
              <w:top w:val="nil"/>
              <w:lef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134" w:type="dxa"/>
            <w:tcBorders>
              <w:top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134" w:type="dxa"/>
            <w:tcBorders>
              <w:top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276" w:type="dxa"/>
            <w:tcBorders>
              <w:top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134" w:type="dxa"/>
            <w:tcBorders>
              <w:top w:val="nil"/>
              <w:righ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r>
      <w:tr w:rsidR="00AF3F4F" w:rsidRPr="000A4225" w:rsidTr="00AF3F4F">
        <w:trPr>
          <w:cantSplit/>
        </w:trPr>
        <w:tc>
          <w:tcPr>
            <w:tcW w:w="1276" w:type="dxa"/>
            <w:vMerge w:val="restart"/>
            <w:tcBorders>
              <w:top w:val="nil"/>
              <w:left w:val="single" w:sz="16" w:space="0" w:color="000000"/>
              <w:right w:val="nil"/>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ICE VIDURKIS</w:t>
            </w:r>
          </w:p>
        </w:tc>
        <w:tc>
          <w:tcPr>
            <w:tcW w:w="2268" w:type="dxa"/>
            <w:tcBorders>
              <w:top w:val="nil"/>
              <w:left w:val="nil"/>
              <w:bottom w:val="nil"/>
              <w:right w:val="single" w:sz="16" w:space="0" w:color="000000"/>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.988</w:t>
            </w:r>
            <w:r w:rsidRPr="000A4225">
              <w:rPr>
                <w:sz w:val="20"/>
                <w:szCs w:val="20"/>
                <w:vertAlign w:val="superscript"/>
              </w:rPr>
              <w:t>**</w:t>
            </w:r>
          </w:p>
        </w:tc>
        <w:tc>
          <w:tcPr>
            <w:tcW w:w="1134"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1</w:t>
            </w:r>
          </w:p>
        </w:tc>
        <w:tc>
          <w:tcPr>
            <w:tcW w:w="1134"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.568</w:t>
            </w:r>
          </w:p>
        </w:tc>
        <w:tc>
          <w:tcPr>
            <w:tcW w:w="1276"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.227</w:t>
            </w:r>
          </w:p>
        </w:tc>
        <w:tc>
          <w:tcPr>
            <w:tcW w:w="1134" w:type="dxa"/>
            <w:tcBorders>
              <w:top w:val="nil"/>
              <w:bottom w:val="nil"/>
              <w:righ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.300</w:t>
            </w:r>
          </w:p>
        </w:tc>
      </w:tr>
      <w:tr w:rsidR="00AF3F4F" w:rsidRPr="000A4225" w:rsidTr="00AF3F4F">
        <w:trPr>
          <w:cantSplit/>
        </w:trPr>
        <w:tc>
          <w:tcPr>
            <w:tcW w:w="1276" w:type="dxa"/>
            <w:vMerge/>
            <w:tcBorders>
              <w:top w:val="nil"/>
              <w:left w:val="single" w:sz="16" w:space="0" w:color="000000"/>
              <w:right w:val="nil"/>
            </w:tcBorders>
            <w:shd w:val="clear" w:color="auto" w:fill="FFFFFF"/>
          </w:tcPr>
          <w:p w:rsidR="00AF3F4F" w:rsidRPr="000A4225" w:rsidRDefault="00AF3F4F" w:rsidP="00AF3F4F">
            <w:pPr>
              <w:rPr>
                <w:sz w:val="20"/>
                <w:szCs w:val="20"/>
              </w:rPr>
            </w:pPr>
          </w:p>
        </w:tc>
        <w:tc>
          <w:tcPr>
            <w:tcW w:w="2268" w:type="dxa"/>
            <w:tcBorders>
              <w:top w:val="nil"/>
              <w:left w:val="nil"/>
              <w:bottom w:val="nil"/>
              <w:right w:val="single" w:sz="16" w:space="0" w:color="000000"/>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Sig. (2-tailed)</w:t>
            </w:r>
          </w:p>
        </w:tc>
        <w:tc>
          <w:tcPr>
            <w:tcW w:w="1418" w:type="dxa"/>
            <w:tcBorders>
              <w:top w:val="nil"/>
              <w:left w:val="single" w:sz="16" w:space="0" w:color="000000"/>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.000</w:t>
            </w:r>
          </w:p>
        </w:tc>
        <w:tc>
          <w:tcPr>
            <w:tcW w:w="1134" w:type="dxa"/>
            <w:tcBorders>
              <w:top w:val="nil"/>
              <w:bottom w:val="nil"/>
            </w:tcBorders>
            <w:shd w:val="clear" w:color="auto" w:fill="FFFFFF"/>
            <w:vAlign w:val="center"/>
          </w:tcPr>
          <w:p w:rsidR="00AF3F4F" w:rsidRPr="000A4225" w:rsidRDefault="00AF3F4F" w:rsidP="00AF3F4F">
            <w:pPr>
              <w:rPr>
                <w:sz w:val="20"/>
                <w:szCs w:val="20"/>
              </w:rPr>
            </w:pPr>
          </w:p>
        </w:tc>
        <w:tc>
          <w:tcPr>
            <w:tcW w:w="1134"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.239</w:t>
            </w:r>
          </w:p>
        </w:tc>
        <w:tc>
          <w:tcPr>
            <w:tcW w:w="1276"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.665</w:t>
            </w:r>
          </w:p>
        </w:tc>
        <w:tc>
          <w:tcPr>
            <w:tcW w:w="1134" w:type="dxa"/>
            <w:tcBorders>
              <w:top w:val="nil"/>
              <w:bottom w:val="nil"/>
              <w:righ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.563</w:t>
            </w:r>
          </w:p>
        </w:tc>
      </w:tr>
      <w:tr w:rsidR="00AF3F4F" w:rsidRPr="000A4225" w:rsidTr="00AF3F4F">
        <w:trPr>
          <w:cantSplit/>
        </w:trPr>
        <w:tc>
          <w:tcPr>
            <w:tcW w:w="1276" w:type="dxa"/>
            <w:vMerge/>
            <w:tcBorders>
              <w:top w:val="nil"/>
              <w:left w:val="single" w:sz="16" w:space="0" w:color="000000"/>
              <w:right w:val="nil"/>
            </w:tcBorders>
            <w:shd w:val="clear" w:color="auto" w:fill="FFFFFF"/>
          </w:tcPr>
          <w:p w:rsidR="00AF3F4F" w:rsidRPr="000A4225" w:rsidRDefault="00AF3F4F" w:rsidP="00AF3F4F">
            <w:pPr>
              <w:rPr>
                <w:sz w:val="20"/>
                <w:szCs w:val="20"/>
              </w:rPr>
            </w:pPr>
          </w:p>
        </w:tc>
        <w:tc>
          <w:tcPr>
            <w:tcW w:w="2268" w:type="dxa"/>
            <w:tcBorders>
              <w:top w:val="nil"/>
              <w:left w:val="nil"/>
              <w:right w:val="single" w:sz="16" w:space="0" w:color="000000"/>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N</w:t>
            </w:r>
          </w:p>
        </w:tc>
        <w:tc>
          <w:tcPr>
            <w:tcW w:w="1418" w:type="dxa"/>
            <w:tcBorders>
              <w:top w:val="nil"/>
              <w:lef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134" w:type="dxa"/>
            <w:tcBorders>
              <w:top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134" w:type="dxa"/>
            <w:tcBorders>
              <w:top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276" w:type="dxa"/>
            <w:tcBorders>
              <w:top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134" w:type="dxa"/>
            <w:tcBorders>
              <w:top w:val="nil"/>
              <w:righ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r>
      <w:tr w:rsidR="00AF3F4F" w:rsidRPr="000A4225" w:rsidTr="00AF3F4F">
        <w:trPr>
          <w:cantSplit/>
        </w:trPr>
        <w:tc>
          <w:tcPr>
            <w:tcW w:w="1276" w:type="dxa"/>
            <w:vMerge w:val="restart"/>
            <w:tcBorders>
              <w:top w:val="nil"/>
              <w:left w:val="single" w:sz="16" w:space="0" w:color="000000"/>
              <w:right w:val="nil"/>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CIV VIDURKIS</w:t>
            </w:r>
          </w:p>
        </w:tc>
        <w:tc>
          <w:tcPr>
            <w:tcW w:w="2268" w:type="dxa"/>
            <w:tcBorders>
              <w:top w:val="nil"/>
              <w:left w:val="nil"/>
              <w:bottom w:val="nil"/>
              <w:right w:val="single" w:sz="16" w:space="0" w:color="000000"/>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.473</w:t>
            </w:r>
          </w:p>
        </w:tc>
        <w:tc>
          <w:tcPr>
            <w:tcW w:w="1134"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.568</w:t>
            </w:r>
          </w:p>
        </w:tc>
        <w:tc>
          <w:tcPr>
            <w:tcW w:w="1134"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1</w:t>
            </w:r>
          </w:p>
        </w:tc>
        <w:tc>
          <w:tcPr>
            <w:tcW w:w="1276"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-.280</w:t>
            </w:r>
          </w:p>
        </w:tc>
        <w:tc>
          <w:tcPr>
            <w:tcW w:w="1134" w:type="dxa"/>
            <w:tcBorders>
              <w:top w:val="nil"/>
              <w:bottom w:val="nil"/>
              <w:righ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-.359</w:t>
            </w:r>
          </w:p>
        </w:tc>
      </w:tr>
      <w:tr w:rsidR="00AF3F4F" w:rsidRPr="000A4225" w:rsidTr="00AF3F4F">
        <w:trPr>
          <w:cantSplit/>
        </w:trPr>
        <w:tc>
          <w:tcPr>
            <w:tcW w:w="1276" w:type="dxa"/>
            <w:vMerge/>
            <w:tcBorders>
              <w:top w:val="nil"/>
              <w:left w:val="single" w:sz="16" w:space="0" w:color="000000"/>
              <w:right w:val="nil"/>
            </w:tcBorders>
            <w:shd w:val="clear" w:color="auto" w:fill="FFFFFF"/>
          </w:tcPr>
          <w:p w:rsidR="00AF3F4F" w:rsidRPr="000A4225" w:rsidRDefault="00AF3F4F" w:rsidP="00AF3F4F">
            <w:pPr>
              <w:rPr>
                <w:sz w:val="20"/>
                <w:szCs w:val="20"/>
              </w:rPr>
            </w:pPr>
          </w:p>
        </w:tc>
        <w:tc>
          <w:tcPr>
            <w:tcW w:w="2268" w:type="dxa"/>
            <w:tcBorders>
              <w:top w:val="nil"/>
              <w:left w:val="nil"/>
              <w:bottom w:val="nil"/>
              <w:right w:val="single" w:sz="16" w:space="0" w:color="000000"/>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Sig. (2-tailed)</w:t>
            </w:r>
          </w:p>
        </w:tc>
        <w:tc>
          <w:tcPr>
            <w:tcW w:w="1418" w:type="dxa"/>
            <w:tcBorders>
              <w:top w:val="nil"/>
              <w:left w:val="single" w:sz="16" w:space="0" w:color="000000"/>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.344</w:t>
            </w:r>
          </w:p>
        </w:tc>
        <w:tc>
          <w:tcPr>
            <w:tcW w:w="1134"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.239</w:t>
            </w:r>
          </w:p>
        </w:tc>
        <w:tc>
          <w:tcPr>
            <w:tcW w:w="1134" w:type="dxa"/>
            <w:tcBorders>
              <w:top w:val="nil"/>
              <w:bottom w:val="nil"/>
            </w:tcBorders>
            <w:shd w:val="clear" w:color="auto" w:fill="FFFFFF"/>
            <w:vAlign w:val="center"/>
          </w:tcPr>
          <w:p w:rsidR="00AF3F4F" w:rsidRPr="000A4225" w:rsidRDefault="00AF3F4F" w:rsidP="00AF3F4F">
            <w:pPr>
              <w:rPr>
                <w:sz w:val="20"/>
                <w:szCs w:val="20"/>
              </w:rPr>
            </w:pPr>
          </w:p>
        </w:tc>
        <w:tc>
          <w:tcPr>
            <w:tcW w:w="1276"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.591</w:t>
            </w:r>
          </w:p>
        </w:tc>
        <w:tc>
          <w:tcPr>
            <w:tcW w:w="1134" w:type="dxa"/>
            <w:tcBorders>
              <w:top w:val="nil"/>
              <w:bottom w:val="nil"/>
              <w:righ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.485</w:t>
            </w:r>
          </w:p>
        </w:tc>
      </w:tr>
      <w:tr w:rsidR="00AF3F4F" w:rsidRPr="000A4225" w:rsidTr="00AF3F4F">
        <w:trPr>
          <w:cantSplit/>
        </w:trPr>
        <w:tc>
          <w:tcPr>
            <w:tcW w:w="1276" w:type="dxa"/>
            <w:vMerge/>
            <w:tcBorders>
              <w:top w:val="nil"/>
              <w:left w:val="single" w:sz="16" w:space="0" w:color="000000"/>
              <w:right w:val="nil"/>
            </w:tcBorders>
            <w:shd w:val="clear" w:color="auto" w:fill="FFFFFF"/>
          </w:tcPr>
          <w:p w:rsidR="00AF3F4F" w:rsidRPr="000A4225" w:rsidRDefault="00AF3F4F" w:rsidP="00AF3F4F">
            <w:pPr>
              <w:rPr>
                <w:sz w:val="20"/>
                <w:szCs w:val="20"/>
              </w:rPr>
            </w:pPr>
          </w:p>
        </w:tc>
        <w:tc>
          <w:tcPr>
            <w:tcW w:w="2268" w:type="dxa"/>
            <w:tcBorders>
              <w:top w:val="nil"/>
              <w:left w:val="nil"/>
              <w:right w:val="single" w:sz="16" w:space="0" w:color="000000"/>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N</w:t>
            </w:r>
          </w:p>
        </w:tc>
        <w:tc>
          <w:tcPr>
            <w:tcW w:w="1418" w:type="dxa"/>
            <w:tcBorders>
              <w:top w:val="nil"/>
              <w:lef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134" w:type="dxa"/>
            <w:tcBorders>
              <w:top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134" w:type="dxa"/>
            <w:tcBorders>
              <w:top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276" w:type="dxa"/>
            <w:tcBorders>
              <w:top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134" w:type="dxa"/>
            <w:tcBorders>
              <w:top w:val="nil"/>
              <w:righ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r>
      <w:tr w:rsidR="00AF3F4F" w:rsidRPr="000A4225" w:rsidTr="00AF3F4F">
        <w:trPr>
          <w:cantSplit/>
        </w:trPr>
        <w:tc>
          <w:tcPr>
            <w:tcW w:w="1276" w:type="dxa"/>
            <w:vMerge w:val="restart"/>
            <w:tcBorders>
              <w:top w:val="nil"/>
              <w:left w:val="single" w:sz="16" w:space="0" w:color="000000"/>
              <w:right w:val="nil"/>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ROA VIDURKIS</w:t>
            </w:r>
          </w:p>
        </w:tc>
        <w:tc>
          <w:tcPr>
            <w:tcW w:w="2268" w:type="dxa"/>
            <w:tcBorders>
              <w:top w:val="nil"/>
              <w:left w:val="nil"/>
              <w:bottom w:val="nil"/>
              <w:right w:val="single" w:sz="16" w:space="0" w:color="000000"/>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.364</w:t>
            </w:r>
          </w:p>
        </w:tc>
        <w:tc>
          <w:tcPr>
            <w:tcW w:w="1134"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.227</w:t>
            </w:r>
          </w:p>
        </w:tc>
        <w:tc>
          <w:tcPr>
            <w:tcW w:w="1134"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-.280</w:t>
            </w:r>
          </w:p>
        </w:tc>
        <w:tc>
          <w:tcPr>
            <w:tcW w:w="1276"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1</w:t>
            </w:r>
          </w:p>
        </w:tc>
        <w:tc>
          <w:tcPr>
            <w:tcW w:w="1134" w:type="dxa"/>
            <w:tcBorders>
              <w:top w:val="nil"/>
              <w:bottom w:val="nil"/>
              <w:righ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.977</w:t>
            </w:r>
            <w:r w:rsidRPr="000A4225">
              <w:rPr>
                <w:sz w:val="20"/>
                <w:szCs w:val="20"/>
                <w:vertAlign w:val="superscript"/>
              </w:rPr>
              <w:t>**</w:t>
            </w:r>
          </w:p>
        </w:tc>
      </w:tr>
      <w:tr w:rsidR="00AF3F4F" w:rsidRPr="000A4225" w:rsidTr="00AF3F4F">
        <w:trPr>
          <w:cantSplit/>
        </w:trPr>
        <w:tc>
          <w:tcPr>
            <w:tcW w:w="1276" w:type="dxa"/>
            <w:vMerge/>
            <w:tcBorders>
              <w:top w:val="nil"/>
              <w:left w:val="single" w:sz="16" w:space="0" w:color="000000"/>
              <w:right w:val="nil"/>
            </w:tcBorders>
            <w:shd w:val="clear" w:color="auto" w:fill="FFFFFF"/>
          </w:tcPr>
          <w:p w:rsidR="00AF3F4F" w:rsidRPr="000A4225" w:rsidRDefault="00AF3F4F" w:rsidP="00AF3F4F">
            <w:pPr>
              <w:rPr>
                <w:sz w:val="20"/>
                <w:szCs w:val="20"/>
              </w:rPr>
            </w:pPr>
          </w:p>
        </w:tc>
        <w:tc>
          <w:tcPr>
            <w:tcW w:w="2268" w:type="dxa"/>
            <w:tcBorders>
              <w:top w:val="nil"/>
              <w:left w:val="nil"/>
              <w:bottom w:val="nil"/>
              <w:right w:val="single" w:sz="16" w:space="0" w:color="000000"/>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Sig. (2-tailed)</w:t>
            </w:r>
          </w:p>
        </w:tc>
        <w:tc>
          <w:tcPr>
            <w:tcW w:w="1418" w:type="dxa"/>
            <w:tcBorders>
              <w:top w:val="nil"/>
              <w:left w:val="single" w:sz="16" w:space="0" w:color="000000"/>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.478</w:t>
            </w:r>
          </w:p>
        </w:tc>
        <w:tc>
          <w:tcPr>
            <w:tcW w:w="1134"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.665</w:t>
            </w:r>
          </w:p>
        </w:tc>
        <w:tc>
          <w:tcPr>
            <w:tcW w:w="1134"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.591</w:t>
            </w:r>
          </w:p>
        </w:tc>
        <w:tc>
          <w:tcPr>
            <w:tcW w:w="1276" w:type="dxa"/>
            <w:tcBorders>
              <w:top w:val="nil"/>
              <w:bottom w:val="nil"/>
            </w:tcBorders>
            <w:shd w:val="clear" w:color="auto" w:fill="FFFFFF"/>
            <w:vAlign w:val="center"/>
          </w:tcPr>
          <w:p w:rsidR="00AF3F4F" w:rsidRPr="000A4225" w:rsidRDefault="00AF3F4F" w:rsidP="00AF3F4F">
            <w:pPr>
              <w:rPr>
                <w:sz w:val="20"/>
                <w:szCs w:val="20"/>
              </w:rPr>
            </w:pPr>
          </w:p>
        </w:tc>
        <w:tc>
          <w:tcPr>
            <w:tcW w:w="1134" w:type="dxa"/>
            <w:tcBorders>
              <w:top w:val="nil"/>
              <w:bottom w:val="nil"/>
              <w:righ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.001</w:t>
            </w:r>
          </w:p>
        </w:tc>
      </w:tr>
      <w:tr w:rsidR="00AF3F4F" w:rsidRPr="000A4225" w:rsidTr="00AF3F4F">
        <w:trPr>
          <w:cantSplit/>
        </w:trPr>
        <w:tc>
          <w:tcPr>
            <w:tcW w:w="1276" w:type="dxa"/>
            <w:vMerge/>
            <w:tcBorders>
              <w:top w:val="nil"/>
              <w:left w:val="single" w:sz="16" w:space="0" w:color="000000"/>
              <w:right w:val="nil"/>
            </w:tcBorders>
            <w:shd w:val="clear" w:color="auto" w:fill="FFFFFF"/>
          </w:tcPr>
          <w:p w:rsidR="00AF3F4F" w:rsidRPr="000A4225" w:rsidRDefault="00AF3F4F" w:rsidP="00AF3F4F">
            <w:pPr>
              <w:rPr>
                <w:sz w:val="20"/>
                <w:szCs w:val="20"/>
              </w:rPr>
            </w:pPr>
          </w:p>
        </w:tc>
        <w:tc>
          <w:tcPr>
            <w:tcW w:w="2268" w:type="dxa"/>
            <w:tcBorders>
              <w:top w:val="nil"/>
              <w:left w:val="nil"/>
              <w:right w:val="single" w:sz="16" w:space="0" w:color="000000"/>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N</w:t>
            </w:r>
          </w:p>
        </w:tc>
        <w:tc>
          <w:tcPr>
            <w:tcW w:w="1418" w:type="dxa"/>
            <w:tcBorders>
              <w:top w:val="nil"/>
              <w:lef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134" w:type="dxa"/>
            <w:tcBorders>
              <w:top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134" w:type="dxa"/>
            <w:tcBorders>
              <w:top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276" w:type="dxa"/>
            <w:tcBorders>
              <w:top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134" w:type="dxa"/>
            <w:tcBorders>
              <w:top w:val="nil"/>
              <w:righ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r>
      <w:tr w:rsidR="00AF3F4F" w:rsidRPr="000A4225" w:rsidTr="00AF3F4F">
        <w:trPr>
          <w:cantSplit/>
        </w:trPr>
        <w:tc>
          <w:tcPr>
            <w:tcW w:w="1276" w:type="dxa"/>
            <w:vMerge w:val="restart"/>
            <w:tcBorders>
              <w:top w:val="nil"/>
              <w:left w:val="single" w:sz="16" w:space="0" w:color="000000"/>
              <w:bottom w:val="single" w:sz="16" w:space="0" w:color="000000"/>
              <w:right w:val="nil"/>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ROE VIDURKIS</w:t>
            </w:r>
          </w:p>
        </w:tc>
        <w:tc>
          <w:tcPr>
            <w:tcW w:w="2268" w:type="dxa"/>
            <w:tcBorders>
              <w:top w:val="nil"/>
              <w:left w:val="nil"/>
              <w:bottom w:val="nil"/>
              <w:right w:val="single" w:sz="16" w:space="0" w:color="000000"/>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Pearson Correlation</w:t>
            </w:r>
          </w:p>
        </w:tc>
        <w:tc>
          <w:tcPr>
            <w:tcW w:w="1418" w:type="dxa"/>
            <w:tcBorders>
              <w:top w:val="nil"/>
              <w:left w:val="single" w:sz="16" w:space="0" w:color="000000"/>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.439</w:t>
            </w:r>
          </w:p>
        </w:tc>
        <w:tc>
          <w:tcPr>
            <w:tcW w:w="1134"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.300</w:t>
            </w:r>
          </w:p>
        </w:tc>
        <w:tc>
          <w:tcPr>
            <w:tcW w:w="1134"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-.359</w:t>
            </w:r>
          </w:p>
        </w:tc>
        <w:tc>
          <w:tcPr>
            <w:tcW w:w="1276"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.977</w:t>
            </w:r>
            <w:r w:rsidRPr="000A4225">
              <w:rPr>
                <w:sz w:val="20"/>
                <w:szCs w:val="20"/>
                <w:vertAlign w:val="superscript"/>
              </w:rPr>
              <w:t>**</w:t>
            </w:r>
          </w:p>
        </w:tc>
        <w:tc>
          <w:tcPr>
            <w:tcW w:w="1134" w:type="dxa"/>
            <w:tcBorders>
              <w:top w:val="nil"/>
              <w:bottom w:val="nil"/>
              <w:righ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1</w:t>
            </w:r>
          </w:p>
        </w:tc>
      </w:tr>
      <w:tr w:rsidR="00AF3F4F" w:rsidRPr="000A4225" w:rsidTr="00AF3F4F">
        <w:trPr>
          <w:cantSplit/>
        </w:trPr>
        <w:tc>
          <w:tcPr>
            <w:tcW w:w="1276" w:type="dxa"/>
            <w:vMerge/>
            <w:tcBorders>
              <w:top w:val="nil"/>
              <w:left w:val="single" w:sz="16" w:space="0" w:color="000000"/>
              <w:bottom w:val="single" w:sz="16" w:space="0" w:color="000000"/>
              <w:right w:val="nil"/>
            </w:tcBorders>
            <w:shd w:val="clear" w:color="auto" w:fill="FFFFFF"/>
          </w:tcPr>
          <w:p w:rsidR="00AF3F4F" w:rsidRPr="000A4225" w:rsidRDefault="00AF3F4F" w:rsidP="00AF3F4F">
            <w:pPr>
              <w:rPr>
                <w:sz w:val="20"/>
                <w:szCs w:val="20"/>
              </w:rPr>
            </w:pPr>
          </w:p>
        </w:tc>
        <w:tc>
          <w:tcPr>
            <w:tcW w:w="2268" w:type="dxa"/>
            <w:tcBorders>
              <w:top w:val="nil"/>
              <w:left w:val="nil"/>
              <w:bottom w:val="nil"/>
              <w:right w:val="single" w:sz="16" w:space="0" w:color="000000"/>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Sig. (2-tailed)</w:t>
            </w:r>
          </w:p>
        </w:tc>
        <w:tc>
          <w:tcPr>
            <w:tcW w:w="1418" w:type="dxa"/>
            <w:tcBorders>
              <w:top w:val="nil"/>
              <w:left w:val="single" w:sz="16" w:space="0" w:color="000000"/>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.384</w:t>
            </w:r>
          </w:p>
        </w:tc>
        <w:tc>
          <w:tcPr>
            <w:tcW w:w="1134"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.563</w:t>
            </w:r>
          </w:p>
        </w:tc>
        <w:tc>
          <w:tcPr>
            <w:tcW w:w="1134"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.485</w:t>
            </w:r>
          </w:p>
        </w:tc>
        <w:tc>
          <w:tcPr>
            <w:tcW w:w="1276" w:type="dxa"/>
            <w:tcBorders>
              <w:top w:val="nil"/>
              <w:bottom w:val="nil"/>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.001</w:t>
            </w:r>
          </w:p>
        </w:tc>
        <w:tc>
          <w:tcPr>
            <w:tcW w:w="1134" w:type="dxa"/>
            <w:tcBorders>
              <w:top w:val="nil"/>
              <w:bottom w:val="nil"/>
              <w:right w:val="single" w:sz="16" w:space="0" w:color="000000"/>
            </w:tcBorders>
            <w:shd w:val="clear" w:color="auto" w:fill="FFFFFF"/>
            <w:vAlign w:val="center"/>
          </w:tcPr>
          <w:p w:rsidR="00AF3F4F" w:rsidRPr="000A4225" w:rsidRDefault="00AF3F4F" w:rsidP="00AF3F4F">
            <w:pPr>
              <w:rPr>
                <w:sz w:val="20"/>
                <w:szCs w:val="20"/>
              </w:rPr>
            </w:pPr>
          </w:p>
        </w:tc>
      </w:tr>
      <w:tr w:rsidR="00AF3F4F" w:rsidRPr="000A4225" w:rsidTr="00AF3F4F">
        <w:trPr>
          <w:cantSplit/>
        </w:trPr>
        <w:tc>
          <w:tcPr>
            <w:tcW w:w="1276" w:type="dxa"/>
            <w:vMerge/>
            <w:tcBorders>
              <w:top w:val="nil"/>
              <w:left w:val="single" w:sz="16" w:space="0" w:color="000000"/>
              <w:bottom w:val="single" w:sz="16" w:space="0" w:color="000000"/>
              <w:right w:val="nil"/>
            </w:tcBorders>
            <w:shd w:val="clear" w:color="auto" w:fill="FFFFFF"/>
          </w:tcPr>
          <w:p w:rsidR="00AF3F4F" w:rsidRPr="000A4225" w:rsidRDefault="00AF3F4F" w:rsidP="00AF3F4F">
            <w:pPr>
              <w:rPr>
                <w:sz w:val="20"/>
                <w:szCs w:val="20"/>
              </w:rPr>
            </w:pPr>
          </w:p>
        </w:tc>
        <w:tc>
          <w:tcPr>
            <w:tcW w:w="2268" w:type="dxa"/>
            <w:tcBorders>
              <w:top w:val="nil"/>
              <w:left w:val="nil"/>
              <w:bottom w:val="single" w:sz="16" w:space="0" w:color="000000"/>
              <w:right w:val="single" w:sz="16" w:space="0" w:color="000000"/>
            </w:tcBorders>
            <w:shd w:val="clear" w:color="auto" w:fill="FFFFFF"/>
          </w:tcPr>
          <w:p w:rsidR="00AF3F4F" w:rsidRPr="000A4225" w:rsidRDefault="00AF3F4F" w:rsidP="00AF3F4F">
            <w:pPr>
              <w:spacing w:line="320" w:lineRule="atLeast"/>
              <w:ind w:left="60" w:right="60"/>
              <w:rPr>
                <w:sz w:val="20"/>
                <w:szCs w:val="20"/>
              </w:rPr>
            </w:pPr>
            <w:r w:rsidRPr="000A4225">
              <w:rPr>
                <w:sz w:val="20"/>
                <w:szCs w:val="20"/>
              </w:rPr>
              <w:t>N</w:t>
            </w:r>
          </w:p>
        </w:tc>
        <w:tc>
          <w:tcPr>
            <w:tcW w:w="1418" w:type="dxa"/>
            <w:tcBorders>
              <w:top w:val="nil"/>
              <w:left w:val="single" w:sz="16" w:space="0" w:color="000000"/>
              <w:bottom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134" w:type="dxa"/>
            <w:tcBorders>
              <w:top w:val="nil"/>
              <w:bottom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134" w:type="dxa"/>
            <w:tcBorders>
              <w:top w:val="nil"/>
              <w:bottom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276" w:type="dxa"/>
            <w:tcBorders>
              <w:top w:val="nil"/>
              <w:bottom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c>
          <w:tcPr>
            <w:tcW w:w="1134" w:type="dxa"/>
            <w:tcBorders>
              <w:top w:val="nil"/>
              <w:bottom w:val="single" w:sz="16" w:space="0" w:color="000000"/>
              <w:right w:val="single" w:sz="16" w:space="0" w:color="000000"/>
            </w:tcBorders>
            <w:shd w:val="clear" w:color="auto" w:fill="FFFFFF"/>
            <w:vAlign w:val="center"/>
          </w:tcPr>
          <w:p w:rsidR="00AF3F4F" w:rsidRPr="000A4225" w:rsidRDefault="00AF3F4F" w:rsidP="00AF3F4F">
            <w:pPr>
              <w:spacing w:line="320" w:lineRule="atLeast"/>
              <w:ind w:left="60" w:right="60"/>
              <w:jc w:val="right"/>
              <w:rPr>
                <w:sz w:val="20"/>
                <w:szCs w:val="20"/>
              </w:rPr>
            </w:pPr>
            <w:r w:rsidRPr="000A4225">
              <w:rPr>
                <w:sz w:val="20"/>
                <w:szCs w:val="20"/>
              </w:rPr>
              <w:t>6</w:t>
            </w:r>
          </w:p>
        </w:tc>
      </w:tr>
    </w:tbl>
    <w:p w:rsidR="00AF3F4F" w:rsidRPr="00D61F1C" w:rsidRDefault="00AF3F4F" w:rsidP="00AF3F4F">
      <w:pPr>
        <w:widowControl w:val="0"/>
        <w:autoSpaceDE w:val="0"/>
        <w:autoSpaceDN w:val="0"/>
        <w:adjustRightInd w:val="0"/>
        <w:rPr>
          <w:sz w:val="20"/>
          <w:szCs w:val="20"/>
          <w:lang w:val="en-US"/>
        </w:rPr>
      </w:pPr>
      <w:r w:rsidRPr="00D61F1C">
        <w:rPr>
          <w:sz w:val="20"/>
          <w:szCs w:val="20"/>
          <w:lang w:val="en-US"/>
        </w:rPr>
        <w:t>** Koreliacija yra statistiškai reikšminga, kai p&lt;0,01 (abipusis ryšys).</w:t>
      </w:r>
    </w:p>
    <w:p w:rsidR="00AF3F4F" w:rsidRPr="00D61F1C" w:rsidRDefault="00AF3F4F" w:rsidP="00AF3F4F">
      <w:pPr>
        <w:widowControl w:val="0"/>
        <w:autoSpaceDE w:val="0"/>
        <w:autoSpaceDN w:val="0"/>
        <w:adjustRightInd w:val="0"/>
        <w:rPr>
          <w:sz w:val="20"/>
          <w:szCs w:val="20"/>
          <w:lang w:val="en-US"/>
        </w:rPr>
      </w:pPr>
      <w:r w:rsidRPr="00D61F1C">
        <w:rPr>
          <w:sz w:val="20"/>
          <w:szCs w:val="20"/>
          <w:lang w:val="en-US"/>
        </w:rPr>
        <w:t>*   Koreliacija yra statistiškai reikšminga, kai p&lt;0,05 (abipusis ryšys).</w:t>
      </w:r>
    </w:p>
    <w:p w:rsidR="00AF3F4F" w:rsidRPr="00E13A36" w:rsidRDefault="00AF3F4F" w:rsidP="00AF3F4F">
      <w:pPr>
        <w:spacing w:line="360" w:lineRule="auto"/>
        <w:ind w:firstLine="567"/>
        <w:jc w:val="both"/>
        <w:rPr>
          <w:lang w:eastAsia="ja-JP"/>
        </w:rPr>
      </w:pPr>
    </w:p>
    <w:p w:rsidR="00511C0B" w:rsidRPr="00C84BB9" w:rsidRDefault="00511C0B" w:rsidP="00C84BB9">
      <w:pPr>
        <w:spacing w:line="360" w:lineRule="auto"/>
        <w:ind w:firstLine="567"/>
        <w:jc w:val="both"/>
        <w:rPr>
          <w:lang w:val="en-US"/>
        </w:rPr>
      </w:pPr>
    </w:p>
    <w:sectPr w:rsidR="00511C0B" w:rsidRPr="00C84BB9" w:rsidSect="008F7127">
      <w:headerReference w:type="even" r:id="rId72"/>
      <w:headerReference w:type="default" r:id="rId73"/>
      <w:pgSz w:w="11906" w:h="16838"/>
      <w:pgMar w:top="1134" w:right="566" w:bottom="1134"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8AE" w:rsidRDefault="004C38AE">
      <w:r>
        <w:separator/>
      </w:r>
    </w:p>
  </w:endnote>
  <w:endnote w:type="continuationSeparator" w:id="0">
    <w:p w:rsidR="004C38AE" w:rsidRDefault="004C38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LT">
    <w:altName w:val="Times New Roman"/>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Lucida Grande CE">
    <w:charset w:val="58"/>
    <w:family w:val="auto"/>
    <w:pitch w:val="variable"/>
    <w:sig w:usb0="E1000AEF" w:usb1="5000A1FF" w:usb2="00000000" w:usb3="00000000" w:csb0="000001BF" w:csb1="00000000"/>
  </w:font>
  <w:font w:name="Cambria Math">
    <w:panose1 w:val="02040503050406030204"/>
    <w:charset w:val="00"/>
    <w:family w:val="roman"/>
    <w:pitch w:val="variable"/>
    <w:sig w:usb0="A00002EF" w:usb1="420020EB" w:usb2="00000000" w:usb3="00000000" w:csb0="0000009F" w:csb1="00000000"/>
  </w:font>
  <w:font w:name="Times">
    <w:panose1 w:val="0202060305040502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TimesNewRoman">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8AE" w:rsidRDefault="004C38AE">
      <w:r>
        <w:separator/>
      </w:r>
    </w:p>
  </w:footnote>
  <w:footnote w:type="continuationSeparator" w:id="0">
    <w:p w:rsidR="004C38AE" w:rsidRDefault="004C38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B4D" w:rsidRDefault="00E263D0" w:rsidP="00452B27">
    <w:pPr>
      <w:pStyle w:val="Header"/>
      <w:framePr w:wrap="around" w:vAnchor="text" w:hAnchor="margin" w:xAlign="center" w:y="1"/>
      <w:rPr>
        <w:rStyle w:val="PageNumber"/>
      </w:rPr>
    </w:pPr>
    <w:r>
      <w:rPr>
        <w:rStyle w:val="PageNumber"/>
      </w:rPr>
      <w:fldChar w:fldCharType="begin"/>
    </w:r>
    <w:r w:rsidR="00863B4D">
      <w:rPr>
        <w:rStyle w:val="PageNumber"/>
      </w:rPr>
      <w:instrText xml:space="preserve">PAGE  </w:instrText>
    </w:r>
    <w:r>
      <w:rPr>
        <w:rStyle w:val="PageNumber"/>
      </w:rPr>
      <w:fldChar w:fldCharType="end"/>
    </w:r>
  </w:p>
  <w:p w:rsidR="00863B4D" w:rsidRDefault="00863B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B27" w:rsidRDefault="00E263D0" w:rsidP="00396D97">
    <w:pPr>
      <w:pStyle w:val="Header"/>
      <w:framePr w:wrap="around" w:vAnchor="text" w:hAnchor="margin" w:xAlign="center" w:y="1"/>
      <w:rPr>
        <w:rStyle w:val="PageNumber"/>
      </w:rPr>
    </w:pPr>
    <w:r>
      <w:rPr>
        <w:rStyle w:val="PageNumber"/>
      </w:rPr>
      <w:fldChar w:fldCharType="begin"/>
    </w:r>
    <w:r w:rsidR="00452B27">
      <w:rPr>
        <w:rStyle w:val="PageNumber"/>
      </w:rPr>
      <w:instrText xml:space="preserve">PAGE  </w:instrText>
    </w:r>
    <w:r>
      <w:rPr>
        <w:rStyle w:val="PageNumber"/>
      </w:rPr>
      <w:fldChar w:fldCharType="separate"/>
    </w:r>
    <w:r w:rsidR="00BE2F1F">
      <w:rPr>
        <w:rStyle w:val="PageNumber"/>
        <w:noProof/>
      </w:rPr>
      <w:t>34</w:t>
    </w:r>
    <w:r>
      <w:rPr>
        <w:rStyle w:val="PageNumber"/>
      </w:rPr>
      <w:fldChar w:fldCharType="end"/>
    </w:r>
  </w:p>
  <w:p w:rsidR="00452B27" w:rsidRDefault="00452B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EF832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7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461C4A"/>
    <w:multiLevelType w:val="multilevel"/>
    <w:tmpl w:val="0E10DB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3D239F3"/>
    <w:multiLevelType w:val="hybridMultilevel"/>
    <w:tmpl w:val="CD7A6D5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81D607D"/>
    <w:multiLevelType w:val="hybridMultilevel"/>
    <w:tmpl w:val="82E28FBE"/>
    <w:lvl w:ilvl="0" w:tplc="29201F92">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91349CD"/>
    <w:multiLevelType w:val="hybridMultilevel"/>
    <w:tmpl w:val="E16A56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B6429D"/>
    <w:multiLevelType w:val="multilevel"/>
    <w:tmpl w:val="873A5F42"/>
    <w:lvl w:ilvl="0">
      <w:start w:val="1"/>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0EFE6BA8"/>
    <w:multiLevelType w:val="hybridMultilevel"/>
    <w:tmpl w:val="9C0054B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0B37E4"/>
    <w:multiLevelType w:val="hybridMultilevel"/>
    <w:tmpl w:val="71EE11F4"/>
    <w:lvl w:ilvl="0" w:tplc="0409000D">
      <w:start w:val="1"/>
      <w:numFmt w:val="bullet"/>
      <w:lvlText w:val=""/>
      <w:lvlJc w:val="left"/>
      <w:pPr>
        <w:ind w:left="920" w:hanging="360"/>
      </w:pPr>
      <w:rPr>
        <w:rFonts w:ascii="Wingdings" w:hAnsi="Wingdings"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nsid w:val="114F46FA"/>
    <w:multiLevelType w:val="hybridMultilevel"/>
    <w:tmpl w:val="3C7EF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B86112"/>
    <w:multiLevelType w:val="hybridMultilevel"/>
    <w:tmpl w:val="FA005D38"/>
    <w:lvl w:ilvl="0" w:tplc="8552315A">
      <w:start w:val="1"/>
      <w:numFmt w:val="decimal"/>
      <w:lvlText w:val="%1."/>
      <w:lvlJc w:val="left"/>
      <w:pPr>
        <w:ind w:left="1367" w:hanging="800"/>
      </w:pPr>
      <w:rPr>
        <w:rFonts w:ascii="Times New Roman" w:hAnsi="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37F3242"/>
    <w:multiLevelType w:val="hybridMultilevel"/>
    <w:tmpl w:val="99E2DB60"/>
    <w:lvl w:ilvl="0" w:tplc="AD74EF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E91D7A"/>
    <w:multiLevelType w:val="hybridMultilevel"/>
    <w:tmpl w:val="285A57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6B10E4"/>
    <w:multiLevelType w:val="hybridMultilevel"/>
    <w:tmpl w:val="FFC82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6A41EE"/>
    <w:multiLevelType w:val="multilevel"/>
    <w:tmpl w:val="F2787A1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1FA3593C"/>
    <w:multiLevelType w:val="hybridMultilevel"/>
    <w:tmpl w:val="309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985366"/>
    <w:multiLevelType w:val="hybridMultilevel"/>
    <w:tmpl w:val="74B25C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27752E"/>
    <w:multiLevelType w:val="hybridMultilevel"/>
    <w:tmpl w:val="9410AF7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29B2587C"/>
    <w:multiLevelType w:val="hybridMultilevel"/>
    <w:tmpl w:val="C89E1050"/>
    <w:lvl w:ilvl="0" w:tplc="98FEBDE6">
      <w:start w:val="1"/>
      <w:numFmt w:val="decimal"/>
      <w:lvlText w:val="%1."/>
      <w:lvlJc w:val="left"/>
      <w:pPr>
        <w:ind w:left="1667" w:hanging="11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2FB732B7"/>
    <w:multiLevelType w:val="hybridMultilevel"/>
    <w:tmpl w:val="5E0A1E0E"/>
    <w:lvl w:ilvl="0" w:tplc="CF02358A">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87341F"/>
    <w:multiLevelType w:val="hybridMultilevel"/>
    <w:tmpl w:val="30B2666C"/>
    <w:lvl w:ilvl="0" w:tplc="D4B4989E">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DD541B"/>
    <w:multiLevelType w:val="hybridMultilevel"/>
    <w:tmpl w:val="1AB851CE"/>
    <w:lvl w:ilvl="0" w:tplc="6D1057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91F23EF"/>
    <w:multiLevelType w:val="hybridMultilevel"/>
    <w:tmpl w:val="BE207846"/>
    <w:lvl w:ilvl="0" w:tplc="DB34DE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09021D4"/>
    <w:multiLevelType w:val="hybridMultilevel"/>
    <w:tmpl w:val="D9A066B8"/>
    <w:lvl w:ilvl="0" w:tplc="0409000B">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4">
    <w:nsid w:val="452F58FC"/>
    <w:multiLevelType w:val="multilevel"/>
    <w:tmpl w:val="0E28616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72475CD"/>
    <w:multiLevelType w:val="hybridMultilevel"/>
    <w:tmpl w:val="FD60D3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48C72DB9"/>
    <w:multiLevelType w:val="hybridMultilevel"/>
    <w:tmpl w:val="8594FE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355EE4"/>
    <w:multiLevelType w:val="hybridMultilevel"/>
    <w:tmpl w:val="9D3690BA"/>
    <w:lvl w:ilvl="0" w:tplc="B478D4FC">
      <w:start w:val="1"/>
      <w:numFmt w:val="decimal"/>
      <w:lvlText w:val="%1."/>
      <w:lvlJc w:val="left"/>
      <w:pPr>
        <w:ind w:left="2770" w:hanging="360"/>
      </w:pPr>
      <w:rPr>
        <w:b w:val="0"/>
      </w:rPr>
    </w:lvl>
    <w:lvl w:ilvl="1" w:tplc="B9487B94">
      <w:start w:val="1"/>
      <w:numFmt w:val="decimal"/>
      <w:lvlText w:val="%2."/>
      <w:lvlJc w:val="left"/>
      <w:pPr>
        <w:ind w:left="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A6768D9"/>
    <w:multiLevelType w:val="hybridMultilevel"/>
    <w:tmpl w:val="30382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F632E4"/>
    <w:multiLevelType w:val="hybridMultilevel"/>
    <w:tmpl w:val="9A649C40"/>
    <w:lvl w:ilvl="0" w:tplc="E43A166C">
      <w:start w:val="1"/>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30">
    <w:nsid w:val="62006133"/>
    <w:multiLevelType w:val="hybridMultilevel"/>
    <w:tmpl w:val="376A4492"/>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1">
    <w:nsid w:val="6AD126D0"/>
    <w:multiLevelType w:val="hybridMultilevel"/>
    <w:tmpl w:val="BFA00E2A"/>
    <w:lvl w:ilvl="0" w:tplc="A1DAB3CA">
      <w:start w:val="1"/>
      <w:numFmt w:val="decimal"/>
      <w:lvlText w:val="%1)"/>
      <w:lvlJc w:val="left"/>
      <w:pPr>
        <w:ind w:left="927" w:hanging="360"/>
      </w:pPr>
      <w:rPr>
        <w:rFonts w:ascii="Times New Roman" w:eastAsia="ＭＳ 明朝"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B1E1AD1"/>
    <w:multiLevelType w:val="hybridMultilevel"/>
    <w:tmpl w:val="EC447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82018B"/>
    <w:multiLevelType w:val="hybridMultilevel"/>
    <w:tmpl w:val="D2A00270"/>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nsid w:val="736D5EDD"/>
    <w:multiLevelType w:val="multilevel"/>
    <w:tmpl w:val="1F58FD2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hint="default"/>
      </w:rPr>
    </w:lvl>
    <w:lvl w:ilvl="2">
      <w:start w:val="1"/>
      <w:numFmt w:val="decimal"/>
      <w:isLgl/>
      <w:lvlText w:val="%1.%2.%3."/>
      <w:lvlJc w:val="left"/>
      <w:pPr>
        <w:ind w:left="1800" w:hanging="720"/>
      </w:pPr>
      <w:rPr>
        <w:rFonts w:ascii="Cambria" w:hAnsi="Cambria" w:hint="default"/>
      </w:rPr>
    </w:lvl>
    <w:lvl w:ilvl="3">
      <w:start w:val="1"/>
      <w:numFmt w:val="decimal"/>
      <w:isLgl/>
      <w:lvlText w:val="%1.%2.%3.%4."/>
      <w:lvlJc w:val="left"/>
      <w:pPr>
        <w:ind w:left="2160" w:hanging="720"/>
      </w:pPr>
      <w:rPr>
        <w:rFonts w:ascii="Cambria" w:hAnsi="Cambria" w:hint="default"/>
      </w:rPr>
    </w:lvl>
    <w:lvl w:ilvl="4">
      <w:start w:val="1"/>
      <w:numFmt w:val="decimal"/>
      <w:isLgl/>
      <w:lvlText w:val="%1.%2.%3.%4.%5."/>
      <w:lvlJc w:val="left"/>
      <w:pPr>
        <w:ind w:left="2880" w:hanging="1080"/>
      </w:pPr>
      <w:rPr>
        <w:rFonts w:ascii="Cambria" w:hAnsi="Cambria" w:hint="default"/>
      </w:rPr>
    </w:lvl>
    <w:lvl w:ilvl="5">
      <w:start w:val="1"/>
      <w:numFmt w:val="decimal"/>
      <w:isLgl/>
      <w:lvlText w:val="%1.%2.%3.%4.%5.%6."/>
      <w:lvlJc w:val="left"/>
      <w:pPr>
        <w:ind w:left="3240" w:hanging="1080"/>
      </w:pPr>
      <w:rPr>
        <w:rFonts w:ascii="Cambria" w:hAnsi="Cambria" w:hint="default"/>
      </w:rPr>
    </w:lvl>
    <w:lvl w:ilvl="6">
      <w:start w:val="1"/>
      <w:numFmt w:val="decimal"/>
      <w:isLgl/>
      <w:lvlText w:val="%1.%2.%3.%4.%5.%6.%7."/>
      <w:lvlJc w:val="left"/>
      <w:pPr>
        <w:ind w:left="3960" w:hanging="1440"/>
      </w:pPr>
      <w:rPr>
        <w:rFonts w:ascii="Cambria" w:hAnsi="Cambria" w:hint="default"/>
      </w:rPr>
    </w:lvl>
    <w:lvl w:ilvl="7">
      <w:start w:val="1"/>
      <w:numFmt w:val="decimal"/>
      <w:isLgl/>
      <w:lvlText w:val="%1.%2.%3.%4.%5.%6.%7.%8."/>
      <w:lvlJc w:val="left"/>
      <w:pPr>
        <w:ind w:left="4320" w:hanging="1440"/>
      </w:pPr>
      <w:rPr>
        <w:rFonts w:ascii="Cambria" w:hAnsi="Cambria" w:hint="default"/>
      </w:rPr>
    </w:lvl>
    <w:lvl w:ilvl="8">
      <w:start w:val="1"/>
      <w:numFmt w:val="decimal"/>
      <w:isLgl/>
      <w:lvlText w:val="%1.%2.%3.%4.%5.%6.%7.%8.%9."/>
      <w:lvlJc w:val="left"/>
      <w:pPr>
        <w:ind w:left="5040" w:hanging="1800"/>
      </w:pPr>
      <w:rPr>
        <w:rFonts w:ascii="Cambria" w:hAnsi="Cambria" w:hint="default"/>
      </w:rPr>
    </w:lvl>
  </w:abstractNum>
  <w:abstractNum w:abstractNumId="35">
    <w:nsid w:val="75B039ED"/>
    <w:multiLevelType w:val="hybridMultilevel"/>
    <w:tmpl w:val="ECE811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CA5148"/>
    <w:multiLevelType w:val="multilevel"/>
    <w:tmpl w:val="6F50BDC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ind w:left="1440" w:hanging="1440"/>
      </w:pPr>
      <w:rPr>
        <w:rFonts w:hint="default"/>
        <w:b w:val="0"/>
        <w:sz w:val="20"/>
      </w:rPr>
    </w:lvl>
  </w:abstractNum>
  <w:abstractNum w:abstractNumId="37">
    <w:nsid w:val="7B956395"/>
    <w:multiLevelType w:val="hybridMultilevel"/>
    <w:tmpl w:val="84EE0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CB5C06"/>
    <w:multiLevelType w:val="hybridMultilevel"/>
    <w:tmpl w:val="596A9BDE"/>
    <w:lvl w:ilvl="0" w:tplc="9CC605F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9">
    <w:nsid w:val="7C813D06"/>
    <w:multiLevelType w:val="hybridMultilevel"/>
    <w:tmpl w:val="81CCE4C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0">
    <w:nsid w:val="7D7A0417"/>
    <w:multiLevelType w:val="hybridMultilevel"/>
    <w:tmpl w:val="774039CA"/>
    <w:lvl w:ilvl="0" w:tplc="AC72447A">
      <w:start w:val="8"/>
      <w:numFmt w:val="bullet"/>
      <w:lvlText w:val=""/>
      <w:lvlJc w:val="left"/>
      <w:pPr>
        <w:ind w:left="720" w:hanging="360"/>
      </w:pPr>
      <w:rPr>
        <w:rFonts w:ascii="Times New Roman" w:eastAsia="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9"/>
  </w:num>
  <w:num w:numId="3">
    <w:abstractNumId w:val="3"/>
  </w:num>
  <w:num w:numId="4">
    <w:abstractNumId w:val="33"/>
  </w:num>
  <w:num w:numId="5">
    <w:abstractNumId w:val="15"/>
  </w:num>
  <w:num w:numId="6">
    <w:abstractNumId w:val="34"/>
  </w:num>
  <w:num w:numId="7">
    <w:abstractNumId w:val="11"/>
  </w:num>
  <w:num w:numId="8">
    <w:abstractNumId w:val="10"/>
  </w:num>
  <w:num w:numId="9">
    <w:abstractNumId w:val="16"/>
  </w:num>
  <w:num w:numId="10">
    <w:abstractNumId w:val="13"/>
  </w:num>
  <w:num w:numId="11">
    <w:abstractNumId w:val="30"/>
  </w:num>
  <w:num w:numId="12">
    <w:abstractNumId w:val="28"/>
  </w:num>
  <w:num w:numId="13">
    <w:abstractNumId w:val="5"/>
  </w:num>
  <w:num w:numId="14">
    <w:abstractNumId w:val="12"/>
  </w:num>
  <w:num w:numId="15">
    <w:abstractNumId w:val="23"/>
  </w:num>
  <w:num w:numId="16">
    <w:abstractNumId w:val="32"/>
  </w:num>
  <w:num w:numId="17">
    <w:abstractNumId w:val="35"/>
  </w:num>
  <w:num w:numId="18">
    <w:abstractNumId w:val="6"/>
  </w:num>
  <w:num w:numId="19">
    <w:abstractNumId w:val="8"/>
  </w:num>
  <w:num w:numId="20">
    <w:abstractNumId w:val="25"/>
  </w:num>
  <w:num w:numId="21">
    <w:abstractNumId w:val="17"/>
  </w:num>
  <w:num w:numId="22">
    <w:abstractNumId w:val="31"/>
  </w:num>
  <w:num w:numId="23">
    <w:abstractNumId w:val="24"/>
  </w:num>
  <w:num w:numId="24">
    <w:abstractNumId w:val="26"/>
  </w:num>
  <w:num w:numId="25">
    <w:abstractNumId w:val="4"/>
  </w:num>
  <w:num w:numId="26">
    <w:abstractNumId w:val="22"/>
  </w:num>
  <w:num w:numId="27">
    <w:abstractNumId w:val="14"/>
  </w:num>
  <w:num w:numId="28">
    <w:abstractNumId w:val="2"/>
  </w:num>
  <w:num w:numId="29">
    <w:abstractNumId w:val="20"/>
  </w:num>
  <w:num w:numId="30">
    <w:abstractNumId w:val="18"/>
  </w:num>
  <w:num w:numId="31">
    <w:abstractNumId w:val="0"/>
  </w:num>
  <w:num w:numId="32">
    <w:abstractNumId w:val="19"/>
  </w:num>
  <w:num w:numId="33">
    <w:abstractNumId w:val="40"/>
  </w:num>
  <w:num w:numId="34">
    <w:abstractNumId w:val="36"/>
  </w:num>
  <w:num w:numId="35">
    <w:abstractNumId w:val="7"/>
  </w:num>
  <w:num w:numId="36">
    <w:abstractNumId w:val="38"/>
  </w:num>
  <w:num w:numId="37">
    <w:abstractNumId w:val="9"/>
  </w:num>
  <w:num w:numId="38">
    <w:abstractNumId w:val="37"/>
  </w:num>
  <w:num w:numId="39">
    <w:abstractNumId w:val="21"/>
  </w:num>
  <w:num w:numId="40">
    <w:abstractNumId w:val="27"/>
  </w:num>
  <w:num w:numId="4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activeWritingStyle w:appName="MSWord" w:lang="en-US" w:vendorID="64" w:dllVersion="131078" w:nlCheck="1" w:checkStyle="1"/>
  <w:activeWritingStyle w:appName="MSWord" w:lang="en-GB" w:vendorID="64" w:dllVersion="131078" w:nlCheck="1" w:checkStyle="1"/>
  <w:stylePaneFormatFilter w:val="3F01"/>
  <w:stylePaneSortMethod w:val="0000"/>
  <w:defaultTabStop w:val="567"/>
  <w:hyphenationZone w:val="396"/>
  <w:characterSpacingControl w:val="doNotCompress"/>
  <w:savePreviewPicture/>
  <w:footnotePr>
    <w:footnote w:id="-1"/>
    <w:footnote w:id="0"/>
  </w:footnotePr>
  <w:endnotePr>
    <w:endnote w:id="-1"/>
    <w:endnote w:id="0"/>
  </w:endnotePr>
  <w:compat>
    <w:useFELayout/>
  </w:compat>
  <w:rsids>
    <w:rsidRoot w:val="00425E73"/>
    <w:rsid w:val="00000C2F"/>
    <w:rsid w:val="000300BD"/>
    <w:rsid w:val="00042665"/>
    <w:rsid w:val="00046A11"/>
    <w:rsid w:val="00052198"/>
    <w:rsid w:val="00060F32"/>
    <w:rsid w:val="0006720C"/>
    <w:rsid w:val="0008132D"/>
    <w:rsid w:val="00083FE4"/>
    <w:rsid w:val="00091449"/>
    <w:rsid w:val="00097583"/>
    <w:rsid w:val="000C528B"/>
    <w:rsid w:val="000C65C4"/>
    <w:rsid w:val="000E0C14"/>
    <w:rsid w:val="000F2019"/>
    <w:rsid w:val="00116576"/>
    <w:rsid w:val="00126F4B"/>
    <w:rsid w:val="0016478E"/>
    <w:rsid w:val="00197D3D"/>
    <w:rsid w:val="001A0843"/>
    <w:rsid w:val="001A0B7E"/>
    <w:rsid w:val="001A265B"/>
    <w:rsid w:val="001A3182"/>
    <w:rsid w:val="001A4E0E"/>
    <w:rsid w:val="001A6C4B"/>
    <w:rsid w:val="001B0F87"/>
    <w:rsid w:val="001C21C6"/>
    <w:rsid w:val="001E38E9"/>
    <w:rsid w:val="001F7DAE"/>
    <w:rsid w:val="00204979"/>
    <w:rsid w:val="00220D18"/>
    <w:rsid w:val="002279EF"/>
    <w:rsid w:val="00227B53"/>
    <w:rsid w:val="00236A19"/>
    <w:rsid w:val="00242BC6"/>
    <w:rsid w:val="00243868"/>
    <w:rsid w:val="00244DD5"/>
    <w:rsid w:val="00245240"/>
    <w:rsid w:val="00254CC2"/>
    <w:rsid w:val="002650D8"/>
    <w:rsid w:val="002722E5"/>
    <w:rsid w:val="00275D67"/>
    <w:rsid w:val="002765AC"/>
    <w:rsid w:val="00276D77"/>
    <w:rsid w:val="00287296"/>
    <w:rsid w:val="002903FA"/>
    <w:rsid w:val="00290C61"/>
    <w:rsid w:val="00297E63"/>
    <w:rsid w:val="002A0DD9"/>
    <w:rsid w:val="002A4554"/>
    <w:rsid w:val="002A4D9E"/>
    <w:rsid w:val="002D0B49"/>
    <w:rsid w:val="002D7EBA"/>
    <w:rsid w:val="002E23B4"/>
    <w:rsid w:val="002F5867"/>
    <w:rsid w:val="00300A6B"/>
    <w:rsid w:val="003078D7"/>
    <w:rsid w:val="00311A7D"/>
    <w:rsid w:val="00315F72"/>
    <w:rsid w:val="00321E4F"/>
    <w:rsid w:val="003358D1"/>
    <w:rsid w:val="003413E9"/>
    <w:rsid w:val="003526EA"/>
    <w:rsid w:val="00361EE2"/>
    <w:rsid w:val="0037105B"/>
    <w:rsid w:val="00375D77"/>
    <w:rsid w:val="00380473"/>
    <w:rsid w:val="00386EA3"/>
    <w:rsid w:val="003878A9"/>
    <w:rsid w:val="003A676E"/>
    <w:rsid w:val="003B07DC"/>
    <w:rsid w:val="003B35B5"/>
    <w:rsid w:val="003C20F6"/>
    <w:rsid w:val="003C5F3E"/>
    <w:rsid w:val="003D225B"/>
    <w:rsid w:val="003E7CAC"/>
    <w:rsid w:val="003F231A"/>
    <w:rsid w:val="00405798"/>
    <w:rsid w:val="00425E73"/>
    <w:rsid w:val="00430F8C"/>
    <w:rsid w:val="0043190A"/>
    <w:rsid w:val="004337C3"/>
    <w:rsid w:val="004355D6"/>
    <w:rsid w:val="00435BA3"/>
    <w:rsid w:val="00443878"/>
    <w:rsid w:val="00452578"/>
    <w:rsid w:val="00452B27"/>
    <w:rsid w:val="004613F1"/>
    <w:rsid w:val="0046755C"/>
    <w:rsid w:val="00471C53"/>
    <w:rsid w:val="00481B38"/>
    <w:rsid w:val="00482E14"/>
    <w:rsid w:val="004A604D"/>
    <w:rsid w:val="004B0FE0"/>
    <w:rsid w:val="004C38AE"/>
    <w:rsid w:val="004F4092"/>
    <w:rsid w:val="004F54C4"/>
    <w:rsid w:val="004F5D48"/>
    <w:rsid w:val="0050444D"/>
    <w:rsid w:val="00511454"/>
    <w:rsid w:val="00511C0B"/>
    <w:rsid w:val="005359EC"/>
    <w:rsid w:val="00536246"/>
    <w:rsid w:val="00575B70"/>
    <w:rsid w:val="00586554"/>
    <w:rsid w:val="00595F4B"/>
    <w:rsid w:val="00597ECF"/>
    <w:rsid w:val="005A1EE3"/>
    <w:rsid w:val="005A1EF1"/>
    <w:rsid w:val="005A35C7"/>
    <w:rsid w:val="005B4055"/>
    <w:rsid w:val="005E68CB"/>
    <w:rsid w:val="005E782D"/>
    <w:rsid w:val="005F0C1E"/>
    <w:rsid w:val="005F3964"/>
    <w:rsid w:val="005F5F44"/>
    <w:rsid w:val="00600E4F"/>
    <w:rsid w:val="00622832"/>
    <w:rsid w:val="00624373"/>
    <w:rsid w:val="00624C7A"/>
    <w:rsid w:val="0063541A"/>
    <w:rsid w:val="006601C4"/>
    <w:rsid w:val="006652C2"/>
    <w:rsid w:val="006669D4"/>
    <w:rsid w:val="00674E2E"/>
    <w:rsid w:val="006837EC"/>
    <w:rsid w:val="00685BD8"/>
    <w:rsid w:val="006931AC"/>
    <w:rsid w:val="00693866"/>
    <w:rsid w:val="00693D18"/>
    <w:rsid w:val="00694612"/>
    <w:rsid w:val="00697F4F"/>
    <w:rsid w:val="006B5D1A"/>
    <w:rsid w:val="006B7464"/>
    <w:rsid w:val="006C520A"/>
    <w:rsid w:val="006C607C"/>
    <w:rsid w:val="006C6547"/>
    <w:rsid w:val="006D57F3"/>
    <w:rsid w:val="006E4D59"/>
    <w:rsid w:val="006F3F43"/>
    <w:rsid w:val="006F789D"/>
    <w:rsid w:val="0070574A"/>
    <w:rsid w:val="00706973"/>
    <w:rsid w:val="0071286C"/>
    <w:rsid w:val="00726A80"/>
    <w:rsid w:val="00734A9D"/>
    <w:rsid w:val="007419A0"/>
    <w:rsid w:val="007463C4"/>
    <w:rsid w:val="00766144"/>
    <w:rsid w:val="00775A4C"/>
    <w:rsid w:val="00785A6D"/>
    <w:rsid w:val="00795C6A"/>
    <w:rsid w:val="007A2B66"/>
    <w:rsid w:val="007B09F6"/>
    <w:rsid w:val="007C6C97"/>
    <w:rsid w:val="007F1F7A"/>
    <w:rsid w:val="007F49B2"/>
    <w:rsid w:val="007F6D17"/>
    <w:rsid w:val="008028FB"/>
    <w:rsid w:val="008037E7"/>
    <w:rsid w:val="008231AB"/>
    <w:rsid w:val="008438CE"/>
    <w:rsid w:val="00843AC4"/>
    <w:rsid w:val="00844146"/>
    <w:rsid w:val="00860961"/>
    <w:rsid w:val="00863B4D"/>
    <w:rsid w:val="00887D2D"/>
    <w:rsid w:val="0089399F"/>
    <w:rsid w:val="00893C13"/>
    <w:rsid w:val="008C29BF"/>
    <w:rsid w:val="008C39CD"/>
    <w:rsid w:val="008D1E81"/>
    <w:rsid w:val="008D57E6"/>
    <w:rsid w:val="008D7AEA"/>
    <w:rsid w:val="008F7127"/>
    <w:rsid w:val="00903FEC"/>
    <w:rsid w:val="0090675F"/>
    <w:rsid w:val="00913FDF"/>
    <w:rsid w:val="009155AF"/>
    <w:rsid w:val="0092561F"/>
    <w:rsid w:val="00925696"/>
    <w:rsid w:val="00927FFA"/>
    <w:rsid w:val="009317A4"/>
    <w:rsid w:val="009377B7"/>
    <w:rsid w:val="009508BD"/>
    <w:rsid w:val="00950C57"/>
    <w:rsid w:val="0096609C"/>
    <w:rsid w:val="00967A1A"/>
    <w:rsid w:val="00977AB2"/>
    <w:rsid w:val="0098127C"/>
    <w:rsid w:val="00985610"/>
    <w:rsid w:val="0098746C"/>
    <w:rsid w:val="00990DF3"/>
    <w:rsid w:val="009955E0"/>
    <w:rsid w:val="009A614C"/>
    <w:rsid w:val="009C0942"/>
    <w:rsid w:val="009C40AA"/>
    <w:rsid w:val="009C65C2"/>
    <w:rsid w:val="009D6EF5"/>
    <w:rsid w:val="009F51F2"/>
    <w:rsid w:val="009F62F1"/>
    <w:rsid w:val="00A11476"/>
    <w:rsid w:val="00A26085"/>
    <w:rsid w:val="00A3483D"/>
    <w:rsid w:val="00A529A4"/>
    <w:rsid w:val="00A64BF3"/>
    <w:rsid w:val="00A6632F"/>
    <w:rsid w:val="00A873A5"/>
    <w:rsid w:val="00AA4D1D"/>
    <w:rsid w:val="00AC0651"/>
    <w:rsid w:val="00AC0C27"/>
    <w:rsid w:val="00AC11CA"/>
    <w:rsid w:val="00AD5B57"/>
    <w:rsid w:val="00AD75C5"/>
    <w:rsid w:val="00AD7C8C"/>
    <w:rsid w:val="00AE4409"/>
    <w:rsid w:val="00AE4A57"/>
    <w:rsid w:val="00AF3226"/>
    <w:rsid w:val="00AF3F4F"/>
    <w:rsid w:val="00B00122"/>
    <w:rsid w:val="00B15943"/>
    <w:rsid w:val="00B3301F"/>
    <w:rsid w:val="00B37523"/>
    <w:rsid w:val="00B44D27"/>
    <w:rsid w:val="00B54C26"/>
    <w:rsid w:val="00B55743"/>
    <w:rsid w:val="00B57F31"/>
    <w:rsid w:val="00B71046"/>
    <w:rsid w:val="00B822A6"/>
    <w:rsid w:val="00B83FC9"/>
    <w:rsid w:val="00BB12FB"/>
    <w:rsid w:val="00BC25E6"/>
    <w:rsid w:val="00BC4206"/>
    <w:rsid w:val="00BD3129"/>
    <w:rsid w:val="00BD4071"/>
    <w:rsid w:val="00BD55E7"/>
    <w:rsid w:val="00BE062F"/>
    <w:rsid w:val="00BE2A22"/>
    <w:rsid w:val="00BE2F1F"/>
    <w:rsid w:val="00BF3E79"/>
    <w:rsid w:val="00C37FBC"/>
    <w:rsid w:val="00C418E7"/>
    <w:rsid w:val="00C53D97"/>
    <w:rsid w:val="00C54914"/>
    <w:rsid w:val="00C645EC"/>
    <w:rsid w:val="00C746A6"/>
    <w:rsid w:val="00C76C8F"/>
    <w:rsid w:val="00C8222E"/>
    <w:rsid w:val="00C84BB9"/>
    <w:rsid w:val="00C92F21"/>
    <w:rsid w:val="00CB32B1"/>
    <w:rsid w:val="00CD22ED"/>
    <w:rsid w:val="00CF0197"/>
    <w:rsid w:val="00D10C17"/>
    <w:rsid w:val="00D318AB"/>
    <w:rsid w:val="00D33EDE"/>
    <w:rsid w:val="00D36902"/>
    <w:rsid w:val="00D448CB"/>
    <w:rsid w:val="00D46E4A"/>
    <w:rsid w:val="00D516A7"/>
    <w:rsid w:val="00D52E21"/>
    <w:rsid w:val="00D630DA"/>
    <w:rsid w:val="00D657FA"/>
    <w:rsid w:val="00D669D9"/>
    <w:rsid w:val="00D7147F"/>
    <w:rsid w:val="00D76928"/>
    <w:rsid w:val="00D9648F"/>
    <w:rsid w:val="00D970E4"/>
    <w:rsid w:val="00DA2CB6"/>
    <w:rsid w:val="00DA7490"/>
    <w:rsid w:val="00DB0EAC"/>
    <w:rsid w:val="00DC6182"/>
    <w:rsid w:val="00DD7E0E"/>
    <w:rsid w:val="00DE5C17"/>
    <w:rsid w:val="00DF77A6"/>
    <w:rsid w:val="00E06CB3"/>
    <w:rsid w:val="00E10AC8"/>
    <w:rsid w:val="00E1207F"/>
    <w:rsid w:val="00E263D0"/>
    <w:rsid w:val="00E27499"/>
    <w:rsid w:val="00E31FA6"/>
    <w:rsid w:val="00E33CF0"/>
    <w:rsid w:val="00E34A42"/>
    <w:rsid w:val="00E47BB2"/>
    <w:rsid w:val="00E57E1F"/>
    <w:rsid w:val="00E672B6"/>
    <w:rsid w:val="00E67A25"/>
    <w:rsid w:val="00E71E2A"/>
    <w:rsid w:val="00E769A8"/>
    <w:rsid w:val="00E77F78"/>
    <w:rsid w:val="00E81A49"/>
    <w:rsid w:val="00E92C85"/>
    <w:rsid w:val="00EA0BB9"/>
    <w:rsid w:val="00ED1950"/>
    <w:rsid w:val="00F06A66"/>
    <w:rsid w:val="00F15997"/>
    <w:rsid w:val="00F21852"/>
    <w:rsid w:val="00F2256B"/>
    <w:rsid w:val="00F27161"/>
    <w:rsid w:val="00F4019F"/>
    <w:rsid w:val="00F41F44"/>
    <w:rsid w:val="00F60B71"/>
    <w:rsid w:val="00F638B9"/>
    <w:rsid w:val="00F70691"/>
    <w:rsid w:val="00F71E9D"/>
    <w:rsid w:val="00F9150B"/>
    <w:rsid w:val="00F955C7"/>
    <w:rsid w:val="00F96B54"/>
    <w:rsid w:val="00FA4E59"/>
    <w:rsid w:val="00FB3115"/>
    <w:rsid w:val="00FC4D2F"/>
    <w:rsid w:val="00FF2E32"/>
    <w:rsid w:val="00FF336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9" type="connector" idref="#AutoShape 237"/>
        <o:r id="V:Rule10" type="connector" idref="#AutoShape 248"/>
        <o:r id="V:Rule11" type="connector" idref="#AutoShape 248"/>
        <o:r id="V:Rule15" type="connector" idref="#AutoShape 229"/>
        <o:r id="V:Rule16" type="connector" idref="#AutoShape 231"/>
        <o:r id="V:Rule17" type="connector" idref="#AutoShape 230"/>
        <o:r id="V:Rule18" type="connector" idref="#AutoShape 241"/>
        <o:r id="V:Rule20" type="connector" idref="#AutoShape 235"/>
        <o:r id="V:Rule21" type="connector" idref="#AutoShape 236"/>
        <o:r id="V:Rule24" type="connector" idref="#Straight Arrow Connector 37"/>
        <o:r id="V:Rule25" type="connector" idref="#Straight Arrow Connector 36"/>
        <o:r id="V:Rule26" type="connector" idref="#AutoShape 248"/>
        <o:r id="V:Rule27" type="connector" idref="#AutoShape 237"/>
        <o:r id="V:Rule28" type="connector" idref="#Straight Arrow Connector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cs-CZ" w:eastAsia="en-US" w:bidi="ar-SA"/>
      </w:rPr>
    </w:rPrDefault>
    <w:pPrDefault/>
  </w:docDefaults>
  <w:latentStyles w:defLockedState="0" w:defUIPriority="0" w:defSemiHidden="0" w:defUnhideWhenUsed="0" w:defQFormat="0" w:count="267">
    <w:lsdException w:name="heading 2" w:qFormat="1"/>
    <w:lsdException w:name="FollowedHyperlink" w:uiPriority="99"/>
    <w:lsdException w:name="Normal (Web)" w:uiPriority="99"/>
    <w:lsdException w:name="No List" w:uiPriority="99"/>
    <w:lsdException w:name="Balloon Text" w:uiPriority="99"/>
    <w:lsdException w:name="Table Grid" w:uiPriority="59"/>
    <w:lsdException w:name="List Paragraph" w:uiPriority="34" w:qFormat="1"/>
  </w:latentStyles>
  <w:style w:type="paragraph" w:default="1" w:styleId="Normal">
    <w:name w:val="Normal"/>
    <w:qFormat/>
    <w:rsid w:val="00425E73"/>
    <w:rPr>
      <w:rFonts w:eastAsia="Times New Roman"/>
      <w:lang w:val="lt-LT" w:eastAsia="lt-LT"/>
    </w:rPr>
  </w:style>
  <w:style w:type="paragraph" w:styleId="Heading1">
    <w:name w:val="heading 1"/>
    <w:basedOn w:val="Normal"/>
    <w:next w:val="Normal"/>
    <w:qFormat/>
    <w:rsid w:val="00425E73"/>
    <w:pPr>
      <w:keepNext/>
      <w:tabs>
        <w:tab w:val="left" w:pos="0"/>
      </w:tabs>
      <w:ind w:left="-57" w:right="-57"/>
      <w:jc w:val="center"/>
      <w:outlineLvl w:val="0"/>
    </w:pPr>
    <w:rPr>
      <w:b/>
      <w:color w:val="000000"/>
      <w:sz w:val="22"/>
      <w:szCs w:val="22"/>
      <w:lang w:eastAsia="en-US"/>
    </w:rPr>
  </w:style>
  <w:style w:type="paragraph" w:styleId="Heading2">
    <w:name w:val="heading 2"/>
    <w:basedOn w:val="Normal"/>
    <w:next w:val="Normal"/>
    <w:link w:val="Heading2Char"/>
    <w:qFormat/>
    <w:rsid w:val="00425E73"/>
    <w:pPr>
      <w:keepNext/>
      <w:tabs>
        <w:tab w:val="left" w:pos="0"/>
      </w:tabs>
      <w:ind w:left="-57" w:right="-57"/>
      <w:outlineLvl w:val="1"/>
    </w:pPr>
    <w:rPr>
      <w:b/>
      <w:color w:val="000000"/>
      <w:sz w:val="22"/>
      <w:szCs w:val="22"/>
      <w:lang w:eastAsia="en-US"/>
    </w:rPr>
  </w:style>
  <w:style w:type="paragraph" w:styleId="Heading3">
    <w:name w:val="heading 3"/>
    <w:basedOn w:val="Normal"/>
    <w:next w:val="Normal"/>
    <w:qFormat/>
    <w:rsid w:val="00425E73"/>
    <w:pPr>
      <w:keepNext/>
      <w:tabs>
        <w:tab w:val="left" w:pos="0"/>
      </w:tabs>
      <w:ind w:left="-57" w:right="-57"/>
      <w:outlineLvl w:val="2"/>
    </w:pPr>
    <w:rPr>
      <w:b/>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25E73"/>
    <w:pPr>
      <w:tabs>
        <w:tab w:val="left" w:pos="0"/>
      </w:tabs>
      <w:ind w:left="-57" w:right="-57"/>
    </w:pPr>
    <w:rPr>
      <w:b/>
      <w:color w:val="000000"/>
      <w:sz w:val="22"/>
      <w:szCs w:val="22"/>
      <w:lang w:val="en-GB" w:eastAsia="en-US"/>
    </w:rPr>
  </w:style>
  <w:style w:type="paragraph" w:styleId="Title">
    <w:name w:val="Title"/>
    <w:basedOn w:val="Normal"/>
    <w:qFormat/>
    <w:rsid w:val="00425E73"/>
    <w:pPr>
      <w:jc w:val="center"/>
    </w:pPr>
    <w:rPr>
      <w:b/>
      <w:bCs/>
      <w:color w:val="000000"/>
      <w:sz w:val="22"/>
      <w:lang w:val="de-DE" w:eastAsia="en-US"/>
    </w:rPr>
  </w:style>
  <w:style w:type="paragraph" w:styleId="Caption">
    <w:name w:val="caption"/>
    <w:basedOn w:val="Normal"/>
    <w:next w:val="Normal"/>
    <w:qFormat/>
    <w:rsid w:val="00567F2F"/>
    <w:pPr>
      <w:widowControl w:val="0"/>
      <w:spacing w:before="120" w:after="120"/>
      <w:ind w:left="851" w:firstLine="720"/>
      <w:jc w:val="both"/>
    </w:pPr>
    <w:rPr>
      <w:rFonts w:ascii="TimesLT" w:hAnsi="TimesLT"/>
      <w:i/>
      <w:sz w:val="20"/>
      <w:szCs w:val="20"/>
      <w:lang w:val="en-AU" w:eastAsia="en-US"/>
    </w:rPr>
  </w:style>
  <w:style w:type="character" w:styleId="Hyperlink">
    <w:name w:val="Hyperlink"/>
    <w:rsid w:val="004566ED"/>
    <w:rPr>
      <w:color w:val="0000FF"/>
      <w:u w:val="single"/>
    </w:rPr>
  </w:style>
  <w:style w:type="paragraph" w:styleId="TOC1">
    <w:name w:val="toc 1"/>
    <w:basedOn w:val="Normal"/>
    <w:next w:val="Normal"/>
    <w:autoRedefine/>
    <w:semiHidden/>
    <w:rsid w:val="00000C2F"/>
    <w:pPr>
      <w:tabs>
        <w:tab w:val="left" w:pos="10205"/>
      </w:tabs>
      <w:spacing w:before="120" w:after="120"/>
    </w:pPr>
    <w:rPr>
      <w:b/>
      <w:bCs/>
      <w:caps/>
      <w:lang w:val="en-US" w:eastAsia="en-US"/>
    </w:rPr>
  </w:style>
  <w:style w:type="paragraph" w:styleId="TOC2">
    <w:name w:val="toc 2"/>
    <w:basedOn w:val="Normal"/>
    <w:next w:val="Normal"/>
    <w:autoRedefine/>
    <w:semiHidden/>
    <w:rsid w:val="003413E9"/>
    <w:pPr>
      <w:tabs>
        <w:tab w:val="left" w:pos="10205"/>
      </w:tabs>
      <w:spacing w:line="360" w:lineRule="auto"/>
      <w:ind w:left="240"/>
    </w:pPr>
    <w:rPr>
      <w:smallCaps/>
      <w:noProof/>
      <w:lang w:val="en-US" w:eastAsia="en-US"/>
    </w:rPr>
  </w:style>
  <w:style w:type="paragraph" w:styleId="TOC3">
    <w:name w:val="toc 3"/>
    <w:basedOn w:val="Normal"/>
    <w:next w:val="Normal"/>
    <w:autoRedefine/>
    <w:semiHidden/>
    <w:rsid w:val="00B8788D"/>
    <w:pPr>
      <w:spacing w:line="360" w:lineRule="auto"/>
      <w:ind w:left="480"/>
    </w:pPr>
    <w:rPr>
      <w:i/>
      <w:iCs/>
      <w:sz w:val="20"/>
      <w:szCs w:val="20"/>
      <w:lang w:val="en-US" w:eastAsia="en-US"/>
    </w:rPr>
  </w:style>
  <w:style w:type="paragraph" w:customStyle="1" w:styleId="Erika1">
    <w:name w:val="Erika1"/>
    <w:basedOn w:val="Heading1"/>
    <w:rsid w:val="004566ED"/>
    <w:pPr>
      <w:keepNext w:val="0"/>
      <w:tabs>
        <w:tab w:val="clear" w:pos="0"/>
      </w:tabs>
      <w:spacing w:before="100" w:beforeAutospacing="1" w:after="100" w:afterAutospacing="1"/>
      <w:ind w:left="0" w:right="0"/>
    </w:pPr>
    <w:rPr>
      <w:rFonts w:cs="Arial"/>
      <w:bCs/>
      <w:color w:val="auto"/>
      <w:kern w:val="36"/>
      <w:sz w:val="28"/>
      <w:szCs w:val="26"/>
      <w:lang w:val="en-US"/>
    </w:rPr>
  </w:style>
  <w:style w:type="paragraph" w:styleId="NormalWeb">
    <w:name w:val="Normal (Web)"/>
    <w:basedOn w:val="Normal"/>
    <w:uiPriority w:val="99"/>
    <w:rsid w:val="00B8788D"/>
    <w:pPr>
      <w:spacing w:before="100" w:beforeAutospacing="1" w:after="100" w:afterAutospacing="1"/>
    </w:pPr>
  </w:style>
  <w:style w:type="paragraph" w:styleId="Header">
    <w:name w:val="header"/>
    <w:basedOn w:val="Normal"/>
    <w:rsid w:val="00B8788D"/>
    <w:pPr>
      <w:tabs>
        <w:tab w:val="center" w:pos="4819"/>
        <w:tab w:val="right" w:pos="9638"/>
      </w:tabs>
    </w:pPr>
  </w:style>
  <w:style w:type="character" w:styleId="PageNumber">
    <w:name w:val="page number"/>
    <w:basedOn w:val="DefaultParagraphFont"/>
    <w:rsid w:val="00B8788D"/>
  </w:style>
  <w:style w:type="paragraph" w:styleId="ListParagraph">
    <w:name w:val="List Paragraph"/>
    <w:basedOn w:val="Normal"/>
    <w:uiPriority w:val="34"/>
    <w:qFormat/>
    <w:rsid w:val="00DD7E0E"/>
    <w:pPr>
      <w:ind w:left="720"/>
      <w:contextualSpacing/>
    </w:pPr>
    <w:rPr>
      <w:rFonts w:ascii="Cambria" w:eastAsia="MS Mincho" w:hAnsi="Cambria"/>
      <w:lang w:val="cs-CZ" w:eastAsia="en-US"/>
    </w:rPr>
  </w:style>
  <w:style w:type="paragraph" w:styleId="BalloonText">
    <w:name w:val="Balloon Text"/>
    <w:basedOn w:val="Normal"/>
    <w:link w:val="BalloonTextChar"/>
    <w:uiPriority w:val="99"/>
    <w:rsid w:val="00925696"/>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25696"/>
    <w:rPr>
      <w:rFonts w:ascii="Lucida Grande" w:eastAsia="Times New Roman" w:hAnsi="Lucida Grande" w:cs="Lucida Grande"/>
      <w:sz w:val="18"/>
      <w:szCs w:val="18"/>
      <w:lang w:val="lt-LT" w:eastAsia="lt-LT"/>
    </w:rPr>
  </w:style>
  <w:style w:type="table" w:styleId="TableGrid">
    <w:name w:val="Table Grid"/>
    <w:basedOn w:val="TableNormal"/>
    <w:uiPriority w:val="59"/>
    <w:rsid w:val="00BD312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622832"/>
    <w:rPr>
      <w:sz w:val="16"/>
      <w:szCs w:val="16"/>
    </w:rPr>
  </w:style>
  <w:style w:type="paragraph" w:styleId="CommentText">
    <w:name w:val="annotation text"/>
    <w:basedOn w:val="Normal"/>
    <w:link w:val="CommentTextChar"/>
    <w:rsid w:val="00622832"/>
    <w:rPr>
      <w:sz w:val="20"/>
      <w:szCs w:val="20"/>
    </w:rPr>
  </w:style>
  <w:style w:type="character" w:customStyle="1" w:styleId="CommentTextChar">
    <w:name w:val="Comment Text Char"/>
    <w:basedOn w:val="DefaultParagraphFont"/>
    <w:link w:val="CommentText"/>
    <w:rsid w:val="00622832"/>
    <w:rPr>
      <w:rFonts w:eastAsia="Times New Roman"/>
      <w:lang w:val="lt-LT" w:eastAsia="lt-LT"/>
    </w:rPr>
  </w:style>
  <w:style w:type="paragraph" w:styleId="CommentSubject">
    <w:name w:val="annotation subject"/>
    <w:basedOn w:val="CommentText"/>
    <w:next w:val="CommentText"/>
    <w:link w:val="CommentSubjectChar"/>
    <w:rsid w:val="00622832"/>
    <w:rPr>
      <w:b/>
      <w:bCs/>
    </w:rPr>
  </w:style>
  <w:style w:type="character" w:customStyle="1" w:styleId="CommentSubjectChar">
    <w:name w:val="Comment Subject Char"/>
    <w:basedOn w:val="CommentTextChar"/>
    <w:link w:val="CommentSubject"/>
    <w:rsid w:val="00622832"/>
    <w:rPr>
      <w:rFonts w:eastAsia="Times New Roman"/>
      <w:b/>
      <w:bCs/>
      <w:lang w:val="lt-LT" w:eastAsia="lt-LT"/>
    </w:rPr>
  </w:style>
  <w:style w:type="character" w:styleId="PlaceholderText">
    <w:name w:val="Placeholder Text"/>
    <w:basedOn w:val="DefaultParagraphFont"/>
    <w:rsid w:val="00297E63"/>
    <w:rPr>
      <w:color w:val="808080"/>
    </w:rPr>
  </w:style>
  <w:style w:type="paragraph" w:customStyle="1" w:styleId="LENTELS">
    <w:name w:val="LENTELĖS"/>
    <w:basedOn w:val="Normal"/>
    <w:link w:val="LENTELSChar"/>
    <w:qFormat/>
    <w:rsid w:val="00DB0EAC"/>
    <w:pPr>
      <w:widowControl w:val="0"/>
      <w:spacing w:before="240" w:after="120" w:line="360" w:lineRule="auto"/>
      <w:ind w:firstLine="567"/>
      <w:jc w:val="center"/>
    </w:pPr>
    <w:rPr>
      <w:rFonts w:eastAsia="MS Mincho"/>
      <w:b/>
      <w:color w:val="000000"/>
      <w:lang w:eastAsia="en-US"/>
    </w:rPr>
  </w:style>
  <w:style w:type="character" w:customStyle="1" w:styleId="LENTELSChar">
    <w:name w:val="LENTELĖS Char"/>
    <w:link w:val="LENTELS"/>
    <w:rsid w:val="00DB0EAC"/>
    <w:rPr>
      <w:rFonts w:eastAsia="MS Mincho"/>
      <w:b/>
      <w:color w:val="000000"/>
      <w:lang w:val="lt-LT"/>
    </w:rPr>
  </w:style>
  <w:style w:type="character" w:customStyle="1" w:styleId="Heading2Char">
    <w:name w:val="Heading 2 Char"/>
    <w:link w:val="Heading2"/>
    <w:rsid w:val="00863B4D"/>
    <w:rPr>
      <w:rFonts w:eastAsia="Times New Roman"/>
      <w:b/>
      <w:color w:val="000000"/>
      <w:sz w:val="22"/>
      <w:szCs w:val="22"/>
      <w:lang w:val="lt-LT"/>
    </w:rPr>
  </w:style>
  <w:style w:type="character" w:styleId="FollowedHyperlink">
    <w:name w:val="FollowedHyperlink"/>
    <w:uiPriority w:val="99"/>
    <w:unhideWhenUsed/>
    <w:rsid w:val="00863B4D"/>
    <w:rPr>
      <w:color w:val="800080"/>
      <w:u w:val="single"/>
    </w:rPr>
  </w:style>
  <w:style w:type="table" w:styleId="ColorfulList-Accent6">
    <w:name w:val="Colorful List Accent 6"/>
    <w:basedOn w:val="TableNormal"/>
    <w:rsid w:val="00863B4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Grid1-Accent1">
    <w:name w:val="Medium Grid 1 Accent 1"/>
    <w:basedOn w:val="TableNormal"/>
    <w:rsid w:val="00E92C8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rsid w:val="00E92C8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rsid w:val="00E92C8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List2-Accent1">
    <w:name w:val="Medium List 2 Accent 1"/>
    <w:basedOn w:val="TableNormal"/>
    <w:rsid w:val="00E92C8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rsid w:val="00E92C8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rsid w:val="00E92C8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Shading-Accent1">
    <w:name w:val="Colorful Shading Accent 1"/>
    <w:basedOn w:val="TableNormal"/>
    <w:rsid w:val="00E92C8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LightGrid-Accent1">
    <w:name w:val="Light Grid Accent 1"/>
    <w:basedOn w:val="TableNormal"/>
    <w:rsid w:val="00E92C8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er">
    <w:name w:val="footer"/>
    <w:basedOn w:val="Normal"/>
    <w:link w:val="FooterChar"/>
    <w:rsid w:val="006B7464"/>
    <w:pPr>
      <w:tabs>
        <w:tab w:val="center" w:pos="4153"/>
        <w:tab w:val="right" w:pos="8306"/>
      </w:tabs>
    </w:pPr>
  </w:style>
  <w:style w:type="character" w:customStyle="1" w:styleId="FooterChar">
    <w:name w:val="Footer Char"/>
    <w:basedOn w:val="DefaultParagraphFont"/>
    <w:link w:val="Footer"/>
    <w:rsid w:val="006B7464"/>
    <w:rPr>
      <w:rFonts w:eastAsia="Times New Roman"/>
      <w:lang w:val="lt-LT" w:eastAsia="lt-LT"/>
    </w:rPr>
  </w:style>
  <w:style w:type="table" w:styleId="ColorfulList-Accent1">
    <w:name w:val="Colorful List Accent 1"/>
    <w:basedOn w:val="TableNormal"/>
    <w:rsid w:val="00A6632F"/>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1">
    <w:name w:val="Light List Accent 1"/>
    <w:basedOn w:val="TableNormal"/>
    <w:rsid w:val="00A6632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rsid w:val="009A614C"/>
    <w:rPr>
      <w:rFonts w:eastAsia="Times New Roman"/>
      <w:lang w:val="lt-LT" w:eastAsia="lt-LT"/>
    </w:rPr>
  </w:style>
  <w:style w:type="paragraph" w:styleId="DocumentMap">
    <w:name w:val="Document Map"/>
    <w:basedOn w:val="Normal"/>
    <w:link w:val="DocumentMapChar"/>
    <w:rsid w:val="009A614C"/>
    <w:rPr>
      <w:rFonts w:ascii="Lucida Grande CE" w:hAnsi="Lucida Grande CE" w:cs="Lucida Grande CE"/>
    </w:rPr>
  </w:style>
  <w:style w:type="character" w:customStyle="1" w:styleId="DocumentMapChar">
    <w:name w:val="Document Map Char"/>
    <w:basedOn w:val="DefaultParagraphFont"/>
    <w:link w:val="DocumentMap"/>
    <w:rsid w:val="009A614C"/>
    <w:rPr>
      <w:rFonts w:ascii="Lucida Grande CE" w:eastAsia="Times New Roman" w:hAnsi="Lucida Grande CE" w:cs="Lucida Grande CE"/>
      <w:lang w:val="lt-LT" w:eastAsia="lt-L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cs-CZ" w:eastAsia="en-US" w:bidi="ar-SA"/>
      </w:rPr>
    </w:rPrDefault>
    <w:pPrDefault/>
  </w:docDefaults>
  <w:latentStyles w:defLockedState="0" w:defUIPriority="0" w:defSemiHidden="0" w:defUnhideWhenUsed="0" w:defQFormat="0" w:count="276">
    <w:lsdException w:name="heading 2" w:qFormat="1"/>
    <w:lsdException w:name="FollowedHyperlink" w:uiPriority="99"/>
    <w:lsdException w:name="Normal (Web)" w:uiPriority="99"/>
    <w:lsdException w:name="No List" w:uiPriority="99"/>
    <w:lsdException w:name="Balloon Text" w:uiPriority="99"/>
    <w:lsdException w:name="Table Grid" w:uiPriority="59"/>
    <w:lsdException w:name="List Paragraph" w:uiPriority="34" w:qFormat="1"/>
  </w:latentStyles>
  <w:style w:type="paragraph" w:default="1" w:styleId="Normal">
    <w:name w:val="Normal"/>
    <w:qFormat/>
    <w:rsid w:val="00425E73"/>
    <w:rPr>
      <w:rFonts w:eastAsia="Times New Roman"/>
      <w:lang w:val="lt-LT" w:eastAsia="lt-LT"/>
    </w:rPr>
  </w:style>
  <w:style w:type="paragraph" w:styleId="Heading1">
    <w:name w:val="heading 1"/>
    <w:basedOn w:val="Normal"/>
    <w:next w:val="Normal"/>
    <w:qFormat/>
    <w:rsid w:val="00425E73"/>
    <w:pPr>
      <w:keepNext/>
      <w:tabs>
        <w:tab w:val="left" w:pos="0"/>
      </w:tabs>
      <w:ind w:left="-57" w:right="-57"/>
      <w:jc w:val="center"/>
      <w:outlineLvl w:val="0"/>
    </w:pPr>
    <w:rPr>
      <w:b/>
      <w:color w:val="000000"/>
      <w:sz w:val="22"/>
      <w:szCs w:val="22"/>
      <w:lang w:eastAsia="en-US"/>
    </w:rPr>
  </w:style>
  <w:style w:type="paragraph" w:styleId="Heading2">
    <w:name w:val="heading 2"/>
    <w:basedOn w:val="Normal"/>
    <w:next w:val="Normal"/>
    <w:link w:val="Heading2Char"/>
    <w:qFormat/>
    <w:rsid w:val="00425E73"/>
    <w:pPr>
      <w:keepNext/>
      <w:tabs>
        <w:tab w:val="left" w:pos="0"/>
      </w:tabs>
      <w:ind w:left="-57" w:right="-57"/>
      <w:outlineLvl w:val="1"/>
    </w:pPr>
    <w:rPr>
      <w:b/>
      <w:color w:val="000000"/>
      <w:sz w:val="22"/>
      <w:szCs w:val="22"/>
      <w:lang w:eastAsia="en-US"/>
    </w:rPr>
  </w:style>
  <w:style w:type="paragraph" w:styleId="Heading3">
    <w:name w:val="heading 3"/>
    <w:basedOn w:val="Normal"/>
    <w:next w:val="Normal"/>
    <w:qFormat/>
    <w:rsid w:val="00425E73"/>
    <w:pPr>
      <w:keepNext/>
      <w:tabs>
        <w:tab w:val="left" w:pos="0"/>
      </w:tabs>
      <w:ind w:left="-57" w:right="-57"/>
      <w:outlineLvl w:val="2"/>
    </w:pPr>
    <w:rPr>
      <w:b/>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25E73"/>
    <w:pPr>
      <w:tabs>
        <w:tab w:val="left" w:pos="0"/>
      </w:tabs>
      <w:ind w:left="-57" w:right="-57"/>
    </w:pPr>
    <w:rPr>
      <w:b/>
      <w:color w:val="000000"/>
      <w:sz w:val="22"/>
      <w:szCs w:val="22"/>
      <w:lang w:val="en-GB" w:eastAsia="en-US"/>
    </w:rPr>
  </w:style>
  <w:style w:type="paragraph" w:styleId="Title">
    <w:name w:val="Title"/>
    <w:basedOn w:val="Normal"/>
    <w:qFormat/>
    <w:rsid w:val="00425E73"/>
    <w:pPr>
      <w:jc w:val="center"/>
    </w:pPr>
    <w:rPr>
      <w:b/>
      <w:bCs/>
      <w:color w:val="000000"/>
      <w:sz w:val="22"/>
      <w:lang w:val="de-DE" w:eastAsia="en-US"/>
    </w:rPr>
  </w:style>
  <w:style w:type="paragraph" w:styleId="Caption">
    <w:name w:val="caption"/>
    <w:basedOn w:val="Normal"/>
    <w:next w:val="Normal"/>
    <w:qFormat/>
    <w:rsid w:val="00567F2F"/>
    <w:pPr>
      <w:widowControl w:val="0"/>
      <w:spacing w:before="120" w:after="120"/>
      <w:ind w:left="851" w:firstLine="720"/>
      <w:jc w:val="both"/>
    </w:pPr>
    <w:rPr>
      <w:rFonts w:ascii="TimesLT" w:hAnsi="TimesLT"/>
      <w:i/>
      <w:sz w:val="20"/>
      <w:szCs w:val="20"/>
      <w:lang w:val="en-AU" w:eastAsia="en-US"/>
    </w:rPr>
  </w:style>
  <w:style w:type="character" w:styleId="Hyperlink">
    <w:name w:val="Hyperlink"/>
    <w:rsid w:val="004566ED"/>
    <w:rPr>
      <w:color w:val="0000FF"/>
      <w:u w:val="single"/>
    </w:rPr>
  </w:style>
  <w:style w:type="paragraph" w:styleId="TOC1">
    <w:name w:val="toc 1"/>
    <w:basedOn w:val="Normal"/>
    <w:next w:val="Normal"/>
    <w:autoRedefine/>
    <w:semiHidden/>
    <w:rsid w:val="00000C2F"/>
    <w:pPr>
      <w:tabs>
        <w:tab w:val="left" w:pos="10205"/>
      </w:tabs>
      <w:spacing w:before="120" w:after="120"/>
    </w:pPr>
    <w:rPr>
      <w:b/>
      <w:bCs/>
      <w:caps/>
      <w:lang w:val="en-US" w:eastAsia="en-US"/>
    </w:rPr>
  </w:style>
  <w:style w:type="paragraph" w:styleId="TOC2">
    <w:name w:val="toc 2"/>
    <w:basedOn w:val="Normal"/>
    <w:next w:val="Normal"/>
    <w:autoRedefine/>
    <w:semiHidden/>
    <w:rsid w:val="003413E9"/>
    <w:pPr>
      <w:tabs>
        <w:tab w:val="left" w:pos="10205"/>
      </w:tabs>
      <w:spacing w:line="360" w:lineRule="auto"/>
      <w:ind w:left="240"/>
    </w:pPr>
    <w:rPr>
      <w:smallCaps/>
      <w:noProof/>
      <w:lang w:val="en-US" w:eastAsia="en-US"/>
    </w:rPr>
  </w:style>
  <w:style w:type="paragraph" w:styleId="TOC3">
    <w:name w:val="toc 3"/>
    <w:basedOn w:val="Normal"/>
    <w:next w:val="Normal"/>
    <w:autoRedefine/>
    <w:semiHidden/>
    <w:rsid w:val="00B8788D"/>
    <w:pPr>
      <w:spacing w:line="360" w:lineRule="auto"/>
      <w:ind w:left="480"/>
    </w:pPr>
    <w:rPr>
      <w:i/>
      <w:iCs/>
      <w:sz w:val="20"/>
      <w:szCs w:val="20"/>
      <w:lang w:val="en-US" w:eastAsia="en-US"/>
    </w:rPr>
  </w:style>
  <w:style w:type="paragraph" w:customStyle="1" w:styleId="Erika1">
    <w:name w:val="Erika1"/>
    <w:basedOn w:val="Heading1"/>
    <w:rsid w:val="004566ED"/>
    <w:pPr>
      <w:keepNext w:val="0"/>
      <w:tabs>
        <w:tab w:val="clear" w:pos="0"/>
      </w:tabs>
      <w:spacing w:before="100" w:beforeAutospacing="1" w:after="100" w:afterAutospacing="1"/>
      <w:ind w:left="0" w:right="0"/>
    </w:pPr>
    <w:rPr>
      <w:rFonts w:cs="Arial"/>
      <w:bCs/>
      <w:color w:val="auto"/>
      <w:kern w:val="36"/>
      <w:sz w:val="28"/>
      <w:szCs w:val="26"/>
      <w:lang w:val="en-US"/>
    </w:rPr>
  </w:style>
  <w:style w:type="paragraph" w:styleId="NormalWeb">
    <w:name w:val="Normal (Web)"/>
    <w:basedOn w:val="Normal"/>
    <w:uiPriority w:val="99"/>
    <w:rsid w:val="00B8788D"/>
    <w:pPr>
      <w:spacing w:before="100" w:beforeAutospacing="1" w:after="100" w:afterAutospacing="1"/>
    </w:pPr>
  </w:style>
  <w:style w:type="paragraph" w:styleId="Header">
    <w:name w:val="header"/>
    <w:basedOn w:val="Normal"/>
    <w:rsid w:val="00B8788D"/>
    <w:pPr>
      <w:tabs>
        <w:tab w:val="center" w:pos="4819"/>
        <w:tab w:val="right" w:pos="9638"/>
      </w:tabs>
    </w:pPr>
  </w:style>
  <w:style w:type="character" w:styleId="PageNumber">
    <w:name w:val="page number"/>
    <w:basedOn w:val="DefaultParagraphFont"/>
    <w:rsid w:val="00B8788D"/>
  </w:style>
  <w:style w:type="paragraph" w:styleId="ListParagraph">
    <w:name w:val="List Paragraph"/>
    <w:basedOn w:val="Normal"/>
    <w:uiPriority w:val="34"/>
    <w:qFormat/>
    <w:rsid w:val="00DD7E0E"/>
    <w:pPr>
      <w:ind w:left="720"/>
      <w:contextualSpacing/>
    </w:pPr>
    <w:rPr>
      <w:rFonts w:ascii="Cambria" w:eastAsia="MS Mincho" w:hAnsi="Cambria"/>
      <w:lang w:val="cs-CZ" w:eastAsia="en-US"/>
    </w:rPr>
  </w:style>
  <w:style w:type="paragraph" w:styleId="BalloonText">
    <w:name w:val="Balloon Text"/>
    <w:basedOn w:val="Normal"/>
    <w:link w:val="BalloonTextChar"/>
    <w:uiPriority w:val="99"/>
    <w:rsid w:val="00925696"/>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25696"/>
    <w:rPr>
      <w:rFonts w:ascii="Lucida Grande" w:eastAsia="Times New Roman" w:hAnsi="Lucida Grande" w:cs="Lucida Grande"/>
      <w:sz w:val="18"/>
      <w:szCs w:val="18"/>
      <w:lang w:val="lt-LT" w:eastAsia="lt-LT"/>
    </w:rPr>
  </w:style>
  <w:style w:type="table" w:styleId="TableGrid">
    <w:name w:val="Table Grid"/>
    <w:basedOn w:val="TableNormal"/>
    <w:uiPriority w:val="59"/>
    <w:rsid w:val="00BD312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622832"/>
    <w:rPr>
      <w:sz w:val="16"/>
      <w:szCs w:val="16"/>
    </w:rPr>
  </w:style>
  <w:style w:type="paragraph" w:styleId="CommentText">
    <w:name w:val="annotation text"/>
    <w:basedOn w:val="Normal"/>
    <w:link w:val="CommentTextChar"/>
    <w:rsid w:val="00622832"/>
    <w:rPr>
      <w:sz w:val="20"/>
      <w:szCs w:val="20"/>
    </w:rPr>
  </w:style>
  <w:style w:type="character" w:customStyle="1" w:styleId="CommentTextChar">
    <w:name w:val="Comment Text Char"/>
    <w:basedOn w:val="DefaultParagraphFont"/>
    <w:link w:val="CommentText"/>
    <w:rsid w:val="00622832"/>
    <w:rPr>
      <w:rFonts w:eastAsia="Times New Roman"/>
      <w:lang w:val="lt-LT" w:eastAsia="lt-LT"/>
    </w:rPr>
  </w:style>
  <w:style w:type="paragraph" w:styleId="CommentSubject">
    <w:name w:val="annotation subject"/>
    <w:basedOn w:val="CommentText"/>
    <w:next w:val="CommentText"/>
    <w:link w:val="CommentSubjectChar"/>
    <w:rsid w:val="00622832"/>
    <w:rPr>
      <w:b/>
      <w:bCs/>
    </w:rPr>
  </w:style>
  <w:style w:type="character" w:customStyle="1" w:styleId="CommentSubjectChar">
    <w:name w:val="Comment Subject Char"/>
    <w:basedOn w:val="CommentTextChar"/>
    <w:link w:val="CommentSubject"/>
    <w:rsid w:val="00622832"/>
    <w:rPr>
      <w:rFonts w:eastAsia="Times New Roman"/>
      <w:b/>
      <w:bCs/>
      <w:lang w:val="lt-LT" w:eastAsia="lt-LT"/>
    </w:rPr>
  </w:style>
  <w:style w:type="character" w:styleId="PlaceholderText">
    <w:name w:val="Placeholder Text"/>
    <w:basedOn w:val="DefaultParagraphFont"/>
    <w:rsid w:val="00297E63"/>
    <w:rPr>
      <w:color w:val="808080"/>
    </w:rPr>
  </w:style>
  <w:style w:type="paragraph" w:customStyle="1" w:styleId="LENTELS">
    <w:name w:val="LENTELĖS"/>
    <w:basedOn w:val="Normal"/>
    <w:link w:val="LENTELSChar"/>
    <w:qFormat/>
    <w:rsid w:val="00DB0EAC"/>
    <w:pPr>
      <w:widowControl w:val="0"/>
      <w:spacing w:before="240" w:after="120" w:line="360" w:lineRule="auto"/>
      <w:ind w:firstLine="567"/>
      <w:jc w:val="center"/>
    </w:pPr>
    <w:rPr>
      <w:rFonts w:eastAsia="MS Mincho"/>
      <w:b/>
      <w:color w:val="000000"/>
      <w:lang w:eastAsia="en-US"/>
    </w:rPr>
  </w:style>
  <w:style w:type="character" w:customStyle="1" w:styleId="LENTELSChar">
    <w:name w:val="LENTELĖS Char"/>
    <w:link w:val="LENTELS"/>
    <w:rsid w:val="00DB0EAC"/>
    <w:rPr>
      <w:rFonts w:eastAsia="MS Mincho"/>
      <w:b/>
      <w:color w:val="000000"/>
      <w:lang w:val="lt-LT"/>
    </w:rPr>
  </w:style>
  <w:style w:type="character" w:customStyle="1" w:styleId="Heading2Char">
    <w:name w:val="Heading 2 Char"/>
    <w:link w:val="Heading2"/>
    <w:rsid w:val="00863B4D"/>
    <w:rPr>
      <w:rFonts w:eastAsia="Times New Roman"/>
      <w:b/>
      <w:color w:val="000000"/>
      <w:sz w:val="22"/>
      <w:szCs w:val="22"/>
      <w:lang w:val="lt-LT"/>
    </w:rPr>
  </w:style>
  <w:style w:type="character" w:styleId="FollowedHyperlink">
    <w:name w:val="FollowedHyperlink"/>
    <w:uiPriority w:val="99"/>
    <w:unhideWhenUsed/>
    <w:rsid w:val="00863B4D"/>
    <w:rPr>
      <w:color w:val="800080"/>
      <w:u w:val="single"/>
    </w:rPr>
  </w:style>
  <w:style w:type="table" w:styleId="ColorfulList-Accent6">
    <w:name w:val="Colorful List Accent 6"/>
    <w:basedOn w:val="TableNormal"/>
    <w:rsid w:val="00863B4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Grid1-Accent1">
    <w:name w:val="Medium Grid 1 Accent 1"/>
    <w:basedOn w:val="TableNormal"/>
    <w:rsid w:val="00E92C8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rsid w:val="00E92C8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rsid w:val="00E92C8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List2-Accent1">
    <w:name w:val="Medium List 2 Accent 1"/>
    <w:basedOn w:val="TableNormal"/>
    <w:rsid w:val="00E92C8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rsid w:val="00E92C8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rsid w:val="00E92C8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Shading-Accent1">
    <w:name w:val="Colorful Shading Accent 1"/>
    <w:basedOn w:val="TableNormal"/>
    <w:rsid w:val="00E92C8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LightGrid-Accent1">
    <w:name w:val="Light Grid Accent 1"/>
    <w:basedOn w:val="TableNormal"/>
    <w:rsid w:val="00E92C8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er">
    <w:name w:val="footer"/>
    <w:basedOn w:val="Normal"/>
    <w:link w:val="FooterChar"/>
    <w:rsid w:val="006B7464"/>
    <w:pPr>
      <w:tabs>
        <w:tab w:val="center" w:pos="4153"/>
        <w:tab w:val="right" w:pos="8306"/>
      </w:tabs>
    </w:pPr>
  </w:style>
  <w:style w:type="character" w:customStyle="1" w:styleId="FooterChar">
    <w:name w:val="Footer Char"/>
    <w:basedOn w:val="DefaultParagraphFont"/>
    <w:link w:val="Footer"/>
    <w:rsid w:val="006B7464"/>
    <w:rPr>
      <w:rFonts w:eastAsia="Times New Roman"/>
      <w:lang w:val="lt-LT" w:eastAsia="lt-LT"/>
    </w:rPr>
  </w:style>
  <w:style w:type="table" w:styleId="ColorfulList-Accent1">
    <w:name w:val="Colorful List Accent 1"/>
    <w:basedOn w:val="TableNormal"/>
    <w:rsid w:val="00A6632F"/>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1">
    <w:name w:val="Light List Accent 1"/>
    <w:basedOn w:val="TableNormal"/>
    <w:rsid w:val="00A6632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rsid w:val="009A614C"/>
    <w:rPr>
      <w:rFonts w:eastAsia="Times New Roman"/>
      <w:lang w:val="lt-LT" w:eastAsia="lt-LT"/>
    </w:rPr>
  </w:style>
  <w:style w:type="paragraph" w:styleId="DocumentMap">
    <w:name w:val="Document Map"/>
    <w:basedOn w:val="Normal"/>
    <w:link w:val="DocumentMapChar"/>
    <w:rsid w:val="009A614C"/>
    <w:rPr>
      <w:rFonts w:ascii="Lucida Grande CE" w:hAnsi="Lucida Grande CE" w:cs="Lucida Grande CE"/>
    </w:rPr>
  </w:style>
  <w:style w:type="character" w:customStyle="1" w:styleId="DocumentMapChar">
    <w:name w:val="Document Map Char"/>
    <w:basedOn w:val="DefaultParagraphFont"/>
    <w:link w:val="DocumentMap"/>
    <w:rsid w:val="009A614C"/>
    <w:rPr>
      <w:rFonts w:ascii="Lucida Grande CE" w:eastAsia="Times New Roman" w:hAnsi="Lucida Grande CE" w:cs="Lucida Grande CE"/>
      <w:lang w:val="lt-LT" w:eastAsia="lt-LT"/>
    </w:rPr>
  </w:style>
</w:styles>
</file>

<file path=word/webSettings.xml><?xml version="1.0" encoding="utf-8"?>
<w:webSettings xmlns:r="http://schemas.openxmlformats.org/officeDocument/2006/relationships" xmlns:w="http://schemas.openxmlformats.org/wordprocessingml/2006/main">
  <w:divs>
    <w:div w:id="1200047942">
      <w:bodyDiv w:val="1"/>
      <w:marLeft w:val="0"/>
      <w:marRight w:val="0"/>
      <w:marTop w:val="0"/>
      <w:marBottom w:val="0"/>
      <w:divBdr>
        <w:top w:val="none" w:sz="0" w:space="0" w:color="auto"/>
        <w:left w:val="none" w:sz="0" w:space="0" w:color="auto"/>
        <w:bottom w:val="none" w:sz="0" w:space="0" w:color="auto"/>
        <w:right w:val="none" w:sz="0" w:space="0" w:color="auto"/>
      </w:divBdr>
    </w:div>
    <w:div w:id="2036420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emeraldinsight.com.skaitykla.mruni.eu/journals.htm?issn=1469-1930&amp;volume=5&amp;issue=1&amp;articleid=884016&amp;show=html" TargetMode="External"/><Relationship Id="rId18" Type="http://schemas.openxmlformats.org/officeDocument/2006/relationships/hyperlink" Target="http://www.emeraldinsight.com.skaitykla.mruni.eu/journals.htm?issn=1469-1930&amp;volume=5&amp;issue=1&amp;articleid=884016&amp;show=html" TargetMode="External"/><Relationship Id="rId26" Type="http://schemas.openxmlformats.org/officeDocument/2006/relationships/diagramData" Target="diagrams/data3.xml"/><Relationship Id="rId39" Type="http://schemas.openxmlformats.org/officeDocument/2006/relationships/diagramColors" Target="diagrams/colors5.xml"/><Relationship Id="rId21" Type="http://schemas.openxmlformats.org/officeDocument/2006/relationships/diagramData" Target="diagrams/data2.xml"/><Relationship Id="rId34" Type="http://schemas.openxmlformats.org/officeDocument/2006/relationships/diagramColors" Target="diagrams/colors4.xml"/><Relationship Id="rId42" Type="http://schemas.openxmlformats.org/officeDocument/2006/relationships/diagramLayout" Target="diagrams/layout6.xml"/><Relationship Id="rId47" Type="http://schemas.openxmlformats.org/officeDocument/2006/relationships/chart" Target="charts/chart2.xml"/><Relationship Id="rId50" Type="http://schemas.openxmlformats.org/officeDocument/2006/relationships/image" Target="media/image2.png"/><Relationship Id="rId55" Type="http://schemas.openxmlformats.org/officeDocument/2006/relationships/chart" Target="charts/chart8.xml"/><Relationship Id="rId63" Type="http://schemas.openxmlformats.org/officeDocument/2006/relationships/hyperlink" Target="http://www.vaic-on.net" TargetMode="External"/><Relationship Id="rId68" Type="http://schemas.openxmlformats.org/officeDocument/2006/relationships/diagramLayout" Target="diagrams/layout7.xml"/><Relationship Id="rId76" Type="http://schemas.microsoft.com/office/2007/relationships/stylesWithEffects" Target="stylesWithEffects.xml"/><Relationship Id="rId7" Type="http://schemas.openxmlformats.org/officeDocument/2006/relationships/endnotes" Target="endnotes.xml"/><Relationship Id="rId71" Type="http://schemas.microsoft.com/office/2007/relationships/diagramDrawing" Target="diagrams/drawing7.xml"/><Relationship Id="rId2" Type="http://schemas.openxmlformats.org/officeDocument/2006/relationships/numbering" Target="numbering.xml"/><Relationship Id="rId16" Type="http://schemas.openxmlformats.org/officeDocument/2006/relationships/hyperlink" Target="http://www.emeraldinsight.com.skaitykla.mruni.eu/journals.htm?issn=1469-1930&amp;volume=5&amp;issue=1&amp;articleid=884016&amp;show=html" TargetMode="External"/><Relationship Id="rId29" Type="http://schemas.openxmlformats.org/officeDocument/2006/relationships/diagramColors" Target="diagrams/colors3.xml"/><Relationship Id="rId11" Type="http://schemas.openxmlformats.org/officeDocument/2006/relationships/diagramColors" Target="diagrams/colors1.xml"/><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45" Type="http://schemas.microsoft.com/office/2007/relationships/diagramDrawing" Target="diagrams/drawing6.xml"/><Relationship Id="rId53" Type="http://schemas.openxmlformats.org/officeDocument/2006/relationships/chart" Target="charts/chart6.xml"/><Relationship Id="rId58" Type="http://schemas.openxmlformats.org/officeDocument/2006/relationships/hyperlink" Target="http://pub.stat.ee/px-web.2001/I_Databas/Economy/databasetree.asp" TargetMode="External"/><Relationship Id="rId66" Type="http://schemas.openxmlformats.org/officeDocument/2006/relationships/hyperlink" Target="http://osp.stat.gov.lt/web/guest/statistiniu-rodikliu-analize?portletFormName=visualization&amp;hash=f0a518ad-7402-4f43-884e-44c55b273455"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eraldinsight.com.skaitykla.mruni.eu/journals.htm?issn=1469-1930&amp;volume=5&amp;issue=1&amp;articleid=884016&amp;show=html" TargetMode="Externa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diagramData" Target="diagrams/data5.xml"/><Relationship Id="rId49" Type="http://schemas.openxmlformats.org/officeDocument/2006/relationships/image" Target="media/image1.png"/><Relationship Id="rId57" Type="http://schemas.openxmlformats.org/officeDocument/2006/relationships/hyperlink" Target="http://digitalscholarship.unlv.edu/grrj/vol15/iss2/4" TargetMode="External"/><Relationship Id="rId61" Type="http://schemas.openxmlformats.org/officeDocument/2006/relationships/hyperlink" Target="http://www.measuring-ip.at" TargetMode="External"/><Relationship Id="rId10" Type="http://schemas.openxmlformats.org/officeDocument/2006/relationships/diagramQuickStyle" Target="diagrams/quickStyle1.xml"/><Relationship Id="rId19" Type="http://schemas.openxmlformats.org/officeDocument/2006/relationships/hyperlink" Target="http://www.emeraldinsight.com.skaitykla.mruni.eu/journals.htm?issn=1469-1930&amp;volume=5&amp;issue=1&amp;articleid=884016&amp;show=html" TargetMode="External"/><Relationship Id="rId31" Type="http://schemas.openxmlformats.org/officeDocument/2006/relationships/diagramData" Target="diagrams/data4.xml"/><Relationship Id="rId44" Type="http://schemas.openxmlformats.org/officeDocument/2006/relationships/diagramColors" Target="diagrams/colors6.xml"/><Relationship Id="rId52" Type="http://schemas.openxmlformats.org/officeDocument/2006/relationships/chart" Target="charts/chart5.xml"/><Relationship Id="rId60" Type="http://schemas.openxmlformats.org/officeDocument/2006/relationships/hyperlink" Target="http://www.nasdaqomxbaltic.com/market/?pg=issuers&amp;lang=lt" TargetMode="External"/><Relationship Id="rId65" Type="http://schemas.openxmlformats.org/officeDocument/2006/relationships/hyperlink" Target="http://www.ktu.lt/lt/mokslas/zurnalai/inzeko/67/1392-2758-2010-22-2-151.pdf" TargetMode="External"/><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emeraldinsight.com.skaitykla.mruni.eu/journals.htm?issn=1469-1930&amp;volume=5&amp;issue=1&amp;articleid=884016&amp;show=html" TargetMode="Externa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43" Type="http://schemas.openxmlformats.org/officeDocument/2006/relationships/diagramQuickStyle" Target="diagrams/quickStyle6.xml"/><Relationship Id="rId48" Type="http://schemas.openxmlformats.org/officeDocument/2006/relationships/chart" Target="charts/chart3.xml"/><Relationship Id="rId56" Type="http://schemas.openxmlformats.org/officeDocument/2006/relationships/chart" Target="charts/chart9.xml"/><Relationship Id="rId64" Type="http://schemas.openxmlformats.org/officeDocument/2006/relationships/hyperlink" Target="http://www.questia.com/library/110161464/managing-intellectual-capital-organizational-strategic" TargetMode="External"/><Relationship Id="rId69" Type="http://schemas.openxmlformats.org/officeDocument/2006/relationships/diagramQuickStyle" Target="diagrams/quickStyle7.xml"/><Relationship Id="rId8" Type="http://schemas.openxmlformats.org/officeDocument/2006/relationships/diagramData" Target="diagrams/data1.xml"/><Relationship Id="rId51" Type="http://schemas.openxmlformats.org/officeDocument/2006/relationships/chart" Target="charts/chart4.xml"/><Relationship Id="rId72" Type="http://schemas.openxmlformats.org/officeDocument/2006/relationships/header" Target="header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www.emeraldinsight.com.skaitykla.mruni.eu/journals.htm?issn=1469-1930&amp;volume=5&amp;issue=1&amp;articleid=884016&amp;show=html" TargetMode="External"/><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46" Type="http://schemas.openxmlformats.org/officeDocument/2006/relationships/chart" Target="charts/chart1.xml"/><Relationship Id="rId59" Type="http://schemas.openxmlformats.org/officeDocument/2006/relationships/hyperlink" Target="http://osp.stat.gov.lt/documents/10180/24308/EVRK2red_klasif_leidinys.pdf/3a57fd72-b001-47af-bf98-62731956a8d7" TargetMode="External"/><Relationship Id="rId67" Type="http://schemas.openxmlformats.org/officeDocument/2006/relationships/diagramData" Target="diagrams/data7.xml"/><Relationship Id="rId20" Type="http://schemas.openxmlformats.org/officeDocument/2006/relationships/hyperlink" Target="http://www.emeraldinsight.com.skaitykla.mruni.eu/journals.htm?issn=1469-1930&amp;volume=5&amp;issue=1&amp;articleid=884016&amp;show=html" TargetMode="External"/><Relationship Id="rId41" Type="http://schemas.openxmlformats.org/officeDocument/2006/relationships/diagramData" Target="diagrams/data6.xml"/><Relationship Id="rId54" Type="http://schemas.openxmlformats.org/officeDocument/2006/relationships/chart" Target="charts/chart7.xml"/><Relationship Id="rId62" Type="http://schemas.openxmlformats.org/officeDocument/2006/relationships/hyperlink" Target="http://www.measuring-ip.at/Papers/ham99txt.htm" TargetMode="External"/><Relationship Id="rId70" Type="http://schemas.openxmlformats.org/officeDocument/2006/relationships/diagramColors" Target="diagrams/colors7.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oleObject" Target="Macintosh%20HD:Users:Macbook:Desktop:MBD:IK%20LYGI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Macintosh%20HD:Users:Macbook:Desktop:MBD:IK%20LYGI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Macintosh%20HD:Users:Macbook:Desktop:MBD:IK%20LYGI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Macintosh%20HD:Users:Macbook:Desktop:MBD:IK%20LYGI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Macintosh%20HD:Users:Macbook:Desktop:MBD:IK%20LYGI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Macintosh%20HD:Users:Macbook:Desktop:MBD:IK%20LYGI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Macintosh%20HD:Users:Macbook:Desktop:MBD:IK%20LYGIS.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Macintosh%20HD:Users:Macbook:Desktop:MBD:IK%20LYGIS.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1" Type="http://schemas.openxmlformats.org/officeDocument/2006/relationships/oleObject" Target="Macintosh%20HD:Users:Macbook:Desktop:MBD:IK%20LYG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lrMapOvr bg1="lt1" tx1="dk1" bg2="lt2" tx2="dk2" accent1="accent1" accent2="accent2" accent3="accent3" accent4="accent4" accent5="accent5" accent6="accent6" hlink="hlink" folHlink="folHlink"/>
  <c:chart>
    <c:title>
      <c:tx>
        <c:rich>
          <a:bodyPr/>
          <a:lstStyle/>
          <a:p>
            <a:pPr>
              <a:defRPr sz="1200"/>
            </a:pPr>
            <a:r>
              <a:rPr lang="en-US" sz="1200"/>
              <a:t>VACA</a:t>
            </a:r>
          </a:p>
        </c:rich>
      </c:tx>
    </c:title>
    <c:plotArea>
      <c:layout/>
      <c:barChart>
        <c:barDir val="col"/>
        <c:grouping val="clustered"/>
        <c:ser>
          <c:idx val="0"/>
          <c:order val="0"/>
          <c:tx>
            <c:strRef>
              <c:f>VAIC!$D$183</c:f>
              <c:strCache>
                <c:ptCount val="1"/>
                <c:pt idx="0">
                  <c:v>2009</c:v>
                </c:pt>
              </c:strCache>
            </c:strRef>
          </c:tx>
          <c:cat>
            <c:strRef>
              <c:f>VAIC!$C$184:$C$193</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VAIC!$D$184:$D$193</c:f>
              <c:numCache>
                <c:formatCode>0.00</c:formatCode>
                <c:ptCount val="10"/>
                <c:pt idx="0">
                  <c:v>0.17</c:v>
                </c:pt>
                <c:pt idx="1">
                  <c:v>0.23</c:v>
                </c:pt>
                <c:pt idx="2">
                  <c:v>0.23</c:v>
                </c:pt>
                <c:pt idx="3">
                  <c:v>0.12000000000000002</c:v>
                </c:pt>
                <c:pt idx="4">
                  <c:v>0.2100000000000001</c:v>
                </c:pt>
                <c:pt idx="5">
                  <c:v>0.33000000000000035</c:v>
                </c:pt>
                <c:pt idx="6">
                  <c:v>0.2100000000000001</c:v>
                </c:pt>
                <c:pt idx="7">
                  <c:v>0.42000000000000021</c:v>
                </c:pt>
                <c:pt idx="8">
                  <c:v>0.23</c:v>
                </c:pt>
                <c:pt idx="9">
                  <c:v>0.58000000000000007</c:v>
                </c:pt>
              </c:numCache>
            </c:numRef>
          </c:val>
        </c:ser>
        <c:ser>
          <c:idx val="1"/>
          <c:order val="1"/>
          <c:tx>
            <c:strRef>
              <c:f>VAIC!$E$183</c:f>
              <c:strCache>
                <c:ptCount val="1"/>
                <c:pt idx="0">
                  <c:v>2010</c:v>
                </c:pt>
              </c:strCache>
            </c:strRef>
          </c:tx>
          <c:val>
            <c:numRef>
              <c:f>VAIC!$E$184:$E$193</c:f>
              <c:numCache>
                <c:formatCode>0.00</c:formatCode>
                <c:ptCount val="10"/>
                <c:pt idx="0">
                  <c:v>0.31000000000000022</c:v>
                </c:pt>
                <c:pt idx="1">
                  <c:v>0.19</c:v>
                </c:pt>
                <c:pt idx="2">
                  <c:v>0.15000000000000011</c:v>
                </c:pt>
                <c:pt idx="3">
                  <c:v>0.13</c:v>
                </c:pt>
                <c:pt idx="4">
                  <c:v>0.25</c:v>
                </c:pt>
                <c:pt idx="5">
                  <c:v>0.31000000000000022</c:v>
                </c:pt>
                <c:pt idx="6">
                  <c:v>0.26</c:v>
                </c:pt>
                <c:pt idx="7">
                  <c:v>0.37000000000000022</c:v>
                </c:pt>
                <c:pt idx="8">
                  <c:v>0.22</c:v>
                </c:pt>
                <c:pt idx="9">
                  <c:v>0.55000000000000004</c:v>
                </c:pt>
              </c:numCache>
            </c:numRef>
          </c:val>
        </c:ser>
        <c:ser>
          <c:idx val="2"/>
          <c:order val="2"/>
          <c:tx>
            <c:strRef>
              <c:f>VAIC!$F$183</c:f>
              <c:strCache>
                <c:ptCount val="1"/>
                <c:pt idx="0">
                  <c:v>2011</c:v>
                </c:pt>
              </c:strCache>
            </c:strRef>
          </c:tx>
          <c:val>
            <c:numRef>
              <c:f>VAIC!$F$184:$F$193</c:f>
              <c:numCache>
                <c:formatCode>0.00</c:formatCode>
                <c:ptCount val="10"/>
                <c:pt idx="0">
                  <c:v>0.47000000000000008</c:v>
                </c:pt>
                <c:pt idx="1">
                  <c:v>0.2100000000000001</c:v>
                </c:pt>
                <c:pt idx="2">
                  <c:v>0.19</c:v>
                </c:pt>
                <c:pt idx="3">
                  <c:v>0.12000000000000002</c:v>
                </c:pt>
                <c:pt idx="4">
                  <c:v>0.22</c:v>
                </c:pt>
                <c:pt idx="5">
                  <c:v>0.31000000000000022</c:v>
                </c:pt>
                <c:pt idx="6">
                  <c:v>0.19</c:v>
                </c:pt>
                <c:pt idx="7">
                  <c:v>0.38000000000000023</c:v>
                </c:pt>
                <c:pt idx="8">
                  <c:v>0.17</c:v>
                </c:pt>
                <c:pt idx="9">
                  <c:v>0.5</c:v>
                </c:pt>
              </c:numCache>
            </c:numRef>
          </c:val>
        </c:ser>
        <c:ser>
          <c:idx val="3"/>
          <c:order val="3"/>
          <c:tx>
            <c:strRef>
              <c:f>VAIC!$G$183</c:f>
              <c:strCache>
                <c:ptCount val="1"/>
                <c:pt idx="0">
                  <c:v>2012</c:v>
                </c:pt>
              </c:strCache>
            </c:strRef>
          </c:tx>
          <c:val>
            <c:numRef>
              <c:f>VAIC!$G$184:$G$193</c:f>
              <c:numCache>
                <c:formatCode>0.00</c:formatCode>
                <c:ptCount val="10"/>
                <c:pt idx="0">
                  <c:v>0.44</c:v>
                </c:pt>
                <c:pt idx="1">
                  <c:v>3.0000000000000002E-2</c:v>
                </c:pt>
                <c:pt idx="2">
                  <c:v>0.16</c:v>
                </c:pt>
                <c:pt idx="3">
                  <c:v>0.1</c:v>
                </c:pt>
                <c:pt idx="4">
                  <c:v>0.2100000000000001</c:v>
                </c:pt>
                <c:pt idx="5">
                  <c:v>0.32000000000000023</c:v>
                </c:pt>
                <c:pt idx="6">
                  <c:v>0.2100000000000001</c:v>
                </c:pt>
                <c:pt idx="7">
                  <c:v>0.38000000000000023</c:v>
                </c:pt>
                <c:pt idx="8">
                  <c:v>0.11</c:v>
                </c:pt>
                <c:pt idx="9">
                  <c:v>0.59</c:v>
                </c:pt>
              </c:numCache>
            </c:numRef>
          </c:val>
        </c:ser>
        <c:axId val="131505152"/>
        <c:axId val="131515136"/>
      </c:barChart>
      <c:catAx>
        <c:axId val="131505152"/>
        <c:scaling>
          <c:orientation val="minMax"/>
        </c:scaling>
        <c:axPos val="b"/>
        <c:tickLblPos val="nextTo"/>
        <c:crossAx val="131515136"/>
        <c:crosses val="autoZero"/>
        <c:auto val="1"/>
        <c:lblAlgn val="ctr"/>
        <c:lblOffset val="100"/>
      </c:catAx>
      <c:valAx>
        <c:axId val="131515136"/>
        <c:scaling>
          <c:orientation val="minMax"/>
        </c:scaling>
        <c:axPos val="l"/>
        <c:majorGridlines/>
        <c:numFmt formatCode="0.0" sourceLinked="0"/>
        <c:tickLblPos val="nextTo"/>
        <c:crossAx val="131505152"/>
        <c:crosses val="autoZero"/>
        <c:crossBetween val="between"/>
      </c:valAx>
    </c:plotArea>
    <c:legend>
      <c:legendPos val="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lrMapOvr bg1="lt1" tx1="dk1" bg2="lt2" tx2="dk2" accent1="accent1" accent2="accent2" accent3="accent3" accent4="accent4" accent5="accent5" accent6="accent6" hlink="hlink" folHlink="folHlink"/>
  <c:chart>
    <c:title>
      <c:tx>
        <c:rich>
          <a:bodyPr/>
          <a:lstStyle/>
          <a:p>
            <a:pPr>
              <a:defRPr sz="1200"/>
            </a:pPr>
            <a:r>
              <a:rPr lang="en-US" sz="1200"/>
              <a:t>VAHU</a:t>
            </a:r>
          </a:p>
        </c:rich>
      </c:tx>
    </c:title>
    <c:plotArea>
      <c:layout/>
      <c:barChart>
        <c:barDir val="col"/>
        <c:grouping val="clustered"/>
        <c:ser>
          <c:idx val="0"/>
          <c:order val="0"/>
          <c:tx>
            <c:strRef>
              <c:f>VAIC!$D$183</c:f>
              <c:strCache>
                <c:ptCount val="1"/>
                <c:pt idx="0">
                  <c:v>2009</c:v>
                </c:pt>
              </c:strCache>
            </c:strRef>
          </c:tx>
          <c:cat>
            <c:strRef>
              <c:f>VAIC!$C$184:$C$193</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VAIC!$D$199:$D$208</c:f>
              <c:numCache>
                <c:formatCode>0.00</c:formatCode>
                <c:ptCount val="10"/>
                <c:pt idx="0">
                  <c:v>1.0900000000000001</c:v>
                </c:pt>
                <c:pt idx="1">
                  <c:v>1.3900000000000001</c:v>
                </c:pt>
                <c:pt idx="2">
                  <c:v>5.38</c:v>
                </c:pt>
                <c:pt idx="3">
                  <c:v>3.25</c:v>
                </c:pt>
                <c:pt idx="4">
                  <c:v>1.3900000000000001</c:v>
                </c:pt>
                <c:pt idx="5">
                  <c:v>2.74</c:v>
                </c:pt>
                <c:pt idx="6">
                  <c:v>2.2999999999999998</c:v>
                </c:pt>
                <c:pt idx="7">
                  <c:v>3.29</c:v>
                </c:pt>
                <c:pt idx="8">
                  <c:v>2.09</c:v>
                </c:pt>
                <c:pt idx="9">
                  <c:v>2.34</c:v>
                </c:pt>
              </c:numCache>
            </c:numRef>
          </c:val>
        </c:ser>
        <c:ser>
          <c:idx val="1"/>
          <c:order val="1"/>
          <c:tx>
            <c:strRef>
              <c:f>VAIC!$E$183</c:f>
              <c:strCache>
                <c:ptCount val="1"/>
                <c:pt idx="0">
                  <c:v>2010</c:v>
                </c:pt>
              </c:strCache>
            </c:strRef>
          </c:tx>
          <c:val>
            <c:numRef>
              <c:f>VAIC!$E$199:$E$208</c:f>
              <c:numCache>
                <c:formatCode>0.00</c:formatCode>
                <c:ptCount val="10"/>
                <c:pt idx="0">
                  <c:v>1.9300000000000008</c:v>
                </c:pt>
                <c:pt idx="1">
                  <c:v>1.61</c:v>
                </c:pt>
                <c:pt idx="2">
                  <c:v>3.8499999999999988</c:v>
                </c:pt>
                <c:pt idx="3">
                  <c:v>3.4899999999999998</c:v>
                </c:pt>
                <c:pt idx="4">
                  <c:v>1.48</c:v>
                </c:pt>
                <c:pt idx="5">
                  <c:v>2.8499999999999988</c:v>
                </c:pt>
                <c:pt idx="6">
                  <c:v>2.74</c:v>
                </c:pt>
                <c:pt idx="7">
                  <c:v>3.57</c:v>
                </c:pt>
                <c:pt idx="8">
                  <c:v>1.74</c:v>
                </c:pt>
                <c:pt idx="9">
                  <c:v>2.8299999999999987</c:v>
                </c:pt>
              </c:numCache>
            </c:numRef>
          </c:val>
        </c:ser>
        <c:ser>
          <c:idx val="2"/>
          <c:order val="2"/>
          <c:tx>
            <c:strRef>
              <c:f>VAIC!$F$183</c:f>
              <c:strCache>
                <c:ptCount val="1"/>
                <c:pt idx="0">
                  <c:v>2011</c:v>
                </c:pt>
              </c:strCache>
            </c:strRef>
          </c:tx>
          <c:val>
            <c:numRef>
              <c:f>VAIC!$F$199:$F$208</c:f>
              <c:numCache>
                <c:formatCode>0.00</c:formatCode>
                <c:ptCount val="10"/>
                <c:pt idx="0">
                  <c:v>2.52</c:v>
                </c:pt>
                <c:pt idx="1">
                  <c:v>1.44</c:v>
                </c:pt>
                <c:pt idx="2">
                  <c:v>4.99</c:v>
                </c:pt>
                <c:pt idx="3">
                  <c:v>3.4</c:v>
                </c:pt>
                <c:pt idx="4">
                  <c:v>1.25</c:v>
                </c:pt>
                <c:pt idx="5">
                  <c:v>2.9499999999999997</c:v>
                </c:pt>
                <c:pt idx="6">
                  <c:v>2.3199999999999985</c:v>
                </c:pt>
                <c:pt idx="7">
                  <c:v>3.54</c:v>
                </c:pt>
                <c:pt idx="8">
                  <c:v>1.53</c:v>
                </c:pt>
                <c:pt idx="9">
                  <c:v>2.64</c:v>
                </c:pt>
              </c:numCache>
            </c:numRef>
          </c:val>
        </c:ser>
        <c:ser>
          <c:idx val="3"/>
          <c:order val="3"/>
          <c:tx>
            <c:strRef>
              <c:f>VAIC!$G$183</c:f>
              <c:strCache>
                <c:ptCount val="1"/>
                <c:pt idx="0">
                  <c:v>2012</c:v>
                </c:pt>
              </c:strCache>
            </c:strRef>
          </c:tx>
          <c:val>
            <c:numRef>
              <c:f>VAIC!$G$199:$G$208</c:f>
              <c:numCache>
                <c:formatCode>0.00</c:formatCode>
                <c:ptCount val="10"/>
                <c:pt idx="0">
                  <c:v>2.3499999999999988</c:v>
                </c:pt>
                <c:pt idx="1">
                  <c:v>1.36</c:v>
                </c:pt>
                <c:pt idx="2">
                  <c:v>4.55</c:v>
                </c:pt>
                <c:pt idx="3">
                  <c:v>2.86</c:v>
                </c:pt>
                <c:pt idx="4">
                  <c:v>1.1400000000000001</c:v>
                </c:pt>
                <c:pt idx="5">
                  <c:v>2.9</c:v>
                </c:pt>
                <c:pt idx="6">
                  <c:v>2.27</c:v>
                </c:pt>
                <c:pt idx="7">
                  <c:v>3.3299999999999987</c:v>
                </c:pt>
                <c:pt idx="8">
                  <c:v>1.05</c:v>
                </c:pt>
                <c:pt idx="9">
                  <c:v>2.5099999999999998</c:v>
                </c:pt>
              </c:numCache>
            </c:numRef>
          </c:val>
        </c:ser>
        <c:axId val="131693184"/>
        <c:axId val="131699072"/>
      </c:barChart>
      <c:catAx>
        <c:axId val="131693184"/>
        <c:scaling>
          <c:orientation val="minMax"/>
        </c:scaling>
        <c:axPos val="b"/>
        <c:tickLblPos val="nextTo"/>
        <c:crossAx val="131699072"/>
        <c:crosses val="autoZero"/>
        <c:auto val="1"/>
        <c:lblAlgn val="ctr"/>
        <c:lblOffset val="100"/>
      </c:catAx>
      <c:valAx>
        <c:axId val="131699072"/>
        <c:scaling>
          <c:orientation val="minMax"/>
        </c:scaling>
        <c:axPos val="l"/>
        <c:majorGridlines/>
        <c:numFmt formatCode="0" sourceLinked="0"/>
        <c:tickLblPos val="nextTo"/>
        <c:crossAx val="131693184"/>
        <c:crosses val="autoZero"/>
        <c:crossBetween val="between"/>
      </c:valAx>
    </c:plotArea>
    <c:legend>
      <c:legendPos val="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8"/>
  <c:clrMapOvr bg1="lt1" tx1="dk1" bg2="lt2" tx2="dk2" accent1="accent1" accent2="accent2" accent3="accent3" accent4="accent4" accent5="accent5" accent6="accent6" hlink="hlink" folHlink="folHlink"/>
  <c:chart>
    <c:title>
      <c:tx>
        <c:rich>
          <a:bodyPr/>
          <a:lstStyle/>
          <a:p>
            <a:pPr>
              <a:defRPr sz="1200"/>
            </a:pPr>
            <a:r>
              <a:rPr lang="en-US" sz="1200"/>
              <a:t>STVA</a:t>
            </a:r>
          </a:p>
        </c:rich>
      </c:tx>
    </c:title>
    <c:plotArea>
      <c:layout/>
      <c:barChart>
        <c:barDir val="col"/>
        <c:grouping val="clustered"/>
        <c:ser>
          <c:idx val="0"/>
          <c:order val="0"/>
          <c:tx>
            <c:strRef>
              <c:f>VAIC!$D$183</c:f>
              <c:strCache>
                <c:ptCount val="1"/>
                <c:pt idx="0">
                  <c:v>2009</c:v>
                </c:pt>
              </c:strCache>
            </c:strRef>
          </c:tx>
          <c:cat>
            <c:strRef>
              <c:f>VAIC!$C$184:$C$193</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VAIC!$D$212:$D$221</c:f>
              <c:numCache>
                <c:formatCode>0.00</c:formatCode>
                <c:ptCount val="10"/>
                <c:pt idx="0">
                  <c:v>8.0000000000000043E-2</c:v>
                </c:pt>
                <c:pt idx="1">
                  <c:v>0.28000000000000008</c:v>
                </c:pt>
                <c:pt idx="2">
                  <c:v>0.81</c:v>
                </c:pt>
                <c:pt idx="3">
                  <c:v>0.69000000000000039</c:v>
                </c:pt>
                <c:pt idx="4">
                  <c:v>0.28000000000000008</c:v>
                </c:pt>
                <c:pt idx="5">
                  <c:v>0.63000000000000045</c:v>
                </c:pt>
                <c:pt idx="6">
                  <c:v>0.56000000000000005</c:v>
                </c:pt>
                <c:pt idx="7">
                  <c:v>0.7000000000000004</c:v>
                </c:pt>
                <c:pt idx="8">
                  <c:v>0.52</c:v>
                </c:pt>
                <c:pt idx="9">
                  <c:v>0.5700000000000004</c:v>
                </c:pt>
              </c:numCache>
            </c:numRef>
          </c:val>
        </c:ser>
        <c:ser>
          <c:idx val="1"/>
          <c:order val="1"/>
          <c:tx>
            <c:strRef>
              <c:f>VAIC!$E$183</c:f>
              <c:strCache>
                <c:ptCount val="1"/>
                <c:pt idx="0">
                  <c:v>2010</c:v>
                </c:pt>
              </c:strCache>
            </c:strRef>
          </c:tx>
          <c:val>
            <c:numRef>
              <c:f>VAIC!$E$212:$E$221</c:f>
              <c:numCache>
                <c:formatCode>0.00</c:formatCode>
                <c:ptCount val="10"/>
                <c:pt idx="0">
                  <c:v>0.4800000000000002</c:v>
                </c:pt>
                <c:pt idx="1">
                  <c:v>0.38000000000000023</c:v>
                </c:pt>
                <c:pt idx="2">
                  <c:v>0.74000000000000044</c:v>
                </c:pt>
                <c:pt idx="3">
                  <c:v>0.71000000000000041</c:v>
                </c:pt>
                <c:pt idx="4">
                  <c:v>0.33000000000000035</c:v>
                </c:pt>
                <c:pt idx="5">
                  <c:v>0.65000000000000058</c:v>
                </c:pt>
                <c:pt idx="6">
                  <c:v>0.63000000000000045</c:v>
                </c:pt>
                <c:pt idx="7">
                  <c:v>0.72000000000000042</c:v>
                </c:pt>
                <c:pt idx="8">
                  <c:v>0.42000000000000021</c:v>
                </c:pt>
                <c:pt idx="9">
                  <c:v>0.65000000000000058</c:v>
                </c:pt>
              </c:numCache>
            </c:numRef>
          </c:val>
        </c:ser>
        <c:ser>
          <c:idx val="2"/>
          <c:order val="2"/>
          <c:tx>
            <c:strRef>
              <c:f>VAIC!$F$183</c:f>
              <c:strCache>
                <c:ptCount val="1"/>
                <c:pt idx="0">
                  <c:v>2011</c:v>
                </c:pt>
              </c:strCache>
            </c:strRef>
          </c:tx>
          <c:val>
            <c:numRef>
              <c:f>VAIC!$F$212:$F$221</c:f>
              <c:numCache>
                <c:formatCode>0.00</c:formatCode>
                <c:ptCount val="10"/>
                <c:pt idx="0">
                  <c:v>0.60000000000000042</c:v>
                </c:pt>
                <c:pt idx="1">
                  <c:v>0.30000000000000021</c:v>
                </c:pt>
                <c:pt idx="2">
                  <c:v>0.8</c:v>
                </c:pt>
                <c:pt idx="3">
                  <c:v>0.71000000000000041</c:v>
                </c:pt>
                <c:pt idx="4">
                  <c:v>0.2</c:v>
                </c:pt>
                <c:pt idx="5">
                  <c:v>0.66000000000000059</c:v>
                </c:pt>
                <c:pt idx="6">
                  <c:v>0.5700000000000004</c:v>
                </c:pt>
                <c:pt idx="7">
                  <c:v>0.72000000000000042</c:v>
                </c:pt>
                <c:pt idx="8">
                  <c:v>0.34</c:v>
                </c:pt>
                <c:pt idx="9">
                  <c:v>0.62000000000000044</c:v>
                </c:pt>
              </c:numCache>
            </c:numRef>
          </c:val>
        </c:ser>
        <c:ser>
          <c:idx val="3"/>
          <c:order val="3"/>
          <c:tx>
            <c:strRef>
              <c:f>VAIC!$G$183</c:f>
              <c:strCache>
                <c:ptCount val="1"/>
                <c:pt idx="0">
                  <c:v>2012</c:v>
                </c:pt>
              </c:strCache>
            </c:strRef>
          </c:tx>
          <c:val>
            <c:numRef>
              <c:f>VAIC!$G$212:$G$221</c:f>
              <c:numCache>
                <c:formatCode>0.00</c:formatCode>
                <c:ptCount val="10"/>
                <c:pt idx="0">
                  <c:v>0.5700000000000004</c:v>
                </c:pt>
                <c:pt idx="1">
                  <c:v>0.26</c:v>
                </c:pt>
                <c:pt idx="2">
                  <c:v>0.78</c:v>
                </c:pt>
                <c:pt idx="3">
                  <c:v>0.65000000000000058</c:v>
                </c:pt>
                <c:pt idx="4">
                  <c:v>0.13</c:v>
                </c:pt>
                <c:pt idx="5">
                  <c:v>0.65000000000000058</c:v>
                </c:pt>
                <c:pt idx="6">
                  <c:v>0.56000000000000005</c:v>
                </c:pt>
                <c:pt idx="7">
                  <c:v>0.7000000000000004</c:v>
                </c:pt>
                <c:pt idx="8">
                  <c:v>0.05</c:v>
                </c:pt>
                <c:pt idx="9">
                  <c:v>0.60000000000000042</c:v>
                </c:pt>
              </c:numCache>
            </c:numRef>
          </c:val>
        </c:ser>
        <c:axId val="131766528"/>
        <c:axId val="131870720"/>
      </c:barChart>
      <c:catAx>
        <c:axId val="131766528"/>
        <c:scaling>
          <c:orientation val="minMax"/>
        </c:scaling>
        <c:axPos val="b"/>
        <c:tickLblPos val="nextTo"/>
        <c:crossAx val="131870720"/>
        <c:crosses val="autoZero"/>
        <c:auto val="1"/>
        <c:lblAlgn val="ctr"/>
        <c:lblOffset val="100"/>
      </c:catAx>
      <c:valAx>
        <c:axId val="131870720"/>
        <c:scaling>
          <c:orientation val="minMax"/>
        </c:scaling>
        <c:axPos val="l"/>
        <c:majorGridlines/>
        <c:numFmt formatCode="0.0" sourceLinked="0"/>
        <c:tickLblPos val="nextTo"/>
        <c:crossAx val="131766528"/>
        <c:crosses val="autoZero"/>
        <c:crossBetween val="between"/>
      </c:valAx>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lang val="en-US"/>
  <c:style val="18"/>
  <c:clrMapOvr bg1="lt1" tx1="dk1" bg2="lt2" tx2="dk2" accent1="accent1" accent2="accent2" accent3="accent3" accent4="accent4" accent5="accent5" accent6="accent6" hlink="hlink" folHlink="folHlink"/>
  <c:chart>
    <c:plotArea>
      <c:layout>
        <c:manualLayout>
          <c:layoutTarget val="inner"/>
          <c:xMode val="edge"/>
          <c:yMode val="edge"/>
          <c:x val="0.11458573928259005"/>
          <c:y val="0.25174825174825199"/>
          <c:w val="0.70738407699037642"/>
          <c:h val="0.449400363416111"/>
        </c:manualLayout>
      </c:layout>
      <c:barChart>
        <c:barDir val="col"/>
        <c:grouping val="stacked"/>
        <c:ser>
          <c:idx val="0"/>
          <c:order val="0"/>
          <c:tx>
            <c:strRef>
              <c:f>VAIC!$P$237</c:f>
              <c:strCache>
                <c:ptCount val="1"/>
                <c:pt idx="0">
                  <c:v>VACA</c:v>
                </c:pt>
              </c:strCache>
            </c:strRef>
          </c:tx>
          <c:cat>
            <c:strRef>
              <c:f>VAIC!$C$241:$C$250</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VAIC!$H$184:$H$193</c:f>
              <c:numCache>
                <c:formatCode>0.00</c:formatCode>
                <c:ptCount val="10"/>
                <c:pt idx="0">
                  <c:v>0.3475000000000002</c:v>
                </c:pt>
                <c:pt idx="1">
                  <c:v>0.16500000000000001</c:v>
                </c:pt>
                <c:pt idx="2">
                  <c:v>0.18250000000000011</c:v>
                </c:pt>
                <c:pt idx="3">
                  <c:v>0.11750000000000002</c:v>
                </c:pt>
                <c:pt idx="4">
                  <c:v>0.2225</c:v>
                </c:pt>
                <c:pt idx="5">
                  <c:v>0.31750000000000023</c:v>
                </c:pt>
                <c:pt idx="6">
                  <c:v>0.21750000000000011</c:v>
                </c:pt>
                <c:pt idx="7">
                  <c:v>0.38750000000000023</c:v>
                </c:pt>
                <c:pt idx="8">
                  <c:v>0.18250000000000011</c:v>
                </c:pt>
                <c:pt idx="9">
                  <c:v>0.55500000000000005</c:v>
                </c:pt>
              </c:numCache>
            </c:numRef>
          </c:val>
        </c:ser>
        <c:ser>
          <c:idx val="1"/>
          <c:order val="1"/>
          <c:tx>
            <c:strRef>
              <c:f>VAIC!$P$238</c:f>
              <c:strCache>
                <c:ptCount val="1"/>
                <c:pt idx="0">
                  <c:v>VAHU</c:v>
                </c:pt>
              </c:strCache>
            </c:strRef>
          </c:tx>
          <c:cat>
            <c:strRef>
              <c:f>VAIC!$C$241:$C$250</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VAIC!$H$199:$H$208</c:f>
              <c:numCache>
                <c:formatCode>0.00</c:formatCode>
                <c:ptCount val="10"/>
                <c:pt idx="0">
                  <c:v>1.9725000000000001</c:v>
                </c:pt>
                <c:pt idx="1">
                  <c:v>1.45</c:v>
                </c:pt>
                <c:pt idx="2">
                  <c:v>4.692499999999991</c:v>
                </c:pt>
                <c:pt idx="3">
                  <c:v>3.25</c:v>
                </c:pt>
                <c:pt idx="4">
                  <c:v>1.3149999999999993</c:v>
                </c:pt>
                <c:pt idx="5">
                  <c:v>2.86</c:v>
                </c:pt>
                <c:pt idx="6">
                  <c:v>2.4075000000000002</c:v>
                </c:pt>
                <c:pt idx="7">
                  <c:v>3.4324999999999979</c:v>
                </c:pt>
                <c:pt idx="8">
                  <c:v>1.6025</c:v>
                </c:pt>
                <c:pt idx="9">
                  <c:v>2.58</c:v>
                </c:pt>
              </c:numCache>
            </c:numRef>
          </c:val>
        </c:ser>
        <c:ser>
          <c:idx val="2"/>
          <c:order val="2"/>
          <c:tx>
            <c:strRef>
              <c:f>VAIC!$P$239</c:f>
              <c:strCache>
                <c:ptCount val="1"/>
                <c:pt idx="0">
                  <c:v>STVA</c:v>
                </c:pt>
              </c:strCache>
            </c:strRef>
          </c:tx>
          <c:cat>
            <c:strRef>
              <c:f>VAIC!$C$241:$C$250</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VAIC!$H$212:$H$221</c:f>
              <c:numCache>
                <c:formatCode>0.00</c:formatCode>
                <c:ptCount val="10"/>
                <c:pt idx="0">
                  <c:v>0.43250000000000022</c:v>
                </c:pt>
                <c:pt idx="1">
                  <c:v>0.30500000000000022</c:v>
                </c:pt>
                <c:pt idx="2">
                  <c:v>0.78249999999999997</c:v>
                </c:pt>
                <c:pt idx="3">
                  <c:v>0.69000000000000039</c:v>
                </c:pt>
                <c:pt idx="4">
                  <c:v>0.23500000000000001</c:v>
                </c:pt>
                <c:pt idx="5">
                  <c:v>0.64750000000000041</c:v>
                </c:pt>
                <c:pt idx="6">
                  <c:v>0.58000000000000007</c:v>
                </c:pt>
                <c:pt idx="7">
                  <c:v>0.71000000000000041</c:v>
                </c:pt>
                <c:pt idx="8">
                  <c:v>0.33250000000000035</c:v>
                </c:pt>
                <c:pt idx="9">
                  <c:v>0.61000000000000043</c:v>
                </c:pt>
              </c:numCache>
            </c:numRef>
          </c:val>
        </c:ser>
        <c:overlap val="100"/>
        <c:axId val="132027520"/>
        <c:axId val="132029056"/>
      </c:barChart>
      <c:catAx>
        <c:axId val="132027520"/>
        <c:scaling>
          <c:orientation val="minMax"/>
        </c:scaling>
        <c:axPos val="b"/>
        <c:tickLblPos val="nextTo"/>
        <c:crossAx val="132029056"/>
        <c:crosses val="autoZero"/>
        <c:auto val="1"/>
        <c:lblAlgn val="ctr"/>
        <c:lblOffset val="100"/>
      </c:catAx>
      <c:valAx>
        <c:axId val="132029056"/>
        <c:scaling>
          <c:orientation val="minMax"/>
        </c:scaling>
        <c:axPos val="l"/>
        <c:majorGridlines/>
        <c:numFmt formatCode="0.00" sourceLinked="1"/>
        <c:tickLblPos val="nextTo"/>
        <c:crossAx val="132027520"/>
        <c:crosses val="autoZero"/>
        <c:crossBetween val="between"/>
      </c:valAx>
    </c:plotArea>
    <c:legend>
      <c:legendPos val="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8"/>
  <c:clrMapOvr bg1="lt1" tx1="dk1" bg2="lt2" tx2="dk2" accent1="accent1" accent2="accent2" accent3="accent3" accent4="accent4" accent5="accent5" accent6="accent6" hlink="hlink" folHlink="folHlink"/>
  <c:chart>
    <c:title>
      <c:tx>
        <c:rich>
          <a:bodyPr/>
          <a:lstStyle/>
          <a:p>
            <a:pPr>
              <a:defRPr sz="1200"/>
            </a:pPr>
            <a:r>
              <a:rPr lang="en-US" sz="1200"/>
              <a:t>Intelektinio kapitalo efektyvumas, ICE</a:t>
            </a:r>
          </a:p>
        </c:rich>
      </c:tx>
      <c:layout>
        <c:manualLayout>
          <c:xMode val="edge"/>
          <c:yMode val="edge"/>
          <c:x val="0.14212517249776804"/>
          <c:y val="4.1308089500860609E-2"/>
        </c:manualLayout>
      </c:layout>
    </c:title>
    <c:plotArea>
      <c:layout/>
      <c:barChart>
        <c:barDir val="col"/>
        <c:grouping val="clustered"/>
        <c:ser>
          <c:idx val="0"/>
          <c:order val="0"/>
          <c:tx>
            <c:strRef>
              <c:f>ICE!$L$3</c:f>
              <c:strCache>
                <c:ptCount val="1"/>
                <c:pt idx="0">
                  <c:v>2009</c:v>
                </c:pt>
              </c:strCache>
            </c:strRef>
          </c:tx>
          <c:cat>
            <c:strRef>
              <c:f>ICE!$K$4:$K$13</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ICE!$L$4:$L$13</c:f>
              <c:numCache>
                <c:formatCode>General</c:formatCode>
                <c:ptCount val="10"/>
                <c:pt idx="0" formatCode="0.00">
                  <c:v>1.1600000000000001</c:v>
                </c:pt>
                <c:pt idx="1">
                  <c:v>1.6700000000000008</c:v>
                </c:pt>
                <c:pt idx="2">
                  <c:v>6.2</c:v>
                </c:pt>
                <c:pt idx="3">
                  <c:v>3.94</c:v>
                </c:pt>
                <c:pt idx="4">
                  <c:v>1.6600000000000001</c:v>
                </c:pt>
                <c:pt idx="5">
                  <c:v>3.3699999999999997</c:v>
                </c:pt>
                <c:pt idx="6">
                  <c:v>2.86</c:v>
                </c:pt>
                <c:pt idx="7">
                  <c:v>3.9899999999999998</c:v>
                </c:pt>
                <c:pt idx="8">
                  <c:v>2.61</c:v>
                </c:pt>
                <c:pt idx="9">
                  <c:v>2.9099999999999997</c:v>
                </c:pt>
              </c:numCache>
            </c:numRef>
          </c:val>
        </c:ser>
        <c:ser>
          <c:idx val="1"/>
          <c:order val="1"/>
          <c:tx>
            <c:strRef>
              <c:f>ICE!$M$3</c:f>
              <c:strCache>
                <c:ptCount val="1"/>
                <c:pt idx="0">
                  <c:v>2010</c:v>
                </c:pt>
              </c:strCache>
            </c:strRef>
          </c:tx>
          <c:cat>
            <c:strRef>
              <c:f>ICE!$K$4:$K$13</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ICE!$M$4:$M$13</c:f>
              <c:numCache>
                <c:formatCode>General</c:formatCode>
                <c:ptCount val="10"/>
                <c:pt idx="0" formatCode="0.00">
                  <c:v>2.4099999999999997</c:v>
                </c:pt>
                <c:pt idx="1">
                  <c:v>1.9900000000000009</c:v>
                </c:pt>
                <c:pt idx="2">
                  <c:v>4.59</c:v>
                </c:pt>
                <c:pt idx="3">
                  <c:v>4.2</c:v>
                </c:pt>
                <c:pt idx="4">
                  <c:v>1.81</c:v>
                </c:pt>
                <c:pt idx="5">
                  <c:v>3.5</c:v>
                </c:pt>
                <c:pt idx="6">
                  <c:v>3.3699999999999997</c:v>
                </c:pt>
                <c:pt idx="7">
                  <c:v>4.3</c:v>
                </c:pt>
                <c:pt idx="8">
                  <c:v>2.16</c:v>
                </c:pt>
                <c:pt idx="9">
                  <c:v>3.48</c:v>
                </c:pt>
              </c:numCache>
            </c:numRef>
          </c:val>
        </c:ser>
        <c:ser>
          <c:idx val="2"/>
          <c:order val="2"/>
          <c:tx>
            <c:strRef>
              <c:f>ICE!$N$3</c:f>
              <c:strCache>
                <c:ptCount val="1"/>
                <c:pt idx="0">
                  <c:v>2011</c:v>
                </c:pt>
              </c:strCache>
            </c:strRef>
          </c:tx>
          <c:cat>
            <c:strRef>
              <c:f>ICE!$K$4:$K$13</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ICE!$N$4:$N$13</c:f>
              <c:numCache>
                <c:formatCode>General</c:formatCode>
                <c:ptCount val="10"/>
                <c:pt idx="0" formatCode="0.00">
                  <c:v>3.13</c:v>
                </c:pt>
                <c:pt idx="1">
                  <c:v>1.74</c:v>
                </c:pt>
                <c:pt idx="2">
                  <c:v>5.79</c:v>
                </c:pt>
                <c:pt idx="3">
                  <c:v>4.0999999999999996</c:v>
                </c:pt>
                <c:pt idx="4">
                  <c:v>1.44</c:v>
                </c:pt>
                <c:pt idx="5">
                  <c:v>3.62</c:v>
                </c:pt>
                <c:pt idx="6">
                  <c:v>2.8899999999999997</c:v>
                </c:pt>
                <c:pt idx="7">
                  <c:v>4.26</c:v>
                </c:pt>
                <c:pt idx="8">
                  <c:v>1.87</c:v>
                </c:pt>
                <c:pt idx="9">
                  <c:v>3.2600000000000002</c:v>
                </c:pt>
              </c:numCache>
            </c:numRef>
          </c:val>
        </c:ser>
        <c:ser>
          <c:idx val="3"/>
          <c:order val="3"/>
          <c:tx>
            <c:strRef>
              <c:f>ICE!$O$3</c:f>
              <c:strCache>
                <c:ptCount val="1"/>
                <c:pt idx="0">
                  <c:v>2012</c:v>
                </c:pt>
              </c:strCache>
            </c:strRef>
          </c:tx>
          <c:cat>
            <c:strRef>
              <c:f>ICE!$K$4:$K$13</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ICE!$O$4:$O$13</c:f>
              <c:numCache>
                <c:formatCode>General</c:formatCode>
                <c:ptCount val="10"/>
                <c:pt idx="0" formatCode="0.00">
                  <c:v>2.9299999999999997</c:v>
                </c:pt>
                <c:pt idx="1">
                  <c:v>1.62</c:v>
                </c:pt>
                <c:pt idx="2">
                  <c:v>5.33</c:v>
                </c:pt>
                <c:pt idx="3">
                  <c:v>3.51</c:v>
                </c:pt>
                <c:pt idx="4">
                  <c:v>1.27</c:v>
                </c:pt>
                <c:pt idx="5">
                  <c:v>3.55</c:v>
                </c:pt>
                <c:pt idx="6">
                  <c:v>2.8299999999999987</c:v>
                </c:pt>
                <c:pt idx="7">
                  <c:v>4.03</c:v>
                </c:pt>
                <c:pt idx="8">
                  <c:v>1.0900000000000001</c:v>
                </c:pt>
                <c:pt idx="9">
                  <c:v>3.11</c:v>
                </c:pt>
              </c:numCache>
            </c:numRef>
          </c:val>
        </c:ser>
        <c:axId val="132092288"/>
        <c:axId val="132093824"/>
      </c:barChart>
      <c:catAx>
        <c:axId val="132092288"/>
        <c:scaling>
          <c:orientation val="minMax"/>
        </c:scaling>
        <c:axPos val="b"/>
        <c:tickLblPos val="nextTo"/>
        <c:crossAx val="132093824"/>
        <c:crosses val="autoZero"/>
        <c:auto val="1"/>
        <c:lblAlgn val="ctr"/>
        <c:lblOffset val="100"/>
      </c:catAx>
      <c:valAx>
        <c:axId val="132093824"/>
        <c:scaling>
          <c:orientation val="minMax"/>
        </c:scaling>
        <c:axPos val="l"/>
        <c:majorGridlines/>
        <c:numFmt formatCode="0" sourceLinked="0"/>
        <c:tickLblPos val="nextTo"/>
        <c:crossAx val="132092288"/>
        <c:crosses val="autoZero"/>
        <c:crossBetween val="between"/>
      </c:valAx>
    </c:plotArea>
    <c:legend>
      <c:legendPos val="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8"/>
  <c:clrMapOvr bg1="lt1" tx1="dk1" bg2="lt2" tx2="dk2" accent1="accent1" accent2="accent2" accent3="accent3" accent4="accent4" accent5="accent5" accent6="accent6" hlink="hlink" folHlink="folHlink"/>
  <c:chart>
    <c:title>
      <c:tx>
        <c:rich>
          <a:bodyPr/>
          <a:lstStyle/>
          <a:p>
            <a:pPr>
              <a:defRPr sz="1200"/>
            </a:pPr>
            <a:r>
              <a:rPr lang="en-US" sz="1200"/>
              <a:t>CIV</a:t>
            </a:r>
          </a:p>
        </c:rich>
      </c:tx>
    </c:title>
    <c:plotArea>
      <c:layout/>
      <c:barChart>
        <c:barDir val="bar"/>
        <c:grouping val="clustered"/>
        <c:ser>
          <c:idx val="0"/>
          <c:order val="0"/>
          <c:tx>
            <c:strRef>
              <c:f>VAIC!$D$183</c:f>
              <c:strCache>
                <c:ptCount val="1"/>
                <c:pt idx="0">
                  <c:v>2009</c:v>
                </c:pt>
              </c:strCache>
            </c:strRef>
          </c:tx>
          <c:cat>
            <c:strRef>
              <c:f>VAIC!$C$184:$C$193</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CIV!$H$26:$H$35</c:f>
              <c:numCache>
                <c:formatCode>0.00</c:formatCode>
                <c:ptCount val="10"/>
                <c:pt idx="0" formatCode="General">
                  <c:v>0</c:v>
                </c:pt>
                <c:pt idx="1">
                  <c:v>92226.209999999992</c:v>
                </c:pt>
                <c:pt idx="2">
                  <c:v>0</c:v>
                </c:pt>
                <c:pt idx="3">
                  <c:v>2072698.74</c:v>
                </c:pt>
                <c:pt idx="4">
                  <c:v>172853.5</c:v>
                </c:pt>
                <c:pt idx="5">
                  <c:v>0</c:v>
                </c:pt>
                <c:pt idx="6">
                  <c:v>0</c:v>
                </c:pt>
                <c:pt idx="7">
                  <c:v>403480.94</c:v>
                </c:pt>
                <c:pt idx="8">
                  <c:v>0</c:v>
                </c:pt>
                <c:pt idx="9">
                  <c:v>145688.11000000004</c:v>
                </c:pt>
              </c:numCache>
            </c:numRef>
          </c:val>
        </c:ser>
        <c:ser>
          <c:idx val="1"/>
          <c:order val="1"/>
          <c:tx>
            <c:strRef>
              <c:f>VAIC!$E$183</c:f>
              <c:strCache>
                <c:ptCount val="1"/>
                <c:pt idx="0">
                  <c:v>2010</c:v>
                </c:pt>
              </c:strCache>
            </c:strRef>
          </c:tx>
          <c:val>
            <c:numRef>
              <c:f>CIV!$I$26:$I$35</c:f>
              <c:numCache>
                <c:formatCode>0.00</c:formatCode>
                <c:ptCount val="10"/>
                <c:pt idx="0">
                  <c:v>35001.050000000003</c:v>
                </c:pt>
                <c:pt idx="1">
                  <c:v>48557.7</c:v>
                </c:pt>
                <c:pt idx="2">
                  <c:v>0</c:v>
                </c:pt>
                <c:pt idx="3">
                  <c:v>813393.95000000042</c:v>
                </c:pt>
                <c:pt idx="4">
                  <c:v>155575.27000000011</c:v>
                </c:pt>
                <c:pt idx="5">
                  <c:v>54953.62</c:v>
                </c:pt>
                <c:pt idx="6">
                  <c:v>120760.05</c:v>
                </c:pt>
                <c:pt idx="7">
                  <c:v>394739.96</c:v>
                </c:pt>
                <c:pt idx="8">
                  <c:v>0</c:v>
                </c:pt>
                <c:pt idx="9">
                  <c:v>204408.46</c:v>
                </c:pt>
              </c:numCache>
            </c:numRef>
          </c:val>
        </c:ser>
        <c:ser>
          <c:idx val="2"/>
          <c:order val="2"/>
          <c:tx>
            <c:strRef>
              <c:f>VAIC!$F$183</c:f>
              <c:strCache>
                <c:ptCount val="1"/>
                <c:pt idx="0">
                  <c:v>2011</c:v>
                </c:pt>
              </c:strCache>
            </c:strRef>
          </c:tx>
          <c:val>
            <c:numRef>
              <c:f>CIV!$J$26:$J$35</c:f>
              <c:numCache>
                <c:formatCode>0.00</c:formatCode>
                <c:ptCount val="10"/>
                <c:pt idx="0">
                  <c:v>183263.31999999998</c:v>
                </c:pt>
                <c:pt idx="1">
                  <c:v>56677.75</c:v>
                </c:pt>
                <c:pt idx="2">
                  <c:v>36496.960000000006</c:v>
                </c:pt>
                <c:pt idx="3">
                  <c:v>496884.8</c:v>
                </c:pt>
                <c:pt idx="4">
                  <c:v>78849.81</c:v>
                </c:pt>
                <c:pt idx="5">
                  <c:v>-115087.38</c:v>
                </c:pt>
                <c:pt idx="6">
                  <c:v>0</c:v>
                </c:pt>
                <c:pt idx="7">
                  <c:v>591824.4399999989</c:v>
                </c:pt>
                <c:pt idx="8">
                  <c:v>60420.57</c:v>
                </c:pt>
                <c:pt idx="9">
                  <c:v>182245.41999999998</c:v>
                </c:pt>
              </c:numCache>
            </c:numRef>
          </c:val>
        </c:ser>
        <c:axId val="132106880"/>
        <c:axId val="132309760"/>
      </c:barChart>
      <c:catAx>
        <c:axId val="132106880"/>
        <c:scaling>
          <c:orientation val="minMax"/>
        </c:scaling>
        <c:axPos val="l"/>
        <c:tickLblPos val="nextTo"/>
        <c:crossAx val="132309760"/>
        <c:crosses val="autoZero"/>
        <c:auto val="1"/>
        <c:lblAlgn val="ctr"/>
        <c:lblOffset val="100"/>
      </c:catAx>
      <c:valAx>
        <c:axId val="132309760"/>
        <c:scaling>
          <c:orientation val="minMax"/>
        </c:scaling>
        <c:axPos val="b"/>
        <c:majorGridlines/>
        <c:numFmt formatCode="#,##0" sourceLinked="0"/>
        <c:tickLblPos val="nextTo"/>
        <c:crossAx val="132106880"/>
        <c:crosses val="autoZero"/>
        <c:crossBetween val="between"/>
      </c:valAx>
    </c:plotArea>
    <c:legend>
      <c:legendPos val="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8"/>
  <c:clrMapOvr bg1="lt1" tx1="dk1" bg2="lt2" tx2="dk2" accent1="accent1" accent2="accent2" accent3="accent3" accent4="accent4" accent5="accent5" accent6="accent6" hlink="hlink" folHlink="folHlink"/>
  <c:chart>
    <c:title>
      <c:tx>
        <c:rich>
          <a:bodyPr/>
          <a:lstStyle/>
          <a:p>
            <a:pPr>
              <a:defRPr sz="1050"/>
            </a:pPr>
            <a:r>
              <a:rPr lang="en-US" sz="1050"/>
              <a:t>ROA</a:t>
            </a:r>
            <a:r>
              <a:rPr lang="en-US" sz="1050" baseline="0"/>
              <a:t> kitimas</a:t>
            </a:r>
            <a:endParaRPr lang="en-US" sz="1050"/>
          </a:p>
        </c:rich>
      </c:tx>
      <c:layout>
        <c:manualLayout>
          <c:xMode val="edge"/>
          <c:yMode val="edge"/>
          <c:x val="0.17284370952165901"/>
          <c:y val="2.2240756185710316E-2"/>
        </c:manualLayout>
      </c:layout>
    </c:title>
    <c:plotArea>
      <c:layout>
        <c:manualLayout>
          <c:layoutTarget val="inner"/>
          <c:xMode val="edge"/>
          <c:yMode val="edge"/>
          <c:x val="9.6121782422936994E-2"/>
          <c:y val="0.17217935331061091"/>
          <c:w val="0.84824078865403441"/>
          <c:h val="0.43772347472412521"/>
        </c:manualLayout>
      </c:layout>
      <c:barChart>
        <c:barDir val="col"/>
        <c:grouping val="clustered"/>
        <c:ser>
          <c:idx val="0"/>
          <c:order val="0"/>
          <c:tx>
            <c:strRef>
              <c:f>'ROA, ROE'!$L$2</c:f>
              <c:strCache>
                <c:ptCount val="1"/>
                <c:pt idx="0">
                  <c:v>2009</c:v>
                </c:pt>
              </c:strCache>
            </c:strRef>
          </c:tx>
          <c:cat>
            <c:strRef>
              <c:f>'ROA, ROE'!$I$3:$I$12</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'ROA, ROE'!$L$3:$L$12</c:f>
              <c:numCache>
                <c:formatCode>0.00</c:formatCode>
                <c:ptCount val="10"/>
                <c:pt idx="0">
                  <c:v>0</c:v>
                </c:pt>
                <c:pt idx="1">
                  <c:v>7.7930903457749974</c:v>
                </c:pt>
                <c:pt idx="2">
                  <c:v>2.5825681564700531</c:v>
                </c:pt>
                <c:pt idx="3">
                  <c:v>3.7197688140562652</c:v>
                </c:pt>
                <c:pt idx="4">
                  <c:v>2.6095844806715944</c:v>
                </c:pt>
                <c:pt idx="5">
                  <c:v>4.344881899159339</c:v>
                </c:pt>
                <c:pt idx="6">
                  <c:v>2.5619390964178881</c:v>
                </c:pt>
                <c:pt idx="7">
                  <c:v>14.419741392406207</c:v>
                </c:pt>
                <c:pt idx="8">
                  <c:v>4.0217945200109746</c:v>
                </c:pt>
                <c:pt idx="9">
                  <c:v>20.000513195540314</c:v>
                </c:pt>
              </c:numCache>
            </c:numRef>
          </c:val>
        </c:ser>
        <c:ser>
          <c:idx val="1"/>
          <c:order val="1"/>
          <c:tx>
            <c:strRef>
              <c:f>'ROA, ROE'!$M$2</c:f>
              <c:strCache>
                <c:ptCount val="1"/>
                <c:pt idx="0">
                  <c:v>2010</c:v>
                </c:pt>
              </c:strCache>
            </c:strRef>
          </c:tx>
          <c:cat>
            <c:strRef>
              <c:f>'ROA, ROE'!$I$3:$I$12</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'ROA, ROE'!$M$3:$M$12</c:f>
              <c:numCache>
                <c:formatCode>0.00</c:formatCode>
                <c:ptCount val="10"/>
                <c:pt idx="0">
                  <c:v>5.8796783564181396</c:v>
                </c:pt>
                <c:pt idx="1">
                  <c:v>6.8592107122185109</c:v>
                </c:pt>
                <c:pt idx="2">
                  <c:v>1.0180879125262345</c:v>
                </c:pt>
                <c:pt idx="3">
                  <c:v>5.8958572664691671</c:v>
                </c:pt>
                <c:pt idx="4">
                  <c:v>5.437391879708688</c:v>
                </c:pt>
                <c:pt idx="5">
                  <c:v>5.6992035846363978</c:v>
                </c:pt>
                <c:pt idx="6">
                  <c:v>8.0670579461072069</c:v>
                </c:pt>
                <c:pt idx="7">
                  <c:v>14.14953517839513</c:v>
                </c:pt>
                <c:pt idx="8">
                  <c:v>2.9774745884593719</c:v>
                </c:pt>
                <c:pt idx="9">
                  <c:v>25.627151086816511</c:v>
                </c:pt>
              </c:numCache>
            </c:numRef>
          </c:val>
        </c:ser>
        <c:ser>
          <c:idx val="2"/>
          <c:order val="2"/>
          <c:tx>
            <c:strRef>
              <c:f>'ROA, ROE'!$N$2</c:f>
              <c:strCache>
                <c:ptCount val="1"/>
                <c:pt idx="0">
                  <c:v>2011</c:v>
                </c:pt>
              </c:strCache>
            </c:strRef>
          </c:tx>
          <c:cat>
            <c:strRef>
              <c:f>'ROA, ROE'!$I$3:$I$12</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'ROA, ROE'!$N$3:$N$12</c:f>
              <c:numCache>
                <c:formatCode>0.00</c:formatCode>
                <c:ptCount val="10"/>
                <c:pt idx="0">
                  <c:v>20.016336195914455</c:v>
                </c:pt>
                <c:pt idx="1">
                  <c:v>5.9969576699914287</c:v>
                </c:pt>
                <c:pt idx="2">
                  <c:v>8.9673833791692878</c:v>
                </c:pt>
                <c:pt idx="3">
                  <c:v>3.5463729232429637</c:v>
                </c:pt>
                <c:pt idx="4">
                  <c:v>0.76507132265087907</c:v>
                </c:pt>
                <c:pt idx="5">
                  <c:v>7.7038898870136174</c:v>
                </c:pt>
                <c:pt idx="6">
                  <c:v>4.8173039184808673</c:v>
                </c:pt>
                <c:pt idx="7">
                  <c:v>13.879290852145246</c:v>
                </c:pt>
                <c:pt idx="8">
                  <c:v>11.01345583153787</c:v>
                </c:pt>
                <c:pt idx="9">
                  <c:v>23.128858690028643</c:v>
                </c:pt>
              </c:numCache>
            </c:numRef>
          </c:val>
        </c:ser>
        <c:ser>
          <c:idx val="3"/>
          <c:order val="3"/>
          <c:tx>
            <c:strRef>
              <c:f>'ROA, ROE'!$O$2</c:f>
              <c:strCache>
                <c:ptCount val="1"/>
                <c:pt idx="0">
                  <c:v>2012</c:v>
                </c:pt>
              </c:strCache>
            </c:strRef>
          </c:tx>
          <c:cat>
            <c:strRef>
              <c:f>'ROA, ROE'!$I$3:$I$12</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'ROA, ROE'!$O$3:$O$12</c:f>
              <c:numCache>
                <c:formatCode>0.00</c:formatCode>
                <c:ptCount val="10"/>
                <c:pt idx="0">
                  <c:v>18.590114815187807</c:v>
                </c:pt>
                <c:pt idx="1">
                  <c:v>2.8515111169751268</c:v>
                </c:pt>
                <c:pt idx="2">
                  <c:v>5.1519668616835705</c:v>
                </c:pt>
                <c:pt idx="3">
                  <c:v>2.59390014829799</c:v>
                </c:pt>
                <c:pt idx="4">
                  <c:v>0.72205631649258772</c:v>
                </c:pt>
                <c:pt idx="5">
                  <c:v>8.606512476274796</c:v>
                </c:pt>
                <c:pt idx="6">
                  <c:v>3.6074618029751497</c:v>
                </c:pt>
                <c:pt idx="7">
                  <c:v>13.872426951396488</c:v>
                </c:pt>
                <c:pt idx="8">
                  <c:v>3.6130951134197553</c:v>
                </c:pt>
                <c:pt idx="9">
                  <c:v>27.254899968502031</c:v>
                </c:pt>
              </c:numCache>
            </c:numRef>
          </c:val>
        </c:ser>
        <c:axId val="132345856"/>
        <c:axId val="132347392"/>
      </c:barChart>
      <c:catAx>
        <c:axId val="132345856"/>
        <c:scaling>
          <c:orientation val="minMax"/>
        </c:scaling>
        <c:axPos val="b"/>
        <c:tickLblPos val="nextTo"/>
        <c:txPr>
          <a:bodyPr/>
          <a:lstStyle/>
          <a:p>
            <a:pPr>
              <a:defRPr sz="800"/>
            </a:pPr>
            <a:endParaRPr lang="en-US"/>
          </a:p>
        </c:txPr>
        <c:crossAx val="132347392"/>
        <c:crosses val="autoZero"/>
        <c:auto val="1"/>
        <c:lblAlgn val="ctr"/>
        <c:lblOffset val="100"/>
      </c:catAx>
      <c:valAx>
        <c:axId val="132347392"/>
        <c:scaling>
          <c:orientation val="minMax"/>
        </c:scaling>
        <c:axPos val="l"/>
        <c:majorGridlines/>
        <c:numFmt formatCode="0" sourceLinked="0"/>
        <c:tickLblPos val="nextTo"/>
        <c:crossAx val="132345856"/>
        <c:crosses val="autoZero"/>
        <c:crossBetween val="between"/>
      </c:valAx>
    </c:plotArea>
    <c:legend>
      <c:legendPos val="r"/>
      <c:layout>
        <c:manualLayout>
          <c:xMode val="edge"/>
          <c:yMode val="edge"/>
          <c:x val="0.49983058835937744"/>
          <c:y val="7.6986727784965223E-2"/>
          <c:w val="0.50016941164062301"/>
          <c:h val="9.8736698780042195E-2"/>
        </c:manualLayout>
      </c:layout>
      <c:txPr>
        <a:bodyPr/>
        <a:lstStyle/>
        <a:p>
          <a:pPr>
            <a:defRPr sz="800"/>
          </a:pPr>
          <a:endParaRPr lang="en-US"/>
        </a:p>
      </c:txPr>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18"/>
  <c:clrMapOvr bg1="lt1" tx1="dk1" bg2="lt2" tx2="dk2" accent1="accent1" accent2="accent2" accent3="accent3" accent4="accent4" accent5="accent5" accent6="accent6" hlink="hlink" folHlink="folHlink"/>
  <c:chart>
    <c:title>
      <c:tx>
        <c:rich>
          <a:bodyPr/>
          <a:lstStyle/>
          <a:p>
            <a:pPr>
              <a:defRPr sz="1050"/>
            </a:pPr>
            <a:r>
              <a:rPr lang="en-US" sz="1050"/>
              <a:t>ROE</a:t>
            </a:r>
            <a:r>
              <a:rPr lang="en-US" sz="1050" baseline="0"/>
              <a:t> kitimas</a:t>
            </a:r>
            <a:endParaRPr lang="en-US" sz="1050"/>
          </a:p>
        </c:rich>
      </c:tx>
      <c:layout>
        <c:manualLayout>
          <c:xMode val="edge"/>
          <c:yMode val="edge"/>
          <c:x val="0.18463056648949211"/>
          <c:y val="2.2216051096917492E-2"/>
        </c:manualLayout>
      </c:layout>
    </c:title>
    <c:plotArea>
      <c:layout>
        <c:manualLayout>
          <c:layoutTarget val="inner"/>
          <c:xMode val="edge"/>
          <c:yMode val="edge"/>
          <c:x val="9.6121782422936994E-2"/>
          <c:y val="0.17213634882698811"/>
          <c:w val="0.845560171618435"/>
          <c:h val="0.43914573160998621"/>
        </c:manualLayout>
      </c:layout>
      <c:barChart>
        <c:barDir val="col"/>
        <c:grouping val="clustered"/>
        <c:ser>
          <c:idx val="0"/>
          <c:order val="0"/>
          <c:tx>
            <c:strRef>
              <c:f>'ROA, ROE'!$L$2</c:f>
              <c:strCache>
                <c:ptCount val="1"/>
                <c:pt idx="0">
                  <c:v>2009</c:v>
                </c:pt>
              </c:strCache>
            </c:strRef>
          </c:tx>
          <c:cat>
            <c:strRef>
              <c:f>'ROA, ROE'!$I$3:$I$12</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'ROA, ROE'!$L$15:$L$24</c:f>
              <c:numCache>
                <c:formatCode>0.00</c:formatCode>
                <c:ptCount val="10"/>
                <c:pt idx="0">
                  <c:v>0</c:v>
                </c:pt>
                <c:pt idx="1">
                  <c:v>15.626144671872947</c:v>
                </c:pt>
                <c:pt idx="2">
                  <c:v>4.3747808164054547</c:v>
                </c:pt>
                <c:pt idx="3">
                  <c:v>4.7661904848049987</c:v>
                </c:pt>
                <c:pt idx="4">
                  <c:v>3.8953587788698067</c:v>
                </c:pt>
                <c:pt idx="5">
                  <c:v>9.7875171357148609</c:v>
                </c:pt>
                <c:pt idx="6">
                  <c:v>4.8195413643630989</c:v>
                </c:pt>
                <c:pt idx="7">
                  <c:v>16.072842596364605</c:v>
                </c:pt>
                <c:pt idx="8">
                  <c:v>10.610408748933521</c:v>
                </c:pt>
                <c:pt idx="9">
                  <c:v>34.74336401524414</c:v>
                </c:pt>
              </c:numCache>
            </c:numRef>
          </c:val>
        </c:ser>
        <c:ser>
          <c:idx val="1"/>
          <c:order val="1"/>
          <c:tx>
            <c:strRef>
              <c:f>'ROA, ROE'!$M$2</c:f>
              <c:strCache>
                <c:ptCount val="1"/>
                <c:pt idx="0">
                  <c:v>2010</c:v>
                </c:pt>
              </c:strCache>
            </c:strRef>
          </c:tx>
          <c:cat>
            <c:strRef>
              <c:f>'ROA, ROE'!$I$3:$I$12</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'ROA, ROE'!$M$15:$M$24</c:f>
              <c:numCache>
                <c:formatCode>0.00</c:formatCode>
                <c:ptCount val="10"/>
                <c:pt idx="0">
                  <c:v>7.8322509730026804</c:v>
                </c:pt>
                <c:pt idx="1">
                  <c:v>10.488681980374668</c:v>
                </c:pt>
                <c:pt idx="2">
                  <c:v>1.897070178023696</c:v>
                </c:pt>
                <c:pt idx="3">
                  <c:v>7.6837368800607697</c:v>
                </c:pt>
                <c:pt idx="4">
                  <c:v>7.6517401157552074</c:v>
                </c:pt>
                <c:pt idx="5">
                  <c:v>12.628958875975048</c:v>
                </c:pt>
                <c:pt idx="6">
                  <c:v>13.60873917586115</c:v>
                </c:pt>
                <c:pt idx="7">
                  <c:v>16.138034209345225</c:v>
                </c:pt>
                <c:pt idx="8">
                  <c:v>7.5440108334358849</c:v>
                </c:pt>
                <c:pt idx="9">
                  <c:v>38.296409367823202</c:v>
                </c:pt>
              </c:numCache>
            </c:numRef>
          </c:val>
        </c:ser>
        <c:ser>
          <c:idx val="2"/>
          <c:order val="2"/>
          <c:tx>
            <c:strRef>
              <c:f>'ROA, ROE'!$N$2</c:f>
              <c:strCache>
                <c:ptCount val="1"/>
                <c:pt idx="0">
                  <c:v>2011</c:v>
                </c:pt>
              </c:strCache>
            </c:strRef>
          </c:tx>
          <c:cat>
            <c:strRef>
              <c:f>'ROA, ROE'!$I$3:$I$12</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'ROA, ROE'!$N$15:$N$24</c:f>
              <c:numCache>
                <c:formatCode>0.00</c:formatCode>
                <c:ptCount val="10"/>
                <c:pt idx="0">
                  <c:v>26.175450287125397</c:v>
                </c:pt>
                <c:pt idx="1">
                  <c:v>8.1949786035425394</c:v>
                </c:pt>
                <c:pt idx="2">
                  <c:v>14.641439624265844</c:v>
                </c:pt>
                <c:pt idx="3">
                  <c:v>4.6578464555027796</c:v>
                </c:pt>
                <c:pt idx="4">
                  <c:v>1.2235563645359571</c:v>
                </c:pt>
                <c:pt idx="5">
                  <c:v>17.374452080740287</c:v>
                </c:pt>
                <c:pt idx="6">
                  <c:v>7.7290254369052747</c:v>
                </c:pt>
                <c:pt idx="7">
                  <c:v>15.048298500585323</c:v>
                </c:pt>
                <c:pt idx="8">
                  <c:v>27.110435095865192</c:v>
                </c:pt>
                <c:pt idx="9">
                  <c:v>31.934043693076969</c:v>
                </c:pt>
              </c:numCache>
            </c:numRef>
          </c:val>
        </c:ser>
        <c:ser>
          <c:idx val="3"/>
          <c:order val="3"/>
          <c:tx>
            <c:strRef>
              <c:f>'ROA, ROE'!$O$2</c:f>
              <c:strCache>
                <c:ptCount val="1"/>
                <c:pt idx="0">
                  <c:v>2012</c:v>
                </c:pt>
              </c:strCache>
            </c:strRef>
          </c:tx>
          <c:cat>
            <c:strRef>
              <c:f>'ROA, ROE'!$I$3:$I$12</c:f>
              <c:strCache>
                <c:ptCount val="10"/>
                <c:pt idx="0">
                  <c:v>APB „Apranga“</c:v>
                </c:pt>
                <c:pt idx="1">
                  <c:v>AB „City service“</c:v>
                </c:pt>
                <c:pt idx="2">
                  <c:v>AB „Grigiškės“</c:v>
                </c:pt>
                <c:pt idx="3">
                  <c:v>AB „Lietuvos dujos“</c:v>
                </c:pt>
                <c:pt idx="4">
                  <c:v>AB „PST“</c:v>
                </c:pt>
                <c:pt idx="5">
                  <c:v>AB „Pieno žvaigždės“</c:v>
                </c:pt>
                <c:pt idx="6">
                  <c:v>AB „Rokiškio sūris“</c:v>
                </c:pt>
                <c:pt idx="7">
                  <c:v>TEO LT, AB</c:v>
                </c:pt>
                <c:pt idx="8">
                  <c:v>AB „Vilkyškių pieninė“</c:v>
                </c:pt>
                <c:pt idx="9">
                  <c:v>AB „Vilniaus baldai“</c:v>
                </c:pt>
              </c:strCache>
            </c:strRef>
          </c:cat>
          <c:val>
            <c:numRef>
              <c:f>'ROA, ROE'!$O$15:$O$24</c:f>
              <c:numCache>
                <c:formatCode>0.00</c:formatCode>
                <c:ptCount val="10"/>
                <c:pt idx="0">
                  <c:v>26.577573794096494</c:v>
                </c:pt>
                <c:pt idx="1">
                  <c:v>4.8336157234835717</c:v>
                </c:pt>
                <c:pt idx="2">
                  <c:v>8.5052489293066706</c:v>
                </c:pt>
                <c:pt idx="3">
                  <c:v>3.6906884015195347</c:v>
                </c:pt>
                <c:pt idx="4">
                  <c:v>1.0981772588160239</c:v>
                </c:pt>
                <c:pt idx="5">
                  <c:v>19.573195779096174</c:v>
                </c:pt>
                <c:pt idx="6">
                  <c:v>5.3417488258970396</c:v>
                </c:pt>
                <c:pt idx="7">
                  <c:v>15.255504507628318</c:v>
                </c:pt>
                <c:pt idx="8">
                  <c:v>10.066330798109288</c:v>
                </c:pt>
                <c:pt idx="9">
                  <c:v>37.278336761354161</c:v>
                </c:pt>
              </c:numCache>
            </c:numRef>
          </c:val>
        </c:ser>
        <c:axId val="132414848"/>
        <c:axId val="132420736"/>
      </c:barChart>
      <c:catAx>
        <c:axId val="132414848"/>
        <c:scaling>
          <c:orientation val="minMax"/>
        </c:scaling>
        <c:axPos val="b"/>
        <c:tickLblPos val="nextTo"/>
        <c:txPr>
          <a:bodyPr/>
          <a:lstStyle/>
          <a:p>
            <a:pPr>
              <a:defRPr sz="800"/>
            </a:pPr>
            <a:endParaRPr lang="en-US"/>
          </a:p>
        </c:txPr>
        <c:crossAx val="132420736"/>
        <c:crosses val="autoZero"/>
        <c:auto val="1"/>
        <c:lblAlgn val="ctr"/>
        <c:lblOffset val="100"/>
      </c:catAx>
      <c:valAx>
        <c:axId val="132420736"/>
        <c:scaling>
          <c:orientation val="minMax"/>
        </c:scaling>
        <c:axPos val="l"/>
        <c:majorGridlines/>
        <c:numFmt formatCode="0" sourceLinked="0"/>
        <c:tickLblPos val="nextTo"/>
        <c:crossAx val="132414848"/>
        <c:crosses val="autoZero"/>
        <c:crossBetween val="between"/>
      </c:valAx>
    </c:plotArea>
    <c:legend>
      <c:legendPos val="r"/>
      <c:layout>
        <c:manualLayout>
          <c:xMode val="edge"/>
          <c:yMode val="edge"/>
          <c:x val="0.53743233391266809"/>
          <c:y val="7.2202166064981921E-2"/>
          <c:w val="0.42239895751131101"/>
          <c:h val="0.10066495089946598"/>
        </c:manualLayout>
      </c:layout>
      <c:txPr>
        <a:bodyPr/>
        <a:lstStyle/>
        <a:p>
          <a:pPr>
            <a:defRPr sz="800"/>
          </a:pPr>
          <a:endParaRPr lang="en-US"/>
        </a:p>
      </c:txPr>
    </c:legend>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VAIC™</a:t>
            </a:r>
          </a:p>
        </c:rich>
      </c:tx>
      <c:layout>
        <c:manualLayout>
          <c:xMode val="edge"/>
          <c:yMode val="edge"/>
          <c:x val="0.56992732738530305"/>
          <c:y val="8.650512372307852E-3"/>
        </c:manualLayout>
      </c:layout>
      <c:overlay val="1"/>
    </c:title>
    <c:plotArea>
      <c:layout>
        <c:manualLayout>
          <c:layoutTarget val="inner"/>
          <c:xMode val="edge"/>
          <c:yMode val="edge"/>
          <c:x val="0.13699518733538321"/>
          <c:y val="3.8291605301914611E-2"/>
          <c:w val="0.83346042996814496"/>
          <c:h val="0.60418268999470759"/>
        </c:manualLayout>
      </c:layout>
      <c:barChart>
        <c:barDir val="col"/>
        <c:grouping val="clustered"/>
        <c:ser>
          <c:idx val="0"/>
          <c:order val="0"/>
          <c:tx>
            <c:v>LIETUVA</c:v>
          </c:tx>
          <c:dLbls>
            <c:delete val="1"/>
          </c:dLbls>
          <c:cat>
            <c:strRef>
              <c:f>EESTI!$B$229:$B$234</c:f>
              <c:strCache>
                <c:ptCount val="6"/>
                <c:pt idx="0">
                  <c:v>APB „Apranga“/ Tallinna Kaubamaja AS</c:v>
                </c:pt>
                <c:pt idx="1">
                  <c:v>AB „City service“/ AS Tallinna Vesi</c:v>
                </c:pt>
                <c:pt idx="2">
                  <c:v>AB „Lietuvos dujos“/ AS Harju Elekter</c:v>
                </c:pt>
                <c:pt idx="3">
                  <c:v>AB „PST“/ AS Merko Ehitus</c:v>
                </c:pt>
                <c:pt idx="4">
                  <c:v>AB „Pieno žvaigždės“/ AS Premia Foods</c:v>
                </c:pt>
                <c:pt idx="5">
                  <c:v>AB „Vilniaus baldai“/ AS Skano Group</c:v>
                </c:pt>
              </c:strCache>
            </c:strRef>
          </c:cat>
          <c:val>
            <c:numRef>
              <c:f>EESTI!$X$12:$X$17</c:f>
              <c:numCache>
                <c:formatCode>0.00</c:formatCode>
                <c:ptCount val="6"/>
                <c:pt idx="0">
                  <c:v>2.7549999999999999</c:v>
                </c:pt>
                <c:pt idx="1">
                  <c:v>1.9200000000000008</c:v>
                </c:pt>
                <c:pt idx="2">
                  <c:v>4.0524999999999975</c:v>
                </c:pt>
                <c:pt idx="3">
                  <c:v>1.7674999999999992</c:v>
                </c:pt>
                <c:pt idx="4">
                  <c:v>3.8249999999999997</c:v>
                </c:pt>
                <c:pt idx="5">
                  <c:v>3.7425000000000002</c:v>
                </c:pt>
              </c:numCache>
            </c:numRef>
          </c:val>
        </c:ser>
        <c:ser>
          <c:idx val="1"/>
          <c:order val="1"/>
          <c:tx>
            <c:v>ESTIJA</c:v>
          </c:tx>
          <c:dLbls>
            <c:delete val="1"/>
          </c:dLbls>
          <c:cat>
            <c:strRef>
              <c:f>EESTI!$B$229:$B$234</c:f>
              <c:strCache>
                <c:ptCount val="6"/>
                <c:pt idx="0">
                  <c:v>APB „Apranga“/ Tallinna Kaubamaja AS</c:v>
                </c:pt>
                <c:pt idx="1">
                  <c:v>AB „City service“/ AS Tallinna Vesi</c:v>
                </c:pt>
                <c:pt idx="2">
                  <c:v>AB „Lietuvos dujos“/ AS Harju Elekter</c:v>
                </c:pt>
                <c:pt idx="3">
                  <c:v>AB „PST“/ AS Merko Ehitus</c:v>
                </c:pt>
                <c:pt idx="4">
                  <c:v>AB „Pieno žvaigždės“/ AS Premia Foods</c:v>
                </c:pt>
                <c:pt idx="5">
                  <c:v>AB „Vilniaus baldai“/ AS Skano Group</c:v>
                </c:pt>
              </c:strCache>
            </c:strRef>
          </c:cat>
          <c:val>
            <c:numRef>
              <c:f>EESTI!$P$12:$P$17</c:f>
              <c:numCache>
                <c:formatCode>0.00</c:formatCode>
                <c:ptCount val="6"/>
                <c:pt idx="0">
                  <c:v>2.3499999999999988</c:v>
                </c:pt>
                <c:pt idx="1">
                  <c:v>7.3274999999999846</c:v>
                </c:pt>
                <c:pt idx="2">
                  <c:v>1.8149999999999993</c:v>
                </c:pt>
                <c:pt idx="3">
                  <c:v>1.2849999999999993</c:v>
                </c:pt>
                <c:pt idx="4">
                  <c:v>2.1575000000000002</c:v>
                </c:pt>
                <c:pt idx="5">
                  <c:v>2.1475000000000017</c:v>
                </c:pt>
              </c:numCache>
            </c:numRef>
          </c:val>
        </c:ser>
        <c:dLbls>
          <c:showCatName val="1"/>
        </c:dLbls>
        <c:axId val="132355584"/>
        <c:axId val="132357120"/>
      </c:barChart>
      <c:catAx>
        <c:axId val="132355584"/>
        <c:scaling>
          <c:orientation val="minMax"/>
        </c:scaling>
        <c:axPos val="b"/>
        <c:tickLblPos val="nextTo"/>
        <c:crossAx val="132357120"/>
        <c:crosses val="autoZero"/>
        <c:auto val="1"/>
        <c:lblAlgn val="ctr"/>
        <c:lblOffset val="100"/>
      </c:catAx>
      <c:valAx>
        <c:axId val="132357120"/>
        <c:scaling>
          <c:orientation val="minMax"/>
        </c:scaling>
        <c:axPos val="l"/>
        <c:majorGridlines/>
        <c:numFmt formatCode="0" sourceLinked="0"/>
        <c:tickLblPos val="nextTo"/>
        <c:crossAx val="132355584"/>
        <c:crosses val="autoZero"/>
        <c:crossBetween val="between"/>
        <c:majorUnit val="2"/>
      </c:valAx>
      <c:dTable>
        <c:showHorzBorder val="1"/>
        <c:showVertBorder val="1"/>
        <c:showOutline val="1"/>
        <c:showKeys val="1"/>
        <c:txPr>
          <a:bodyPr/>
          <a:lstStyle/>
          <a:p>
            <a:pPr rtl="0">
              <a:defRPr>
                <a:latin typeface="Times New Roman"/>
                <a:cs typeface="Times New Roman"/>
              </a:defRPr>
            </a:pPr>
            <a:endParaRPr lang="en-US"/>
          </a:p>
        </c:txPr>
      </c:dTable>
    </c:plotArea>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DDBC63-44FF-B24D-B540-3A36574092C8}" type="doc">
      <dgm:prSet loTypeId="urn:microsoft.com/office/officeart/2008/layout/NameandTitleOrganizationalChart" loCatId="" qsTypeId="urn:microsoft.com/office/officeart/2005/8/quickstyle/simple4" qsCatId="simple" csTypeId="urn:microsoft.com/office/officeart/2005/8/colors/accent1_2" csCatId="accent1" phldr="1"/>
      <dgm:spPr/>
      <dgm:t>
        <a:bodyPr/>
        <a:lstStyle/>
        <a:p>
          <a:endParaRPr lang="en-US"/>
        </a:p>
      </dgm:t>
    </dgm:pt>
    <dgm:pt modelId="{787BBD01-67FF-DB48-B37C-DEE97216ABCF}">
      <dgm:prSet phldrT="[Text]"/>
      <dgm:spPr/>
      <dgm:t>
        <a:bodyPr/>
        <a:lstStyle/>
        <a:p>
          <a:r>
            <a:rPr lang="en-US"/>
            <a:t>Intelektinis kapitalas</a:t>
          </a:r>
        </a:p>
      </dgm:t>
    </dgm:pt>
    <dgm:pt modelId="{BF68497D-A17F-9A4E-92FA-025BCDC90685}" type="parTrans" cxnId="{E708240E-C639-6345-93C6-B5D86EC359B1}">
      <dgm:prSet/>
      <dgm:spPr/>
      <dgm:t>
        <a:bodyPr/>
        <a:lstStyle/>
        <a:p>
          <a:endParaRPr lang="en-US"/>
        </a:p>
      </dgm:t>
    </dgm:pt>
    <dgm:pt modelId="{2CF4532C-8B3E-564B-ABC2-5F516BBF37BF}" type="sibTrans" cxnId="{E708240E-C639-6345-93C6-B5D86EC359B1}">
      <dgm:prSet/>
      <dgm:spPr/>
      <dgm:t>
        <a:bodyPr/>
        <a:lstStyle/>
        <a:p>
          <a:endParaRPr lang="en-US"/>
        </a:p>
      </dgm:t>
    </dgm:pt>
    <dgm:pt modelId="{AAA95EE8-93E9-0843-8C88-DEF86B637AE5}">
      <dgm:prSet phldrT="[Text]"/>
      <dgm:spPr/>
      <dgm:t>
        <a:bodyPr/>
        <a:lstStyle/>
        <a:p>
          <a:r>
            <a:rPr lang="en-US"/>
            <a:t>Žmogiškasis kapitalas</a:t>
          </a:r>
        </a:p>
      </dgm:t>
    </dgm:pt>
    <dgm:pt modelId="{2A4D964C-CC58-BE46-98C7-C9207952CDB4}" type="parTrans" cxnId="{09887003-A37C-D942-8AA9-4E6958CBB61D}">
      <dgm:prSet/>
      <dgm:spPr/>
      <dgm:t>
        <a:bodyPr/>
        <a:lstStyle/>
        <a:p>
          <a:endParaRPr lang="en-US"/>
        </a:p>
      </dgm:t>
    </dgm:pt>
    <dgm:pt modelId="{5F521600-8B52-8047-AFC8-D092EC9A2E31}" type="sibTrans" cxnId="{09887003-A37C-D942-8AA9-4E6958CBB61D}">
      <dgm:prSet custT="1"/>
      <dgm:spPr/>
      <dgm:t>
        <a:bodyPr/>
        <a:lstStyle/>
        <a:p>
          <a:r>
            <a:rPr lang="en-US" sz="1000"/>
            <a:t>Žinios individualiame lygmenyje</a:t>
          </a:r>
        </a:p>
      </dgm:t>
    </dgm:pt>
    <dgm:pt modelId="{8FAB5136-2489-5943-8AF2-9F1388FFAEBC}">
      <dgm:prSet phldrT="[Text]"/>
      <dgm:spPr/>
      <dgm:t>
        <a:bodyPr/>
        <a:lstStyle/>
        <a:p>
          <a:r>
            <a:rPr lang="en-US"/>
            <a:t>Struktūrinis kapitalas</a:t>
          </a:r>
        </a:p>
      </dgm:t>
    </dgm:pt>
    <dgm:pt modelId="{2B6E482D-318E-C34A-B39E-1E2AFF63E249}" type="parTrans" cxnId="{A40B1191-C097-DA45-B06A-716900A64358}">
      <dgm:prSet/>
      <dgm:spPr/>
      <dgm:t>
        <a:bodyPr/>
        <a:lstStyle/>
        <a:p>
          <a:endParaRPr lang="en-US"/>
        </a:p>
      </dgm:t>
    </dgm:pt>
    <dgm:pt modelId="{DBB5433E-79F0-9A43-97D6-69378FC71F1D}" type="sibTrans" cxnId="{A40B1191-C097-DA45-B06A-716900A64358}">
      <dgm:prSet custT="1"/>
      <dgm:spPr/>
      <dgm:t>
        <a:bodyPr/>
        <a:lstStyle/>
        <a:p>
          <a:r>
            <a:rPr lang="en-US" sz="1000"/>
            <a:t>Žinios organizacijos lygmenyje</a:t>
          </a:r>
        </a:p>
      </dgm:t>
    </dgm:pt>
    <dgm:pt modelId="{E32C9A29-5D7F-5E42-912F-199D27ABE320}">
      <dgm:prSet phldrT="[Text]"/>
      <dgm:spPr/>
      <dgm:t>
        <a:bodyPr/>
        <a:lstStyle/>
        <a:p>
          <a:r>
            <a:rPr lang="en-US"/>
            <a:t>Klientinis kapitalas</a:t>
          </a:r>
        </a:p>
      </dgm:t>
    </dgm:pt>
    <dgm:pt modelId="{371020DC-AA02-204B-8696-8DB4E9895FFD}" type="parTrans" cxnId="{5EEB2A8D-D471-7043-A8E7-AF898D54C120}">
      <dgm:prSet/>
      <dgm:spPr/>
      <dgm:t>
        <a:bodyPr/>
        <a:lstStyle/>
        <a:p>
          <a:endParaRPr lang="en-US"/>
        </a:p>
      </dgm:t>
    </dgm:pt>
    <dgm:pt modelId="{415386C4-1445-8E43-A822-F0BB53F5A69F}" type="sibTrans" cxnId="{5EEB2A8D-D471-7043-A8E7-AF898D54C120}">
      <dgm:prSet custT="1"/>
      <dgm:spPr/>
      <dgm:t>
        <a:bodyPr/>
        <a:lstStyle/>
        <a:p>
          <a:r>
            <a:rPr lang="en-US" sz="1000"/>
            <a:t>Žinios abiejose lygmenyse</a:t>
          </a:r>
        </a:p>
      </dgm:t>
    </dgm:pt>
    <dgm:pt modelId="{33FA6DCC-D590-5C41-857F-F85DC3846421}" type="pres">
      <dgm:prSet presAssocID="{20DDBC63-44FF-B24D-B540-3A36574092C8}" presName="hierChild1" presStyleCnt="0">
        <dgm:presLayoutVars>
          <dgm:orgChart val="1"/>
          <dgm:chPref val="1"/>
          <dgm:dir/>
          <dgm:animOne val="branch"/>
          <dgm:animLvl val="lvl"/>
          <dgm:resizeHandles/>
        </dgm:presLayoutVars>
      </dgm:prSet>
      <dgm:spPr/>
      <dgm:t>
        <a:bodyPr/>
        <a:lstStyle/>
        <a:p>
          <a:endParaRPr lang="en-US"/>
        </a:p>
      </dgm:t>
    </dgm:pt>
    <dgm:pt modelId="{544003D4-28BD-3144-B2EE-4D083AC0BF6E}" type="pres">
      <dgm:prSet presAssocID="{787BBD01-67FF-DB48-B37C-DEE97216ABCF}" presName="hierRoot1" presStyleCnt="0">
        <dgm:presLayoutVars>
          <dgm:hierBranch val="init"/>
        </dgm:presLayoutVars>
      </dgm:prSet>
      <dgm:spPr/>
    </dgm:pt>
    <dgm:pt modelId="{FCAA2E75-C235-D540-87AA-55295015BC69}" type="pres">
      <dgm:prSet presAssocID="{787BBD01-67FF-DB48-B37C-DEE97216ABCF}" presName="rootComposite1" presStyleCnt="0"/>
      <dgm:spPr/>
    </dgm:pt>
    <dgm:pt modelId="{927501E8-342D-C14B-8FAE-0A01B0FD29D3}" type="pres">
      <dgm:prSet presAssocID="{787BBD01-67FF-DB48-B37C-DEE97216ABCF}" presName="rootText1" presStyleLbl="node0" presStyleIdx="0" presStyleCnt="1">
        <dgm:presLayoutVars>
          <dgm:chMax/>
          <dgm:chPref val="3"/>
        </dgm:presLayoutVars>
      </dgm:prSet>
      <dgm:spPr/>
      <dgm:t>
        <a:bodyPr/>
        <a:lstStyle/>
        <a:p>
          <a:endParaRPr lang="en-US"/>
        </a:p>
      </dgm:t>
    </dgm:pt>
    <dgm:pt modelId="{17BFEDA7-6165-5945-AC9E-B969D56AE3A9}" type="pres">
      <dgm:prSet presAssocID="{787BBD01-67FF-DB48-B37C-DEE97216ABCF}" presName="titleText1" presStyleLbl="fgAcc0" presStyleIdx="0" presStyleCnt="1" custFlipVert="1" custScaleX="4114" custScaleY="20001" custLinFactNeighborX="32508" custLinFactNeighborY="-21994">
        <dgm:presLayoutVars>
          <dgm:chMax val="0"/>
          <dgm:chPref val="0"/>
        </dgm:presLayoutVars>
      </dgm:prSet>
      <dgm:spPr/>
      <dgm:t>
        <a:bodyPr/>
        <a:lstStyle/>
        <a:p>
          <a:endParaRPr lang="en-US"/>
        </a:p>
      </dgm:t>
    </dgm:pt>
    <dgm:pt modelId="{FFCDE110-E600-DE46-9093-AC309C5FE879}" type="pres">
      <dgm:prSet presAssocID="{787BBD01-67FF-DB48-B37C-DEE97216ABCF}" presName="rootConnector1" presStyleLbl="node1" presStyleIdx="0" presStyleCnt="3"/>
      <dgm:spPr/>
      <dgm:t>
        <a:bodyPr/>
        <a:lstStyle/>
        <a:p>
          <a:endParaRPr lang="en-US"/>
        </a:p>
      </dgm:t>
    </dgm:pt>
    <dgm:pt modelId="{599C6832-129D-3544-A627-57C0A4746C4D}" type="pres">
      <dgm:prSet presAssocID="{787BBD01-67FF-DB48-B37C-DEE97216ABCF}" presName="hierChild2" presStyleCnt="0"/>
      <dgm:spPr/>
    </dgm:pt>
    <dgm:pt modelId="{022448F6-66E2-2440-A1E2-1E59C93A1506}" type="pres">
      <dgm:prSet presAssocID="{2A4D964C-CC58-BE46-98C7-C9207952CDB4}" presName="Name37" presStyleLbl="parChTrans1D2" presStyleIdx="0" presStyleCnt="3"/>
      <dgm:spPr/>
      <dgm:t>
        <a:bodyPr/>
        <a:lstStyle/>
        <a:p>
          <a:endParaRPr lang="en-US"/>
        </a:p>
      </dgm:t>
    </dgm:pt>
    <dgm:pt modelId="{A81668D8-0C2D-5B44-9816-1A1BE63003CE}" type="pres">
      <dgm:prSet presAssocID="{AAA95EE8-93E9-0843-8C88-DEF86B637AE5}" presName="hierRoot2" presStyleCnt="0">
        <dgm:presLayoutVars>
          <dgm:hierBranch val="init"/>
        </dgm:presLayoutVars>
      </dgm:prSet>
      <dgm:spPr/>
    </dgm:pt>
    <dgm:pt modelId="{20AC5E4B-A240-334D-B9C0-27E72D37592C}" type="pres">
      <dgm:prSet presAssocID="{AAA95EE8-93E9-0843-8C88-DEF86B637AE5}" presName="rootComposite" presStyleCnt="0"/>
      <dgm:spPr/>
    </dgm:pt>
    <dgm:pt modelId="{7B71B18F-807A-A348-92EB-2FEF492313B8}" type="pres">
      <dgm:prSet presAssocID="{AAA95EE8-93E9-0843-8C88-DEF86B637AE5}" presName="rootText" presStyleLbl="node1" presStyleIdx="0" presStyleCnt="3" custScaleX="132009" custScaleY="67152">
        <dgm:presLayoutVars>
          <dgm:chMax/>
          <dgm:chPref val="3"/>
        </dgm:presLayoutVars>
      </dgm:prSet>
      <dgm:spPr/>
      <dgm:t>
        <a:bodyPr/>
        <a:lstStyle/>
        <a:p>
          <a:endParaRPr lang="en-US"/>
        </a:p>
      </dgm:t>
    </dgm:pt>
    <dgm:pt modelId="{AA74AF35-0A17-F045-BBC8-85D673640CBF}" type="pres">
      <dgm:prSet presAssocID="{AAA95EE8-93E9-0843-8C88-DEF86B637AE5}" presName="titleText2" presStyleLbl="fgAcc1" presStyleIdx="0" presStyleCnt="3" custScaleY="230489" custLinFactNeighborX="10934" custLinFactNeighborY="25875">
        <dgm:presLayoutVars>
          <dgm:chMax val="0"/>
          <dgm:chPref val="0"/>
        </dgm:presLayoutVars>
      </dgm:prSet>
      <dgm:spPr/>
      <dgm:t>
        <a:bodyPr/>
        <a:lstStyle/>
        <a:p>
          <a:endParaRPr lang="en-US"/>
        </a:p>
      </dgm:t>
    </dgm:pt>
    <dgm:pt modelId="{568BF03D-B9F7-5343-99B7-57BD1D018C0E}" type="pres">
      <dgm:prSet presAssocID="{AAA95EE8-93E9-0843-8C88-DEF86B637AE5}" presName="rootConnector" presStyleLbl="node2" presStyleIdx="0" presStyleCnt="0"/>
      <dgm:spPr/>
      <dgm:t>
        <a:bodyPr/>
        <a:lstStyle/>
        <a:p>
          <a:endParaRPr lang="en-US"/>
        </a:p>
      </dgm:t>
    </dgm:pt>
    <dgm:pt modelId="{1B71A29D-E0AA-F546-AE93-166FF9AC35F9}" type="pres">
      <dgm:prSet presAssocID="{AAA95EE8-93E9-0843-8C88-DEF86B637AE5}" presName="hierChild4" presStyleCnt="0"/>
      <dgm:spPr/>
    </dgm:pt>
    <dgm:pt modelId="{07CFF4E1-2EAF-E644-9F74-82FCA0EEC720}" type="pres">
      <dgm:prSet presAssocID="{AAA95EE8-93E9-0843-8C88-DEF86B637AE5}" presName="hierChild5" presStyleCnt="0"/>
      <dgm:spPr/>
    </dgm:pt>
    <dgm:pt modelId="{5E29446B-919B-E045-B24A-F000E4D2796A}" type="pres">
      <dgm:prSet presAssocID="{2B6E482D-318E-C34A-B39E-1E2AFF63E249}" presName="Name37" presStyleLbl="parChTrans1D2" presStyleIdx="1" presStyleCnt="3"/>
      <dgm:spPr/>
      <dgm:t>
        <a:bodyPr/>
        <a:lstStyle/>
        <a:p>
          <a:endParaRPr lang="en-US"/>
        </a:p>
      </dgm:t>
    </dgm:pt>
    <dgm:pt modelId="{81DB71B9-90AB-6E49-80F5-4FE1AED720A0}" type="pres">
      <dgm:prSet presAssocID="{8FAB5136-2489-5943-8AF2-9F1388FFAEBC}" presName="hierRoot2" presStyleCnt="0">
        <dgm:presLayoutVars>
          <dgm:hierBranch val="init"/>
        </dgm:presLayoutVars>
      </dgm:prSet>
      <dgm:spPr/>
    </dgm:pt>
    <dgm:pt modelId="{082F4E24-DCDB-1B45-A28E-3FE2FE2477FA}" type="pres">
      <dgm:prSet presAssocID="{8FAB5136-2489-5943-8AF2-9F1388FFAEBC}" presName="rootComposite" presStyleCnt="0"/>
      <dgm:spPr/>
    </dgm:pt>
    <dgm:pt modelId="{2DE91853-CE31-2748-B14A-A7E9C189765E}" type="pres">
      <dgm:prSet presAssocID="{8FAB5136-2489-5943-8AF2-9F1388FFAEBC}" presName="rootText" presStyleLbl="node1" presStyleIdx="1" presStyleCnt="3" custScaleX="136003" custScaleY="71420">
        <dgm:presLayoutVars>
          <dgm:chMax/>
          <dgm:chPref val="3"/>
        </dgm:presLayoutVars>
      </dgm:prSet>
      <dgm:spPr/>
      <dgm:t>
        <a:bodyPr/>
        <a:lstStyle/>
        <a:p>
          <a:endParaRPr lang="en-US"/>
        </a:p>
      </dgm:t>
    </dgm:pt>
    <dgm:pt modelId="{8DE64D70-0F96-9C43-806B-4B5DE60F8E58}" type="pres">
      <dgm:prSet presAssocID="{8FAB5136-2489-5943-8AF2-9F1388FFAEBC}" presName="titleText2" presStyleLbl="fgAcc1" presStyleIdx="1" presStyleCnt="3" custScaleX="129611" custScaleY="225668" custLinFactNeighborX="6790" custLinFactNeighborY="80227">
        <dgm:presLayoutVars>
          <dgm:chMax val="0"/>
          <dgm:chPref val="0"/>
        </dgm:presLayoutVars>
      </dgm:prSet>
      <dgm:spPr/>
      <dgm:t>
        <a:bodyPr/>
        <a:lstStyle/>
        <a:p>
          <a:endParaRPr lang="en-US"/>
        </a:p>
      </dgm:t>
    </dgm:pt>
    <dgm:pt modelId="{9C2D8EA1-3D8C-654C-B472-98199BB83587}" type="pres">
      <dgm:prSet presAssocID="{8FAB5136-2489-5943-8AF2-9F1388FFAEBC}" presName="rootConnector" presStyleLbl="node2" presStyleIdx="0" presStyleCnt="0"/>
      <dgm:spPr/>
      <dgm:t>
        <a:bodyPr/>
        <a:lstStyle/>
        <a:p>
          <a:endParaRPr lang="en-US"/>
        </a:p>
      </dgm:t>
    </dgm:pt>
    <dgm:pt modelId="{BFAC612E-2C8C-224E-9071-8CCA8E21AA56}" type="pres">
      <dgm:prSet presAssocID="{8FAB5136-2489-5943-8AF2-9F1388FFAEBC}" presName="hierChild4" presStyleCnt="0"/>
      <dgm:spPr/>
    </dgm:pt>
    <dgm:pt modelId="{314CFF0A-C467-744F-9F32-1EEE0B358503}" type="pres">
      <dgm:prSet presAssocID="{8FAB5136-2489-5943-8AF2-9F1388FFAEBC}" presName="hierChild5" presStyleCnt="0"/>
      <dgm:spPr/>
    </dgm:pt>
    <dgm:pt modelId="{F49E9797-6962-A241-A889-23047663F8F0}" type="pres">
      <dgm:prSet presAssocID="{371020DC-AA02-204B-8696-8DB4E9895FFD}" presName="Name37" presStyleLbl="parChTrans1D2" presStyleIdx="2" presStyleCnt="3"/>
      <dgm:spPr/>
      <dgm:t>
        <a:bodyPr/>
        <a:lstStyle/>
        <a:p>
          <a:endParaRPr lang="en-US"/>
        </a:p>
      </dgm:t>
    </dgm:pt>
    <dgm:pt modelId="{79B9598C-53BB-DF48-945B-EFDCC009EF7D}" type="pres">
      <dgm:prSet presAssocID="{E32C9A29-5D7F-5E42-912F-199D27ABE320}" presName="hierRoot2" presStyleCnt="0">
        <dgm:presLayoutVars>
          <dgm:hierBranch val="init"/>
        </dgm:presLayoutVars>
      </dgm:prSet>
      <dgm:spPr/>
    </dgm:pt>
    <dgm:pt modelId="{8134CBB7-50C4-EC4E-9007-E3641524F822}" type="pres">
      <dgm:prSet presAssocID="{E32C9A29-5D7F-5E42-912F-199D27ABE320}" presName="rootComposite" presStyleCnt="0"/>
      <dgm:spPr/>
    </dgm:pt>
    <dgm:pt modelId="{5D9926A3-32E8-FA40-9797-9C89F164DFF7}" type="pres">
      <dgm:prSet presAssocID="{E32C9A29-5D7F-5E42-912F-199D27ABE320}" presName="rootText" presStyleLbl="node1" presStyleIdx="2" presStyleCnt="3" custScaleX="122557" custScaleY="71420">
        <dgm:presLayoutVars>
          <dgm:chMax/>
          <dgm:chPref val="3"/>
        </dgm:presLayoutVars>
      </dgm:prSet>
      <dgm:spPr/>
      <dgm:t>
        <a:bodyPr/>
        <a:lstStyle/>
        <a:p>
          <a:endParaRPr lang="en-US"/>
        </a:p>
      </dgm:t>
    </dgm:pt>
    <dgm:pt modelId="{7FF7D164-06F6-414B-874A-3997CB40A83F}" type="pres">
      <dgm:prSet presAssocID="{E32C9A29-5D7F-5E42-912F-199D27ABE320}" presName="titleText2" presStyleLbl="fgAcc1" presStyleIdx="2" presStyleCnt="3" custScaleY="208476" custLinFactNeighborX="10472" custLinFactNeighborY="58469">
        <dgm:presLayoutVars>
          <dgm:chMax val="0"/>
          <dgm:chPref val="0"/>
        </dgm:presLayoutVars>
      </dgm:prSet>
      <dgm:spPr/>
      <dgm:t>
        <a:bodyPr/>
        <a:lstStyle/>
        <a:p>
          <a:endParaRPr lang="en-US"/>
        </a:p>
      </dgm:t>
    </dgm:pt>
    <dgm:pt modelId="{983C5694-EEFB-8C4B-93A1-5D576CD53CF9}" type="pres">
      <dgm:prSet presAssocID="{E32C9A29-5D7F-5E42-912F-199D27ABE320}" presName="rootConnector" presStyleLbl="node2" presStyleIdx="0" presStyleCnt="0"/>
      <dgm:spPr/>
      <dgm:t>
        <a:bodyPr/>
        <a:lstStyle/>
        <a:p>
          <a:endParaRPr lang="en-US"/>
        </a:p>
      </dgm:t>
    </dgm:pt>
    <dgm:pt modelId="{9F23EFE9-96CC-B24E-AC77-A4468B945719}" type="pres">
      <dgm:prSet presAssocID="{E32C9A29-5D7F-5E42-912F-199D27ABE320}" presName="hierChild4" presStyleCnt="0"/>
      <dgm:spPr/>
    </dgm:pt>
    <dgm:pt modelId="{932A19BD-62CC-7E4B-A0AB-7BAA5B47FAE6}" type="pres">
      <dgm:prSet presAssocID="{E32C9A29-5D7F-5E42-912F-199D27ABE320}" presName="hierChild5" presStyleCnt="0"/>
      <dgm:spPr/>
    </dgm:pt>
    <dgm:pt modelId="{F0F1E689-03AE-0246-AEAD-C76BE0D4CC99}" type="pres">
      <dgm:prSet presAssocID="{787BBD01-67FF-DB48-B37C-DEE97216ABCF}" presName="hierChild3" presStyleCnt="0"/>
      <dgm:spPr/>
    </dgm:pt>
  </dgm:ptLst>
  <dgm:cxnLst>
    <dgm:cxn modelId="{A2C9CB17-4F72-4F9B-AFFC-8473F53A1C08}" type="presOf" srcId="{371020DC-AA02-204B-8696-8DB4E9895FFD}" destId="{F49E9797-6962-A241-A889-23047663F8F0}" srcOrd="0" destOrd="0" presId="urn:microsoft.com/office/officeart/2008/layout/NameandTitleOrganizationalChart"/>
    <dgm:cxn modelId="{AFA8E311-7904-4748-B161-BBB9CF4EAF6B}" type="presOf" srcId="{2CF4532C-8B3E-564B-ABC2-5F516BBF37BF}" destId="{17BFEDA7-6165-5945-AC9E-B969D56AE3A9}" srcOrd="0" destOrd="0" presId="urn:microsoft.com/office/officeart/2008/layout/NameandTitleOrganizationalChart"/>
    <dgm:cxn modelId="{BE88B2EC-2E4D-4FC2-BA95-F3D84A83DDBB}" type="presOf" srcId="{8FAB5136-2489-5943-8AF2-9F1388FFAEBC}" destId="{9C2D8EA1-3D8C-654C-B472-98199BB83587}" srcOrd="1" destOrd="0" presId="urn:microsoft.com/office/officeart/2008/layout/NameandTitleOrganizationalChart"/>
    <dgm:cxn modelId="{A40B1191-C097-DA45-B06A-716900A64358}" srcId="{787BBD01-67FF-DB48-B37C-DEE97216ABCF}" destId="{8FAB5136-2489-5943-8AF2-9F1388FFAEBC}" srcOrd="1" destOrd="0" parTransId="{2B6E482D-318E-C34A-B39E-1E2AFF63E249}" sibTransId="{DBB5433E-79F0-9A43-97D6-69378FC71F1D}"/>
    <dgm:cxn modelId="{605D0C9B-B834-4636-9630-0940375558A0}" type="presOf" srcId="{DBB5433E-79F0-9A43-97D6-69378FC71F1D}" destId="{8DE64D70-0F96-9C43-806B-4B5DE60F8E58}" srcOrd="0" destOrd="0" presId="urn:microsoft.com/office/officeart/2008/layout/NameandTitleOrganizationalChart"/>
    <dgm:cxn modelId="{8EC8CC6C-2868-457B-8857-54EF1398B8B3}" type="presOf" srcId="{AAA95EE8-93E9-0843-8C88-DEF86B637AE5}" destId="{7B71B18F-807A-A348-92EB-2FEF492313B8}" srcOrd="0" destOrd="0" presId="urn:microsoft.com/office/officeart/2008/layout/NameandTitleOrganizationalChart"/>
    <dgm:cxn modelId="{4E07A6C4-5B84-441D-BA79-614592BD630A}" type="presOf" srcId="{5F521600-8B52-8047-AFC8-D092EC9A2E31}" destId="{AA74AF35-0A17-F045-BBC8-85D673640CBF}" srcOrd="0" destOrd="0" presId="urn:microsoft.com/office/officeart/2008/layout/NameandTitleOrganizationalChart"/>
    <dgm:cxn modelId="{09887003-A37C-D942-8AA9-4E6958CBB61D}" srcId="{787BBD01-67FF-DB48-B37C-DEE97216ABCF}" destId="{AAA95EE8-93E9-0843-8C88-DEF86B637AE5}" srcOrd="0" destOrd="0" parTransId="{2A4D964C-CC58-BE46-98C7-C9207952CDB4}" sibTransId="{5F521600-8B52-8047-AFC8-D092EC9A2E31}"/>
    <dgm:cxn modelId="{5EEB2A8D-D471-7043-A8E7-AF898D54C120}" srcId="{787BBD01-67FF-DB48-B37C-DEE97216ABCF}" destId="{E32C9A29-5D7F-5E42-912F-199D27ABE320}" srcOrd="2" destOrd="0" parTransId="{371020DC-AA02-204B-8696-8DB4E9895FFD}" sibTransId="{415386C4-1445-8E43-A822-F0BB53F5A69F}"/>
    <dgm:cxn modelId="{52ECC6A9-9A01-4DA6-A3DF-F1AFD258EE53}" type="presOf" srcId="{8FAB5136-2489-5943-8AF2-9F1388FFAEBC}" destId="{2DE91853-CE31-2748-B14A-A7E9C189765E}" srcOrd="0" destOrd="0" presId="urn:microsoft.com/office/officeart/2008/layout/NameandTitleOrganizationalChart"/>
    <dgm:cxn modelId="{2927CF2B-A3DD-4261-9ED8-04D56C338A81}" type="presOf" srcId="{415386C4-1445-8E43-A822-F0BB53F5A69F}" destId="{7FF7D164-06F6-414B-874A-3997CB40A83F}" srcOrd="0" destOrd="0" presId="urn:microsoft.com/office/officeart/2008/layout/NameandTitleOrganizationalChart"/>
    <dgm:cxn modelId="{805EF979-2840-4D46-AD46-6B3F5D61A879}" type="presOf" srcId="{AAA95EE8-93E9-0843-8C88-DEF86B637AE5}" destId="{568BF03D-B9F7-5343-99B7-57BD1D018C0E}" srcOrd="1" destOrd="0" presId="urn:microsoft.com/office/officeart/2008/layout/NameandTitleOrganizationalChart"/>
    <dgm:cxn modelId="{E708240E-C639-6345-93C6-B5D86EC359B1}" srcId="{20DDBC63-44FF-B24D-B540-3A36574092C8}" destId="{787BBD01-67FF-DB48-B37C-DEE97216ABCF}" srcOrd="0" destOrd="0" parTransId="{BF68497D-A17F-9A4E-92FA-025BCDC90685}" sibTransId="{2CF4532C-8B3E-564B-ABC2-5F516BBF37BF}"/>
    <dgm:cxn modelId="{06106556-B53C-43E5-878E-2029594AC2C6}" type="presOf" srcId="{E32C9A29-5D7F-5E42-912F-199D27ABE320}" destId="{5D9926A3-32E8-FA40-9797-9C89F164DFF7}" srcOrd="0" destOrd="0" presId="urn:microsoft.com/office/officeart/2008/layout/NameandTitleOrganizationalChart"/>
    <dgm:cxn modelId="{ADBDD13A-46BE-4E92-8CD9-3CF35DAEC613}" type="presOf" srcId="{2A4D964C-CC58-BE46-98C7-C9207952CDB4}" destId="{022448F6-66E2-2440-A1E2-1E59C93A1506}" srcOrd="0" destOrd="0" presId="urn:microsoft.com/office/officeart/2008/layout/NameandTitleOrganizationalChart"/>
    <dgm:cxn modelId="{F87BCA13-5582-4144-9645-9FCCBAF2EF7E}" type="presOf" srcId="{20DDBC63-44FF-B24D-B540-3A36574092C8}" destId="{33FA6DCC-D590-5C41-857F-F85DC3846421}" srcOrd="0" destOrd="0" presId="urn:microsoft.com/office/officeart/2008/layout/NameandTitleOrganizationalChart"/>
    <dgm:cxn modelId="{7029FADD-4894-4C43-81AF-A96779EE6CB9}" type="presOf" srcId="{787BBD01-67FF-DB48-B37C-DEE97216ABCF}" destId="{927501E8-342D-C14B-8FAE-0A01B0FD29D3}" srcOrd="0" destOrd="0" presId="urn:microsoft.com/office/officeart/2008/layout/NameandTitleOrganizationalChart"/>
    <dgm:cxn modelId="{EA0FF9ED-60BD-45CA-B2CE-8F3FE21E5262}" type="presOf" srcId="{787BBD01-67FF-DB48-B37C-DEE97216ABCF}" destId="{FFCDE110-E600-DE46-9093-AC309C5FE879}" srcOrd="1" destOrd="0" presId="urn:microsoft.com/office/officeart/2008/layout/NameandTitleOrganizationalChart"/>
    <dgm:cxn modelId="{D9AA80FC-4BFF-4B61-8D46-C5979B2A9C56}" type="presOf" srcId="{2B6E482D-318E-C34A-B39E-1E2AFF63E249}" destId="{5E29446B-919B-E045-B24A-F000E4D2796A}" srcOrd="0" destOrd="0" presId="urn:microsoft.com/office/officeart/2008/layout/NameandTitleOrganizationalChart"/>
    <dgm:cxn modelId="{022B67C5-610A-4F90-857F-3DAA5B9D5874}" type="presOf" srcId="{E32C9A29-5D7F-5E42-912F-199D27ABE320}" destId="{983C5694-EEFB-8C4B-93A1-5D576CD53CF9}" srcOrd="1" destOrd="0" presId="urn:microsoft.com/office/officeart/2008/layout/NameandTitleOrganizationalChart"/>
    <dgm:cxn modelId="{5E2635A6-6CD8-4699-9D11-72AA80434BA6}" type="presParOf" srcId="{33FA6DCC-D590-5C41-857F-F85DC3846421}" destId="{544003D4-28BD-3144-B2EE-4D083AC0BF6E}" srcOrd="0" destOrd="0" presId="urn:microsoft.com/office/officeart/2008/layout/NameandTitleOrganizationalChart"/>
    <dgm:cxn modelId="{A2B35708-CCE7-44C8-B80F-7AE3D87C8FF5}" type="presParOf" srcId="{544003D4-28BD-3144-B2EE-4D083AC0BF6E}" destId="{FCAA2E75-C235-D540-87AA-55295015BC69}" srcOrd="0" destOrd="0" presId="urn:microsoft.com/office/officeart/2008/layout/NameandTitleOrganizationalChart"/>
    <dgm:cxn modelId="{DD98A1CE-4004-4AE6-9CDD-F77AB15EF36A}" type="presParOf" srcId="{FCAA2E75-C235-D540-87AA-55295015BC69}" destId="{927501E8-342D-C14B-8FAE-0A01B0FD29D3}" srcOrd="0" destOrd="0" presId="urn:microsoft.com/office/officeart/2008/layout/NameandTitleOrganizationalChart"/>
    <dgm:cxn modelId="{1EA97288-6C5A-4CAF-BC5B-085B0FAD0061}" type="presParOf" srcId="{FCAA2E75-C235-D540-87AA-55295015BC69}" destId="{17BFEDA7-6165-5945-AC9E-B969D56AE3A9}" srcOrd="1" destOrd="0" presId="urn:microsoft.com/office/officeart/2008/layout/NameandTitleOrganizationalChart"/>
    <dgm:cxn modelId="{CDAEFD6E-77CE-4C48-B3A2-C5AB07DB3AD4}" type="presParOf" srcId="{FCAA2E75-C235-D540-87AA-55295015BC69}" destId="{FFCDE110-E600-DE46-9093-AC309C5FE879}" srcOrd="2" destOrd="0" presId="urn:microsoft.com/office/officeart/2008/layout/NameandTitleOrganizationalChart"/>
    <dgm:cxn modelId="{41435C60-C11F-4DA2-AAE5-A4EFE986C46B}" type="presParOf" srcId="{544003D4-28BD-3144-B2EE-4D083AC0BF6E}" destId="{599C6832-129D-3544-A627-57C0A4746C4D}" srcOrd="1" destOrd="0" presId="urn:microsoft.com/office/officeart/2008/layout/NameandTitleOrganizationalChart"/>
    <dgm:cxn modelId="{0F5ED004-AA29-4205-8D3A-70E1E52556C3}" type="presParOf" srcId="{599C6832-129D-3544-A627-57C0A4746C4D}" destId="{022448F6-66E2-2440-A1E2-1E59C93A1506}" srcOrd="0" destOrd="0" presId="urn:microsoft.com/office/officeart/2008/layout/NameandTitleOrganizationalChart"/>
    <dgm:cxn modelId="{C5789D39-17C6-4AFC-83F5-50035945537A}" type="presParOf" srcId="{599C6832-129D-3544-A627-57C0A4746C4D}" destId="{A81668D8-0C2D-5B44-9816-1A1BE63003CE}" srcOrd="1" destOrd="0" presId="urn:microsoft.com/office/officeart/2008/layout/NameandTitleOrganizationalChart"/>
    <dgm:cxn modelId="{5B84A8C7-8277-4487-A9F1-57A8A185C7F7}" type="presParOf" srcId="{A81668D8-0C2D-5B44-9816-1A1BE63003CE}" destId="{20AC5E4B-A240-334D-B9C0-27E72D37592C}" srcOrd="0" destOrd="0" presId="urn:microsoft.com/office/officeart/2008/layout/NameandTitleOrganizationalChart"/>
    <dgm:cxn modelId="{9BC1EFA1-D522-439C-9AD1-0BD490AFDF43}" type="presParOf" srcId="{20AC5E4B-A240-334D-B9C0-27E72D37592C}" destId="{7B71B18F-807A-A348-92EB-2FEF492313B8}" srcOrd="0" destOrd="0" presId="urn:microsoft.com/office/officeart/2008/layout/NameandTitleOrganizationalChart"/>
    <dgm:cxn modelId="{A6332905-EBC5-4ACC-9F7A-199DD29D484F}" type="presParOf" srcId="{20AC5E4B-A240-334D-B9C0-27E72D37592C}" destId="{AA74AF35-0A17-F045-BBC8-85D673640CBF}" srcOrd="1" destOrd="0" presId="urn:microsoft.com/office/officeart/2008/layout/NameandTitleOrganizationalChart"/>
    <dgm:cxn modelId="{FBBDAD3C-5821-487B-B005-30BDA1EDE00D}" type="presParOf" srcId="{20AC5E4B-A240-334D-B9C0-27E72D37592C}" destId="{568BF03D-B9F7-5343-99B7-57BD1D018C0E}" srcOrd="2" destOrd="0" presId="urn:microsoft.com/office/officeart/2008/layout/NameandTitleOrganizationalChart"/>
    <dgm:cxn modelId="{884C4D43-0252-4479-A588-2B095F55E22A}" type="presParOf" srcId="{A81668D8-0C2D-5B44-9816-1A1BE63003CE}" destId="{1B71A29D-E0AA-F546-AE93-166FF9AC35F9}" srcOrd="1" destOrd="0" presId="urn:microsoft.com/office/officeart/2008/layout/NameandTitleOrganizationalChart"/>
    <dgm:cxn modelId="{8A700FF3-EE3E-41CA-AD48-D932EF06AA7C}" type="presParOf" srcId="{A81668D8-0C2D-5B44-9816-1A1BE63003CE}" destId="{07CFF4E1-2EAF-E644-9F74-82FCA0EEC720}" srcOrd="2" destOrd="0" presId="urn:microsoft.com/office/officeart/2008/layout/NameandTitleOrganizationalChart"/>
    <dgm:cxn modelId="{0A0FE90E-32C2-418E-9A63-F307EFFF4839}" type="presParOf" srcId="{599C6832-129D-3544-A627-57C0A4746C4D}" destId="{5E29446B-919B-E045-B24A-F000E4D2796A}" srcOrd="2" destOrd="0" presId="urn:microsoft.com/office/officeart/2008/layout/NameandTitleOrganizationalChart"/>
    <dgm:cxn modelId="{DC5F6818-F3FA-4739-912D-EB6E99345A25}" type="presParOf" srcId="{599C6832-129D-3544-A627-57C0A4746C4D}" destId="{81DB71B9-90AB-6E49-80F5-4FE1AED720A0}" srcOrd="3" destOrd="0" presId="urn:microsoft.com/office/officeart/2008/layout/NameandTitleOrganizationalChart"/>
    <dgm:cxn modelId="{B1AF2CB5-63B6-4621-BBFD-0CDEFDCF641D}" type="presParOf" srcId="{81DB71B9-90AB-6E49-80F5-4FE1AED720A0}" destId="{082F4E24-DCDB-1B45-A28E-3FE2FE2477FA}" srcOrd="0" destOrd="0" presId="urn:microsoft.com/office/officeart/2008/layout/NameandTitleOrganizationalChart"/>
    <dgm:cxn modelId="{0A3C15B1-1F38-4931-A43A-54D353284D47}" type="presParOf" srcId="{082F4E24-DCDB-1B45-A28E-3FE2FE2477FA}" destId="{2DE91853-CE31-2748-B14A-A7E9C189765E}" srcOrd="0" destOrd="0" presId="urn:microsoft.com/office/officeart/2008/layout/NameandTitleOrganizationalChart"/>
    <dgm:cxn modelId="{E0E83B7F-4584-4B34-ADBD-77C5FD9E7F6D}" type="presParOf" srcId="{082F4E24-DCDB-1B45-A28E-3FE2FE2477FA}" destId="{8DE64D70-0F96-9C43-806B-4B5DE60F8E58}" srcOrd="1" destOrd="0" presId="urn:microsoft.com/office/officeart/2008/layout/NameandTitleOrganizationalChart"/>
    <dgm:cxn modelId="{1017627F-116B-4CE0-A887-70C5AEB6B0FE}" type="presParOf" srcId="{082F4E24-DCDB-1B45-A28E-3FE2FE2477FA}" destId="{9C2D8EA1-3D8C-654C-B472-98199BB83587}" srcOrd="2" destOrd="0" presId="urn:microsoft.com/office/officeart/2008/layout/NameandTitleOrganizationalChart"/>
    <dgm:cxn modelId="{37D5BE3E-7F67-47BD-8848-525793E8486E}" type="presParOf" srcId="{81DB71B9-90AB-6E49-80F5-4FE1AED720A0}" destId="{BFAC612E-2C8C-224E-9071-8CCA8E21AA56}" srcOrd="1" destOrd="0" presId="urn:microsoft.com/office/officeart/2008/layout/NameandTitleOrganizationalChart"/>
    <dgm:cxn modelId="{3622DAF0-0676-4982-B98C-7901F37670D9}" type="presParOf" srcId="{81DB71B9-90AB-6E49-80F5-4FE1AED720A0}" destId="{314CFF0A-C467-744F-9F32-1EEE0B358503}" srcOrd="2" destOrd="0" presId="urn:microsoft.com/office/officeart/2008/layout/NameandTitleOrganizationalChart"/>
    <dgm:cxn modelId="{498CF49B-3488-41A2-B11C-9D95D76D0647}" type="presParOf" srcId="{599C6832-129D-3544-A627-57C0A4746C4D}" destId="{F49E9797-6962-A241-A889-23047663F8F0}" srcOrd="4" destOrd="0" presId="urn:microsoft.com/office/officeart/2008/layout/NameandTitleOrganizationalChart"/>
    <dgm:cxn modelId="{B5786036-5A81-4E83-9294-2065AD84AEC5}" type="presParOf" srcId="{599C6832-129D-3544-A627-57C0A4746C4D}" destId="{79B9598C-53BB-DF48-945B-EFDCC009EF7D}" srcOrd="5" destOrd="0" presId="urn:microsoft.com/office/officeart/2008/layout/NameandTitleOrganizationalChart"/>
    <dgm:cxn modelId="{ED939503-4CDD-4D64-A5E4-7325E44F3A8B}" type="presParOf" srcId="{79B9598C-53BB-DF48-945B-EFDCC009EF7D}" destId="{8134CBB7-50C4-EC4E-9007-E3641524F822}" srcOrd="0" destOrd="0" presId="urn:microsoft.com/office/officeart/2008/layout/NameandTitleOrganizationalChart"/>
    <dgm:cxn modelId="{ECC8C9D1-8D44-4122-B074-68A7F5006BBC}" type="presParOf" srcId="{8134CBB7-50C4-EC4E-9007-E3641524F822}" destId="{5D9926A3-32E8-FA40-9797-9C89F164DFF7}" srcOrd="0" destOrd="0" presId="urn:microsoft.com/office/officeart/2008/layout/NameandTitleOrganizationalChart"/>
    <dgm:cxn modelId="{2B4DB83F-EEEF-413F-9813-D0F2A2CA7FCE}" type="presParOf" srcId="{8134CBB7-50C4-EC4E-9007-E3641524F822}" destId="{7FF7D164-06F6-414B-874A-3997CB40A83F}" srcOrd="1" destOrd="0" presId="urn:microsoft.com/office/officeart/2008/layout/NameandTitleOrganizationalChart"/>
    <dgm:cxn modelId="{37026279-1634-4088-853D-61211A334641}" type="presParOf" srcId="{8134CBB7-50C4-EC4E-9007-E3641524F822}" destId="{983C5694-EEFB-8C4B-93A1-5D576CD53CF9}" srcOrd="2" destOrd="0" presId="urn:microsoft.com/office/officeart/2008/layout/NameandTitleOrganizationalChart"/>
    <dgm:cxn modelId="{35892E0D-3E4D-4B3D-BE08-C3204A5DFE8D}" type="presParOf" srcId="{79B9598C-53BB-DF48-945B-EFDCC009EF7D}" destId="{9F23EFE9-96CC-B24E-AC77-A4468B945719}" srcOrd="1" destOrd="0" presId="urn:microsoft.com/office/officeart/2008/layout/NameandTitleOrganizationalChart"/>
    <dgm:cxn modelId="{FF6F562A-0422-4AE8-B7D7-03A189724F45}" type="presParOf" srcId="{79B9598C-53BB-DF48-945B-EFDCC009EF7D}" destId="{932A19BD-62CC-7E4B-A0AB-7BAA5B47FAE6}" srcOrd="2" destOrd="0" presId="urn:microsoft.com/office/officeart/2008/layout/NameandTitleOrganizationalChart"/>
    <dgm:cxn modelId="{4C08E974-19E7-4BA0-9AF4-DF5659E3F0D9}" type="presParOf" srcId="{544003D4-28BD-3144-B2EE-4D083AC0BF6E}" destId="{F0F1E689-03AE-0246-AEAD-C76BE0D4CC99}" srcOrd="2" destOrd="0" presId="urn:microsoft.com/office/officeart/2008/layout/NameandTitleOrganizationalChart"/>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1E65722-49D1-5545-A3D3-480F953B6026}" type="doc">
      <dgm:prSet loTypeId="urn:microsoft.com/office/officeart/2005/8/layout/process4" loCatId="" qsTypeId="urn:microsoft.com/office/officeart/2005/8/quickstyle/simple4" qsCatId="simple" csTypeId="urn:microsoft.com/office/officeart/2005/8/colors/accent1_2" csCatId="accent1" phldr="1"/>
      <dgm:spPr/>
      <dgm:t>
        <a:bodyPr/>
        <a:lstStyle/>
        <a:p>
          <a:endParaRPr lang="en-US"/>
        </a:p>
      </dgm:t>
    </dgm:pt>
    <dgm:pt modelId="{EC2BAC48-FEBF-4841-A5EC-8A293AEAAB53}">
      <dgm:prSet phldrT="[Text]" custT="1"/>
      <dgm:spPr/>
      <dgm:t>
        <a:bodyPr/>
        <a:lstStyle/>
        <a:p>
          <a:r>
            <a:rPr lang="en-US" sz="1100">
              <a:solidFill>
                <a:schemeClr val="tx1"/>
              </a:solidFill>
            </a:rPr>
            <a:t>Intelektinis kapitalas</a:t>
          </a:r>
        </a:p>
      </dgm:t>
    </dgm:pt>
    <dgm:pt modelId="{D62B2107-B3ED-C749-8198-3D523C6B6115}" type="parTrans" cxnId="{6D94112A-08D5-6B48-AF6B-1A58ECF94980}">
      <dgm:prSet/>
      <dgm:spPr/>
      <dgm:t>
        <a:bodyPr/>
        <a:lstStyle/>
        <a:p>
          <a:endParaRPr lang="en-US" sz="1100">
            <a:solidFill>
              <a:schemeClr val="tx1"/>
            </a:solidFill>
          </a:endParaRPr>
        </a:p>
      </dgm:t>
    </dgm:pt>
    <dgm:pt modelId="{FC4FFA55-4F4D-DC44-BEA8-ACB9A65E9E3B}" type="sibTrans" cxnId="{6D94112A-08D5-6B48-AF6B-1A58ECF94980}">
      <dgm:prSet/>
      <dgm:spPr/>
      <dgm:t>
        <a:bodyPr/>
        <a:lstStyle/>
        <a:p>
          <a:endParaRPr lang="en-US" sz="1100">
            <a:solidFill>
              <a:schemeClr val="tx1"/>
            </a:solidFill>
          </a:endParaRPr>
        </a:p>
      </dgm:t>
    </dgm:pt>
    <dgm:pt modelId="{949207D8-AF5F-8646-B881-4ACFD97DB783}">
      <dgm:prSet phldrT="[Text]" custT="1"/>
      <dgm:spPr/>
      <dgm:t>
        <a:bodyPr/>
        <a:lstStyle/>
        <a:p>
          <a:r>
            <a:rPr lang="en-US" sz="1100">
              <a:solidFill>
                <a:schemeClr val="tx1"/>
              </a:solidFill>
            </a:rPr>
            <a:t>Kapitalas</a:t>
          </a:r>
        </a:p>
      </dgm:t>
    </dgm:pt>
    <dgm:pt modelId="{48213DAA-5F07-2D4B-93B2-2D0CA9C9B0CE}" type="parTrans" cxnId="{F1203982-E64E-3349-A5E6-C27010F7C1F8}">
      <dgm:prSet/>
      <dgm:spPr/>
      <dgm:t>
        <a:bodyPr/>
        <a:lstStyle/>
        <a:p>
          <a:endParaRPr lang="en-US" sz="1100">
            <a:solidFill>
              <a:schemeClr val="tx1"/>
            </a:solidFill>
          </a:endParaRPr>
        </a:p>
      </dgm:t>
    </dgm:pt>
    <dgm:pt modelId="{53AA49EA-8EDE-C44B-BDA2-26ACA862CB3C}" type="sibTrans" cxnId="{F1203982-E64E-3349-A5E6-C27010F7C1F8}">
      <dgm:prSet/>
      <dgm:spPr/>
      <dgm:t>
        <a:bodyPr/>
        <a:lstStyle/>
        <a:p>
          <a:endParaRPr lang="en-US" sz="1100">
            <a:solidFill>
              <a:schemeClr val="tx1"/>
            </a:solidFill>
          </a:endParaRPr>
        </a:p>
      </dgm:t>
    </dgm:pt>
    <dgm:pt modelId="{8676D40C-680F-6B4C-A463-4C7D5081DA86}">
      <dgm:prSet phldrT="[Text]" custT="1"/>
      <dgm:spPr/>
      <dgm:t>
        <a:bodyPr/>
        <a:lstStyle/>
        <a:p>
          <a:r>
            <a:rPr lang="en-US" sz="1100">
              <a:solidFill>
                <a:schemeClr val="tx1"/>
              </a:solidFill>
            </a:rPr>
            <a:t>Žmogiškasis</a:t>
          </a:r>
        </a:p>
      </dgm:t>
    </dgm:pt>
    <dgm:pt modelId="{AC2081E4-8C20-7E4C-8650-80A828F58746}" type="parTrans" cxnId="{7AA64694-6846-D542-8C14-E6F6BBA9D182}">
      <dgm:prSet/>
      <dgm:spPr/>
      <dgm:t>
        <a:bodyPr/>
        <a:lstStyle/>
        <a:p>
          <a:endParaRPr lang="en-US" sz="1100">
            <a:solidFill>
              <a:schemeClr val="tx1"/>
            </a:solidFill>
          </a:endParaRPr>
        </a:p>
      </dgm:t>
    </dgm:pt>
    <dgm:pt modelId="{0E5DFB59-1D6F-F641-B5B2-D20BF4E26BDA}" type="sibTrans" cxnId="{7AA64694-6846-D542-8C14-E6F6BBA9D182}">
      <dgm:prSet/>
      <dgm:spPr/>
      <dgm:t>
        <a:bodyPr/>
        <a:lstStyle/>
        <a:p>
          <a:endParaRPr lang="en-US" sz="1100">
            <a:solidFill>
              <a:schemeClr val="tx1"/>
            </a:solidFill>
          </a:endParaRPr>
        </a:p>
      </dgm:t>
    </dgm:pt>
    <dgm:pt modelId="{7E801BDF-4C4D-3D45-B1E6-1D172467FDB9}">
      <dgm:prSet phldrT="[Text]" custT="1"/>
      <dgm:spPr/>
      <dgm:t>
        <a:bodyPr/>
        <a:lstStyle/>
        <a:p>
          <a:r>
            <a:rPr lang="en-US" sz="1100">
              <a:solidFill>
                <a:schemeClr val="tx1"/>
              </a:solidFill>
            </a:rPr>
            <a:t>Organizacinis</a:t>
          </a:r>
        </a:p>
      </dgm:t>
    </dgm:pt>
    <dgm:pt modelId="{0A7761E8-D6DD-DC42-886F-6D9F5B966304}" type="parTrans" cxnId="{9DA3F1F3-2249-5843-9AD9-C093634FA0D6}">
      <dgm:prSet/>
      <dgm:spPr/>
      <dgm:t>
        <a:bodyPr/>
        <a:lstStyle/>
        <a:p>
          <a:endParaRPr lang="en-US" sz="1100">
            <a:solidFill>
              <a:schemeClr val="tx1"/>
            </a:solidFill>
          </a:endParaRPr>
        </a:p>
      </dgm:t>
    </dgm:pt>
    <dgm:pt modelId="{48DE140E-406F-F049-A01B-109917B0C3BF}" type="sibTrans" cxnId="{9DA3F1F3-2249-5843-9AD9-C093634FA0D6}">
      <dgm:prSet/>
      <dgm:spPr/>
      <dgm:t>
        <a:bodyPr/>
        <a:lstStyle/>
        <a:p>
          <a:endParaRPr lang="en-US" sz="1100">
            <a:solidFill>
              <a:schemeClr val="tx1"/>
            </a:solidFill>
          </a:endParaRPr>
        </a:p>
      </dgm:t>
    </dgm:pt>
    <dgm:pt modelId="{880A65A5-60CE-4F42-9F1B-952DCD208BBD}">
      <dgm:prSet phldrT="[Text]" custT="1"/>
      <dgm:spPr/>
      <dgm:t>
        <a:bodyPr/>
        <a:lstStyle/>
        <a:p>
          <a:r>
            <a:rPr lang="en-US" sz="1100">
              <a:solidFill>
                <a:schemeClr val="tx1"/>
              </a:solidFill>
            </a:rPr>
            <a:t>Neapčiuopiama</a:t>
          </a:r>
        </a:p>
      </dgm:t>
    </dgm:pt>
    <dgm:pt modelId="{84DE07DA-040E-B24E-8E18-B6EE8F6BC7B5}" type="parTrans" cxnId="{3AC1B52A-2493-294E-B965-694872D272C6}">
      <dgm:prSet/>
      <dgm:spPr/>
      <dgm:t>
        <a:bodyPr/>
        <a:lstStyle/>
        <a:p>
          <a:endParaRPr lang="en-US" sz="1100">
            <a:solidFill>
              <a:schemeClr val="tx1"/>
            </a:solidFill>
          </a:endParaRPr>
        </a:p>
      </dgm:t>
    </dgm:pt>
    <dgm:pt modelId="{2B661D4B-277C-AC4A-8A9C-C1E7B9623DC5}" type="sibTrans" cxnId="{3AC1B52A-2493-294E-B965-694872D272C6}">
      <dgm:prSet/>
      <dgm:spPr/>
      <dgm:t>
        <a:bodyPr/>
        <a:lstStyle/>
        <a:p>
          <a:endParaRPr lang="en-US" sz="1100">
            <a:solidFill>
              <a:schemeClr val="tx1"/>
            </a:solidFill>
          </a:endParaRPr>
        </a:p>
      </dgm:t>
    </dgm:pt>
    <dgm:pt modelId="{771E6BC9-0221-0742-9824-E4A430B526AE}">
      <dgm:prSet phldrT="[Text]" custT="1"/>
      <dgm:spPr/>
      <dgm:t>
        <a:bodyPr/>
        <a:lstStyle/>
        <a:p>
          <a:r>
            <a:rPr lang="en-US" sz="1100">
              <a:solidFill>
                <a:schemeClr val="tx1"/>
              </a:solidFill>
            </a:rPr>
            <a:t>Žinios          Įgūdžiai          Gebėjimai</a:t>
          </a:r>
        </a:p>
      </dgm:t>
    </dgm:pt>
    <dgm:pt modelId="{5A0424AA-5121-5348-AE76-DF0E5FC61949}" type="parTrans" cxnId="{356D1B52-7473-6A44-A16E-608B36B62152}">
      <dgm:prSet/>
      <dgm:spPr/>
      <dgm:t>
        <a:bodyPr/>
        <a:lstStyle/>
        <a:p>
          <a:endParaRPr lang="en-US" sz="1100">
            <a:solidFill>
              <a:schemeClr val="tx1"/>
            </a:solidFill>
          </a:endParaRPr>
        </a:p>
      </dgm:t>
    </dgm:pt>
    <dgm:pt modelId="{472223F7-71B7-8A47-9B44-B110E9CBDCFA}" type="sibTrans" cxnId="{356D1B52-7473-6A44-A16E-608B36B62152}">
      <dgm:prSet/>
      <dgm:spPr/>
      <dgm:t>
        <a:bodyPr/>
        <a:lstStyle/>
        <a:p>
          <a:endParaRPr lang="en-US" sz="1100">
            <a:solidFill>
              <a:schemeClr val="tx1"/>
            </a:solidFill>
          </a:endParaRPr>
        </a:p>
      </dgm:t>
    </dgm:pt>
    <dgm:pt modelId="{88F88075-92BF-4E44-BA4D-4AEC03A42108}">
      <dgm:prSet phldrT="[Text]" custT="1"/>
      <dgm:spPr/>
      <dgm:t>
        <a:bodyPr/>
        <a:lstStyle/>
        <a:p>
          <a:r>
            <a:rPr lang="en-US" sz="1100">
              <a:solidFill>
                <a:schemeClr val="tx1"/>
              </a:solidFill>
            </a:rPr>
            <a:t>Vartotojų</a:t>
          </a:r>
        </a:p>
      </dgm:t>
    </dgm:pt>
    <dgm:pt modelId="{00BFBE11-8EEE-214D-A3B5-1A358F1C2111}" type="parTrans" cxnId="{D318B182-8222-3346-B715-0908821974EA}">
      <dgm:prSet/>
      <dgm:spPr/>
      <dgm:t>
        <a:bodyPr/>
        <a:lstStyle/>
        <a:p>
          <a:endParaRPr lang="en-US" sz="1100">
            <a:solidFill>
              <a:schemeClr val="tx1"/>
            </a:solidFill>
          </a:endParaRPr>
        </a:p>
      </dgm:t>
    </dgm:pt>
    <dgm:pt modelId="{5211FC7B-0783-DD49-8FF7-A359FA9118F9}" type="sibTrans" cxnId="{D318B182-8222-3346-B715-0908821974EA}">
      <dgm:prSet/>
      <dgm:spPr/>
      <dgm:t>
        <a:bodyPr/>
        <a:lstStyle/>
        <a:p>
          <a:endParaRPr lang="en-US" sz="1100">
            <a:solidFill>
              <a:schemeClr val="tx1"/>
            </a:solidFill>
          </a:endParaRPr>
        </a:p>
      </dgm:t>
    </dgm:pt>
    <dgm:pt modelId="{C66B6857-915E-B048-B9B0-F2035FA38D1E}">
      <dgm:prSet phldrT="[Text]" custT="1"/>
      <dgm:spPr/>
      <dgm:t>
        <a:bodyPr/>
        <a:lstStyle/>
        <a:p>
          <a:r>
            <a:rPr lang="en-US" sz="1100">
              <a:solidFill>
                <a:schemeClr val="tx1"/>
              </a:solidFill>
            </a:rPr>
            <a:t>Tobulėjimas</a:t>
          </a:r>
        </a:p>
      </dgm:t>
    </dgm:pt>
    <dgm:pt modelId="{9E5FA119-2D53-D145-9C06-60C6B458AF6F}" type="parTrans" cxnId="{FAFFBE7C-F6C7-E746-ACFC-6F7EA99015AD}">
      <dgm:prSet/>
      <dgm:spPr/>
      <dgm:t>
        <a:bodyPr/>
        <a:lstStyle/>
        <a:p>
          <a:endParaRPr lang="en-US" sz="1100">
            <a:solidFill>
              <a:schemeClr val="tx1"/>
            </a:solidFill>
          </a:endParaRPr>
        </a:p>
      </dgm:t>
    </dgm:pt>
    <dgm:pt modelId="{EDC347CA-3EE6-EF4D-BF85-19CA0DE705F5}" type="sibTrans" cxnId="{FAFFBE7C-F6C7-E746-ACFC-6F7EA99015AD}">
      <dgm:prSet/>
      <dgm:spPr/>
      <dgm:t>
        <a:bodyPr/>
        <a:lstStyle/>
        <a:p>
          <a:endParaRPr lang="en-US" sz="1100">
            <a:solidFill>
              <a:schemeClr val="tx1"/>
            </a:solidFill>
          </a:endParaRPr>
        </a:p>
      </dgm:t>
    </dgm:pt>
    <dgm:pt modelId="{5C8A218E-8457-DC47-A5DD-BFC857842245}">
      <dgm:prSet phldrT="[Text]" custT="1"/>
      <dgm:spPr/>
      <dgm:t>
        <a:bodyPr/>
        <a:lstStyle/>
        <a:p>
          <a:r>
            <a:rPr lang="en-US" sz="1100">
              <a:solidFill>
                <a:schemeClr val="tx1"/>
              </a:solidFill>
            </a:rPr>
            <a:t>Kompetencija</a:t>
          </a:r>
        </a:p>
      </dgm:t>
    </dgm:pt>
    <dgm:pt modelId="{83493161-B1FB-D543-BF5F-E1B4A119FDCA}" type="parTrans" cxnId="{52FB74E7-7104-7745-99E6-DB1D1626E687}">
      <dgm:prSet/>
      <dgm:spPr/>
      <dgm:t>
        <a:bodyPr/>
        <a:lstStyle/>
        <a:p>
          <a:endParaRPr lang="en-US" sz="1100">
            <a:solidFill>
              <a:schemeClr val="tx1"/>
            </a:solidFill>
          </a:endParaRPr>
        </a:p>
      </dgm:t>
    </dgm:pt>
    <dgm:pt modelId="{B73650AF-6F10-6740-BE76-7C194F59855F}" type="sibTrans" cxnId="{52FB74E7-7104-7745-99E6-DB1D1626E687}">
      <dgm:prSet/>
      <dgm:spPr/>
      <dgm:t>
        <a:bodyPr/>
        <a:lstStyle/>
        <a:p>
          <a:endParaRPr lang="en-US" sz="1100">
            <a:solidFill>
              <a:schemeClr val="tx1"/>
            </a:solidFill>
          </a:endParaRPr>
        </a:p>
      </dgm:t>
    </dgm:pt>
    <dgm:pt modelId="{CC50646B-9653-7344-B061-D3E573360F75}">
      <dgm:prSet phldrT="[Text]" custT="1"/>
      <dgm:spPr/>
      <dgm:t>
        <a:bodyPr/>
        <a:lstStyle/>
        <a:p>
          <a:r>
            <a:rPr lang="en-US" sz="1100">
              <a:solidFill>
                <a:schemeClr val="tx1"/>
              </a:solidFill>
            </a:rPr>
            <a:t>Sukurta pridėtinė vertė</a:t>
          </a:r>
        </a:p>
      </dgm:t>
    </dgm:pt>
    <dgm:pt modelId="{109F58BF-5CFF-F844-A520-B3AF71DE1C23}" type="parTrans" cxnId="{FC4355AB-6D48-D64E-A830-DACC36332A70}">
      <dgm:prSet/>
      <dgm:spPr/>
      <dgm:t>
        <a:bodyPr/>
        <a:lstStyle/>
        <a:p>
          <a:endParaRPr lang="en-US" sz="1100">
            <a:solidFill>
              <a:schemeClr val="tx1"/>
            </a:solidFill>
          </a:endParaRPr>
        </a:p>
      </dgm:t>
    </dgm:pt>
    <dgm:pt modelId="{C2B91001-57B8-6D43-96E2-418E28F2C059}" type="sibTrans" cxnId="{FC4355AB-6D48-D64E-A830-DACC36332A70}">
      <dgm:prSet/>
      <dgm:spPr/>
      <dgm:t>
        <a:bodyPr/>
        <a:lstStyle/>
        <a:p>
          <a:endParaRPr lang="en-US" sz="1100">
            <a:solidFill>
              <a:schemeClr val="tx1"/>
            </a:solidFill>
          </a:endParaRPr>
        </a:p>
      </dgm:t>
    </dgm:pt>
    <dgm:pt modelId="{2ECC71C2-B869-6D47-9428-23B861A8CE09}" type="pres">
      <dgm:prSet presAssocID="{A1E65722-49D1-5545-A3D3-480F953B6026}" presName="Name0" presStyleCnt="0">
        <dgm:presLayoutVars>
          <dgm:dir/>
          <dgm:animLvl val="lvl"/>
          <dgm:resizeHandles val="exact"/>
        </dgm:presLayoutVars>
      </dgm:prSet>
      <dgm:spPr/>
      <dgm:t>
        <a:bodyPr/>
        <a:lstStyle/>
        <a:p>
          <a:endParaRPr lang="en-US"/>
        </a:p>
      </dgm:t>
    </dgm:pt>
    <dgm:pt modelId="{8BC5A30B-C175-F240-9A32-83E49ED4134D}" type="pres">
      <dgm:prSet presAssocID="{CC50646B-9653-7344-B061-D3E573360F75}" presName="boxAndChildren" presStyleCnt="0"/>
      <dgm:spPr/>
    </dgm:pt>
    <dgm:pt modelId="{E3EE26EB-9029-B64A-9417-3A96E793547D}" type="pres">
      <dgm:prSet presAssocID="{CC50646B-9653-7344-B061-D3E573360F75}" presName="parentTextBox" presStyleLbl="node1" presStyleIdx="0" presStyleCnt="7"/>
      <dgm:spPr/>
      <dgm:t>
        <a:bodyPr/>
        <a:lstStyle/>
        <a:p>
          <a:endParaRPr lang="en-US"/>
        </a:p>
      </dgm:t>
    </dgm:pt>
    <dgm:pt modelId="{E7C3AF2F-6285-374C-9A29-8BDDDBCD7F77}" type="pres">
      <dgm:prSet presAssocID="{B73650AF-6F10-6740-BE76-7C194F59855F}" presName="sp" presStyleCnt="0"/>
      <dgm:spPr/>
    </dgm:pt>
    <dgm:pt modelId="{D102F9EC-8F5E-DF49-859A-D38DDEF1AB6B}" type="pres">
      <dgm:prSet presAssocID="{5C8A218E-8457-DC47-A5DD-BFC857842245}" presName="arrowAndChildren" presStyleCnt="0"/>
      <dgm:spPr/>
    </dgm:pt>
    <dgm:pt modelId="{59736276-E3B9-3C4E-8A3A-971FB3213760}" type="pres">
      <dgm:prSet presAssocID="{5C8A218E-8457-DC47-A5DD-BFC857842245}" presName="parentTextArrow" presStyleLbl="node1" presStyleIdx="1" presStyleCnt="7"/>
      <dgm:spPr/>
      <dgm:t>
        <a:bodyPr/>
        <a:lstStyle/>
        <a:p>
          <a:endParaRPr lang="en-US"/>
        </a:p>
      </dgm:t>
    </dgm:pt>
    <dgm:pt modelId="{0E05B941-159F-4744-85E8-232E44839085}" type="pres">
      <dgm:prSet presAssocID="{EDC347CA-3EE6-EF4D-BF85-19CA0DE705F5}" presName="sp" presStyleCnt="0"/>
      <dgm:spPr/>
    </dgm:pt>
    <dgm:pt modelId="{31F8B9C9-E90A-3143-937C-CFBF836E1667}" type="pres">
      <dgm:prSet presAssocID="{C66B6857-915E-B048-B9B0-F2035FA38D1E}" presName="arrowAndChildren" presStyleCnt="0"/>
      <dgm:spPr/>
    </dgm:pt>
    <dgm:pt modelId="{4DC7545D-8975-594C-97BD-D7AC226CAA2F}" type="pres">
      <dgm:prSet presAssocID="{C66B6857-915E-B048-B9B0-F2035FA38D1E}" presName="parentTextArrow" presStyleLbl="node1" presStyleIdx="2" presStyleCnt="7"/>
      <dgm:spPr/>
      <dgm:t>
        <a:bodyPr/>
        <a:lstStyle/>
        <a:p>
          <a:endParaRPr lang="en-US"/>
        </a:p>
      </dgm:t>
    </dgm:pt>
    <dgm:pt modelId="{37D829A1-3A0D-994A-A9F5-1DC262827C9B}" type="pres">
      <dgm:prSet presAssocID="{472223F7-71B7-8A47-9B44-B110E9CBDCFA}" presName="sp" presStyleCnt="0"/>
      <dgm:spPr/>
    </dgm:pt>
    <dgm:pt modelId="{5D542485-478C-8B4C-AF9E-F68C5E732CE7}" type="pres">
      <dgm:prSet presAssocID="{771E6BC9-0221-0742-9824-E4A430B526AE}" presName="arrowAndChildren" presStyleCnt="0"/>
      <dgm:spPr/>
    </dgm:pt>
    <dgm:pt modelId="{8AF3D934-908F-8040-BB31-3124DCEA844F}" type="pres">
      <dgm:prSet presAssocID="{771E6BC9-0221-0742-9824-E4A430B526AE}" presName="parentTextArrow" presStyleLbl="node1" presStyleIdx="3" presStyleCnt="7"/>
      <dgm:spPr/>
      <dgm:t>
        <a:bodyPr/>
        <a:lstStyle/>
        <a:p>
          <a:endParaRPr lang="en-US"/>
        </a:p>
      </dgm:t>
    </dgm:pt>
    <dgm:pt modelId="{F6D34DB6-DB88-3940-B148-628DF270DEA7}" type="pres">
      <dgm:prSet presAssocID="{2B661D4B-277C-AC4A-8A9C-C1E7B9623DC5}" presName="sp" presStyleCnt="0"/>
      <dgm:spPr/>
    </dgm:pt>
    <dgm:pt modelId="{A8AE8E00-E720-C34F-9F79-664FA8A40574}" type="pres">
      <dgm:prSet presAssocID="{880A65A5-60CE-4F42-9F1B-952DCD208BBD}" presName="arrowAndChildren" presStyleCnt="0"/>
      <dgm:spPr/>
    </dgm:pt>
    <dgm:pt modelId="{CBE0BEE5-BD14-7343-AC4B-7E768CFD813E}" type="pres">
      <dgm:prSet presAssocID="{880A65A5-60CE-4F42-9F1B-952DCD208BBD}" presName="parentTextArrow" presStyleLbl="node1" presStyleIdx="4" presStyleCnt="7"/>
      <dgm:spPr/>
      <dgm:t>
        <a:bodyPr/>
        <a:lstStyle/>
        <a:p>
          <a:endParaRPr lang="en-US"/>
        </a:p>
      </dgm:t>
    </dgm:pt>
    <dgm:pt modelId="{4925FAA4-4F0F-F744-BDD1-E5F0EDF97B05}" type="pres">
      <dgm:prSet presAssocID="{53AA49EA-8EDE-C44B-BDA2-26ACA862CB3C}" presName="sp" presStyleCnt="0"/>
      <dgm:spPr/>
    </dgm:pt>
    <dgm:pt modelId="{63411C16-050F-2348-AC75-BC60F17D87FF}" type="pres">
      <dgm:prSet presAssocID="{949207D8-AF5F-8646-B881-4ACFD97DB783}" presName="arrowAndChildren" presStyleCnt="0"/>
      <dgm:spPr/>
    </dgm:pt>
    <dgm:pt modelId="{02A79CD2-1241-AC41-A03E-AF37A90A19E2}" type="pres">
      <dgm:prSet presAssocID="{949207D8-AF5F-8646-B881-4ACFD97DB783}" presName="parentTextArrow" presStyleLbl="node1" presStyleIdx="4" presStyleCnt="7"/>
      <dgm:spPr/>
      <dgm:t>
        <a:bodyPr/>
        <a:lstStyle/>
        <a:p>
          <a:endParaRPr lang="en-US"/>
        </a:p>
      </dgm:t>
    </dgm:pt>
    <dgm:pt modelId="{42F96FA4-44DE-074D-8206-CF9653DC6E2D}" type="pres">
      <dgm:prSet presAssocID="{949207D8-AF5F-8646-B881-4ACFD97DB783}" presName="arrow" presStyleLbl="node1" presStyleIdx="5" presStyleCnt="7"/>
      <dgm:spPr/>
      <dgm:t>
        <a:bodyPr/>
        <a:lstStyle/>
        <a:p>
          <a:endParaRPr lang="en-US"/>
        </a:p>
      </dgm:t>
    </dgm:pt>
    <dgm:pt modelId="{B7D69AD1-4CCE-3246-A1B9-01C79A8762C6}" type="pres">
      <dgm:prSet presAssocID="{949207D8-AF5F-8646-B881-4ACFD97DB783}" presName="descendantArrow" presStyleCnt="0"/>
      <dgm:spPr/>
    </dgm:pt>
    <dgm:pt modelId="{85ECFA9B-49B9-964A-A4AE-D6399BCF782A}" type="pres">
      <dgm:prSet presAssocID="{8676D40C-680F-6B4C-A463-4C7D5081DA86}" presName="childTextArrow" presStyleLbl="fgAccFollowNode1" presStyleIdx="0" presStyleCnt="3">
        <dgm:presLayoutVars>
          <dgm:bulletEnabled val="1"/>
        </dgm:presLayoutVars>
      </dgm:prSet>
      <dgm:spPr/>
      <dgm:t>
        <a:bodyPr/>
        <a:lstStyle/>
        <a:p>
          <a:endParaRPr lang="en-US"/>
        </a:p>
      </dgm:t>
    </dgm:pt>
    <dgm:pt modelId="{9F8FCC50-9F32-5C43-A4FD-920231409A34}" type="pres">
      <dgm:prSet presAssocID="{7E801BDF-4C4D-3D45-B1E6-1D172467FDB9}" presName="childTextArrow" presStyleLbl="fgAccFollowNode1" presStyleIdx="1" presStyleCnt="3">
        <dgm:presLayoutVars>
          <dgm:bulletEnabled val="1"/>
        </dgm:presLayoutVars>
      </dgm:prSet>
      <dgm:spPr/>
      <dgm:t>
        <a:bodyPr/>
        <a:lstStyle/>
        <a:p>
          <a:endParaRPr lang="en-US"/>
        </a:p>
      </dgm:t>
    </dgm:pt>
    <dgm:pt modelId="{1C396A88-B99B-0048-8731-A2E1C51E55E2}" type="pres">
      <dgm:prSet presAssocID="{88F88075-92BF-4E44-BA4D-4AEC03A42108}" presName="childTextArrow" presStyleLbl="fgAccFollowNode1" presStyleIdx="2" presStyleCnt="3">
        <dgm:presLayoutVars>
          <dgm:bulletEnabled val="1"/>
        </dgm:presLayoutVars>
      </dgm:prSet>
      <dgm:spPr/>
      <dgm:t>
        <a:bodyPr/>
        <a:lstStyle/>
        <a:p>
          <a:endParaRPr lang="en-US"/>
        </a:p>
      </dgm:t>
    </dgm:pt>
    <dgm:pt modelId="{1C61B77A-0D3C-ED44-9288-294258451EA3}" type="pres">
      <dgm:prSet presAssocID="{FC4FFA55-4F4D-DC44-BEA8-ACB9A65E9E3B}" presName="sp" presStyleCnt="0"/>
      <dgm:spPr/>
    </dgm:pt>
    <dgm:pt modelId="{AB6ECF66-BA1C-064F-81EA-634C34624920}" type="pres">
      <dgm:prSet presAssocID="{EC2BAC48-FEBF-4841-A5EC-8A293AEAAB53}" presName="arrowAndChildren" presStyleCnt="0"/>
      <dgm:spPr/>
    </dgm:pt>
    <dgm:pt modelId="{9FD387DA-3AE6-E249-9562-221F11031921}" type="pres">
      <dgm:prSet presAssocID="{EC2BAC48-FEBF-4841-A5EC-8A293AEAAB53}" presName="parentTextArrow" presStyleLbl="node1" presStyleIdx="6" presStyleCnt="7"/>
      <dgm:spPr/>
      <dgm:t>
        <a:bodyPr/>
        <a:lstStyle/>
        <a:p>
          <a:endParaRPr lang="en-US"/>
        </a:p>
      </dgm:t>
    </dgm:pt>
  </dgm:ptLst>
  <dgm:cxnLst>
    <dgm:cxn modelId="{7AA64694-6846-D542-8C14-E6F6BBA9D182}" srcId="{949207D8-AF5F-8646-B881-4ACFD97DB783}" destId="{8676D40C-680F-6B4C-A463-4C7D5081DA86}" srcOrd="0" destOrd="0" parTransId="{AC2081E4-8C20-7E4C-8650-80A828F58746}" sibTransId="{0E5DFB59-1D6F-F641-B5B2-D20BF4E26BDA}"/>
    <dgm:cxn modelId="{9DA3F1F3-2249-5843-9AD9-C093634FA0D6}" srcId="{949207D8-AF5F-8646-B881-4ACFD97DB783}" destId="{7E801BDF-4C4D-3D45-B1E6-1D172467FDB9}" srcOrd="1" destOrd="0" parTransId="{0A7761E8-D6DD-DC42-886F-6D9F5B966304}" sibTransId="{48DE140E-406F-F049-A01B-109917B0C3BF}"/>
    <dgm:cxn modelId="{D318B182-8222-3346-B715-0908821974EA}" srcId="{949207D8-AF5F-8646-B881-4ACFD97DB783}" destId="{88F88075-92BF-4E44-BA4D-4AEC03A42108}" srcOrd="2" destOrd="0" parTransId="{00BFBE11-8EEE-214D-A3B5-1A358F1C2111}" sibTransId="{5211FC7B-0783-DD49-8FF7-A359FA9118F9}"/>
    <dgm:cxn modelId="{2432057B-C5AE-40DB-A47E-BBC5E8006C1F}" type="presOf" srcId="{771E6BC9-0221-0742-9824-E4A430B526AE}" destId="{8AF3D934-908F-8040-BB31-3124DCEA844F}" srcOrd="0" destOrd="0" presId="urn:microsoft.com/office/officeart/2005/8/layout/process4"/>
    <dgm:cxn modelId="{36C94B77-6215-449C-BA83-6F1468F6C1BC}" type="presOf" srcId="{880A65A5-60CE-4F42-9F1B-952DCD208BBD}" destId="{CBE0BEE5-BD14-7343-AC4B-7E768CFD813E}" srcOrd="0" destOrd="0" presId="urn:microsoft.com/office/officeart/2005/8/layout/process4"/>
    <dgm:cxn modelId="{BA0AFAC3-F9AA-4C48-99DF-33E1A49CD726}" type="presOf" srcId="{949207D8-AF5F-8646-B881-4ACFD97DB783}" destId="{02A79CD2-1241-AC41-A03E-AF37A90A19E2}" srcOrd="0" destOrd="0" presId="urn:microsoft.com/office/officeart/2005/8/layout/process4"/>
    <dgm:cxn modelId="{2BEADEB1-89A1-4463-9052-44C7494ED941}" type="presOf" srcId="{C66B6857-915E-B048-B9B0-F2035FA38D1E}" destId="{4DC7545D-8975-594C-97BD-D7AC226CAA2F}" srcOrd="0" destOrd="0" presId="urn:microsoft.com/office/officeart/2005/8/layout/process4"/>
    <dgm:cxn modelId="{6EABF4AF-5556-487A-9BC9-B4F35B1E9E80}" type="presOf" srcId="{949207D8-AF5F-8646-B881-4ACFD97DB783}" destId="{42F96FA4-44DE-074D-8206-CF9653DC6E2D}" srcOrd="1" destOrd="0" presId="urn:microsoft.com/office/officeart/2005/8/layout/process4"/>
    <dgm:cxn modelId="{4CD2522E-24C5-4807-9199-D65C59704F12}" type="presOf" srcId="{CC50646B-9653-7344-B061-D3E573360F75}" destId="{E3EE26EB-9029-B64A-9417-3A96E793547D}" srcOrd="0" destOrd="0" presId="urn:microsoft.com/office/officeart/2005/8/layout/process4"/>
    <dgm:cxn modelId="{F1203982-E64E-3349-A5E6-C27010F7C1F8}" srcId="{A1E65722-49D1-5545-A3D3-480F953B6026}" destId="{949207D8-AF5F-8646-B881-4ACFD97DB783}" srcOrd="1" destOrd="0" parTransId="{48213DAA-5F07-2D4B-93B2-2D0CA9C9B0CE}" sibTransId="{53AA49EA-8EDE-C44B-BDA2-26ACA862CB3C}"/>
    <dgm:cxn modelId="{FC4355AB-6D48-D64E-A830-DACC36332A70}" srcId="{A1E65722-49D1-5545-A3D3-480F953B6026}" destId="{CC50646B-9653-7344-B061-D3E573360F75}" srcOrd="6" destOrd="0" parTransId="{109F58BF-5CFF-F844-A520-B3AF71DE1C23}" sibTransId="{C2B91001-57B8-6D43-96E2-418E28F2C059}"/>
    <dgm:cxn modelId="{6D94112A-08D5-6B48-AF6B-1A58ECF94980}" srcId="{A1E65722-49D1-5545-A3D3-480F953B6026}" destId="{EC2BAC48-FEBF-4841-A5EC-8A293AEAAB53}" srcOrd="0" destOrd="0" parTransId="{D62B2107-B3ED-C749-8198-3D523C6B6115}" sibTransId="{FC4FFA55-4F4D-DC44-BEA8-ACB9A65E9E3B}"/>
    <dgm:cxn modelId="{52FB74E7-7104-7745-99E6-DB1D1626E687}" srcId="{A1E65722-49D1-5545-A3D3-480F953B6026}" destId="{5C8A218E-8457-DC47-A5DD-BFC857842245}" srcOrd="5" destOrd="0" parTransId="{83493161-B1FB-D543-BF5F-E1B4A119FDCA}" sibTransId="{B73650AF-6F10-6740-BE76-7C194F59855F}"/>
    <dgm:cxn modelId="{032A9734-1C0A-4CE1-9AAD-8E98919F0664}" type="presOf" srcId="{EC2BAC48-FEBF-4841-A5EC-8A293AEAAB53}" destId="{9FD387DA-3AE6-E249-9562-221F11031921}" srcOrd="0" destOrd="0" presId="urn:microsoft.com/office/officeart/2005/8/layout/process4"/>
    <dgm:cxn modelId="{FAFFBE7C-F6C7-E746-ACFC-6F7EA99015AD}" srcId="{A1E65722-49D1-5545-A3D3-480F953B6026}" destId="{C66B6857-915E-B048-B9B0-F2035FA38D1E}" srcOrd="4" destOrd="0" parTransId="{9E5FA119-2D53-D145-9C06-60C6B458AF6F}" sibTransId="{EDC347CA-3EE6-EF4D-BF85-19CA0DE705F5}"/>
    <dgm:cxn modelId="{0C9B950C-759C-4EB3-AE7F-F09F69FC951E}" type="presOf" srcId="{8676D40C-680F-6B4C-A463-4C7D5081DA86}" destId="{85ECFA9B-49B9-964A-A4AE-D6399BCF782A}" srcOrd="0" destOrd="0" presId="urn:microsoft.com/office/officeart/2005/8/layout/process4"/>
    <dgm:cxn modelId="{BCA9107D-A4E6-4200-BD86-3FB68C214728}" type="presOf" srcId="{88F88075-92BF-4E44-BA4D-4AEC03A42108}" destId="{1C396A88-B99B-0048-8731-A2E1C51E55E2}" srcOrd="0" destOrd="0" presId="urn:microsoft.com/office/officeart/2005/8/layout/process4"/>
    <dgm:cxn modelId="{4F45A3AF-289C-4A0D-80D2-AD2745769DCF}" type="presOf" srcId="{7E801BDF-4C4D-3D45-B1E6-1D172467FDB9}" destId="{9F8FCC50-9F32-5C43-A4FD-920231409A34}" srcOrd="0" destOrd="0" presId="urn:microsoft.com/office/officeart/2005/8/layout/process4"/>
    <dgm:cxn modelId="{A33FA0A9-F479-4C2B-8F1A-60AC44AA1C80}" type="presOf" srcId="{A1E65722-49D1-5545-A3D3-480F953B6026}" destId="{2ECC71C2-B869-6D47-9428-23B861A8CE09}" srcOrd="0" destOrd="0" presId="urn:microsoft.com/office/officeart/2005/8/layout/process4"/>
    <dgm:cxn modelId="{CD8EE8AF-97CE-4963-BF63-66B6E074F33B}" type="presOf" srcId="{5C8A218E-8457-DC47-A5DD-BFC857842245}" destId="{59736276-E3B9-3C4E-8A3A-971FB3213760}" srcOrd="0" destOrd="0" presId="urn:microsoft.com/office/officeart/2005/8/layout/process4"/>
    <dgm:cxn modelId="{3AC1B52A-2493-294E-B965-694872D272C6}" srcId="{A1E65722-49D1-5545-A3D3-480F953B6026}" destId="{880A65A5-60CE-4F42-9F1B-952DCD208BBD}" srcOrd="2" destOrd="0" parTransId="{84DE07DA-040E-B24E-8E18-B6EE8F6BC7B5}" sibTransId="{2B661D4B-277C-AC4A-8A9C-C1E7B9623DC5}"/>
    <dgm:cxn modelId="{356D1B52-7473-6A44-A16E-608B36B62152}" srcId="{A1E65722-49D1-5545-A3D3-480F953B6026}" destId="{771E6BC9-0221-0742-9824-E4A430B526AE}" srcOrd="3" destOrd="0" parTransId="{5A0424AA-5121-5348-AE76-DF0E5FC61949}" sibTransId="{472223F7-71B7-8A47-9B44-B110E9CBDCFA}"/>
    <dgm:cxn modelId="{140B4C69-610F-4F95-9530-4D7016554E96}" type="presParOf" srcId="{2ECC71C2-B869-6D47-9428-23B861A8CE09}" destId="{8BC5A30B-C175-F240-9A32-83E49ED4134D}" srcOrd="0" destOrd="0" presId="urn:microsoft.com/office/officeart/2005/8/layout/process4"/>
    <dgm:cxn modelId="{C5ECE33E-CC23-4DE4-993F-C8482469521E}" type="presParOf" srcId="{8BC5A30B-C175-F240-9A32-83E49ED4134D}" destId="{E3EE26EB-9029-B64A-9417-3A96E793547D}" srcOrd="0" destOrd="0" presId="urn:microsoft.com/office/officeart/2005/8/layout/process4"/>
    <dgm:cxn modelId="{FE452AA3-53D1-40C1-9080-F500AC950167}" type="presParOf" srcId="{2ECC71C2-B869-6D47-9428-23B861A8CE09}" destId="{E7C3AF2F-6285-374C-9A29-8BDDDBCD7F77}" srcOrd="1" destOrd="0" presId="urn:microsoft.com/office/officeart/2005/8/layout/process4"/>
    <dgm:cxn modelId="{D444390D-C8B6-4BA8-AB2E-8EE140C922D6}" type="presParOf" srcId="{2ECC71C2-B869-6D47-9428-23B861A8CE09}" destId="{D102F9EC-8F5E-DF49-859A-D38DDEF1AB6B}" srcOrd="2" destOrd="0" presId="urn:microsoft.com/office/officeart/2005/8/layout/process4"/>
    <dgm:cxn modelId="{CE82FC7B-D24D-4985-803D-9F569F87409B}" type="presParOf" srcId="{D102F9EC-8F5E-DF49-859A-D38DDEF1AB6B}" destId="{59736276-E3B9-3C4E-8A3A-971FB3213760}" srcOrd="0" destOrd="0" presId="urn:microsoft.com/office/officeart/2005/8/layout/process4"/>
    <dgm:cxn modelId="{609C02F8-DC13-4B12-8820-B806277F70A1}" type="presParOf" srcId="{2ECC71C2-B869-6D47-9428-23B861A8CE09}" destId="{0E05B941-159F-4744-85E8-232E44839085}" srcOrd="3" destOrd="0" presId="urn:microsoft.com/office/officeart/2005/8/layout/process4"/>
    <dgm:cxn modelId="{7F7CE68D-D259-4ED4-A630-2347504F1272}" type="presParOf" srcId="{2ECC71C2-B869-6D47-9428-23B861A8CE09}" destId="{31F8B9C9-E90A-3143-937C-CFBF836E1667}" srcOrd="4" destOrd="0" presId="urn:microsoft.com/office/officeart/2005/8/layout/process4"/>
    <dgm:cxn modelId="{AC20E627-4BCA-4A3E-BD24-A98292501E12}" type="presParOf" srcId="{31F8B9C9-E90A-3143-937C-CFBF836E1667}" destId="{4DC7545D-8975-594C-97BD-D7AC226CAA2F}" srcOrd="0" destOrd="0" presId="urn:microsoft.com/office/officeart/2005/8/layout/process4"/>
    <dgm:cxn modelId="{D36547FF-181B-46D3-B62C-40DFEBD666B6}" type="presParOf" srcId="{2ECC71C2-B869-6D47-9428-23B861A8CE09}" destId="{37D829A1-3A0D-994A-A9F5-1DC262827C9B}" srcOrd="5" destOrd="0" presId="urn:microsoft.com/office/officeart/2005/8/layout/process4"/>
    <dgm:cxn modelId="{F510B44B-E1DD-4260-9250-456888882FBF}" type="presParOf" srcId="{2ECC71C2-B869-6D47-9428-23B861A8CE09}" destId="{5D542485-478C-8B4C-AF9E-F68C5E732CE7}" srcOrd="6" destOrd="0" presId="urn:microsoft.com/office/officeart/2005/8/layout/process4"/>
    <dgm:cxn modelId="{AD86F976-899A-45E5-B005-3C68D266C36C}" type="presParOf" srcId="{5D542485-478C-8B4C-AF9E-F68C5E732CE7}" destId="{8AF3D934-908F-8040-BB31-3124DCEA844F}" srcOrd="0" destOrd="0" presId="urn:microsoft.com/office/officeart/2005/8/layout/process4"/>
    <dgm:cxn modelId="{A2472AD2-7A58-4FF7-9992-13D44A5E80EF}" type="presParOf" srcId="{2ECC71C2-B869-6D47-9428-23B861A8CE09}" destId="{F6D34DB6-DB88-3940-B148-628DF270DEA7}" srcOrd="7" destOrd="0" presId="urn:microsoft.com/office/officeart/2005/8/layout/process4"/>
    <dgm:cxn modelId="{34350169-2E90-4631-8CD6-43822239DDCD}" type="presParOf" srcId="{2ECC71C2-B869-6D47-9428-23B861A8CE09}" destId="{A8AE8E00-E720-C34F-9F79-664FA8A40574}" srcOrd="8" destOrd="0" presId="urn:microsoft.com/office/officeart/2005/8/layout/process4"/>
    <dgm:cxn modelId="{55FAE35D-5DFB-450E-BC48-A872FB92931D}" type="presParOf" srcId="{A8AE8E00-E720-C34F-9F79-664FA8A40574}" destId="{CBE0BEE5-BD14-7343-AC4B-7E768CFD813E}" srcOrd="0" destOrd="0" presId="urn:microsoft.com/office/officeart/2005/8/layout/process4"/>
    <dgm:cxn modelId="{2AF3DFE5-2AA8-45B8-8CB8-3B18237198B0}" type="presParOf" srcId="{2ECC71C2-B869-6D47-9428-23B861A8CE09}" destId="{4925FAA4-4F0F-F744-BDD1-E5F0EDF97B05}" srcOrd="9" destOrd="0" presId="urn:microsoft.com/office/officeart/2005/8/layout/process4"/>
    <dgm:cxn modelId="{D9BA78A6-5011-4C95-B264-5701BACF28F9}" type="presParOf" srcId="{2ECC71C2-B869-6D47-9428-23B861A8CE09}" destId="{63411C16-050F-2348-AC75-BC60F17D87FF}" srcOrd="10" destOrd="0" presId="urn:microsoft.com/office/officeart/2005/8/layout/process4"/>
    <dgm:cxn modelId="{12682BA7-5280-42A2-8DE7-97E4D83AFBB9}" type="presParOf" srcId="{63411C16-050F-2348-AC75-BC60F17D87FF}" destId="{02A79CD2-1241-AC41-A03E-AF37A90A19E2}" srcOrd="0" destOrd="0" presId="urn:microsoft.com/office/officeart/2005/8/layout/process4"/>
    <dgm:cxn modelId="{BC3DE0F0-FF05-4BCC-A62E-100B65EEB77F}" type="presParOf" srcId="{63411C16-050F-2348-AC75-BC60F17D87FF}" destId="{42F96FA4-44DE-074D-8206-CF9653DC6E2D}" srcOrd="1" destOrd="0" presId="urn:microsoft.com/office/officeart/2005/8/layout/process4"/>
    <dgm:cxn modelId="{F1136D6E-1EF0-4EF7-80C4-9440D2624A59}" type="presParOf" srcId="{63411C16-050F-2348-AC75-BC60F17D87FF}" destId="{B7D69AD1-4CCE-3246-A1B9-01C79A8762C6}" srcOrd="2" destOrd="0" presId="urn:microsoft.com/office/officeart/2005/8/layout/process4"/>
    <dgm:cxn modelId="{BE4CD8CC-C476-4758-93C3-A2DEB1D7CE9D}" type="presParOf" srcId="{B7D69AD1-4CCE-3246-A1B9-01C79A8762C6}" destId="{85ECFA9B-49B9-964A-A4AE-D6399BCF782A}" srcOrd="0" destOrd="0" presId="urn:microsoft.com/office/officeart/2005/8/layout/process4"/>
    <dgm:cxn modelId="{2527715F-CF9D-48A1-B738-0437D8117B12}" type="presParOf" srcId="{B7D69AD1-4CCE-3246-A1B9-01C79A8762C6}" destId="{9F8FCC50-9F32-5C43-A4FD-920231409A34}" srcOrd="1" destOrd="0" presId="urn:microsoft.com/office/officeart/2005/8/layout/process4"/>
    <dgm:cxn modelId="{B4814AD5-8268-4560-B9D9-58D2F727B071}" type="presParOf" srcId="{B7D69AD1-4CCE-3246-A1B9-01C79A8762C6}" destId="{1C396A88-B99B-0048-8731-A2E1C51E55E2}" srcOrd="2" destOrd="0" presId="urn:microsoft.com/office/officeart/2005/8/layout/process4"/>
    <dgm:cxn modelId="{99BD41C6-501B-4226-B89D-9D11CD49579C}" type="presParOf" srcId="{2ECC71C2-B869-6D47-9428-23B861A8CE09}" destId="{1C61B77A-0D3C-ED44-9288-294258451EA3}" srcOrd="11" destOrd="0" presId="urn:microsoft.com/office/officeart/2005/8/layout/process4"/>
    <dgm:cxn modelId="{31EBACAC-3DFA-4975-8E72-A76291F7DCB9}" type="presParOf" srcId="{2ECC71C2-B869-6D47-9428-23B861A8CE09}" destId="{AB6ECF66-BA1C-064F-81EA-634C34624920}" srcOrd="12" destOrd="0" presId="urn:microsoft.com/office/officeart/2005/8/layout/process4"/>
    <dgm:cxn modelId="{43E6BD8A-082B-47E9-BFC1-14D06CF78182}" type="presParOf" srcId="{AB6ECF66-BA1C-064F-81EA-634C34624920}" destId="{9FD387DA-3AE6-E249-9562-221F11031921}" srcOrd="0" destOrd="0" presId="urn:microsoft.com/office/officeart/2005/8/layout/process4"/>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5A69BA2-84CF-4A4D-815D-209D04EAF9A9}" type="doc">
      <dgm:prSet loTypeId="urn:microsoft.com/office/officeart/2005/8/layout/radial6" loCatId="" qsTypeId="urn:microsoft.com/office/officeart/2005/8/quickstyle/simple3" qsCatId="simple" csTypeId="urn:microsoft.com/office/officeart/2005/8/colors/colorful1#1" csCatId="colorful" phldr="1"/>
      <dgm:spPr/>
      <dgm:t>
        <a:bodyPr/>
        <a:lstStyle/>
        <a:p>
          <a:endParaRPr lang="en-US"/>
        </a:p>
      </dgm:t>
    </dgm:pt>
    <dgm:pt modelId="{B0BF3BE1-603A-E843-BAD8-71A2F7D0601A}">
      <dgm:prSet phldrT="[Text]"/>
      <dgm:spPr>
        <a:xfrm>
          <a:off x="1813744" y="856117"/>
          <a:ext cx="3005888" cy="35353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mbria"/>
              <a:ea typeface="+mn-ea"/>
              <a:cs typeface="+mn-cs"/>
            </a:rPr>
            <a:t>Verslo procesas</a:t>
          </a:r>
        </a:p>
      </dgm:t>
    </dgm:pt>
    <dgm:pt modelId="{D400CF7D-CF1E-E44F-87C9-88E48B6E9B45}" type="parTrans" cxnId="{711D52C6-AD11-0640-A9CD-F735530894B7}">
      <dgm:prSet/>
      <dgm:spPr/>
      <dgm:t>
        <a:bodyPr/>
        <a:lstStyle/>
        <a:p>
          <a:endParaRPr lang="en-US"/>
        </a:p>
      </dgm:t>
    </dgm:pt>
    <dgm:pt modelId="{B65D54E5-4275-A045-A537-5526A7396606}" type="sibTrans" cxnId="{711D52C6-AD11-0640-A9CD-F735530894B7}">
      <dgm:prSet/>
      <dgm:spPr/>
      <dgm:t>
        <a:bodyPr/>
        <a:lstStyle/>
        <a:p>
          <a:endParaRPr lang="en-US"/>
        </a:p>
      </dgm:t>
    </dgm:pt>
    <dgm:pt modelId="{19B37999-ED76-534D-A46A-80FB75148A09}">
      <dgm:prSet phldrT="[Text]"/>
      <dgm:spPr>
        <a:xfrm>
          <a:off x="2585778" y="146931"/>
          <a:ext cx="606696" cy="606696"/>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mbria"/>
              <a:ea typeface="+mn-ea"/>
              <a:cs typeface="+mn-cs"/>
            </a:rPr>
            <a:t>Socialinis kapitalas</a:t>
          </a:r>
        </a:p>
      </dgm:t>
    </dgm:pt>
    <dgm:pt modelId="{F08B7EFE-3DF4-8543-AE25-F777F4CC718F}" type="parTrans" cxnId="{5C44DEBE-54D6-8B4A-9614-A44A7D3360D9}">
      <dgm:prSet/>
      <dgm:spPr/>
      <dgm:t>
        <a:bodyPr/>
        <a:lstStyle/>
        <a:p>
          <a:endParaRPr lang="en-US"/>
        </a:p>
      </dgm:t>
    </dgm:pt>
    <dgm:pt modelId="{CE26FD03-D2FC-784E-AE2D-3C59083F9A45}" type="sibTrans" cxnId="{5C44DEBE-54D6-8B4A-9614-A44A7D3360D9}">
      <dgm:prSet/>
      <dgm:spPr>
        <a:xfrm>
          <a:off x="2259617" y="374022"/>
          <a:ext cx="1882184" cy="1882184"/>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en-US"/>
        </a:p>
      </dgm:t>
    </dgm:pt>
    <dgm:pt modelId="{65FD73D8-6500-5041-8EBF-FBCCEAA89BA5}">
      <dgm:prSet phldrT="[Text]"/>
      <dgm:spPr>
        <a:xfrm>
          <a:off x="3265842" y="169599"/>
          <a:ext cx="606696" cy="606696"/>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mbria"/>
              <a:ea typeface="+mn-ea"/>
              <a:cs typeface="+mn-cs"/>
            </a:rPr>
            <a:t>Struktūrinis kpaitalas</a:t>
          </a:r>
        </a:p>
      </dgm:t>
    </dgm:pt>
    <dgm:pt modelId="{C9A2EB99-7B77-914F-8B60-35D0B488D37E}" type="parTrans" cxnId="{0F14CB25-944C-1A49-A484-C97B0545A895}">
      <dgm:prSet/>
      <dgm:spPr/>
      <dgm:t>
        <a:bodyPr/>
        <a:lstStyle/>
        <a:p>
          <a:endParaRPr lang="en-US"/>
        </a:p>
      </dgm:t>
    </dgm:pt>
    <dgm:pt modelId="{AE13FC1D-6283-F54A-A389-134D196F77B3}" type="sibTrans" cxnId="{0F14CB25-944C-1A49-A484-C97B0545A895}">
      <dgm:prSet/>
      <dgm:spPr>
        <a:xfrm>
          <a:off x="2968124" y="385907"/>
          <a:ext cx="1882184" cy="1882184"/>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en-US"/>
        </a:p>
      </dgm:t>
    </dgm:pt>
    <dgm:pt modelId="{EFE4FFFA-1F9E-1342-92A7-F4B81C29C1A5}">
      <dgm:prSet phldrT="[Text]"/>
      <dgm:spPr>
        <a:xfrm>
          <a:off x="1813872" y="1458341"/>
          <a:ext cx="2623048" cy="194428"/>
        </a:xfr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mbria"/>
              <a:ea typeface="+mn-ea"/>
              <a:cs typeface="+mn-cs"/>
            </a:rPr>
            <a:t>Žinių procesas</a:t>
          </a:r>
        </a:p>
      </dgm:t>
    </dgm:pt>
    <dgm:pt modelId="{8A25CC98-EF8C-6B4D-958C-E1BF9E2C50E0}" type="parTrans" cxnId="{CF490A2C-D218-3E42-9828-B63E80F10090}">
      <dgm:prSet/>
      <dgm:spPr/>
      <dgm:t>
        <a:bodyPr/>
        <a:lstStyle/>
        <a:p>
          <a:endParaRPr lang="en-US"/>
        </a:p>
      </dgm:t>
    </dgm:pt>
    <dgm:pt modelId="{7E4F692A-9188-2144-BAFA-C06D3F1F36F1}" type="sibTrans" cxnId="{CF490A2C-D218-3E42-9828-B63E80F10090}">
      <dgm:prSet/>
      <dgm:spPr>
        <a:xfrm rot="10800000">
          <a:off x="4530266" y="329954"/>
          <a:ext cx="486074" cy="1284120"/>
        </a:xfr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en-US"/>
        </a:p>
      </dgm:t>
    </dgm:pt>
    <dgm:pt modelId="{CD6EF4C6-8FCF-7542-A0CE-21BA936D35D9}">
      <dgm:prSet phldrT="[Text]"/>
      <dgm:spPr>
        <a:xfrm>
          <a:off x="1924601" y="146928"/>
          <a:ext cx="606696" cy="606696"/>
        </a:xfrm>
        <a:gradFill rotWithShape="0">
          <a:gsLst>
            <a:gs pos="0">
              <a:srgbClr val="F79646">
                <a:hueOff val="0"/>
                <a:satOff val="0"/>
                <a:lumOff val="0"/>
                <a:alphaOff val="0"/>
                <a:tint val="50000"/>
                <a:satMod val="300000"/>
              </a:srgbClr>
            </a:gs>
            <a:gs pos="35000">
              <a:srgbClr val="F79646">
                <a:hueOff val="0"/>
                <a:satOff val="0"/>
                <a:lumOff val="0"/>
                <a:alphaOff val="0"/>
                <a:tint val="37000"/>
                <a:satMod val="300000"/>
              </a:srgbClr>
            </a:gs>
            <a:gs pos="100000">
              <a:srgbClr val="F7964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mbria"/>
              <a:ea typeface="+mn-ea"/>
              <a:cs typeface="+mn-cs"/>
            </a:rPr>
            <a:t>Žmogiškasis kapitalas</a:t>
          </a:r>
        </a:p>
      </dgm:t>
    </dgm:pt>
    <dgm:pt modelId="{D639AC08-243B-5B4F-B094-08F9A5DA0181}" type="parTrans" cxnId="{F903FDEB-C59E-4349-B8D8-03FDCD6963C3}">
      <dgm:prSet/>
      <dgm:spPr/>
      <dgm:t>
        <a:bodyPr/>
        <a:lstStyle/>
        <a:p>
          <a:endParaRPr lang="en-US"/>
        </a:p>
      </dgm:t>
    </dgm:pt>
    <dgm:pt modelId="{57867832-383D-2B47-BF21-F2C2B401985E}" type="sibTrans" cxnId="{F903FDEB-C59E-4349-B8D8-03FDCD6963C3}">
      <dgm:prSet/>
      <dgm:spPr>
        <a:xfrm>
          <a:off x="802109" y="366935"/>
          <a:ext cx="3512852" cy="1882184"/>
        </a:xfrm>
        <a:gradFill rotWithShape="0">
          <a:gsLst>
            <a:gs pos="0">
              <a:srgbClr val="F79646">
                <a:hueOff val="0"/>
                <a:satOff val="0"/>
                <a:lumOff val="0"/>
                <a:alphaOff val="0"/>
                <a:tint val="50000"/>
                <a:satMod val="300000"/>
              </a:srgbClr>
            </a:gs>
            <a:gs pos="35000">
              <a:srgbClr val="F79646">
                <a:hueOff val="0"/>
                <a:satOff val="0"/>
                <a:lumOff val="0"/>
                <a:alphaOff val="0"/>
                <a:tint val="37000"/>
                <a:satMod val="300000"/>
              </a:srgbClr>
            </a:gs>
            <a:gs pos="100000">
              <a:srgbClr val="F7964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en-US"/>
        </a:p>
      </dgm:t>
    </dgm:pt>
    <dgm:pt modelId="{67F31CB3-5584-A143-B385-8B067EBE1A29}">
      <dgm:prSet phldrT="[Text]"/>
      <dgm:spPr>
        <a:xfrm>
          <a:off x="3945903" y="169602"/>
          <a:ext cx="606696" cy="606696"/>
        </a:xfr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mbria"/>
              <a:ea typeface="+mn-ea"/>
              <a:cs typeface="+mn-cs"/>
            </a:rPr>
            <a:t>Kiti ištekliai</a:t>
          </a:r>
        </a:p>
      </dgm:t>
    </dgm:pt>
    <dgm:pt modelId="{9F530D57-A9E1-8D43-9FE5-7D3D296E7970}" type="parTrans" cxnId="{38A16092-33CD-BD4A-B28D-B918087B34BF}">
      <dgm:prSet/>
      <dgm:spPr/>
      <dgm:t>
        <a:bodyPr/>
        <a:lstStyle/>
        <a:p>
          <a:endParaRPr lang="en-US"/>
        </a:p>
      </dgm:t>
    </dgm:pt>
    <dgm:pt modelId="{BAA17DD7-D5C5-D547-8D06-024732335D9F}" type="sibTrans" cxnId="{38A16092-33CD-BD4A-B28D-B918087B34BF}">
      <dgm:prSet/>
      <dgm:spPr>
        <a:xfrm>
          <a:off x="1438398" y="329325"/>
          <a:ext cx="400528" cy="1300231"/>
        </a:xfr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gm:spPr>
      <dgm:t>
        <a:bodyPr/>
        <a:lstStyle/>
        <a:p>
          <a:endParaRPr lang="en-US"/>
        </a:p>
      </dgm:t>
    </dgm:pt>
    <dgm:pt modelId="{6E4C6CED-4FE2-E046-962F-DD1F2EE0DFB6}" type="pres">
      <dgm:prSet presAssocID="{55A69BA2-84CF-4A4D-815D-209D04EAF9A9}" presName="Name0" presStyleCnt="0">
        <dgm:presLayoutVars>
          <dgm:chMax val="1"/>
          <dgm:dir/>
          <dgm:animLvl val="ctr"/>
          <dgm:resizeHandles val="exact"/>
        </dgm:presLayoutVars>
      </dgm:prSet>
      <dgm:spPr/>
      <dgm:t>
        <a:bodyPr/>
        <a:lstStyle/>
        <a:p>
          <a:endParaRPr lang="en-US"/>
        </a:p>
      </dgm:t>
    </dgm:pt>
    <dgm:pt modelId="{8B6493BF-1D74-8C48-AFDE-57579621EAB8}" type="pres">
      <dgm:prSet presAssocID="{B0BF3BE1-603A-E843-BAD8-71A2F7D0601A}" presName="centerShape" presStyleLbl="node0" presStyleIdx="0" presStyleCnt="1" custScaleX="346816" custScaleY="40791" custLinFactNeighborX="12379" custLinFactNeighborY="-10352"/>
      <dgm:spPr>
        <a:prstGeom prst="chevron">
          <a:avLst/>
        </a:prstGeom>
      </dgm:spPr>
      <dgm:t>
        <a:bodyPr/>
        <a:lstStyle/>
        <a:p>
          <a:endParaRPr lang="en-US"/>
        </a:p>
      </dgm:t>
    </dgm:pt>
    <dgm:pt modelId="{6C872379-A679-2244-9A4A-E42FB390921C}" type="pres">
      <dgm:prSet presAssocID="{19B37999-ED76-534D-A46A-80FB75148A09}" presName="node" presStyleLbl="node1" presStyleIdx="0" presStyleCnt="5" custRadScaleRad="86851" custRadScaleInc="-60440">
        <dgm:presLayoutVars>
          <dgm:bulletEnabled val="1"/>
        </dgm:presLayoutVars>
      </dgm:prSet>
      <dgm:spPr>
        <a:prstGeom prst="flowChartOffpageConnector">
          <a:avLst/>
        </a:prstGeom>
      </dgm:spPr>
      <dgm:t>
        <a:bodyPr/>
        <a:lstStyle/>
        <a:p>
          <a:endParaRPr lang="en-US"/>
        </a:p>
      </dgm:t>
    </dgm:pt>
    <dgm:pt modelId="{58CFB0EB-C287-134A-9434-58859BD269FA}" type="pres">
      <dgm:prSet presAssocID="{19B37999-ED76-534D-A46A-80FB75148A09}" presName="dummy" presStyleCnt="0"/>
      <dgm:spPr/>
    </dgm:pt>
    <dgm:pt modelId="{EB5EBB64-1D4E-E544-B231-B1BFF151CEAA}" type="pres">
      <dgm:prSet presAssocID="{CE26FD03-D2FC-784E-AE2D-3C59083F9A45}" presName="sibTrans" presStyleLbl="sibTrans2D1" presStyleIdx="0" presStyleCnt="5"/>
      <dgm:spPr>
        <a:prstGeom prst="blockArc">
          <a:avLst>
            <a:gd name="adj1" fmla="val 15011215"/>
            <a:gd name="adj2" fmla="val 17617874"/>
            <a:gd name="adj3" fmla="val 4642"/>
          </a:avLst>
        </a:prstGeom>
      </dgm:spPr>
      <dgm:t>
        <a:bodyPr/>
        <a:lstStyle/>
        <a:p>
          <a:endParaRPr lang="en-US"/>
        </a:p>
      </dgm:t>
    </dgm:pt>
    <dgm:pt modelId="{FB6C008E-225B-314E-A283-25C130C53138}" type="pres">
      <dgm:prSet presAssocID="{65FD73D8-6500-5041-8EBF-FBCCEAA89BA5}" presName="node" presStyleLbl="node1" presStyleIdx="1" presStyleCnt="5" custRadScaleRad="96896" custRadScaleInc="-164104">
        <dgm:presLayoutVars>
          <dgm:bulletEnabled val="1"/>
        </dgm:presLayoutVars>
      </dgm:prSet>
      <dgm:spPr>
        <a:prstGeom prst="flowChartOffpageConnector">
          <a:avLst/>
        </a:prstGeom>
      </dgm:spPr>
      <dgm:t>
        <a:bodyPr/>
        <a:lstStyle/>
        <a:p>
          <a:endParaRPr lang="en-US"/>
        </a:p>
      </dgm:t>
    </dgm:pt>
    <dgm:pt modelId="{31479F7B-8525-5048-AF00-CCBBDC4E5C27}" type="pres">
      <dgm:prSet presAssocID="{65FD73D8-6500-5041-8EBF-FBCCEAA89BA5}" presName="dummy" presStyleCnt="0"/>
      <dgm:spPr/>
    </dgm:pt>
    <dgm:pt modelId="{8E9A3694-043E-D149-AF33-9925D731BAC8}" type="pres">
      <dgm:prSet presAssocID="{AE13FC1D-6283-F54A-A389-134D196F77B3}" presName="sibTrans" presStyleLbl="sibTrans2D1" presStyleIdx="1" presStyleCnt="5"/>
      <dgm:spPr>
        <a:prstGeom prst="blockArc">
          <a:avLst>
            <a:gd name="adj1" fmla="val 14897452"/>
            <a:gd name="adj2" fmla="val 17502585"/>
            <a:gd name="adj3" fmla="val 4642"/>
          </a:avLst>
        </a:prstGeom>
      </dgm:spPr>
      <dgm:t>
        <a:bodyPr/>
        <a:lstStyle/>
        <a:p>
          <a:endParaRPr lang="en-US"/>
        </a:p>
      </dgm:t>
    </dgm:pt>
    <dgm:pt modelId="{6D49E5F3-8821-6E45-8C4D-4E45F5B6FF89}" type="pres">
      <dgm:prSet presAssocID="{67F31CB3-5584-A143-B385-8B067EBE1A29}" presName="node" presStyleLbl="node1" presStyleIdx="2" presStyleCnt="5" custRadScaleRad="150297" custRadScaleInc="-362043">
        <dgm:presLayoutVars>
          <dgm:bulletEnabled val="1"/>
        </dgm:presLayoutVars>
      </dgm:prSet>
      <dgm:spPr>
        <a:prstGeom prst="flowChartOffpageConnector">
          <a:avLst/>
        </a:prstGeom>
      </dgm:spPr>
      <dgm:t>
        <a:bodyPr/>
        <a:lstStyle/>
        <a:p>
          <a:endParaRPr lang="en-US"/>
        </a:p>
      </dgm:t>
    </dgm:pt>
    <dgm:pt modelId="{C9DC0ED3-6C74-B347-8B92-F8ABAC0B065B}" type="pres">
      <dgm:prSet presAssocID="{67F31CB3-5584-A143-B385-8B067EBE1A29}" presName="dummy" presStyleCnt="0"/>
      <dgm:spPr/>
    </dgm:pt>
    <dgm:pt modelId="{99091524-D269-F041-AC31-16D30E299B42}" type="pres">
      <dgm:prSet presAssocID="{BAA17DD7-D5C5-D547-8D06-024732335D9F}" presName="sibTrans" presStyleLbl="sibTrans2D1" presStyleIdx="2" presStyleCnt="5" custScaleX="21280" custScaleY="69081" custLinFactNeighborX="-90929" custLinFactNeighborY="16749"/>
      <dgm:spPr>
        <a:prstGeom prst="curvedRightArrow">
          <a:avLst/>
        </a:prstGeom>
      </dgm:spPr>
      <dgm:t>
        <a:bodyPr/>
        <a:lstStyle/>
        <a:p>
          <a:endParaRPr lang="en-US"/>
        </a:p>
      </dgm:t>
    </dgm:pt>
    <dgm:pt modelId="{250C5321-DCAB-F04C-A349-BE82D56C7A01}" type="pres">
      <dgm:prSet presAssocID="{EFE4FFFA-1F9E-1342-92A7-F4B81C29C1A5}" presName="node" presStyleLbl="node1" presStyleIdx="3" presStyleCnt="5" custScaleX="432349" custScaleY="36295" custRadScaleRad="36369" custRadScaleInc="-175969">
        <dgm:presLayoutVars>
          <dgm:bulletEnabled val="1"/>
        </dgm:presLayoutVars>
      </dgm:prSet>
      <dgm:spPr>
        <a:prstGeom prst="chevron">
          <a:avLst/>
        </a:prstGeom>
      </dgm:spPr>
      <dgm:t>
        <a:bodyPr/>
        <a:lstStyle/>
        <a:p>
          <a:endParaRPr lang="en-US"/>
        </a:p>
      </dgm:t>
    </dgm:pt>
    <dgm:pt modelId="{132CE4C1-573B-3149-AE91-59CD0BD694BA}" type="pres">
      <dgm:prSet presAssocID="{EFE4FFFA-1F9E-1342-92A7-F4B81C29C1A5}" presName="dummy" presStyleCnt="0"/>
      <dgm:spPr/>
    </dgm:pt>
    <dgm:pt modelId="{ADA14159-E385-3A4F-9B27-5E046AD8A185}" type="pres">
      <dgm:prSet presAssocID="{7E4F692A-9188-2144-BAFA-C06D3F1F36F1}" presName="sibTrans" presStyleLbl="sibTrans2D1" presStyleIdx="3" presStyleCnt="5" custAng="10800000" custScaleX="25825" custScaleY="68225" custLinFactNeighborX="87405" custLinFactNeighborY="17836"/>
      <dgm:spPr>
        <a:prstGeom prst="curvedRightArrow">
          <a:avLst/>
        </a:prstGeom>
      </dgm:spPr>
      <dgm:t>
        <a:bodyPr/>
        <a:lstStyle/>
        <a:p>
          <a:endParaRPr lang="en-US"/>
        </a:p>
      </dgm:t>
    </dgm:pt>
    <dgm:pt modelId="{53C209A6-E77E-5D4B-99CC-82130D8C89B7}" type="pres">
      <dgm:prSet presAssocID="{CD6EF4C6-8FCF-7542-A0CE-21BA936D35D9}" presName="node" presStyleLbl="node1" presStyleIdx="4" presStyleCnt="5" custRadScaleRad="125880" custRadScaleInc="99624">
        <dgm:presLayoutVars>
          <dgm:bulletEnabled val="1"/>
        </dgm:presLayoutVars>
      </dgm:prSet>
      <dgm:spPr>
        <a:prstGeom prst="flowChartOffpageConnector">
          <a:avLst/>
        </a:prstGeom>
      </dgm:spPr>
      <dgm:t>
        <a:bodyPr/>
        <a:lstStyle/>
        <a:p>
          <a:endParaRPr lang="en-US"/>
        </a:p>
      </dgm:t>
    </dgm:pt>
    <dgm:pt modelId="{586C2905-71F1-7F4C-AB8A-36C405880829}" type="pres">
      <dgm:prSet presAssocID="{CD6EF4C6-8FCF-7542-A0CE-21BA936D35D9}" presName="dummy" presStyleCnt="0"/>
      <dgm:spPr/>
    </dgm:pt>
    <dgm:pt modelId="{89E872FF-32E9-A048-92EE-23067BFB69AB}" type="pres">
      <dgm:prSet presAssocID="{57867832-383D-2B47-BF21-F2C2B401985E}" presName="sibTrans" presStyleLbl="sibTrans2D1" presStyleIdx="4" presStyleCnt="5" custScaleX="186637"/>
      <dgm:spPr>
        <a:prstGeom prst="blockArc">
          <a:avLst>
            <a:gd name="adj1" fmla="val 14935370"/>
            <a:gd name="adj2" fmla="val 17464654"/>
            <a:gd name="adj3" fmla="val 4642"/>
          </a:avLst>
        </a:prstGeom>
      </dgm:spPr>
      <dgm:t>
        <a:bodyPr/>
        <a:lstStyle/>
        <a:p>
          <a:endParaRPr lang="en-US"/>
        </a:p>
      </dgm:t>
    </dgm:pt>
  </dgm:ptLst>
  <dgm:cxnLst>
    <dgm:cxn modelId="{0F14CB25-944C-1A49-A484-C97B0545A895}" srcId="{B0BF3BE1-603A-E843-BAD8-71A2F7D0601A}" destId="{65FD73D8-6500-5041-8EBF-FBCCEAA89BA5}" srcOrd="1" destOrd="0" parTransId="{C9A2EB99-7B77-914F-8B60-35D0B488D37E}" sibTransId="{AE13FC1D-6283-F54A-A389-134D196F77B3}"/>
    <dgm:cxn modelId="{30EE603C-B6C1-43E8-B36F-DFD79B378932}" type="presOf" srcId="{CE26FD03-D2FC-784E-AE2D-3C59083F9A45}" destId="{EB5EBB64-1D4E-E544-B231-B1BFF151CEAA}" srcOrd="0" destOrd="0" presId="urn:microsoft.com/office/officeart/2005/8/layout/radial6"/>
    <dgm:cxn modelId="{1D7D86DA-4346-4B2C-8588-1F2708B4309E}" type="presOf" srcId="{65FD73D8-6500-5041-8EBF-FBCCEAA89BA5}" destId="{FB6C008E-225B-314E-A283-25C130C53138}" srcOrd="0" destOrd="0" presId="urn:microsoft.com/office/officeart/2005/8/layout/radial6"/>
    <dgm:cxn modelId="{A3C828A6-1A8F-49D5-862F-1973E7A0098A}" type="presOf" srcId="{19B37999-ED76-534D-A46A-80FB75148A09}" destId="{6C872379-A679-2244-9A4A-E42FB390921C}" srcOrd="0" destOrd="0" presId="urn:microsoft.com/office/officeart/2005/8/layout/radial6"/>
    <dgm:cxn modelId="{33C7E0DA-AB15-45A9-81DC-BBA1E875A5CA}" type="presOf" srcId="{55A69BA2-84CF-4A4D-815D-209D04EAF9A9}" destId="{6E4C6CED-4FE2-E046-962F-DD1F2EE0DFB6}" srcOrd="0" destOrd="0" presId="urn:microsoft.com/office/officeart/2005/8/layout/radial6"/>
    <dgm:cxn modelId="{D1A07C5A-DD26-4161-A2DA-BF416BF4635F}" type="presOf" srcId="{CD6EF4C6-8FCF-7542-A0CE-21BA936D35D9}" destId="{53C209A6-E77E-5D4B-99CC-82130D8C89B7}" srcOrd="0" destOrd="0" presId="urn:microsoft.com/office/officeart/2005/8/layout/radial6"/>
    <dgm:cxn modelId="{6D8F9B81-BF82-40AB-B35E-DB136BDB353E}" type="presOf" srcId="{67F31CB3-5584-A143-B385-8B067EBE1A29}" destId="{6D49E5F3-8821-6E45-8C4D-4E45F5B6FF89}" srcOrd="0" destOrd="0" presId="urn:microsoft.com/office/officeart/2005/8/layout/radial6"/>
    <dgm:cxn modelId="{CF490A2C-D218-3E42-9828-B63E80F10090}" srcId="{B0BF3BE1-603A-E843-BAD8-71A2F7D0601A}" destId="{EFE4FFFA-1F9E-1342-92A7-F4B81C29C1A5}" srcOrd="3" destOrd="0" parTransId="{8A25CC98-EF8C-6B4D-958C-E1BF9E2C50E0}" sibTransId="{7E4F692A-9188-2144-BAFA-C06D3F1F36F1}"/>
    <dgm:cxn modelId="{02D86BEC-D5E7-40E2-9317-91363D2F04DD}" type="presOf" srcId="{BAA17DD7-D5C5-D547-8D06-024732335D9F}" destId="{99091524-D269-F041-AC31-16D30E299B42}" srcOrd="0" destOrd="0" presId="urn:microsoft.com/office/officeart/2005/8/layout/radial6"/>
    <dgm:cxn modelId="{38A16092-33CD-BD4A-B28D-B918087B34BF}" srcId="{B0BF3BE1-603A-E843-BAD8-71A2F7D0601A}" destId="{67F31CB3-5584-A143-B385-8B067EBE1A29}" srcOrd="2" destOrd="0" parTransId="{9F530D57-A9E1-8D43-9FE5-7D3D296E7970}" sibTransId="{BAA17DD7-D5C5-D547-8D06-024732335D9F}"/>
    <dgm:cxn modelId="{5C44DEBE-54D6-8B4A-9614-A44A7D3360D9}" srcId="{B0BF3BE1-603A-E843-BAD8-71A2F7D0601A}" destId="{19B37999-ED76-534D-A46A-80FB75148A09}" srcOrd="0" destOrd="0" parTransId="{F08B7EFE-3DF4-8543-AE25-F777F4CC718F}" sibTransId="{CE26FD03-D2FC-784E-AE2D-3C59083F9A45}"/>
    <dgm:cxn modelId="{C6AF3448-F251-41C9-9A56-661079DC47A0}" type="presOf" srcId="{B0BF3BE1-603A-E843-BAD8-71A2F7D0601A}" destId="{8B6493BF-1D74-8C48-AFDE-57579621EAB8}" srcOrd="0" destOrd="0" presId="urn:microsoft.com/office/officeart/2005/8/layout/radial6"/>
    <dgm:cxn modelId="{82B96BE3-B8DF-4FDC-9BDD-89184CFCE943}" type="presOf" srcId="{7E4F692A-9188-2144-BAFA-C06D3F1F36F1}" destId="{ADA14159-E385-3A4F-9B27-5E046AD8A185}" srcOrd="0" destOrd="0" presId="urn:microsoft.com/office/officeart/2005/8/layout/radial6"/>
    <dgm:cxn modelId="{711D52C6-AD11-0640-A9CD-F735530894B7}" srcId="{55A69BA2-84CF-4A4D-815D-209D04EAF9A9}" destId="{B0BF3BE1-603A-E843-BAD8-71A2F7D0601A}" srcOrd="0" destOrd="0" parTransId="{D400CF7D-CF1E-E44F-87C9-88E48B6E9B45}" sibTransId="{B65D54E5-4275-A045-A537-5526A7396606}"/>
    <dgm:cxn modelId="{6C6C7F31-93DF-47EF-BEE1-90C9E74C5151}" type="presOf" srcId="{AE13FC1D-6283-F54A-A389-134D196F77B3}" destId="{8E9A3694-043E-D149-AF33-9925D731BAC8}" srcOrd="0" destOrd="0" presId="urn:microsoft.com/office/officeart/2005/8/layout/radial6"/>
    <dgm:cxn modelId="{405B90EA-0623-49A6-9112-45DC8188819F}" type="presOf" srcId="{EFE4FFFA-1F9E-1342-92A7-F4B81C29C1A5}" destId="{250C5321-DCAB-F04C-A349-BE82D56C7A01}" srcOrd="0" destOrd="0" presId="urn:microsoft.com/office/officeart/2005/8/layout/radial6"/>
    <dgm:cxn modelId="{F903FDEB-C59E-4349-B8D8-03FDCD6963C3}" srcId="{B0BF3BE1-603A-E843-BAD8-71A2F7D0601A}" destId="{CD6EF4C6-8FCF-7542-A0CE-21BA936D35D9}" srcOrd="4" destOrd="0" parTransId="{D639AC08-243B-5B4F-B094-08F9A5DA0181}" sibTransId="{57867832-383D-2B47-BF21-F2C2B401985E}"/>
    <dgm:cxn modelId="{4F0766FE-2D95-4F32-8A34-667B71BDDF83}" type="presOf" srcId="{57867832-383D-2B47-BF21-F2C2B401985E}" destId="{89E872FF-32E9-A048-92EE-23067BFB69AB}" srcOrd="0" destOrd="0" presId="urn:microsoft.com/office/officeart/2005/8/layout/radial6"/>
    <dgm:cxn modelId="{ED3204F6-3123-418B-B4AF-548AA5F492A5}" type="presParOf" srcId="{6E4C6CED-4FE2-E046-962F-DD1F2EE0DFB6}" destId="{8B6493BF-1D74-8C48-AFDE-57579621EAB8}" srcOrd="0" destOrd="0" presId="urn:microsoft.com/office/officeart/2005/8/layout/radial6"/>
    <dgm:cxn modelId="{1B3F0C35-1604-4818-A933-21DD2537418E}" type="presParOf" srcId="{6E4C6CED-4FE2-E046-962F-DD1F2EE0DFB6}" destId="{6C872379-A679-2244-9A4A-E42FB390921C}" srcOrd="1" destOrd="0" presId="urn:microsoft.com/office/officeart/2005/8/layout/radial6"/>
    <dgm:cxn modelId="{FBD6E6A9-EC41-440E-986E-FC46DCA37DBA}" type="presParOf" srcId="{6E4C6CED-4FE2-E046-962F-DD1F2EE0DFB6}" destId="{58CFB0EB-C287-134A-9434-58859BD269FA}" srcOrd="2" destOrd="0" presId="urn:microsoft.com/office/officeart/2005/8/layout/radial6"/>
    <dgm:cxn modelId="{E545CD8A-021B-49B7-8C8C-93D41FB543A4}" type="presParOf" srcId="{6E4C6CED-4FE2-E046-962F-DD1F2EE0DFB6}" destId="{EB5EBB64-1D4E-E544-B231-B1BFF151CEAA}" srcOrd="3" destOrd="0" presId="urn:microsoft.com/office/officeart/2005/8/layout/radial6"/>
    <dgm:cxn modelId="{683B7D0D-1C45-4C3F-880D-50B3EFDED668}" type="presParOf" srcId="{6E4C6CED-4FE2-E046-962F-DD1F2EE0DFB6}" destId="{FB6C008E-225B-314E-A283-25C130C53138}" srcOrd="4" destOrd="0" presId="urn:microsoft.com/office/officeart/2005/8/layout/radial6"/>
    <dgm:cxn modelId="{1EBC8838-C389-44C3-B260-AA463FD5B94A}" type="presParOf" srcId="{6E4C6CED-4FE2-E046-962F-DD1F2EE0DFB6}" destId="{31479F7B-8525-5048-AF00-CCBBDC4E5C27}" srcOrd="5" destOrd="0" presId="urn:microsoft.com/office/officeart/2005/8/layout/radial6"/>
    <dgm:cxn modelId="{0A95D808-099A-4155-A767-05AC934723AC}" type="presParOf" srcId="{6E4C6CED-4FE2-E046-962F-DD1F2EE0DFB6}" destId="{8E9A3694-043E-D149-AF33-9925D731BAC8}" srcOrd="6" destOrd="0" presId="urn:microsoft.com/office/officeart/2005/8/layout/radial6"/>
    <dgm:cxn modelId="{68BD7FCE-E1CE-4801-A8F1-5803B31500C0}" type="presParOf" srcId="{6E4C6CED-4FE2-E046-962F-DD1F2EE0DFB6}" destId="{6D49E5F3-8821-6E45-8C4D-4E45F5B6FF89}" srcOrd="7" destOrd="0" presId="urn:microsoft.com/office/officeart/2005/8/layout/radial6"/>
    <dgm:cxn modelId="{0C5B922C-298C-4477-A188-5CDC6EB0E578}" type="presParOf" srcId="{6E4C6CED-4FE2-E046-962F-DD1F2EE0DFB6}" destId="{C9DC0ED3-6C74-B347-8B92-F8ABAC0B065B}" srcOrd="8" destOrd="0" presId="urn:microsoft.com/office/officeart/2005/8/layout/radial6"/>
    <dgm:cxn modelId="{4F38D098-6683-4A1F-A4E5-206285DDFB20}" type="presParOf" srcId="{6E4C6CED-4FE2-E046-962F-DD1F2EE0DFB6}" destId="{99091524-D269-F041-AC31-16D30E299B42}" srcOrd="9" destOrd="0" presId="urn:microsoft.com/office/officeart/2005/8/layout/radial6"/>
    <dgm:cxn modelId="{027A9501-4C8B-4552-B7F1-DC87492999A4}" type="presParOf" srcId="{6E4C6CED-4FE2-E046-962F-DD1F2EE0DFB6}" destId="{250C5321-DCAB-F04C-A349-BE82D56C7A01}" srcOrd="10" destOrd="0" presId="urn:microsoft.com/office/officeart/2005/8/layout/radial6"/>
    <dgm:cxn modelId="{1BABE241-8E82-4078-A679-AABB9A388C87}" type="presParOf" srcId="{6E4C6CED-4FE2-E046-962F-DD1F2EE0DFB6}" destId="{132CE4C1-573B-3149-AE91-59CD0BD694BA}" srcOrd="11" destOrd="0" presId="urn:microsoft.com/office/officeart/2005/8/layout/radial6"/>
    <dgm:cxn modelId="{BE9E5978-671E-4F47-992C-1BCE13B6B6A4}" type="presParOf" srcId="{6E4C6CED-4FE2-E046-962F-DD1F2EE0DFB6}" destId="{ADA14159-E385-3A4F-9B27-5E046AD8A185}" srcOrd="12" destOrd="0" presId="urn:microsoft.com/office/officeart/2005/8/layout/radial6"/>
    <dgm:cxn modelId="{C7544940-5866-4BC0-9B71-12B21234C726}" type="presParOf" srcId="{6E4C6CED-4FE2-E046-962F-DD1F2EE0DFB6}" destId="{53C209A6-E77E-5D4B-99CC-82130D8C89B7}" srcOrd="13" destOrd="0" presId="urn:microsoft.com/office/officeart/2005/8/layout/radial6"/>
    <dgm:cxn modelId="{ABDEA4D1-2793-4C63-A911-F67E88B9DCE5}" type="presParOf" srcId="{6E4C6CED-4FE2-E046-962F-DD1F2EE0DFB6}" destId="{586C2905-71F1-7F4C-AB8A-36C405880829}" srcOrd="14" destOrd="0" presId="urn:microsoft.com/office/officeart/2005/8/layout/radial6"/>
    <dgm:cxn modelId="{280D10DC-BA9C-4426-BED4-2ADC7B5DD874}" type="presParOf" srcId="{6E4C6CED-4FE2-E046-962F-DD1F2EE0DFB6}" destId="{89E872FF-32E9-A048-92EE-23067BFB69AB}" srcOrd="15" destOrd="0" presId="urn:microsoft.com/office/officeart/2005/8/layout/radial6"/>
  </dgm:cxnLst>
  <dgm:bg/>
  <dgm:whole/>
  <dgm:extLst>
    <a:ext uri="http://schemas.microsoft.com/office/drawing/2008/diagram">
      <dsp:dataModelExt xmlns:dsp="http://schemas.microsoft.com/office/drawing/2008/diagram" xmlns=""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871E09E-3F8E-6A43-BB27-CA18D353529C}" type="doc">
      <dgm:prSet loTypeId="urn:microsoft.com/office/officeart/2005/8/layout/cycle1" loCatId="" qsTypeId="urn:microsoft.com/office/officeart/2005/8/quickstyle/simple4" qsCatId="simple" csTypeId="urn:microsoft.com/office/officeart/2005/8/colors/accent1_3" csCatId="accent1" phldr="1"/>
      <dgm:spPr/>
      <dgm:t>
        <a:bodyPr/>
        <a:lstStyle/>
        <a:p>
          <a:endParaRPr lang="en-US"/>
        </a:p>
      </dgm:t>
    </dgm:pt>
    <dgm:pt modelId="{D3B05BD9-20BD-7D47-B47C-F721CE45A3DA}">
      <dgm:prSet phldrT="[Text]"/>
      <dgm:spPr>
        <a:xfrm>
          <a:off x="1539084" y="16695"/>
          <a:ext cx="580707" cy="580707"/>
        </a:xfrm>
        <a:noFill/>
        <a:ln>
          <a:noFill/>
        </a:ln>
        <a:effectLst/>
      </dgm:spPr>
      <dgm:t>
        <a:bodyPr/>
        <a:lstStyle/>
        <a:p>
          <a:r>
            <a:rPr lang="en-US">
              <a:solidFill>
                <a:sysClr val="windowText" lastClr="000000">
                  <a:hueOff val="0"/>
                  <a:satOff val="0"/>
                  <a:lumOff val="0"/>
                  <a:alphaOff val="0"/>
                </a:sysClr>
              </a:solidFill>
              <a:latin typeface="Cambria"/>
              <a:ea typeface="+mn-ea"/>
              <a:cs typeface="+mn-cs"/>
            </a:rPr>
            <a:t>Strateginis planavimas</a:t>
          </a:r>
        </a:p>
      </dgm:t>
    </dgm:pt>
    <dgm:pt modelId="{6323511A-6517-3E40-8406-0A8B6FC6D708}" type="parTrans" cxnId="{4EAFF259-3DFB-1448-9717-3EDC5E67F8CB}">
      <dgm:prSet/>
      <dgm:spPr/>
      <dgm:t>
        <a:bodyPr/>
        <a:lstStyle/>
        <a:p>
          <a:endParaRPr lang="en-US"/>
        </a:p>
      </dgm:t>
    </dgm:pt>
    <dgm:pt modelId="{682DBC10-DF03-3046-8672-944F6B795B18}" type="sibTrans" cxnId="{4EAFF259-3DFB-1448-9717-3EDC5E67F8CB}">
      <dgm:prSet/>
      <dgm:spPr>
        <a:xfrm>
          <a:off x="1308198" y="-284"/>
          <a:ext cx="2179123" cy="2179123"/>
        </a:xfrm>
        <a:gradFill rotWithShape="0">
          <a:gsLst>
            <a:gs pos="0">
              <a:srgbClr val="4F81BD">
                <a:shade val="80000"/>
                <a:hueOff val="0"/>
                <a:satOff val="0"/>
                <a:lumOff val="0"/>
                <a:alphaOff val="0"/>
                <a:tint val="100000"/>
                <a:shade val="100000"/>
                <a:satMod val="130000"/>
              </a:srgbClr>
            </a:gs>
            <a:gs pos="100000">
              <a:srgbClr val="4F81BD">
                <a:shade val="8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a:p>
      </dgm:t>
    </dgm:pt>
    <dgm:pt modelId="{446D02F3-1837-A14B-AB45-88EE9D86F87A}">
      <dgm:prSet phldrT="[Text]"/>
      <dgm:spPr>
        <a:xfrm>
          <a:off x="1187841" y="1097708"/>
          <a:ext cx="580707" cy="580707"/>
        </a:xfrm>
        <a:noFill/>
        <a:ln>
          <a:noFill/>
        </a:ln>
        <a:effectLst/>
      </dgm:spPr>
      <dgm:t>
        <a:bodyPr/>
        <a:lstStyle/>
        <a:p>
          <a:r>
            <a:rPr lang="en-US">
              <a:solidFill>
                <a:sysClr val="windowText" lastClr="000000">
                  <a:hueOff val="0"/>
                  <a:satOff val="0"/>
                  <a:lumOff val="0"/>
                  <a:alphaOff val="0"/>
                </a:sysClr>
              </a:solidFill>
              <a:latin typeface="Cambria"/>
              <a:ea typeface="+mn-ea"/>
              <a:cs typeface="+mn-cs"/>
            </a:rPr>
            <a:t>Intelektinio kapitalo matavimas</a:t>
          </a:r>
        </a:p>
      </dgm:t>
    </dgm:pt>
    <dgm:pt modelId="{6465BE29-30C5-574F-813B-0F17E0F9145D}" type="parTrans" cxnId="{F2D403A6-B0D2-3949-AC17-79D4B6DD3F04}">
      <dgm:prSet/>
      <dgm:spPr/>
      <dgm:t>
        <a:bodyPr/>
        <a:lstStyle/>
        <a:p>
          <a:endParaRPr lang="en-US"/>
        </a:p>
      </dgm:t>
    </dgm:pt>
    <dgm:pt modelId="{D372306C-F1EF-1941-808E-9DFB21FA9E05}" type="sibTrans" cxnId="{F2D403A6-B0D2-3949-AC17-79D4B6DD3F04}">
      <dgm:prSet/>
      <dgm:spPr>
        <a:xfrm>
          <a:off x="1308198" y="-284"/>
          <a:ext cx="2179123" cy="2179123"/>
        </a:xfrm>
        <a:gradFill rotWithShape="0">
          <a:gsLst>
            <a:gs pos="0">
              <a:srgbClr val="4F81BD">
                <a:shade val="80000"/>
                <a:hueOff val="76562"/>
                <a:satOff val="-1098"/>
                <a:lumOff val="6404"/>
                <a:alphaOff val="0"/>
                <a:tint val="100000"/>
                <a:shade val="100000"/>
                <a:satMod val="130000"/>
              </a:srgbClr>
            </a:gs>
            <a:gs pos="100000">
              <a:srgbClr val="4F81BD">
                <a:shade val="80000"/>
                <a:hueOff val="76562"/>
                <a:satOff val="-1098"/>
                <a:lumOff val="6404"/>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a:p>
      </dgm:t>
    </dgm:pt>
    <dgm:pt modelId="{AA25FCEC-D74E-A247-81ED-7BA513FF2BE6}">
      <dgm:prSet phldrT="[Text]"/>
      <dgm:spPr>
        <a:xfrm>
          <a:off x="2107406" y="1765811"/>
          <a:ext cx="580707" cy="580707"/>
        </a:xfrm>
        <a:noFill/>
        <a:ln>
          <a:noFill/>
        </a:ln>
        <a:effectLst/>
      </dgm:spPr>
      <dgm:t>
        <a:bodyPr/>
        <a:lstStyle/>
        <a:p>
          <a:r>
            <a:rPr lang="en-US">
              <a:solidFill>
                <a:sysClr val="windowText" lastClr="000000">
                  <a:hueOff val="0"/>
                  <a:satOff val="0"/>
                  <a:lumOff val="0"/>
                  <a:alphaOff val="0"/>
                </a:sysClr>
              </a:solidFill>
              <a:latin typeface="Cambria"/>
              <a:ea typeface="+mn-ea"/>
              <a:cs typeface="+mn-cs"/>
            </a:rPr>
            <a:t>Intelektinio kapitalo vertinimas</a:t>
          </a:r>
        </a:p>
      </dgm:t>
    </dgm:pt>
    <dgm:pt modelId="{3F10D05E-A3A2-DB46-A82B-D16CE8E1E7ED}" type="parTrans" cxnId="{6961800E-1953-9846-8CB2-EF917AD94CCB}">
      <dgm:prSet/>
      <dgm:spPr/>
      <dgm:t>
        <a:bodyPr/>
        <a:lstStyle/>
        <a:p>
          <a:endParaRPr lang="en-US"/>
        </a:p>
      </dgm:t>
    </dgm:pt>
    <dgm:pt modelId="{947FD922-7AE5-774C-828D-78B49A5ABFA4}" type="sibTrans" cxnId="{6961800E-1953-9846-8CB2-EF917AD94CCB}">
      <dgm:prSet/>
      <dgm:spPr>
        <a:xfrm>
          <a:off x="1308198" y="-284"/>
          <a:ext cx="2179123" cy="2179123"/>
        </a:xfrm>
        <a:gradFill rotWithShape="0">
          <a:gsLst>
            <a:gs pos="0">
              <a:srgbClr val="4F81BD">
                <a:shade val="80000"/>
                <a:hueOff val="153123"/>
                <a:satOff val="-2196"/>
                <a:lumOff val="12807"/>
                <a:alphaOff val="0"/>
                <a:tint val="100000"/>
                <a:shade val="100000"/>
                <a:satMod val="130000"/>
              </a:srgbClr>
            </a:gs>
            <a:gs pos="100000">
              <a:srgbClr val="4F81BD">
                <a:shade val="80000"/>
                <a:hueOff val="153123"/>
                <a:satOff val="-2196"/>
                <a:lumOff val="12807"/>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a:p>
      </dgm:t>
    </dgm:pt>
    <dgm:pt modelId="{E979247F-FD91-BA48-AB11-4A5A63143101}">
      <dgm:prSet phldrT="[Text]"/>
      <dgm:spPr>
        <a:xfrm>
          <a:off x="3026970" y="1097708"/>
          <a:ext cx="580707" cy="580707"/>
        </a:xfrm>
        <a:noFill/>
        <a:ln>
          <a:noFill/>
        </a:ln>
        <a:effectLst/>
      </dgm:spPr>
      <dgm:t>
        <a:bodyPr/>
        <a:lstStyle/>
        <a:p>
          <a:r>
            <a:rPr lang="en-US">
              <a:solidFill>
                <a:sysClr val="windowText" lastClr="000000">
                  <a:hueOff val="0"/>
                  <a:satOff val="0"/>
                  <a:lumOff val="0"/>
                  <a:alphaOff val="0"/>
                </a:sysClr>
              </a:solidFill>
              <a:latin typeface="Cambria"/>
              <a:ea typeface="+mn-ea"/>
              <a:cs typeface="+mn-cs"/>
            </a:rPr>
            <a:t>Kapitalizacijos tikrinimas</a:t>
          </a:r>
        </a:p>
      </dgm:t>
    </dgm:pt>
    <dgm:pt modelId="{1BA90C85-848F-5F44-BD51-FDDC97C65FE6}" type="parTrans" cxnId="{15A03A1D-B904-1A4B-8BCC-5A9D545E634B}">
      <dgm:prSet/>
      <dgm:spPr/>
      <dgm:t>
        <a:bodyPr/>
        <a:lstStyle/>
        <a:p>
          <a:endParaRPr lang="en-US"/>
        </a:p>
      </dgm:t>
    </dgm:pt>
    <dgm:pt modelId="{7E775928-1C78-044D-8227-23BA92183F22}" type="sibTrans" cxnId="{15A03A1D-B904-1A4B-8BCC-5A9D545E634B}">
      <dgm:prSet/>
      <dgm:spPr>
        <a:xfrm>
          <a:off x="1308198" y="-284"/>
          <a:ext cx="2179123" cy="2179123"/>
        </a:xfrm>
        <a:gradFill rotWithShape="0">
          <a:gsLst>
            <a:gs pos="0">
              <a:srgbClr val="4F81BD">
                <a:shade val="80000"/>
                <a:hueOff val="229685"/>
                <a:satOff val="-3294"/>
                <a:lumOff val="19211"/>
                <a:alphaOff val="0"/>
                <a:tint val="100000"/>
                <a:shade val="100000"/>
                <a:satMod val="130000"/>
              </a:srgbClr>
            </a:gs>
            <a:gs pos="100000">
              <a:srgbClr val="4F81BD">
                <a:shade val="80000"/>
                <a:hueOff val="229685"/>
                <a:satOff val="-3294"/>
                <a:lumOff val="19211"/>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a:p>
      </dgm:t>
    </dgm:pt>
    <dgm:pt modelId="{F6D64E93-14D2-354B-BB34-420270950129}">
      <dgm:prSet phldrT="[Text]"/>
      <dgm:spPr>
        <a:xfrm>
          <a:off x="2675728" y="16695"/>
          <a:ext cx="580707" cy="580707"/>
        </a:xfrm>
        <a:noFill/>
        <a:ln>
          <a:noFill/>
        </a:ln>
        <a:effectLst/>
      </dgm:spPr>
      <dgm:t>
        <a:bodyPr/>
        <a:lstStyle/>
        <a:p>
          <a:r>
            <a:rPr lang="en-US">
              <a:solidFill>
                <a:sysClr val="windowText" lastClr="000000">
                  <a:hueOff val="0"/>
                  <a:satOff val="0"/>
                  <a:lumOff val="0"/>
                  <a:alphaOff val="0"/>
                </a:sysClr>
              </a:solidFill>
              <a:latin typeface="Cambria"/>
              <a:ea typeface="+mn-ea"/>
              <a:cs typeface="+mn-cs"/>
            </a:rPr>
            <a:t>Grįžtamoji informacija</a:t>
          </a:r>
        </a:p>
      </dgm:t>
    </dgm:pt>
    <dgm:pt modelId="{4D592492-E1A4-5E4A-AB77-5D6ED6AE9C45}" type="parTrans" cxnId="{9B6448F2-BB8C-D54B-926C-C3E2B5193B30}">
      <dgm:prSet/>
      <dgm:spPr/>
      <dgm:t>
        <a:bodyPr/>
        <a:lstStyle/>
        <a:p>
          <a:endParaRPr lang="en-US"/>
        </a:p>
      </dgm:t>
    </dgm:pt>
    <dgm:pt modelId="{9D3F17BC-30DB-CB45-B658-33590EF5ED1D}" type="sibTrans" cxnId="{9B6448F2-BB8C-D54B-926C-C3E2B5193B30}">
      <dgm:prSet/>
      <dgm:spPr>
        <a:xfrm>
          <a:off x="1308198" y="-284"/>
          <a:ext cx="2179123" cy="2179123"/>
        </a:xfrm>
        <a:gradFill rotWithShape="0">
          <a:gsLst>
            <a:gs pos="0">
              <a:srgbClr val="4F81BD">
                <a:shade val="80000"/>
                <a:hueOff val="306247"/>
                <a:satOff val="-4392"/>
                <a:lumOff val="25615"/>
                <a:alphaOff val="0"/>
                <a:tint val="100000"/>
                <a:shade val="100000"/>
                <a:satMod val="130000"/>
              </a:srgbClr>
            </a:gs>
            <a:gs pos="100000">
              <a:srgbClr val="4F81BD">
                <a:shade val="80000"/>
                <a:hueOff val="306247"/>
                <a:satOff val="-4392"/>
                <a:lumOff val="25615"/>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a:p>
      </dgm:t>
    </dgm:pt>
    <dgm:pt modelId="{6A7916BA-F85F-D948-AE78-520B19ABBD1B}" type="pres">
      <dgm:prSet presAssocID="{A871E09E-3F8E-6A43-BB27-CA18D353529C}" presName="cycle" presStyleCnt="0">
        <dgm:presLayoutVars>
          <dgm:dir val="rev"/>
          <dgm:resizeHandles val="exact"/>
        </dgm:presLayoutVars>
      </dgm:prSet>
      <dgm:spPr/>
      <dgm:t>
        <a:bodyPr/>
        <a:lstStyle/>
        <a:p>
          <a:endParaRPr lang="en-US"/>
        </a:p>
      </dgm:t>
    </dgm:pt>
    <dgm:pt modelId="{3CF2E137-0F07-5C4A-9ADF-EAA42DA917D8}" type="pres">
      <dgm:prSet presAssocID="{D3B05BD9-20BD-7D47-B47C-F721CE45A3DA}" presName="dummy" presStyleCnt="0"/>
      <dgm:spPr/>
    </dgm:pt>
    <dgm:pt modelId="{139D7616-4F83-3241-A197-D1853A054F1D}" type="pres">
      <dgm:prSet presAssocID="{D3B05BD9-20BD-7D47-B47C-F721CE45A3DA}" presName="node" presStyleLbl="revTx" presStyleIdx="0" presStyleCnt="5">
        <dgm:presLayoutVars>
          <dgm:bulletEnabled val="1"/>
        </dgm:presLayoutVars>
      </dgm:prSet>
      <dgm:spPr>
        <a:prstGeom prst="rect">
          <a:avLst/>
        </a:prstGeom>
      </dgm:spPr>
      <dgm:t>
        <a:bodyPr/>
        <a:lstStyle/>
        <a:p>
          <a:endParaRPr lang="en-US"/>
        </a:p>
      </dgm:t>
    </dgm:pt>
    <dgm:pt modelId="{67F9BA97-FDEF-F944-8F65-D75A7C86951A}" type="pres">
      <dgm:prSet presAssocID="{682DBC10-DF03-3046-8672-944F6B795B18}" presName="sibTrans" presStyleLbl="node1" presStyleIdx="0" presStyleCnt="5"/>
      <dgm:spPr>
        <a:prstGeom prst="leftCircularArrow">
          <a:avLst>
            <a:gd name="adj1" fmla="val 5196"/>
            <a:gd name="adj2" fmla="val 335646"/>
            <a:gd name="adj3" fmla="val 11105670"/>
            <a:gd name="adj4" fmla="val 12634715"/>
            <a:gd name="adj5" fmla="val 6063"/>
          </a:avLst>
        </a:prstGeom>
      </dgm:spPr>
      <dgm:t>
        <a:bodyPr/>
        <a:lstStyle/>
        <a:p>
          <a:endParaRPr lang="en-US"/>
        </a:p>
      </dgm:t>
    </dgm:pt>
    <dgm:pt modelId="{7276AD6D-41A7-EA49-9656-43DCD50FAA7D}" type="pres">
      <dgm:prSet presAssocID="{446D02F3-1837-A14B-AB45-88EE9D86F87A}" presName="dummy" presStyleCnt="0"/>
      <dgm:spPr/>
    </dgm:pt>
    <dgm:pt modelId="{E9404F23-C3E5-674A-A133-4016D45CD94A}" type="pres">
      <dgm:prSet presAssocID="{446D02F3-1837-A14B-AB45-88EE9D86F87A}" presName="node" presStyleLbl="revTx" presStyleIdx="1" presStyleCnt="5" custScaleX="117101">
        <dgm:presLayoutVars>
          <dgm:bulletEnabled val="1"/>
        </dgm:presLayoutVars>
      </dgm:prSet>
      <dgm:spPr>
        <a:prstGeom prst="rect">
          <a:avLst/>
        </a:prstGeom>
      </dgm:spPr>
      <dgm:t>
        <a:bodyPr/>
        <a:lstStyle/>
        <a:p>
          <a:endParaRPr lang="en-US"/>
        </a:p>
      </dgm:t>
    </dgm:pt>
    <dgm:pt modelId="{630EE8A5-15B1-C34D-9FEB-1FF4AC417FDD}" type="pres">
      <dgm:prSet presAssocID="{D372306C-F1EF-1941-808E-9DFB21FA9E05}" presName="sibTrans" presStyleLbl="node1" presStyleIdx="1" presStyleCnt="5"/>
      <dgm:spPr>
        <a:prstGeom prst="leftCircularArrow">
          <a:avLst>
            <a:gd name="adj1" fmla="val 5196"/>
            <a:gd name="adj2" fmla="val 335646"/>
            <a:gd name="adj3" fmla="val 6784174"/>
            <a:gd name="adj4" fmla="val 8547603"/>
            <a:gd name="adj5" fmla="val 6063"/>
          </a:avLst>
        </a:prstGeom>
      </dgm:spPr>
      <dgm:t>
        <a:bodyPr/>
        <a:lstStyle/>
        <a:p>
          <a:endParaRPr lang="en-US"/>
        </a:p>
      </dgm:t>
    </dgm:pt>
    <dgm:pt modelId="{AC7F15AE-ABD4-434C-9582-828A297598A9}" type="pres">
      <dgm:prSet presAssocID="{AA25FCEC-D74E-A247-81ED-7BA513FF2BE6}" presName="dummy" presStyleCnt="0"/>
      <dgm:spPr/>
    </dgm:pt>
    <dgm:pt modelId="{D47DA353-2269-2B4D-B3D9-AA90B149E9C9}" type="pres">
      <dgm:prSet presAssocID="{AA25FCEC-D74E-A247-81ED-7BA513FF2BE6}" presName="node" presStyleLbl="revTx" presStyleIdx="2" presStyleCnt="5">
        <dgm:presLayoutVars>
          <dgm:bulletEnabled val="1"/>
        </dgm:presLayoutVars>
      </dgm:prSet>
      <dgm:spPr>
        <a:prstGeom prst="rect">
          <a:avLst/>
        </a:prstGeom>
      </dgm:spPr>
      <dgm:t>
        <a:bodyPr/>
        <a:lstStyle/>
        <a:p>
          <a:endParaRPr lang="en-US"/>
        </a:p>
      </dgm:t>
    </dgm:pt>
    <dgm:pt modelId="{DBF36D52-CEEC-2A47-A196-3807B048311E}" type="pres">
      <dgm:prSet presAssocID="{947FD922-7AE5-774C-828D-78B49A5ABFA4}" presName="sibTrans" presStyleLbl="node1" presStyleIdx="2" presStyleCnt="5"/>
      <dgm:spPr>
        <a:prstGeom prst="leftCircularArrow">
          <a:avLst>
            <a:gd name="adj1" fmla="val 5196"/>
            <a:gd name="adj2" fmla="val 335646"/>
            <a:gd name="adj3" fmla="val 2588042"/>
            <a:gd name="adj4" fmla="val 4351472"/>
            <a:gd name="adj5" fmla="val 6063"/>
          </a:avLst>
        </a:prstGeom>
      </dgm:spPr>
      <dgm:t>
        <a:bodyPr/>
        <a:lstStyle/>
        <a:p>
          <a:endParaRPr lang="en-US"/>
        </a:p>
      </dgm:t>
    </dgm:pt>
    <dgm:pt modelId="{88A62654-B39A-D049-8B09-DC1822F2ECE9}" type="pres">
      <dgm:prSet presAssocID="{E979247F-FD91-BA48-AB11-4A5A63143101}" presName="dummy" presStyleCnt="0"/>
      <dgm:spPr/>
    </dgm:pt>
    <dgm:pt modelId="{E4F25EE4-670C-224B-8821-4A8D44BBB936}" type="pres">
      <dgm:prSet presAssocID="{E979247F-FD91-BA48-AB11-4A5A63143101}" presName="node" presStyleLbl="revTx" presStyleIdx="3" presStyleCnt="5">
        <dgm:presLayoutVars>
          <dgm:bulletEnabled val="1"/>
        </dgm:presLayoutVars>
      </dgm:prSet>
      <dgm:spPr>
        <a:prstGeom prst="rect">
          <a:avLst/>
        </a:prstGeom>
      </dgm:spPr>
      <dgm:t>
        <a:bodyPr/>
        <a:lstStyle/>
        <a:p>
          <a:endParaRPr lang="en-US"/>
        </a:p>
      </dgm:t>
    </dgm:pt>
    <dgm:pt modelId="{CE101D9D-6642-3148-A107-945C607AA675}" type="pres">
      <dgm:prSet presAssocID="{7E775928-1C78-044D-8227-23BA92183F22}" presName="sibTrans" presStyleLbl="node1" presStyleIdx="3" presStyleCnt="5"/>
      <dgm:spPr>
        <a:prstGeom prst="leftCircularArrow">
          <a:avLst>
            <a:gd name="adj1" fmla="val 5196"/>
            <a:gd name="adj2" fmla="val 335646"/>
            <a:gd name="adj3" fmla="val 20100931"/>
            <a:gd name="adj4" fmla="val 29976"/>
            <a:gd name="adj5" fmla="val 6063"/>
          </a:avLst>
        </a:prstGeom>
      </dgm:spPr>
      <dgm:t>
        <a:bodyPr/>
        <a:lstStyle/>
        <a:p>
          <a:endParaRPr lang="en-US"/>
        </a:p>
      </dgm:t>
    </dgm:pt>
    <dgm:pt modelId="{0A184222-A82D-6F40-A748-EE2E22CB6C80}" type="pres">
      <dgm:prSet presAssocID="{F6D64E93-14D2-354B-BB34-420270950129}" presName="dummy" presStyleCnt="0"/>
      <dgm:spPr/>
    </dgm:pt>
    <dgm:pt modelId="{12206F34-E43B-704F-8865-49233FA23CF4}" type="pres">
      <dgm:prSet presAssocID="{F6D64E93-14D2-354B-BB34-420270950129}" presName="node" presStyleLbl="revTx" presStyleIdx="4" presStyleCnt="5">
        <dgm:presLayoutVars>
          <dgm:bulletEnabled val="1"/>
        </dgm:presLayoutVars>
      </dgm:prSet>
      <dgm:spPr>
        <a:prstGeom prst="rect">
          <a:avLst/>
        </a:prstGeom>
      </dgm:spPr>
      <dgm:t>
        <a:bodyPr/>
        <a:lstStyle/>
        <a:p>
          <a:endParaRPr lang="en-US"/>
        </a:p>
      </dgm:t>
    </dgm:pt>
    <dgm:pt modelId="{DA827729-7337-B54B-8B4E-3C413395235F}" type="pres">
      <dgm:prSet presAssocID="{9D3F17BC-30DB-CB45-B658-33590EF5ED1D}" presName="sibTrans" presStyleLbl="node1" presStyleIdx="4" presStyleCnt="5"/>
      <dgm:spPr>
        <a:prstGeom prst="leftCircularArrow">
          <a:avLst>
            <a:gd name="adj1" fmla="val 5196"/>
            <a:gd name="adj2" fmla="val 335646"/>
            <a:gd name="adj3" fmla="val 15533189"/>
            <a:gd name="adj4" fmla="val 17202457"/>
            <a:gd name="adj5" fmla="val 6063"/>
          </a:avLst>
        </a:prstGeom>
      </dgm:spPr>
      <dgm:t>
        <a:bodyPr/>
        <a:lstStyle/>
        <a:p>
          <a:endParaRPr lang="en-US"/>
        </a:p>
      </dgm:t>
    </dgm:pt>
  </dgm:ptLst>
  <dgm:cxnLst>
    <dgm:cxn modelId="{9EAC0612-B26E-48F8-8912-822EA938F17A}" type="presOf" srcId="{AA25FCEC-D74E-A247-81ED-7BA513FF2BE6}" destId="{D47DA353-2269-2B4D-B3D9-AA90B149E9C9}" srcOrd="0" destOrd="0" presId="urn:microsoft.com/office/officeart/2005/8/layout/cycle1"/>
    <dgm:cxn modelId="{415FAFDB-0828-486B-9927-EB36D3040D22}" type="presOf" srcId="{9D3F17BC-30DB-CB45-B658-33590EF5ED1D}" destId="{DA827729-7337-B54B-8B4E-3C413395235F}" srcOrd="0" destOrd="0" presId="urn:microsoft.com/office/officeart/2005/8/layout/cycle1"/>
    <dgm:cxn modelId="{DE273F51-3932-41C9-9579-5E68A676799D}" type="presOf" srcId="{E979247F-FD91-BA48-AB11-4A5A63143101}" destId="{E4F25EE4-670C-224B-8821-4A8D44BBB936}" srcOrd="0" destOrd="0" presId="urn:microsoft.com/office/officeart/2005/8/layout/cycle1"/>
    <dgm:cxn modelId="{6961800E-1953-9846-8CB2-EF917AD94CCB}" srcId="{A871E09E-3F8E-6A43-BB27-CA18D353529C}" destId="{AA25FCEC-D74E-A247-81ED-7BA513FF2BE6}" srcOrd="2" destOrd="0" parTransId="{3F10D05E-A3A2-DB46-A82B-D16CE8E1E7ED}" sibTransId="{947FD922-7AE5-774C-828D-78B49A5ABFA4}"/>
    <dgm:cxn modelId="{85AA6DCF-570C-48A7-9514-209D732D6037}" type="presOf" srcId="{947FD922-7AE5-774C-828D-78B49A5ABFA4}" destId="{DBF36D52-CEEC-2A47-A196-3807B048311E}" srcOrd="0" destOrd="0" presId="urn:microsoft.com/office/officeart/2005/8/layout/cycle1"/>
    <dgm:cxn modelId="{E0686284-25C9-476E-AA41-D1F15298A7FF}" type="presOf" srcId="{F6D64E93-14D2-354B-BB34-420270950129}" destId="{12206F34-E43B-704F-8865-49233FA23CF4}" srcOrd="0" destOrd="0" presId="urn:microsoft.com/office/officeart/2005/8/layout/cycle1"/>
    <dgm:cxn modelId="{DA62518A-9EAE-4C09-8776-446F5732895E}" type="presOf" srcId="{682DBC10-DF03-3046-8672-944F6B795B18}" destId="{67F9BA97-FDEF-F944-8F65-D75A7C86951A}" srcOrd="0" destOrd="0" presId="urn:microsoft.com/office/officeart/2005/8/layout/cycle1"/>
    <dgm:cxn modelId="{15A03A1D-B904-1A4B-8BCC-5A9D545E634B}" srcId="{A871E09E-3F8E-6A43-BB27-CA18D353529C}" destId="{E979247F-FD91-BA48-AB11-4A5A63143101}" srcOrd="3" destOrd="0" parTransId="{1BA90C85-848F-5F44-BD51-FDDC97C65FE6}" sibTransId="{7E775928-1C78-044D-8227-23BA92183F22}"/>
    <dgm:cxn modelId="{F2D403A6-B0D2-3949-AC17-79D4B6DD3F04}" srcId="{A871E09E-3F8E-6A43-BB27-CA18D353529C}" destId="{446D02F3-1837-A14B-AB45-88EE9D86F87A}" srcOrd="1" destOrd="0" parTransId="{6465BE29-30C5-574F-813B-0F17E0F9145D}" sibTransId="{D372306C-F1EF-1941-808E-9DFB21FA9E05}"/>
    <dgm:cxn modelId="{4EAFF259-3DFB-1448-9717-3EDC5E67F8CB}" srcId="{A871E09E-3F8E-6A43-BB27-CA18D353529C}" destId="{D3B05BD9-20BD-7D47-B47C-F721CE45A3DA}" srcOrd="0" destOrd="0" parTransId="{6323511A-6517-3E40-8406-0A8B6FC6D708}" sibTransId="{682DBC10-DF03-3046-8672-944F6B795B18}"/>
    <dgm:cxn modelId="{B5AF849D-2BB3-4E86-8D2C-1FD672933BF1}" type="presOf" srcId="{7E775928-1C78-044D-8227-23BA92183F22}" destId="{CE101D9D-6642-3148-A107-945C607AA675}" srcOrd="0" destOrd="0" presId="urn:microsoft.com/office/officeart/2005/8/layout/cycle1"/>
    <dgm:cxn modelId="{6EE6056A-172A-4615-9531-28521DC101FD}" type="presOf" srcId="{D3B05BD9-20BD-7D47-B47C-F721CE45A3DA}" destId="{139D7616-4F83-3241-A197-D1853A054F1D}" srcOrd="0" destOrd="0" presId="urn:microsoft.com/office/officeart/2005/8/layout/cycle1"/>
    <dgm:cxn modelId="{9B6448F2-BB8C-D54B-926C-C3E2B5193B30}" srcId="{A871E09E-3F8E-6A43-BB27-CA18D353529C}" destId="{F6D64E93-14D2-354B-BB34-420270950129}" srcOrd="4" destOrd="0" parTransId="{4D592492-E1A4-5E4A-AB77-5D6ED6AE9C45}" sibTransId="{9D3F17BC-30DB-CB45-B658-33590EF5ED1D}"/>
    <dgm:cxn modelId="{1C7F830B-68CA-47FB-922B-42584DDA5A7F}" type="presOf" srcId="{446D02F3-1837-A14B-AB45-88EE9D86F87A}" destId="{E9404F23-C3E5-674A-A133-4016D45CD94A}" srcOrd="0" destOrd="0" presId="urn:microsoft.com/office/officeart/2005/8/layout/cycle1"/>
    <dgm:cxn modelId="{BBE381C6-1357-4B95-86DF-218DDE790096}" type="presOf" srcId="{A871E09E-3F8E-6A43-BB27-CA18D353529C}" destId="{6A7916BA-F85F-D948-AE78-520B19ABBD1B}" srcOrd="0" destOrd="0" presId="urn:microsoft.com/office/officeart/2005/8/layout/cycle1"/>
    <dgm:cxn modelId="{84F76FCB-3ED9-4954-9D0E-588FE734FC84}" type="presOf" srcId="{D372306C-F1EF-1941-808E-9DFB21FA9E05}" destId="{630EE8A5-15B1-C34D-9FEB-1FF4AC417FDD}" srcOrd="0" destOrd="0" presId="urn:microsoft.com/office/officeart/2005/8/layout/cycle1"/>
    <dgm:cxn modelId="{286CBB22-9A6F-4D44-A627-4EBB4AD6B833}" type="presParOf" srcId="{6A7916BA-F85F-D948-AE78-520B19ABBD1B}" destId="{3CF2E137-0F07-5C4A-9ADF-EAA42DA917D8}" srcOrd="0" destOrd="0" presId="urn:microsoft.com/office/officeart/2005/8/layout/cycle1"/>
    <dgm:cxn modelId="{F4904C34-9AE5-4B7E-B816-9922653D3161}" type="presParOf" srcId="{6A7916BA-F85F-D948-AE78-520B19ABBD1B}" destId="{139D7616-4F83-3241-A197-D1853A054F1D}" srcOrd="1" destOrd="0" presId="urn:microsoft.com/office/officeart/2005/8/layout/cycle1"/>
    <dgm:cxn modelId="{3C5AD04D-6039-4449-8BAA-30019FBFACAC}" type="presParOf" srcId="{6A7916BA-F85F-D948-AE78-520B19ABBD1B}" destId="{67F9BA97-FDEF-F944-8F65-D75A7C86951A}" srcOrd="2" destOrd="0" presId="urn:microsoft.com/office/officeart/2005/8/layout/cycle1"/>
    <dgm:cxn modelId="{F06267BB-37F7-4EF5-89AC-3518C366B9FC}" type="presParOf" srcId="{6A7916BA-F85F-D948-AE78-520B19ABBD1B}" destId="{7276AD6D-41A7-EA49-9656-43DCD50FAA7D}" srcOrd="3" destOrd="0" presId="urn:microsoft.com/office/officeart/2005/8/layout/cycle1"/>
    <dgm:cxn modelId="{FA68AFBE-B025-48B5-85E4-3202FBE647C6}" type="presParOf" srcId="{6A7916BA-F85F-D948-AE78-520B19ABBD1B}" destId="{E9404F23-C3E5-674A-A133-4016D45CD94A}" srcOrd="4" destOrd="0" presId="urn:microsoft.com/office/officeart/2005/8/layout/cycle1"/>
    <dgm:cxn modelId="{A2016A6A-54E2-40CC-B1E5-E6333D9906F2}" type="presParOf" srcId="{6A7916BA-F85F-D948-AE78-520B19ABBD1B}" destId="{630EE8A5-15B1-C34D-9FEB-1FF4AC417FDD}" srcOrd="5" destOrd="0" presId="urn:microsoft.com/office/officeart/2005/8/layout/cycle1"/>
    <dgm:cxn modelId="{0708DCE5-17BB-4B01-BBEB-21161271ECD0}" type="presParOf" srcId="{6A7916BA-F85F-D948-AE78-520B19ABBD1B}" destId="{AC7F15AE-ABD4-434C-9582-828A297598A9}" srcOrd="6" destOrd="0" presId="urn:microsoft.com/office/officeart/2005/8/layout/cycle1"/>
    <dgm:cxn modelId="{0AAE8A0D-DF6C-4DD6-BEBE-B2474C6B11E5}" type="presParOf" srcId="{6A7916BA-F85F-D948-AE78-520B19ABBD1B}" destId="{D47DA353-2269-2B4D-B3D9-AA90B149E9C9}" srcOrd="7" destOrd="0" presId="urn:microsoft.com/office/officeart/2005/8/layout/cycle1"/>
    <dgm:cxn modelId="{02465529-38F0-43AA-871D-F6783FA8050D}" type="presParOf" srcId="{6A7916BA-F85F-D948-AE78-520B19ABBD1B}" destId="{DBF36D52-CEEC-2A47-A196-3807B048311E}" srcOrd="8" destOrd="0" presId="urn:microsoft.com/office/officeart/2005/8/layout/cycle1"/>
    <dgm:cxn modelId="{7B59AB54-3778-4FEF-861E-125C90AB606C}" type="presParOf" srcId="{6A7916BA-F85F-D948-AE78-520B19ABBD1B}" destId="{88A62654-B39A-D049-8B09-DC1822F2ECE9}" srcOrd="9" destOrd="0" presId="urn:microsoft.com/office/officeart/2005/8/layout/cycle1"/>
    <dgm:cxn modelId="{E70E7EB9-306E-447F-9DCB-EE5080D6F9DF}" type="presParOf" srcId="{6A7916BA-F85F-D948-AE78-520B19ABBD1B}" destId="{E4F25EE4-670C-224B-8821-4A8D44BBB936}" srcOrd="10" destOrd="0" presId="urn:microsoft.com/office/officeart/2005/8/layout/cycle1"/>
    <dgm:cxn modelId="{D0040621-F60F-4ADB-A7C0-E85B1F70AFA5}" type="presParOf" srcId="{6A7916BA-F85F-D948-AE78-520B19ABBD1B}" destId="{CE101D9D-6642-3148-A107-945C607AA675}" srcOrd="11" destOrd="0" presId="urn:microsoft.com/office/officeart/2005/8/layout/cycle1"/>
    <dgm:cxn modelId="{72446E51-ACC2-4481-BA92-DCD2FA918948}" type="presParOf" srcId="{6A7916BA-F85F-D948-AE78-520B19ABBD1B}" destId="{0A184222-A82D-6F40-A748-EE2E22CB6C80}" srcOrd="12" destOrd="0" presId="urn:microsoft.com/office/officeart/2005/8/layout/cycle1"/>
    <dgm:cxn modelId="{639FBF0D-07B1-4D78-A05E-C5D5DA3C7BF1}" type="presParOf" srcId="{6A7916BA-F85F-D948-AE78-520B19ABBD1B}" destId="{12206F34-E43B-704F-8865-49233FA23CF4}" srcOrd="13" destOrd="0" presId="urn:microsoft.com/office/officeart/2005/8/layout/cycle1"/>
    <dgm:cxn modelId="{BDED7982-7AFA-4595-8DE6-E1552DA7EA8D}" type="presParOf" srcId="{6A7916BA-F85F-D948-AE78-520B19ABBD1B}" destId="{DA827729-7337-B54B-8B4E-3C413395235F}" srcOrd="14" destOrd="0" presId="urn:microsoft.com/office/officeart/2005/8/layout/cycle1"/>
  </dgm:cxnLst>
  <dgm:bg/>
  <dgm:whole/>
  <dgm:extLst>
    <a:ext uri="http://schemas.microsoft.com/office/drawing/2008/diagram">
      <dsp:dataModelExt xmlns:dsp="http://schemas.microsoft.com/office/drawing/2008/diagram" xmlns=""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5BC3C1C9-7EDF-3D45-9F88-92237A201802}" type="doc">
      <dgm:prSet loTypeId="urn:microsoft.com/office/officeart/2005/8/layout/chevron2" loCatId="" qsTypeId="urn:microsoft.com/office/officeart/2005/8/quickstyle/simple3" qsCatId="simple" csTypeId="urn:microsoft.com/office/officeart/2005/8/colors/accent1_2" csCatId="accent1" phldr="1"/>
      <dgm:spPr/>
      <dgm:t>
        <a:bodyPr/>
        <a:lstStyle/>
        <a:p>
          <a:endParaRPr lang="en-US"/>
        </a:p>
      </dgm:t>
    </dgm:pt>
    <dgm:pt modelId="{7CEB389D-D915-374B-8B9F-C76E03D63DD4}">
      <dgm:prSet phldrT="[Text]" custT="1"/>
      <dgm:spPr>
        <a:xfrm rot="5400000">
          <a:off x="-101014" y="103448"/>
          <a:ext cx="673427" cy="471398"/>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US" sz="900">
              <a:solidFill>
                <a:sysClr val="windowText" lastClr="000000"/>
              </a:solidFill>
              <a:latin typeface="Cambria"/>
              <a:ea typeface="+mn-ea"/>
              <a:cs typeface="+mn-cs"/>
            </a:rPr>
            <a:t>I etapas</a:t>
          </a:r>
        </a:p>
      </dgm:t>
    </dgm:pt>
    <dgm:pt modelId="{83A212E6-BBC3-7F44-BB03-5A932543A600}" type="parTrans" cxnId="{569E44FB-AEC8-D14F-8AC3-2F74A192AD8D}">
      <dgm:prSet/>
      <dgm:spPr/>
      <dgm:t>
        <a:bodyPr/>
        <a:lstStyle/>
        <a:p>
          <a:endParaRPr lang="en-US" sz="900"/>
        </a:p>
      </dgm:t>
    </dgm:pt>
    <dgm:pt modelId="{FB09F75E-5360-2D4C-A91F-15E07A4F840F}" type="sibTrans" cxnId="{569E44FB-AEC8-D14F-8AC3-2F74A192AD8D}">
      <dgm:prSet/>
      <dgm:spPr/>
      <dgm:t>
        <a:bodyPr/>
        <a:lstStyle/>
        <a:p>
          <a:endParaRPr lang="en-US" sz="900"/>
        </a:p>
      </dgm:t>
    </dgm:pt>
    <dgm:pt modelId="{7101E565-DA61-9A44-9E8B-EC15807F1A3B}">
      <dgm:prSet phldrT="[Text]" custT="1"/>
      <dgm:spPr>
        <a:xfrm rot="5400000">
          <a:off x="2652085" y="-2178252"/>
          <a:ext cx="437727" cy="4799101"/>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900">
              <a:solidFill>
                <a:sysClr val="windowText" lastClr="000000">
                  <a:hueOff val="0"/>
                  <a:satOff val="0"/>
                  <a:lumOff val="0"/>
                  <a:alphaOff val="0"/>
                </a:sysClr>
              </a:solidFill>
              <a:latin typeface="Cambria"/>
              <a:ea typeface="+mn-ea"/>
              <a:cs typeface="+mn-cs"/>
            </a:rPr>
            <a:t>  Tikslų nusistatymas</a:t>
          </a:r>
        </a:p>
      </dgm:t>
    </dgm:pt>
    <dgm:pt modelId="{70E77204-D2AB-C44E-B2B2-C957B90C3E6D}" type="parTrans" cxnId="{B935B381-9FE4-9041-A568-0ECF1797FAD8}">
      <dgm:prSet/>
      <dgm:spPr/>
      <dgm:t>
        <a:bodyPr/>
        <a:lstStyle/>
        <a:p>
          <a:endParaRPr lang="en-US" sz="900"/>
        </a:p>
      </dgm:t>
    </dgm:pt>
    <dgm:pt modelId="{A36167A4-A2D3-3744-959B-3C9A1C56F141}" type="sibTrans" cxnId="{B935B381-9FE4-9041-A568-0ECF1797FAD8}">
      <dgm:prSet/>
      <dgm:spPr/>
      <dgm:t>
        <a:bodyPr/>
        <a:lstStyle/>
        <a:p>
          <a:endParaRPr lang="en-US" sz="900"/>
        </a:p>
      </dgm:t>
    </dgm:pt>
    <dgm:pt modelId="{9B0F75BB-180D-8440-8FE1-A0D45FC0E082}">
      <dgm:prSet phldrT="[Text]" custT="1"/>
      <dgm:spPr>
        <a:xfrm rot="5400000">
          <a:off x="-101014" y="659548"/>
          <a:ext cx="673427" cy="471398"/>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US" sz="900">
              <a:solidFill>
                <a:sysClr val="windowText" lastClr="000000"/>
              </a:solidFill>
              <a:latin typeface="Cambria"/>
              <a:ea typeface="+mn-ea"/>
              <a:cs typeface="+mn-cs"/>
            </a:rPr>
            <a:t>II etapas</a:t>
          </a:r>
        </a:p>
      </dgm:t>
    </dgm:pt>
    <dgm:pt modelId="{F2291DD2-9B3D-FF49-AD81-DD3F62B64F87}" type="parTrans" cxnId="{A1B45A6F-4673-B346-AF0E-51D2766C9F48}">
      <dgm:prSet/>
      <dgm:spPr/>
      <dgm:t>
        <a:bodyPr/>
        <a:lstStyle/>
        <a:p>
          <a:endParaRPr lang="en-US" sz="900"/>
        </a:p>
      </dgm:t>
    </dgm:pt>
    <dgm:pt modelId="{44147A0A-EF1E-164D-B4F6-9237C65AD834}" type="sibTrans" cxnId="{A1B45A6F-4673-B346-AF0E-51D2766C9F48}">
      <dgm:prSet/>
      <dgm:spPr/>
      <dgm:t>
        <a:bodyPr/>
        <a:lstStyle/>
        <a:p>
          <a:endParaRPr lang="en-US" sz="900"/>
        </a:p>
      </dgm:t>
    </dgm:pt>
    <dgm:pt modelId="{65DAD649-CED0-AE4E-9D16-B9EFAE1D4F49}">
      <dgm:prSet phldrT="[Text]" custT="1"/>
      <dgm:spPr>
        <a:xfrm rot="5400000">
          <a:off x="-165319" y="1323316"/>
          <a:ext cx="802038" cy="471398"/>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US" sz="900">
              <a:solidFill>
                <a:sysClr val="windowText" lastClr="000000"/>
              </a:solidFill>
              <a:latin typeface="Cambria"/>
              <a:ea typeface="+mn-ea"/>
              <a:cs typeface="+mn-cs"/>
            </a:rPr>
            <a:t>III etapas</a:t>
          </a:r>
        </a:p>
      </dgm:t>
    </dgm:pt>
    <dgm:pt modelId="{8CDEC6D5-A80D-3C43-ACB1-D6DB82F5A9A4}" type="parTrans" cxnId="{D3E30490-28DA-AD48-BE3A-2D67297F0641}">
      <dgm:prSet/>
      <dgm:spPr/>
      <dgm:t>
        <a:bodyPr/>
        <a:lstStyle/>
        <a:p>
          <a:endParaRPr lang="en-US" sz="900"/>
        </a:p>
      </dgm:t>
    </dgm:pt>
    <dgm:pt modelId="{5728A6D8-7190-FE45-924F-4390DB16A37E}" type="sibTrans" cxnId="{D3E30490-28DA-AD48-BE3A-2D67297F0641}">
      <dgm:prSet/>
      <dgm:spPr/>
      <dgm:t>
        <a:bodyPr/>
        <a:lstStyle/>
        <a:p>
          <a:endParaRPr lang="en-US" sz="900"/>
        </a:p>
      </dgm:t>
    </dgm:pt>
    <dgm:pt modelId="{A6A4FE03-418B-A544-94B2-D0706BC2A7B7}">
      <dgm:prSet custT="1"/>
      <dgm:spPr>
        <a:xfrm rot="5400000">
          <a:off x="2652085" y="-2178252"/>
          <a:ext cx="437727" cy="4799101"/>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900">
              <a:solidFill>
                <a:sysClr val="windowText" lastClr="000000">
                  <a:hueOff val="0"/>
                  <a:satOff val="0"/>
                  <a:lumOff val="0"/>
                  <a:alphaOff val="0"/>
                </a:sysClr>
              </a:solidFill>
              <a:latin typeface="Cambria"/>
              <a:ea typeface="+mn-ea"/>
              <a:cs typeface="+mn-cs"/>
            </a:rPr>
            <a:t>  Hipotezių formulavimas</a:t>
          </a:r>
        </a:p>
      </dgm:t>
    </dgm:pt>
    <dgm:pt modelId="{CC2C1BA7-E72B-3C42-B81F-FCB7B88D54CE}" type="parTrans" cxnId="{BE4A55C3-920C-324A-818C-E1EEE2566477}">
      <dgm:prSet/>
      <dgm:spPr/>
      <dgm:t>
        <a:bodyPr/>
        <a:lstStyle/>
        <a:p>
          <a:endParaRPr lang="en-US" sz="900"/>
        </a:p>
      </dgm:t>
    </dgm:pt>
    <dgm:pt modelId="{E2584298-6C2A-D64B-A2D1-D9FB3F5859F3}" type="sibTrans" cxnId="{BE4A55C3-920C-324A-818C-E1EEE2566477}">
      <dgm:prSet/>
      <dgm:spPr/>
      <dgm:t>
        <a:bodyPr/>
        <a:lstStyle/>
        <a:p>
          <a:endParaRPr lang="en-US" sz="900"/>
        </a:p>
      </dgm:t>
    </dgm:pt>
    <dgm:pt modelId="{FBC027E5-9D67-F944-8481-82B4FDE09BE6}">
      <dgm:prSet custT="1"/>
      <dgm:spPr>
        <a:xfrm rot="5400000">
          <a:off x="-101014" y="1943722"/>
          <a:ext cx="673427" cy="471398"/>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US" sz="900">
              <a:solidFill>
                <a:sysClr val="windowText" lastClr="000000"/>
              </a:solidFill>
              <a:latin typeface="Cambria"/>
              <a:ea typeface="+mn-ea"/>
              <a:cs typeface="+mn-cs"/>
            </a:rPr>
            <a:t>IV etapas</a:t>
          </a:r>
        </a:p>
      </dgm:t>
    </dgm:pt>
    <dgm:pt modelId="{5F8278D3-3BF8-B245-98B7-5A82F35D7601}" type="parTrans" cxnId="{19D31E85-9856-5544-BD1A-03C5DE71569D}">
      <dgm:prSet/>
      <dgm:spPr/>
      <dgm:t>
        <a:bodyPr/>
        <a:lstStyle/>
        <a:p>
          <a:endParaRPr lang="en-US" sz="900"/>
        </a:p>
      </dgm:t>
    </dgm:pt>
    <dgm:pt modelId="{241DAD09-BDE8-024B-A7A8-D9C889CB3C60}" type="sibTrans" cxnId="{19D31E85-9856-5544-BD1A-03C5DE71569D}">
      <dgm:prSet/>
      <dgm:spPr/>
      <dgm:t>
        <a:bodyPr/>
        <a:lstStyle/>
        <a:p>
          <a:endParaRPr lang="en-US" sz="900"/>
        </a:p>
      </dgm:t>
    </dgm:pt>
    <dgm:pt modelId="{B67A8C3E-6F75-BA40-BF25-6372C0CD0A18}">
      <dgm:prSet custT="1"/>
      <dgm:spPr>
        <a:xfrm rot="5400000">
          <a:off x="2652085" y="-337978"/>
          <a:ext cx="437727" cy="4799101"/>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900" b="1">
              <a:solidFill>
                <a:sysClr val="windowText" lastClr="000000">
                  <a:hueOff val="0"/>
                  <a:satOff val="0"/>
                  <a:lumOff val="0"/>
                  <a:alphaOff val="0"/>
                </a:sysClr>
              </a:solidFill>
              <a:latin typeface="Cambria"/>
              <a:ea typeface="+mn-ea"/>
              <a:cs typeface="+mn-cs"/>
            </a:rPr>
            <a:t> Vykdyti: </a:t>
          </a:r>
          <a:r>
            <a:rPr lang="en-US" sz="900">
              <a:solidFill>
                <a:sysClr val="windowText" lastClr="000000">
                  <a:hueOff val="0"/>
                  <a:satOff val="0"/>
                  <a:lumOff val="0"/>
                  <a:alphaOff val="0"/>
                </a:sysClr>
              </a:solidFill>
              <a:latin typeface="Cambria"/>
              <a:ea typeface="+mn-ea"/>
              <a:cs typeface="+mn-cs"/>
            </a:rPr>
            <a:t>vertinimo metodų praktinis pritaikymas</a:t>
          </a:r>
        </a:p>
      </dgm:t>
    </dgm:pt>
    <dgm:pt modelId="{0628F596-AACE-734C-8BC3-14EB36071FD6}" type="parTrans" cxnId="{F0591CDD-8BA8-C849-AD88-62A7EE36BE5C}">
      <dgm:prSet/>
      <dgm:spPr/>
      <dgm:t>
        <a:bodyPr/>
        <a:lstStyle/>
        <a:p>
          <a:endParaRPr lang="en-US" sz="900"/>
        </a:p>
      </dgm:t>
    </dgm:pt>
    <dgm:pt modelId="{EF794D40-0941-6342-A906-B7237DDC8579}" type="sibTrans" cxnId="{F0591CDD-8BA8-C849-AD88-62A7EE36BE5C}">
      <dgm:prSet/>
      <dgm:spPr/>
      <dgm:t>
        <a:bodyPr/>
        <a:lstStyle/>
        <a:p>
          <a:endParaRPr lang="en-US" sz="900"/>
        </a:p>
      </dgm:t>
    </dgm:pt>
    <dgm:pt modelId="{879BBBF4-1736-494B-8C8E-3A6C8E52879F}">
      <dgm:prSet custT="1"/>
      <dgm:spPr>
        <a:xfrm rot="5400000">
          <a:off x="-101014" y="2499822"/>
          <a:ext cx="673427" cy="471398"/>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US" sz="900">
              <a:solidFill>
                <a:sysClr val="windowText" lastClr="000000"/>
              </a:solidFill>
              <a:latin typeface="Cambria"/>
              <a:ea typeface="+mn-ea"/>
              <a:cs typeface="+mn-cs"/>
            </a:rPr>
            <a:t>V etapas</a:t>
          </a:r>
        </a:p>
      </dgm:t>
    </dgm:pt>
    <dgm:pt modelId="{43789063-22FD-4B48-B4B9-00310B35C990}" type="parTrans" cxnId="{FEDB03FD-97D2-B74E-AFD9-7AF2F5F1AB59}">
      <dgm:prSet/>
      <dgm:spPr/>
      <dgm:t>
        <a:bodyPr/>
        <a:lstStyle/>
        <a:p>
          <a:endParaRPr lang="en-US" sz="900"/>
        </a:p>
      </dgm:t>
    </dgm:pt>
    <dgm:pt modelId="{CD257487-17F0-E44D-9A8D-FD54C0CA0CCA}" type="sibTrans" cxnId="{FEDB03FD-97D2-B74E-AFD9-7AF2F5F1AB59}">
      <dgm:prSet/>
      <dgm:spPr/>
      <dgm:t>
        <a:bodyPr/>
        <a:lstStyle/>
        <a:p>
          <a:endParaRPr lang="en-US" sz="900"/>
        </a:p>
      </dgm:t>
    </dgm:pt>
    <dgm:pt modelId="{60F2E352-AE33-0244-9779-E55819E7AD54}">
      <dgm:prSet phldrT="[Text]" custT="1"/>
      <dgm:spPr>
        <a:xfrm rot="5400000">
          <a:off x="2652085" y="218121"/>
          <a:ext cx="437727" cy="4799101"/>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900" b="1">
              <a:solidFill>
                <a:sysClr val="windowText" lastClr="000000">
                  <a:hueOff val="0"/>
                  <a:satOff val="0"/>
                  <a:lumOff val="0"/>
                  <a:alphaOff val="0"/>
                </a:sysClr>
              </a:solidFill>
              <a:latin typeface="Cambria"/>
              <a:ea typeface="+mn-ea"/>
              <a:cs typeface="+mn-cs"/>
            </a:rPr>
            <a:t> Išmatuoti, įvertinti ir pritaikyti:</a:t>
          </a:r>
          <a:endParaRPr lang="en-US" sz="900">
            <a:solidFill>
              <a:sysClr val="windowText" lastClr="000000">
                <a:hueOff val="0"/>
                <a:satOff val="0"/>
                <a:lumOff val="0"/>
                <a:alphaOff val="0"/>
              </a:sysClr>
            </a:solidFill>
            <a:latin typeface="Cambria"/>
            <a:ea typeface="+mn-ea"/>
            <a:cs typeface="+mn-cs"/>
          </a:endParaRPr>
        </a:p>
      </dgm:t>
    </dgm:pt>
    <dgm:pt modelId="{14F7B2B4-1534-3443-BE9B-A2172FB02040}" type="parTrans" cxnId="{A1440BA1-BCE9-434C-A0DF-5CACD3516D95}">
      <dgm:prSet/>
      <dgm:spPr/>
      <dgm:t>
        <a:bodyPr/>
        <a:lstStyle/>
        <a:p>
          <a:endParaRPr lang="en-US" sz="900"/>
        </a:p>
      </dgm:t>
    </dgm:pt>
    <dgm:pt modelId="{60376D35-7A33-8140-B145-11BADE906FD6}" type="sibTrans" cxnId="{A1440BA1-BCE9-434C-A0DF-5CACD3516D95}">
      <dgm:prSet/>
      <dgm:spPr/>
      <dgm:t>
        <a:bodyPr/>
        <a:lstStyle/>
        <a:p>
          <a:endParaRPr lang="en-US" sz="900"/>
        </a:p>
      </dgm:t>
    </dgm:pt>
    <dgm:pt modelId="{E70ACC29-2A5C-3D44-9DDB-BFE495A7A735}">
      <dgm:prSet phldrT="[Text]" custT="1"/>
      <dgm:spPr>
        <a:xfrm rot="5400000">
          <a:off x="2652085" y="-1622152"/>
          <a:ext cx="437727" cy="4799101"/>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900" b="1">
              <a:solidFill>
                <a:sysClr val="windowText" lastClr="000000">
                  <a:hueOff val="0"/>
                  <a:satOff val="0"/>
                  <a:lumOff val="0"/>
                  <a:alphaOff val="0"/>
                </a:sysClr>
              </a:solidFill>
              <a:latin typeface="Cambria"/>
              <a:ea typeface="+mn-ea"/>
              <a:cs typeface="+mn-cs"/>
            </a:rPr>
            <a:t> Nuspręsti kaip matuoti: </a:t>
          </a:r>
          <a:r>
            <a:rPr lang="en-US" sz="900">
              <a:solidFill>
                <a:sysClr val="windowText" lastClr="000000">
                  <a:hueOff val="0"/>
                  <a:satOff val="0"/>
                  <a:lumOff val="0"/>
                  <a:alphaOff val="0"/>
                </a:sysClr>
              </a:solidFill>
              <a:latin typeface="Cambria"/>
              <a:ea typeface="+mn-ea"/>
              <a:cs typeface="+mn-cs"/>
            </a:rPr>
            <a:t>Intelektinio kapitalo vertinimo rodiklių ir metodų parinkimas</a:t>
          </a:r>
        </a:p>
      </dgm:t>
    </dgm:pt>
    <dgm:pt modelId="{CD8A32CF-24C5-8640-A153-6E87F7CC9D7E}" type="parTrans" cxnId="{2D8942AD-CCDA-CA40-9FA2-5E02828785B2}">
      <dgm:prSet/>
      <dgm:spPr/>
      <dgm:t>
        <a:bodyPr/>
        <a:lstStyle/>
        <a:p>
          <a:endParaRPr lang="en-US"/>
        </a:p>
      </dgm:t>
    </dgm:pt>
    <dgm:pt modelId="{442CFF84-C8E7-7D47-81AC-35E21464B8C2}" type="sibTrans" cxnId="{2D8942AD-CCDA-CA40-9FA2-5E02828785B2}">
      <dgm:prSet/>
      <dgm:spPr/>
      <dgm:t>
        <a:bodyPr/>
        <a:lstStyle/>
        <a:p>
          <a:endParaRPr lang="en-US"/>
        </a:p>
      </dgm:t>
    </dgm:pt>
    <dgm:pt modelId="{D4414696-B99E-A744-8A4E-2ABFEA9CA214}">
      <dgm:prSet phldrT="[Text]" custT="1"/>
      <dgm:spPr>
        <a:xfrm rot="5400000">
          <a:off x="2652085" y="-2178252"/>
          <a:ext cx="437727" cy="4799101"/>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900" b="1">
              <a:solidFill>
                <a:sysClr val="windowText" lastClr="000000">
                  <a:hueOff val="0"/>
                  <a:satOff val="0"/>
                  <a:lumOff val="0"/>
                  <a:alphaOff val="0"/>
                </a:sysClr>
              </a:solidFill>
              <a:latin typeface="Cambria"/>
              <a:ea typeface="+mn-ea"/>
              <a:cs typeface="+mn-cs"/>
            </a:rPr>
            <a:t>  Indentifikuoti tikslus</a:t>
          </a:r>
          <a:r>
            <a:rPr lang="en-US" sz="900">
              <a:solidFill>
                <a:sysClr val="windowText" lastClr="000000">
                  <a:hueOff val="0"/>
                  <a:satOff val="0"/>
                  <a:lumOff val="0"/>
                  <a:alphaOff val="0"/>
                </a:sysClr>
              </a:solidFill>
              <a:latin typeface="Cambria"/>
              <a:ea typeface="+mn-ea"/>
              <a:cs typeface="+mn-cs"/>
            </a:rPr>
            <a:t>:</a:t>
          </a:r>
        </a:p>
      </dgm:t>
    </dgm:pt>
    <dgm:pt modelId="{B7FE9ACB-FEA2-EF41-BCF5-1CBA6625C0CE}" type="parTrans" cxnId="{BB0E40D9-D35F-E140-8734-532530D183FA}">
      <dgm:prSet/>
      <dgm:spPr/>
      <dgm:t>
        <a:bodyPr/>
        <a:lstStyle/>
        <a:p>
          <a:endParaRPr lang="en-US"/>
        </a:p>
      </dgm:t>
    </dgm:pt>
    <dgm:pt modelId="{0D531CAC-18FE-D341-B133-7156172AE9DB}" type="sibTrans" cxnId="{BB0E40D9-D35F-E140-8734-532530D183FA}">
      <dgm:prSet/>
      <dgm:spPr/>
      <dgm:t>
        <a:bodyPr/>
        <a:lstStyle/>
        <a:p>
          <a:endParaRPr lang="en-US"/>
        </a:p>
      </dgm:t>
    </dgm:pt>
    <dgm:pt modelId="{3B14FD94-390A-3040-8B1A-698E5DAF194C}">
      <dgm:prSet phldrT="[Text]" custT="1"/>
      <dgm:spPr>
        <a:xfrm rot="5400000">
          <a:off x="2544417" y="-958384"/>
          <a:ext cx="653063" cy="4799101"/>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900" b="1">
              <a:solidFill>
                <a:sysClr val="windowText" lastClr="000000">
                  <a:hueOff val="0"/>
                  <a:satOff val="0"/>
                  <a:lumOff val="0"/>
                  <a:alphaOff val="0"/>
                </a:sysClr>
              </a:solidFill>
              <a:latin typeface="Cambria"/>
              <a:ea typeface="+mn-ea"/>
              <a:cs typeface="+mn-cs"/>
            </a:rPr>
            <a:t> Kur ir kada matuoti: </a:t>
          </a:r>
        </a:p>
      </dgm:t>
    </dgm:pt>
    <dgm:pt modelId="{E9913BF9-4F59-5C43-B005-0B97C41241C8}" type="parTrans" cxnId="{327D4C06-578E-D740-8E4B-BC1A849B5214}">
      <dgm:prSet/>
      <dgm:spPr/>
      <dgm:t>
        <a:bodyPr/>
        <a:lstStyle/>
        <a:p>
          <a:endParaRPr lang="en-US"/>
        </a:p>
      </dgm:t>
    </dgm:pt>
    <dgm:pt modelId="{CC56AE22-64F4-3041-8C63-9A0E51244BAC}" type="sibTrans" cxnId="{327D4C06-578E-D740-8E4B-BC1A849B5214}">
      <dgm:prSet/>
      <dgm:spPr/>
      <dgm:t>
        <a:bodyPr/>
        <a:lstStyle/>
        <a:p>
          <a:endParaRPr lang="en-US"/>
        </a:p>
      </dgm:t>
    </dgm:pt>
    <dgm:pt modelId="{26FCD092-2A39-9D49-9E51-A937E8451378}">
      <dgm:prSet phldrT="[Text]" custT="1"/>
      <dgm:spPr>
        <a:xfrm rot="5400000">
          <a:off x="2544417" y="-958384"/>
          <a:ext cx="653063" cy="4799101"/>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900">
              <a:solidFill>
                <a:sysClr val="windowText" lastClr="000000">
                  <a:hueOff val="0"/>
                  <a:satOff val="0"/>
                  <a:lumOff val="0"/>
                  <a:alphaOff val="0"/>
                </a:sysClr>
              </a:solidFill>
              <a:latin typeface="Cambria"/>
              <a:ea typeface="+mn-ea"/>
              <a:cs typeface="+mn-cs"/>
            </a:rPr>
            <a:t>  Tinkamų įmonių analizei atrinkimas</a:t>
          </a:r>
        </a:p>
      </dgm:t>
    </dgm:pt>
    <dgm:pt modelId="{28B0DBC8-FDE7-0348-A4FF-C3A9640C3C10}" type="parTrans" cxnId="{59B6EF83-D2ED-CC4D-9D8D-99377932FF92}">
      <dgm:prSet/>
      <dgm:spPr/>
      <dgm:t>
        <a:bodyPr/>
        <a:lstStyle/>
        <a:p>
          <a:endParaRPr lang="en-US"/>
        </a:p>
      </dgm:t>
    </dgm:pt>
    <dgm:pt modelId="{DB99651D-C2D3-B640-8E47-37F890B319B5}" type="sibTrans" cxnId="{59B6EF83-D2ED-CC4D-9D8D-99377932FF92}">
      <dgm:prSet/>
      <dgm:spPr/>
      <dgm:t>
        <a:bodyPr/>
        <a:lstStyle/>
        <a:p>
          <a:endParaRPr lang="en-US"/>
        </a:p>
      </dgm:t>
    </dgm:pt>
    <dgm:pt modelId="{3BC4AC2A-0299-C648-A83C-36FF69F88E5A}">
      <dgm:prSet phldrT="[Text]" custT="1"/>
      <dgm:spPr>
        <a:xfrm rot="5400000">
          <a:off x="2544417" y="-958384"/>
          <a:ext cx="653063" cy="4799101"/>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900">
              <a:solidFill>
                <a:sysClr val="windowText" lastClr="000000">
                  <a:hueOff val="0"/>
                  <a:satOff val="0"/>
                  <a:lumOff val="0"/>
                  <a:alphaOff val="0"/>
                </a:sysClr>
              </a:solidFill>
              <a:latin typeface="Cambria"/>
              <a:ea typeface="+mn-ea"/>
              <a:cs typeface="+mn-cs"/>
            </a:rPr>
            <a:t>  Parinktiems metodams reikalingų rodiklių atrinkimas</a:t>
          </a:r>
        </a:p>
      </dgm:t>
    </dgm:pt>
    <dgm:pt modelId="{A787FFED-C56D-DE4B-B30D-AE58DF1807DB}" type="parTrans" cxnId="{A7251BBB-EA7D-8942-830D-2FC317DE3743}">
      <dgm:prSet/>
      <dgm:spPr/>
      <dgm:t>
        <a:bodyPr/>
        <a:lstStyle/>
        <a:p>
          <a:endParaRPr lang="en-US"/>
        </a:p>
      </dgm:t>
    </dgm:pt>
    <dgm:pt modelId="{C07938C0-84C2-114A-B6C2-CABA5B0AE1B9}" type="sibTrans" cxnId="{A7251BBB-EA7D-8942-830D-2FC317DE3743}">
      <dgm:prSet/>
      <dgm:spPr/>
      <dgm:t>
        <a:bodyPr/>
        <a:lstStyle/>
        <a:p>
          <a:endParaRPr lang="en-US"/>
        </a:p>
      </dgm:t>
    </dgm:pt>
    <dgm:pt modelId="{1539678C-5B1C-094C-8752-0305E5B01117}">
      <dgm:prSet phldrT="[Text]" custT="1"/>
      <dgm:spPr>
        <a:xfrm rot="5400000">
          <a:off x="2544417" y="-958384"/>
          <a:ext cx="653063" cy="4799101"/>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900">
              <a:solidFill>
                <a:sysClr val="windowText" lastClr="000000">
                  <a:hueOff val="0"/>
                  <a:satOff val="0"/>
                  <a:lumOff val="0"/>
                  <a:alphaOff val="0"/>
                </a:sysClr>
              </a:solidFill>
              <a:latin typeface="Cambria"/>
              <a:ea typeface="+mn-ea"/>
              <a:cs typeface="+mn-cs"/>
            </a:rPr>
            <a:t>  Reikalingos išorinės informacijos atrinkimas</a:t>
          </a:r>
        </a:p>
      </dgm:t>
    </dgm:pt>
    <dgm:pt modelId="{DD037B9A-013B-644C-8918-B85003FEEDEA}" type="parTrans" cxnId="{07753872-CA28-B644-921C-13A3E38CE1E6}">
      <dgm:prSet/>
      <dgm:spPr/>
      <dgm:t>
        <a:bodyPr/>
        <a:lstStyle/>
        <a:p>
          <a:endParaRPr lang="en-US"/>
        </a:p>
      </dgm:t>
    </dgm:pt>
    <dgm:pt modelId="{21E701B0-6E1C-8D4A-84C6-F1E403D875A0}" type="sibTrans" cxnId="{07753872-CA28-B644-921C-13A3E38CE1E6}">
      <dgm:prSet/>
      <dgm:spPr/>
      <dgm:t>
        <a:bodyPr/>
        <a:lstStyle/>
        <a:p>
          <a:endParaRPr lang="en-US"/>
        </a:p>
      </dgm:t>
    </dgm:pt>
    <dgm:pt modelId="{623E7CBD-06FB-D544-ADAC-36817FCED8B0}">
      <dgm:prSet phldrT="[Text]" custT="1"/>
      <dgm:spPr>
        <a:xfrm rot="5400000">
          <a:off x="2652085" y="218121"/>
          <a:ext cx="437727" cy="4799101"/>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900">
              <a:solidFill>
                <a:sysClr val="windowText" lastClr="000000">
                  <a:hueOff val="0"/>
                  <a:satOff val="0"/>
                  <a:lumOff val="0"/>
                  <a:alphaOff val="0"/>
                </a:sysClr>
              </a:solidFill>
              <a:latin typeface="Cambria"/>
              <a:ea typeface="+mn-ea"/>
              <a:cs typeface="+mn-cs"/>
            </a:rPr>
            <a:t> Gautų rezulatų analizė ir interpretavimas</a:t>
          </a:r>
        </a:p>
      </dgm:t>
    </dgm:pt>
    <dgm:pt modelId="{C84D7ADA-565F-3944-909E-A587429F69FA}" type="parTrans" cxnId="{86A981C8-9A33-7D4F-9167-E7B2F4E777E0}">
      <dgm:prSet/>
      <dgm:spPr/>
      <dgm:t>
        <a:bodyPr/>
        <a:lstStyle/>
        <a:p>
          <a:endParaRPr lang="en-US"/>
        </a:p>
      </dgm:t>
    </dgm:pt>
    <dgm:pt modelId="{755CEEEF-C109-174A-9E78-65C5925A29A0}" type="sibTrans" cxnId="{86A981C8-9A33-7D4F-9167-E7B2F4E777E0}">
      <dgm:prSet/>
      <dgm:spPr/>
      <dgm:t>
        <a:bodyPr/>
        <a:lstStyle/>
        <a:p>
          <a:endParaRPr lang="en-US"/>
        </a:p>
      </dgm:t>
    </dgm:pt>
    <dgm:pt modelId="{BAF9AF10-BDF2-DF4A-946D-B159FED4F729}">
      <dgm:prSet phldrT="[Text]" custT="1"/>
      <dgm:spPr>
        <a:xfrm rot="5400000">
          <a:off x="2652085" y="218121"/>
          <a:ext cx="437727" cy="4799101"/>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900">
              <a:solidFill>
                <a:sysClr val="windowText" lastClr="000000">
                  <a:hueOff val="0"/>
                  <a:satOff val="0"/>
                  <a:lumOff val="0"/>
                  <a:alphaOff val="0"/>
                </a:sysClr>
              </a:solidFill>
              <a:latin typeface="Cambria"/>
              <a:ea typeface="+mn-ea"/>
              <a:cs typeface="+mn-cs"/>
            </a:rPr>
            <a:t> Pasiūlymų pateikimas</a:t>
          </a:r>
        </a:p>
      </dgm:t>
    </dgm:pt>
    <dgm:pt modelId="{B711738E-010D-4644-8B71-A1CEA610CCFB}" type="parTrans" cxnId="{D60C9457-DD3F-E34A-B4C8-A33770ADF9A8}">
      <dgm:prSet/>
      <dgm:spPr/>
      <dgm:t>
        <a:bodyPr/>
        <a:lstStyle/>
        <a:p>
          <a:endParaRPr lang="en-US"/>
        </a:p>
      </dgm:t>
    </dgm:pt>
    <dgm:pt modelId="{6F521C2F-4C02-4B46-8185-AA3F85413965}" type="sibTrans" cxnId="{D60C9457-DD3F-E34A-B4C8-A33770ADF9A8}">
      <dgm:prSet/>
      <dgm:spPr/>
      <dgm:t>
        <a:bodyPr/>
        <a:lstStyle/>
        <a:p>
          <a:endParaRPr lang="en-US"/>
        </a:p>
      </dgm:t>
    </dgm:pt>
    <dgm:pt modelId="{6855936F-A037-084C-B65A-8B03A1F036E6}">
      <dgm:prSet phldrT="[Text]" custT="1"/>
      <dgm:spPr>
        <a:xfrm rot="5400000">
          <a:off x="2652085" y="218121"/>
          <a:ext cx="437727" cy="4799101"/>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900">
              <a:solidFill>
                <a:sysClr val="windowText" lastClr="000000">
                  <a:hueOff val="0"/>
                  <a:satOff val="0"/>
                  <a:lumOff val="0"/>
                  <a:alphaOff val="0"/>
                </a:sysClr>
              </a:solidFill>
              <a:latin typeface="Cambria"/>
              <a:ea typeface="+mn-ea"/>
              <a:cs typeface="+mn-cs"/>
            </a:rPr>
            <a:t>Rezulatatų sugretinimas ir palyginimas tarpusavyje</a:t>
          </a:r>
        </a:p>
      </dgm:t>
    </dgm:pt>
    <dgm:pt modelId="{EE9391E9-68F1-3E49-9C72-8FE6F869DED6}" type="parTrans" cxnId="{71031901-BF94-5542-A45E-A994BF12B002}">
      <dgm:prSet/>
      <dgm:spPr/>
    </dgm:pt>
    <dgm:pt modelId="{075A5A58-D045-F841-92C8-EB9A14E5AD3D}" type="sibTrans" cxnId="{71031901-BF94-5542-A45E-A994BF12B002}">
      <dgm:prSet/>
      <dgm:spPr/>
    </dgm:pt>
    <dgm:pt modelId="{A51F60B2-32FE-4146-B99F-AF4AF98C9AB0}" type="pres">
      <dgm:prSet presAssocID="{5BC3C1C9-7EDF-3D45-9F88-92237A201802}" presName="linearFlow" presStyleCnt="0">
        <dgm:presLayoutVars>
          <dgm:dir/>
          <dgm:animLvl val="lvl"/>
          <dgm:resizeHandles val="exact"/>
        </dgm:presLayoutVars>
      </dgm:prSet>
      <dgm:spPr/>
      <dgm:t>
        <a:bodyPr/>
        <a:lstStyle/>
        <a:p>
          <a:endParaRPr lang="en-US"/>
        </a:p>
      </dgm:t>
    </dgm:pt>
    <dgm:pt modelId="{7889CF2F-9E8B-5C4A-98C9-D3D6800CBE32}" type="pres">
      <dgm:prSet presAssocID="{7CEB389D-D915-374B-8B9F-C76E03D63DD4}" presName="composite" presStyleCnt="0"/>
      <dgm:spPr/>
    </dgm:pt>
    <dgm:pt modelId="{9C9B9A03-77AF-6141-B3C9-056B071A3BAB}" type="pres">
      <dgm:prSet presAssocID="{7CEB389D-D915-374B-8B9F-C76E03D63DD4}" presName="parentText" presStyleLbl="alignNode1" presStyleIdx="0" presStyleCnt="5">
        <dgm:presLayoutVars>
          <dgm:chMax val="1"/>
          <dgm:bulletEnabled val="1"/>
        </dgm:presLayoutVars>
      </dgm:prSet>
      <dgm:spPr>
        <a:prstGeom prst="chevron">
          <a:avLst/>
        </a:prstGeom>
      </dgm:spPr>
      <dgm:t>
        <a:bodyPr/>
        <a:lstStyle/>
        <a:p>
          <a:endParaRPr lang="en-US"/>
        </a:p>
      </dgm:t>
    </dgm:pt>
    <dgm:pt modelId="{1168D76B-5362-414E-AFC6-623E386E0B4F}" type="pres">
      <dgm:prSet presAssocID="{7CEB389D-D915-374B-8B9F-C76E03D63DD4}" presName="descendantText" presStyleLbl="alignAcc1" presStyleIdx="0" presStyleCnt="5">
        <dgm:presLayoutVars>
          <dgm:bulletEnabled val="1"/>
        </dgm:presLayoutVars>
      </dgm:prSet>
      <dgm:spPr>
        <a:prstGeom prst="round2SameRect">
          <a:avLst/>
        </a:prstGeom>
      </dgm:spPr>
      <dgm:t>
        <a:bodyPr/>
        <a:lstStyle/>
        <a:p>
          <a:endParaRPr lang="en-US"/>
        </a:p>
      </dgm:t>
    </dgm:pt>
    <dgm:pt modelId="{3AB87821-71F1-BA47-806D-CD909313E7D3}" type="pres">
      <dgm:prSet presAssocID="{FB09F75E-5360-2D4C-A91F-15E07A4F840F}" presName="sp" presStyleCnt="0"/>
      <dgm:spPr/>
    </dgm:pt>
    <dgm:pt modelId="{BE987C69-D15A-BE46-99D4-945B983DEBF2}" type="pres">
      <dgm:prSet presAssocID="{9B0F75BB-180D-8440-8FE1-A0D45FC0E082}" presName="composite" presStyleCnt="0"/>
      <dgm:spPr/>
    </dgm:pt>
    <dgm:pt modelId="{B15AFF12-F804-0745-956F-7D957B9865B6}" type="pres">
      <dgm:prSet presAssocID="{9B0F75BB-180D-8440-8FE1-A0D45FC0E082}" presName="parentText" presStyleLbl="alignNode1" presStyleIdx="1" presStyleCnt="5">
        <dgm:presLayoutVars>
          <dgm:chMax val="1"/>
          <dgm:bulletEnabled val="1"/>
        </dgm:presLayoutVars>
      </dgm:prSet>
      <dgm:spPr>
        <a:prstGeom prst="chevron">
          <a:avLst/>
        </a:prstGeom>
      </dgm:spPr>
      <dgm:t>
        <a:bodyPr/>
        <a:lstStyle/>
        <a:p>
          <a:endParaRPr lang="en-US"/>
        </a:p>
      </dgm:t>
    </dgm:pt>
    <dgm:pt modelId="{D5CC301C-A74E-7A49-AD9D-23FDF89F36E9}" type="pres">
      <dgm:prSet presAssocID="{9B0F75BB-180D-8440-8FE1-A0D45FC0E082}" presName="descendantText" presStyleLbl="alignAcc1" presStyleIdx="1" presStyleCnt="5">
        <dgm:presLayoutVars>
          <dgm:bulletEnabled val="1"/>
        </dgm:presLayoutVars>
      </dgm:prSet>
      <dgm:spPr>
        <a:prstGeom prst="round2SameRect">
          <a:avLst/>
        </a:prstGeom>
      </dgm:spPr>
      <dgm:t>
        <a:bodyPr/>
        <a:lstStyle/>
        <a:p>
          <a:endParaRPr lang="en-US"/>
        </a:p>
      </dgm:t>
    </dgm:pt>
    <dgm:pt modelId="{A03A6568-8004-7549-BBA5-5DDE7F5E0546}" type="pres">
      <dgm:prSet presAssocID="{44147A0A-EF1E-164D-B4F6-9237C65AD834}" presName="sp" presStyleCnt="0"/>
      <dgm:spPr/>
    </dgm:pt>
    <dgm:pt modelId="{6C130BE1-1A6F-724D-8EEA-FD9BBD2D06A7}" type="pres">
      <dgm:prSet presAssocID="{65DAD649-CED0-AE4E-9D16-B9EFAE1D4F49}" presName="composite" presStyleCnt="0"/>
      <dgm:spPr/>
    </dgm:pt>
    <dgm:pt modelId="{324287F6-448D-4246-A7A7-EDF943381AC9}" type="pres">
      <dgm:prSet presAssocID="{65DAD649-CED0-AE4E-9D16-B9EFAE1D4F49}" presName="parentText" presStyleLbl="alignNode1" presStyleIdx="2" presStyleCnt="5" custScaleY="119098">
        <dgm:presLayoutVars>
          <dgm:chMax val="1"/>
          <dgm:bulletEnabled val="1"/>
        </dgm:presLayoutVars>
      </dgm:prSet>
      <dgm:spPr>
        <a:prstGeom prst="chevron">
          <a:avLst/>
        </a:prstGeom>
      </dgm:spPr>
      <dgm:t>
        <a:bodyPr/>
        <a:lstStyle/>
        <a:p>
          <a:endParaRPr lang="en-US"/>
        </a:p>
      </dgm:t>
    </dgm:pt>
    <dgm:pt modelId="{FC910371-F365-8D45-86E7-33A9004A0C77}" type="pres">
      <dgm:prSet presAssocID="{65DAD649-CED0-AE4E-9D16-B9EFAE1D4F49}" presName="descendantText" presStyleLbl="alignAcc1" presStyleIdx="2" presStyleCnt="5" custScaleY="149194">
        <dgm:presLayoutVars>
          <dgm:bulletEnabled val="1"/>
        </dgm:presLayoutVars>
      </dgm:prSet>
      <dgm:spPr>
        <a:prstGeom prst="round2SameRect">
          <a:avLst/>
        </a:prstGeom>
      </dgm:spPr>
      <dgm:t>
        <a:bodyPr/>
        <a:lstStyle/>
        <a:p>
          <a:endParaRPr lang="en-US"/>
        </a:p>
      </dgm:t>
    </dgm:pt>
    <dgm:pt modelId="{DCA3049B-C0AE-EA43-B4E4-807172FF14C5}" type="pres">
      <dgm:prSet presAssocID="{5728A6D8-7190-FE45-924F-4390DB16A37E}" presName="sp" presStyleCnt="0"/>
      <dgm:spPr/>
    </dgm:pt>
    <dgm:pt modelId="{03D49D26-EDEC-F542-87F6-E635F9191B2B}" type="pres">
      <dgm:prSet presAssocID="{FBC027E5-9D67-F944-8481-82B4FDE09BE6}" presName="composite" presStyleCnt="0"/>
      <dgm:spPr/>
    </dgm:pt>
    <dgm:pt modelId="{FFE78002-6484-7149-BC75-8F09AF2345AD}" type="pres">
      <dgm:prSet presAssocID="{FBC027E5-9D67-F944-8481-82B4FDE09BE6}" presName="parentText" presStyleLbl="alignNode1" presStyleIdx="3" presStyleCnt="5">
        <dgm:presLayoutVars>
          <dgm:chMax val="1"/>
          <dgm:bulletEnabled val="1"/>
        </dgm:presLayoutVars>
      </dgm:prSet>
      <dgm:spPr>
        <a:prstGeom prst="chevron">
          <a:avLst/>
        </a:prstGeom>
      </dgm:spPr>
      <dgm:t>
        <a:bodyPr/>
        <a:lstStyle/>
        <a:p>
          <a:endParaRPr lang="en-US"/>
        </a:p>
      </dgm:t>
    </dgm:pt>
    <dgm:pt modelId="{484030FA-3C1B-4248-A429-9DF78F6123E5}" type="pres">
      <dgm:prSet presAssocID="{FBC027E5-9D67-F944-8481-82B4FDE09BE6}" presName="descendantText" presStyleLbl="alignAcc1" presStyleIdx="3" presStyleCnt="5">
        <dgm:presLayoutVars>
          <dgm:bulletEnabled val="1"/>
        </dgm:presLayoutVars>
      </dgm:prSet>
      <dgm:spPr>
        <a:prstGeom prst="round2SameRect">
          <a:avLst/>
        </a:prstGeom>
      </dgm:spPr>
      <dgm:t>
        <a:bodyPr/>
        <a:lstStyle/>
        <a:p>
          <a:endParaRPr lang="en-US"/>
        </a:p>
      </dgm:t>
    </dgm:pt>
    <dgm:pt modelId="{9E54D589-3228-6B4D-83E6-1B9E4EDDB8B5}" type="pres">
      <dgm:prSet presAssocID="{241DAD09-BDE8-024B-A7A8-D9C889CB3C60}" presName="sp" presStyleCnt="0"/>
      <dgm:spPr/>
    </dgm:pt>
    <dgm:pt modelId="{3409A75D-B971-714C-8ED5-9FE9F30CCD3E}" type="pres">
      <dgm:prSet presAssocID="{879BBBF4-1736-494B-8C8E-3A6C8E52879F}" presName="composite" presStyleCnt="0"/>
      <dgm:spPr/>
    </dgm:pt>
    <dgm:pt modelId="{23D288E8-0A77-894B-9789-91D7836FD3E1}" type="pres">
      <dgm:prSet presAssocID="{879BBBF4-1736-494B-8C8E-3A6C8E52879F}" presName="parentText" presStyleLbl="alignNode1" presStyleIdx="4" presStyleCnt="5">
        <dgm:presLayoutVars>
          <dgm:chMax val="1"/>
          <dgm:bulletEnabled val="1"/>
        </dgm:presLayoutVars>
      </dgm:prSet>
      <dgm:spPr>
        <a:prstGeom prst="chevron">
          <a:avLst/>
        </a:prstGeom>
      </dgm:spPr>
      <dgm:t>
        <a:bodyPr/>
        <a:lstStyle/>
        <a:p>
          <a:endParaRPr lang="en-US"/>
        </a:p>
      </dgm:t>
    </dgm:pt>
    <dgm:pt modelId="{B572E493-8389-7A40-84FA-B23BBEC0C012}" type="pres">
      <dgm:prSet presAssocID="{879BBBF4-1736-494B-8C8E-3A6C8E52879F}" presName="descendantText" presStyleLbl="alignAcc1" presStyleIdx="4" presStyleCnt="5" custScaleY="142026">
        <dgm:presLayoutVars>
          <dgm:bulletEnabled val="1"/>
        </dgm:presLayoutVars>
      </dgm:prSet>
      <dgm:spPr>
        <a:prstGeom prst="round2SameRect">
          <a:avLst/>
        </a:prstGeom>
      </dgm:spPr>
      <dgm:t>
        <a:bodyPr/>
        <a:lstStyle/>
        <a:p>
          <a:endParaRPr lang="en-US"/>
        </a:p>
      </dgm:t>
    </dgm:pt>
  </dgm:ptLst>
  <dgm:cxnLst>
    <dgm:cxn modelId="{F0591CDD-8BA8-C849-AD88-62A7EE36BE5C}" srcId="{FBC027E5-9D67-F944-8481-82B4FDE09BE6}" destId="{B67A8C3E-6F75-BA40-BF25-6372C0CD0A18}" srcOrd="0" destOrd="0" parTransId="{0628F596-AACE-734C-8BC3-14EB36071FD6}" sibTransId="{EF794D40-0941-6342-A906-B7237DDC8579}"/>
    <dgm:cxn modelId="{D55EADDE-8E77-44CE-AABF-DDD721FF8D89}" type="presOf" srcId="{6855936F-A037-084C-B65A-8B03A1F036E6}" destId="{B572E493-8389-7A40-84FA-B23BBEC0C012}" srcOrd="0" destOrd="2" presId="urn:microsoft.com/office/officeart/2005/8/layout/chevron2"/>
    <dgm:cxn modelId="{ACE844F5-435B-42C5-9EF7-EA415E404F50}" type="presOf" srcId="{3B14FD94-390A-3040-8B1A-698E5DAF194C}" destId="{FC910371-F365-8D45-86E7-33A9004A0C77}" srcOrd="0" destOrd="0" presId="urn:microsoft.com/office/officeart/2005/8/layout/chevron2"/>
    <dgm:cxn modelId="{D1B183A3-3492-4957-AEAA-7EE3444F019E}" type="presOf" srcId="{60F2E352-AE33-0244-9779-E55819E7AD54}" destId="{B572E493-8389-7A40-84FA-B23BBEC0C012}" srcOrd="0" destOrd="0" presId="urn:microsoft.com/office/officeart/2005/8/layout/chevron2"/>
    <dgm:cxn modelId="{F4A6601B-D641-4F94-A688-B41951D1465F}" type="presOf" srcId="{D4414696-B99E-A744-8A4E-2ABFEA9CA214}" destId="{1168D76B-5362-414E-AFC6-623E386E0B4F}" srcOrd="0" destOrd="0" presId="urn:microsoft.com/office/officeart/2005/8/layout/chevron2"/>
    <dgm:cxn modelId="{BB0E40D9-D35F-E140-8734-532530D183FA}" srcId="{7CEB389D-D915-374B-8B9F-C76E03D63DD4}" destId="{D4414696-B99E-A744-8A4E-2ABFEA9CA214}" srcOrd="0" destOrd="0" parTransId="{B7FE9ACB-FEA2-EF41-BCF5-1CBA6625C0CE}" sibTransId="{0D531CAC-18FE-D341-B133-7156172AE9DB}"/>
    <dgm:cxn modelId="{A1B45A6F-4673-B346-AF0E-51D2766C9F48}" srcId="{5BC3C1C9-7EDF-3D45-9F88-92237A201802}" destId="{9B0F75BB-180D-8440-8FE1-A0D45FC0E082}" srcOrd="1" destOrd="0" parTransId="{F2291DD2-9B3D-FF49-AD81-DD3F62B64F87}" sibTransId="{44147A0A-EF1E-164D-B4F6-9237C65AD834}"/>
    <dgm:cxn modelId="{A7251BBB-EA7D-8942-830D-2FC317DE3743}" srcId="{65DAD649-CED0-AE4E-9D16-B9EFAE1D4F49}" destId="{3BC4AC2A-0299-C648-A83C-36FF69F88E5A}" srcOrd="2" destOrd="0" parTransId="{A787FFED-C56D-DE4B-B30D-AE58DF1807DB}" sibTransId="{C07938C0-84C2-114A-B6C2-CABA5B0AE1B9}"/>
    <dgm:cxn modelId="{391E5671-305D-4B52-87FA-48DEB6C052A2}" type="presOf" srcId="{E70ACC29-2A5C-3D44-9DDB-BFE495A7A735}" destId="{D5CC301C-A74E-7A49-AD9D-23FDF89F36E9}" srcOrd="0" destOrd="0" presId="urn:microsoft.com/office/officeart/2005/8/layout/chevron2"/>
    <dgm:cxn modelId="{07753872-CA28-B644-921C-13A3E38CE1E6}" srcId="{65DAD649-CED0-AE4E-9D16-B9EFAE1D4F49}" destId="{1539678C-5B1C-094C-8752-0305E5B01117}" srcOrd="3" destOrd="0" parTransId="{DD037B9A-013B-644C-8918-B85003FEEDEA}" sibTransId="{21E701B0-6E1C-8D4A-84C6-F1E403D875A0}"/>
    <dgm:cxn modelId="{E149F1FA-FCD8-4B8A-ADD7-04287435FD21}" type="presOf" srcId="{879BBBF4-1736-494B-8C8E-3A6C8E52879F}" destId="{23D288E8-0A77-894B-9789-91D7836FD3E1}" srcOrd="0" destOrd="0" presId="urn:microsoft.com/office/officeart/2005/8/layout/chevron2"/>
    <dgm:cxn modelId="{86A981C8-9A33-7D4F-9167-E7B2F4E777E0}" srcId="{879BBBF4-1736-494B-8C8E-3A6C8E52879F}" destId="{623E7CBD-06FB-D544-ADAC-36817FCED8B0}" srcOrd="1" destOrd="0" parTransId="{C84D7ADA-565F-3944-909E-A587429F69FA}" sibTransId="{755CEEEF-C109-174A-9E78-65C5925A29A0}"/>
    <dgm:cxn modelId="{663DA1DC-815E-4D9B-8F17-D053AE465156}" type="presOf" srcId="{BAF9AF10-BDF2-DF4A-946D-B159FED4F729}" destId="{B572E493-8389-7A40-84FA-B23BBEC0C012}" srcOrd="0" destOrd="3" presId="urn:microsoft.com/office/officeart/2005/8/layout/chevron2"/>
    <dgm:cxn modelId="{F0988732-BF0E-4A02-8107-12FF03092961}" type="presOf" srcId="{65DAD649-CED0-AE4E-9D16-B9EFAE1D4F49}" destId="{324287F6-448D-4246-A7A7-EDF943381AC9}" srcOrd="0" destOrd="0" presId="urn:microsoft.com/office/officeart/2005/8/layout/chevron2"/>
    <dgm:cxn modelId="{569E44FB-AEC8-D14F-8AC3-2F74A192AD8D}" srcId="{5BC3C1C9-7EDF-3D45-9F88-92237A201802}" destId="{7CEB389D-D915-374B-8B9F-C76E03D63DD4}" srcOrd="0" destOrd="0" parTransId="{83A212E6-BBC3-7F44-BB03-5A932543A600}" sibTransId="{FB09F75E-5360-2D4C-A91F-15E07A4F840F}"/>
    <dgm:cxn modelId="{BE4A55C3-920C-324A-818C-E1EEE2566477}" srcId="{7CEB389D-D915-374B-8B9F-C76E03D63DD4}" destId="{A6A4FE03-418B-A544-94B2-D0706BC2A7B7}" srcOrd="2" destOrd="0" parTransId="{CC2C1BA7-E72B-3C42-B81F-FCB7B88D54CE}" sibTransId="{E2584298-6C2A-D64B-A2D1-D9FB3F5859F3}"/>
    <dgm:cxn modelId="{4FAA7593-958C-45D8-8370-6F03A5E16E00}" type="presOf" srcId="{3BC4AC2A-0299-C648-A83C-36FF69F88E5A}" destId="{FC910371-F365-8D45-86E7-33A9004A0C77}" srcOrd="0" destOrd="2" presId="urn:microsoft.com/office/officeart/2005/8/layout/chevron2"/>
    <dgm:cxn modelId="{C7B1FF43-D7A7-4EEA-8571-760AF4E9DEC7}" type="presOf" srcId="{A6A4FE03-418B-A544-94B2-D0706BC2A7B7}" destId="{1168D76B-5362-414E-AFC6-623E386E0B4F}" srcOrd="0" destOrd="2" presId="urn:microsoft.com/office/officeart/2005/8/layout/chevron2"/>
    <dgm:cxn modelId="{DD8CF815-BC16-42E1-87E3-C78CF54842D2}" type="presOf" srcId="{7101E565-DA61-9A44-9E8B-EC15807F1A3B}" destId="{1168D76B-5362-414E-AFC6-623E386E0B4F}" srcOrd="0" destOrd="1" presId="urn:microsoft.com/office/officeart/2005/8/layout/chevron2"/>
    <dgm:cxn modelId="{76F606E4-A851-4935-B17D-F71617571A5A}" type="presOf" srcId="{B67A8C3E-6F75-BA40-BF25-6372C0CD0A18}" destId="{484030FA-3C1B-4248-A429-9DF78F6123E5}" srcOrd="0" destOrd="0" presId="urn:microsoft.com/office/officeart/2005/8/layout/chevron2"/>
    <dgm:cxn modelId="{45505F82-B308-417E-AEA5-3C007740F0B2}" type="presOf" srcId="{26FCD092-2A39-9D49-9E51-A937E8451378}" destId="{FC910371-F365-8D45-86E7-33A9004A0C77}" srcOrd="0" destOrd="1" presId="urn:microsoft.com/office/officeart/2005/8/layout/chevron2"/>
    <dgm:cxn modelId="{FEDB03FD-97D2-B74E-AFD9-7AF2F5F1AB59}" srcId="{5BC3C1C9-7EDF-3D45-9F88-92237A201802}" destId="{879BBBF4-1736-494B-8C8E-3A6C8E52879F}" srcOrd="4" destOrd="0" parTransId="{43789063-22FD-4B48-B4B9-00310B35C990}" sibTransId="{CD257487-17F0-E44D-9A8D-FD54C0CA0CCA}"/>
    <dgm:cxn modelId="{5A4D0E5D-E8E6-4558-BA16-614FCCFDE192}" type="presOf" srcId="{9B0F75BB-180D-8440-8FE1-A0D45FC0E082}" destId="{B15AFF12-F804-0745-956F-7D957B9865B6}" srcOrd="0" destOrd="0" presId="urn:microsoft.com/office/officeart/2005/8/layout/chevron2"/>
    <dgm:cxn modelId="{229648F9-8220-4D6A-933D-6D0E8954582D}" type="presOf" srcId="{7CEB389D-D915-374B-8B9F-C76E03D63DD4}" destId="{9C9B9A03-77AF-6141-B3C9-056B071A3BAB}" srcOrd="0" destOrd="0" presId="urn:microsoft.com/office/officeart/2005/8/layout/chevron2"/>
    <dgm:cxn modelId="{19D31E85-9856-5544-BD1A-03C5DE71569D}" srcId="{5BC3C1C9-7EDF-3D45-9F88-92237A201802}" destId="{FBC027E5-9D67-F944-8481-82B4FDE09BE6}" srcOrd="3" destOrd="0" parTransId="{5F8278D3-3BF8-B245-98B7-5A82F35D7601}" sibTransId="{241DAD09-BDE8-024B-A7A8-D9C889CB3C60}"/>
    <dgm:cxn modelId="{0948D62E-7A72-407B-AEE3-DF2A9FCF07AE}" type="presOf" srcId="{1539678C-5B1C-094C-8752-0305E5B01117}" destId="{FC910371-F365-8D45-86E7-33A9004A0C77}" srcOrd="0" destOrd="3" presId="urn:microsoft.com/office/officeart/2005/8/layout/chevron2"/>
    <dgm:cxn modelId="{2D8942AD-CCDA-CA40-9FA2-5E02828785B2}" srcId="{9B0F75BB-180D-8440-8FE1-A0D45FC0E082}" destId="{E70ACC29-2A5C-3D44-9DDB-BFE495A7A735}" srcOrd="0" destOrd="0" parTransId="{CD8A32CF-24C5-8640-A153-6E87F7CC9D7E}" sibTransId="{442CFF84-C8E7-7D47-81AC-35E21464B8C2}"/>
    <dgm:cxn modelId="{62F2A3A5-2E38-4D02-A430-5971CCB8BE9E}" type="presOf" srcId="{623E7CBD-06FB-D544-ADAC-36817FCED8B0}" destId="{B572E493-8389-7A40-84FA-B23BBEC0C012}" srcOrd="0" destOrd="1" presId="urn:microsoft.com/office/officeart/2005/8/layout/chevron2"/>
    <dgm:cxn modelId="{71031901-BF94-5542-A45E-A994BF12B002}" srcId="{879BBBF4-1736-494B-8C8E-3A6C8E52879F}" destId="{6855936F-A037-084C-B65A-8B03A1F036E6}" srcOrd="2" destOrd="0" parTransId="{EE9391E9-68F1-3E49-9C72-8FE6F869DED6}" sibTransId="{075A5A58-D045-F841-92C8-EB9A14E5AD3D}"/>
    <dgm:cxn modelId="{59B6EF83-D2ED-CC4D-9D8D-99377932FF92}" srcId="{65DAD649-CED0-AE4E-9D16-B9EFAE1D4F49}" destId="{26FCD092-2A39-9D49-9E51-A937E8451378}" srcOrd="1" destOrd="0" parTransId="{28B0DBC8-FDE7-0348-A4FF-C3A9640C3C10}" sibTransId="{DB99651D-C2D3-B640-8E47-37F890B319B5}"/>
    <dgm:cxn modelId="{9AED2073-5A41-4FF5-AB3F-C6E6EBA77DF5}" type="presOf" srcId="{FBC027E5-9D67-F944-8481-82B4FDE09BE6}" destId="{FFE78002-6484-7149-BC75-8F09AF2345AD}" srcOrd="0" destOrd="0" presId="urn:microsoft.com/office/officeart/2005/8/layout/chevron2"/>
    <dgm:cxn modelId="{B935B381-9FE4-9041-A568-0ECF1797FAD8}" srcId="{7CEB389D-D915-374B-8B9F-C76E03D63DD4}" destId="{7101E565-DA61-9A44-9E8B-EC15807F1A3B}" srcOrd="1" destOrd="0" parTransId="{70E77204-D2AB-C44E-B2B2-C957B90C3E6D}" sibTransId="{A36167A4-A2D3-3744-959B-3C9A1C56F141}"/>
    <dgm:cxn modelId="{D60C9457-DD3F-E34A-B4C8-A33770ADF9A8}" srcId="{879BBBF4-1736-494B-8C8E-3A6C8E52879F}" destId="{BAF9AF10-BDF2-DF4A-946D-B159FED4F729}" srcOrd="3" destOrd="0" parTransId="{B711738E-010D-4644-8B71-A1CEA610CCFB}" sibTransId="{6F521C2F-4C02-4B46-8185-AA3F85413965}"/>
    <dgm:cxn modelId="{D3E30490-28DA-AD48-BE3A-2D67297F0641}" srcId="{5BC3C1C9-7EDF-3D45-9F88-92237A201802}" destId="{65DAD649-CED0-AE4E-9D16-B9EFAE1D4F49}" srcOrd="2" destOrd="0" parTransId="{8CDEC6D5-A80D-3C43-ACB1-D6DB82F5A9A4}" sibTransId="{5728A6D8-7190-FE45-924F-4390DB16A37E}"/>
    <dgm:cxn modelId="{327D4C06-578E-D740-8E4B-BC1A849B5214}" srcId="{65DAD649-CED0-AE4E-9D16-B9EFAE1D4F49}" destId="{3B14FD94-390A-3040-8B1A-698E5DAF194C}" srcOrd="0" destOrd="0" parTransId="{E9913BF9-4F59-5C43-B005-0B97C41241C8}" sibTransId="{CC56AE22-64F4-3041-8C63-9A0E51244BAC}"/>
    <dgm:cxn modelId="{0ABDD132-249A-4784-BBF0-A72564225FE2}" type="presOf" srcId="{5BC3C1C9-7EDF-3D45-9F88-92237A201802}" destId="{A51F60B2-32FE-4146-B99F-AF4AF98C9AB0}" srcOrd="0" destOrd="0" presId="urn:microsoft.com/office/officeart/2005/8/layout/chevron2"/>
    <dgm:cxn modelId="{A1440BA1-BCE9-434C-A0DF-5CACD3516D95}" srcId="{879BBBF4-1736-494B-8C8E-3A6C8E52879F}" destId="{60F2E352-AE33-0244-9779-E55819E7AD54}" srcOrd="0" destOrd="0" parTransId="{14F7B2B4-1534-3443-BE9B-A2172FB02040}" sibTransId="{60376D35-7A33-8140-B145-11BADE906FD6}"/>
    <dgm:cxn modelId="{FFCEA8FD-6688-4A3D-8682-EB7D01F4ADF6}" type="presParOf" srcId="{A51F60B2-32FE-4146-B99F-AF4AF98C9AB0}" destId="{7889CF2F-9E8B-5C4A-98C9-D3D6800CBE32}" srcOrd="0" destOrd="0" presId="urn:microsoft.com/office/officeart/2005/8/layout/chevron2"/>
    <dgm:cxn modelId="{364FFD05-B579-4B89-A3B3-EAF853DB97F6}" type="presParOf" srcId="{7889CF2F-9E8B-5C4A-98C9-D3D6800CBE32}" destId="{9C9B9A03-77AF-6141-B3C9-056B071A3BAB}" srcOrd="0" destOrd="0" presId="urn:microsoft.com/office/officeart/2005/8/layout/chevron2"/>
    <dgm:cxn modelId="{C480ABFD-58AA-4EE0-96B7-CD529B7BD23E}" type="presParOf" srcId="{7889CF2F-9E8B-5C4A-98C9-D3D6800CBE32}" destId="{1168D76B-5362-414E-AFC6-623E386E0B4F}" srcOrd="1" destOrd="0" presId="urn:microsoft.com/office/officeart/2005/8/layout/chevron2"/>
    <dgm:cxn modelId="{C0040614-7F54-4546-A872-2EEC9FE6E2D9}" type="presParOf" srcId="{A51F60B2-32FE-4146-B99F-AF4AF98C9AB0}" destId="{3AB87821-71F1-BA47-806D-CD909313E7D3}" srcOrd="1" destOrd="0" presId="urn:microsoft.com/office/officeart/2005/8/layout/chevron2"/>
    <dgm:cxn modelId="{E9FFA073-45FF-4F81-B3E8-84FB68EBF912}" type="presParOf" srcId="{A51F60B2-32FE-4146-B99F-AF4AF98C9AB0}" destId="{BE987C69-D15A-BE46-99D4-945B983DEBF2}" srcOrd="2" destOrd="0" presId="urn:microsoft.com/office/officeart/2005/8/layout/chevron2"/>
    <dgm:cxn modelId="{6554419B-B990-49A3-B019-384D905BB0C0}" type="presParOf" srcId="{BE987C69-D15A-BE46-99D4-945B983DEBF2}" destId="{B15AFF12-F804-0745-956F-7D957B9865B6}" srcOrd="0" destOrd="0" presId="urn:microsoft.com/office/officeart/2005/8/layout/chevron2"/>
    <dgm:cxn modelId="{F526032E-E2A2-41FA-A1A6-4B2E22FFE6A2}" type="presParOf" srcId="{BE987C69-D15A-BE46-99D4-945B983DEBF2}" destId="{D5CC301C-A74E-7A49-AD9D-23FDF89F36E9}" srcOrd="1" destOrd="0" presId="urn:microsoft.com/office/officeart/2005/8/layout/chevron2"/>
    <dgm:cxn modelId="{51033AA6-C8BA-4757-BA1A-17079823D03A}" type="presParOf" srcId="{A51F60B2-32FE-4146-B99F-AF4AF98C9AB0}" destId="{A03A6568-8004-7549-BBA5-5DDE7F5E0546}" srcOrd="3" destOrd="0" presId="urn:microsoft.com/office/officeart/2005/8/layout/chevron2"/>
    <dgm:cxn modelId="{4F66F06B-9141-49B6-A154-63ED4A6383BD}" type="presParOf" srcId="{A51F60B2-32FE-4146-B99F-AF4AF98C9AB0}" destId="{6C130BE1-1A6F-724D-8EEA-FD9BBD2D06A7}" srcOrd="4" destOrd="0" presId="urn:microsoft.com/office/officeart/2005/8/layout/chevron2"/>
    <dgm:cxn modelId="{A435B5B9-C151-4F80-A8F7-F14D9DB172F9}" type="presParOf" srcId="{6C130BE1-1A6F-724D-8EEA-FD9BBD2D06A7}" destId="{324287F6-448D-4246-A7A7-EDF943381AC9}" srcOrd="0" destOrd="0" presId="urn:microsoft.com/office/officeart/2005/8/layout/chevron2"/>
    <dgm:cxn modelId="{D53FFDF8-FE8F-4300-AFA3-81FA233305E4}" type="presParOf" srcId="{6C130BE1-1A6F-724D-8EEA-FD9BBD2D06A7}" destId="{FC910371-F365-8D45-86E7-33A9004A0C77}" srcOrd="1" destOrd="0" presId="urn:microsoft.com/office/officeart/2005/8/layout/chevron2"/>
    <dgm:cxn modelId="{83FE3F42-6942-43CC-8F88-EA2D149CB0C6}" type="presParOf" srcId="{A51F60B2-32FE-4146-B99F-AF4AF98C9AB0}" destId="{DCA3049B-C0AE-EA43-B4E4-807172FF14C5}" srcOrd="5" destOrd="0" presId="urn:microsoft.com/office/officeart/2005/8/layout/chevron2"/>
    <dgm:cxn modelId="{E6BBEA98-47EA-4F9A-966B-08C7CAD96D77}" type="presParOf" srcId="{A51F60B2-32FE-4146-B99F-AF4AF98C9AB0}" destId="{03D49D26-EDEC-F542-87F6-E635F9191B2B}" srcOrd="6" destOrd="0" presId="urn:microsoft.com/office/officeart/2005/8/layout/chevron2"/>
    <dgm:cxn modelId="{2E4F96AC-1CFE-4254-82BE-D0CF77F76800}" type="presParOf" srcId="{03D49D26-EDEC-F542-87F6-E635F9191B2B}" destId="{FFE78002-6484-7149-BC75-8F09AF2345AD}" srcOrd="0" destOrd="0" presId="urn:microsoft.com/office/officeart/2005/8/layout/chevron2"/>
    <dgm:cxn modelId="{FF6CD2DE-07A1-49AB-A141-CC0F8C58E544}" type="presParOf" srcId="{03D49D26-EDEC-F542-87F6-E635F9191B2B}" destId="{484030FA-3C1B-4248-A429-9DF78F6123E5}" srcOrd="1" destOrd="0" presId="urn:microsoft.com/office/officeart/2005/8/layout/chevron2"/>
    <dgm:cxn modelId="{95C40E15-F82B-4E05-B140-98D0035B6A03}" type="presParOf" srcId="{A51F60B2-32FE-4146-B99F-AF4AF98C9AB0}" destId="{9E54D589-3228-6B4D-83E6-1B9E4EDDB8B5}" srcOrd="7" destOrd="0" presId="urn:microsoft.com/office/officeart/2005/8/layout/chevron2"/>
    <dgm:cxn modelId="{61EB16D1-743D-4EF5-8EB5-6D11E62D1F97}" type="presParOf" srcId="{A51F60B2-32FE-4146-B99F-AF4AF98C9AB0}" destId="{3409A75D-B971-714C-8ED5-9FE9F30CCD3E}" srcOrd="8" destOrd="0" presId="urn:microsoft.com/office/officeart/2005/8/layout/chevron2"/>
    <dgm:cxn modelId="{5B808ED7-D63F-4F49-95A3-5A2FD3C9DF44}" type="presParOf" srcId="{3409A75D-B971-714C-8ED5-9FE9F30CCD3E}" destId="{23D288E8-0A77-894B-9789-91D7836FD3E1}" srcOrd="0" destOrd="0" presId="urn:microsoft.com/office/officeart/2005/8/layout/chevron2"/>
    <dgm:cxn modelId="{71160B8C-CE20-4C24-91CE-765D3B3DAD88}" type="presParOf" srcId="{3409A75D-B971-714C-8ED5-9FE9F30CCD3E}" destId="{B572E493-8389-7A40-84FA-B23BBEC0C012}" srcOrd="1" destOrd="0" presId="urn:microsoft.com/office/officeart/2005/8/layout/chevron2"/>
  </dgm:cxnLst>
  <dgm:bg/>
  <dgm:whole/>
  <dgm:extLst>
    <a:ext uri="http://schemas.microsoft.com/office/drawing/2008/diagram">
      <dsp:dataModelExt xmlns:dsp="http://schemas.microsoft.com/office/drawing/2008/diagram" xmlns="" relId="rId4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AEDBB808-0048-7642-9D83-7D7ECE7A9F1E}" type="doc">
      <dgm:prSet loTypeId="urn:microsoft.com/office/officeart/2005/8/layout/radial6" loCatId="" qsTypeId="urn:microsoft.com/office/officeart/2005/8/quickstyle/simple4" qsCatId="simple" csTypeId="urn:microsoft.com/office/officeart/2005/8/colors/accent1_2" csCatId="accent1" phldr="1"/>
      <dgm:spPr/>
      <dgm:t>
        <a:bodyPr/>
        <a:lstStyle/>
        <a:p>
          <a:endParaRPr lang="en-US"/>
        </a:p>
      </dgm:t>
    </dgm:pt>
    <dgm:pt modelId="{D705FB75-29D8-F44F-BDEA-F5845C838EB3}">
      <dgm:prSet phldrT="[Text]"/>
      <dgm:spPr/>
      <dgm:t>
        <a:bodyPr/>
        <a:lstStyle/>
        <a:p>
          <a:r>
            <a:rPr lang="en-US"/>
            <a:t>ROA, ROE</a:t>
          </a:r>
        </a:p>
      </dgm:t>
    </dgm:pt>
    <dgm:pt modelId="{8628887A-D4A2-F344-88AA-FD6041294D99}" type="parTrans" cxnId="{BE5F422B-5C62-3945-A7EF-3D94F73FC2DC}">
      <dgm:prSet/>
      <dgm:spPr/>
      <dgm:t>
        <a:bodyPr/>
        <a:lstStyle/>
        <a:p>
          <a:endParaRPr lang="en-US"/>
        </a:p>
      </dgm:t>
    </dgm:pt>
    <dgm:pt modelId="{2CEE83A0-EE19-2E40-BE76-9647E40515C7}" type="sibTrans" cxnId="{BE5F422B-5C62-3945-A7EF-3D94F73FC2DC}">
      <dgm:prSet/>
      <dgm:spPr/>
      <dgm:t>
        <a:bodyPr/>
        <a:lstStyle/>
        <a:p>
          <a:endParaRPr lang="en-US"/>
        </a:p>
      </dgm:t>
    </dgm:pt>
    <dgm:pt modelId="{99B035CF-908C-8243-AA9F-2CC1E4DE493A}">
      <dgm:prSet phldrT="[Text]"/>
      <dgm:spPr/>
      <dgm:t>
        <a:bodyPr/>
        <a:lstStyle/>
        <a:p>
          <a:r>
            <a:rPr lang="en-US"/>
            <a:t>ICE</a:t>
          </a:r>
        </a:p>
      </dgm:t>
    </dgm:pt>
    <dgm:pt modelId="{F0B61ABB-169D-4043-A941-A1774CC4D8BE}" type="parTrans" cxnId="{00A08A2B-7614-C444-916E-656E7DDE9295}">
      <dgm:prSet/>
      <dgm:spPr/>
      <dgm:t>
        <a:bodyPr/>
        <a:lstStyle/>
        <a:p>
          <a:endParaRPr lang="en-US"/>
        </a:p>
      </dgm:t>
    </dgm:pt>
    <dgm:pt modelId="{21436EE6-5E70-124F-8B71-F283449729DB}" type="sibTrans" cxnId="{00A08A2B-7614-C444-916E-656E7DDE9295}">
      <dgm:prSet/>
      <dgm:spPr/>
      <dgm:t>
        <a:bodyPr/>
        <a:lstStyle/>
        <a:p>
          <a:endParaRPr lang="en-US"/>
        </a:p>
      </dgm:t>
    </dgm:pt>
    <dgm:pt modelId="{917CADE0-ADC4-414E-8683-A938D9915812}">
      <dgm:prSet phldrT="[Text]"/>
      <dgm:spPr/>
      <dgm:t>
        <a:bodyPr/>
        <a:lstStyle/>
        <a:p>
          <a:r>
            <a:rPr lang="en-US"/>
            <a:t>CIV</a:t>
          </a:r>
        </a:p>
      </dgm:t>
    </dgm:pt>
    <dgm:pt modelId="{360D5836-CC16-B548-AAD7-599142582E4F}" type="parTrans" cxnId="{1A0CBB88-2DF4-2947-A845-CB1B8F152A03}">
      <dgm:prSet/>
      <dgm:spPr/>
      <dgm:t>
        <a:bodyPr/>
        <a:lstStyle/>
        <a:p>
          <a:endParaRPr lang="en-US"/>
        </a:p>
      </dgm:t>
    </dgm:pt>
    <dgm:pt modelId="{24B604A2-D2BC-7045-8190-43004F304DE7}" type="sibTrans" cxnId="{1A0CBB88-2DF4-2947-A845-CB1B8F152A03}">
      <dgm:prSet/>
      <dgm:spPr/>
      <dgm:t>
        <a:bodyPr/>
        <a:lstStyle/>
        <a:p>
          <a:endParaRPr lang="en-US"/>
        </a:p>
      </dgm:t>
    </dgm:pt>
    <dgm:pt modelId="{11472CD5-F6E7-444E-BB87-6116E2CF2EF4}">
      <dgm:prSet phldrT="[Text]"/>
      <dgm:spPr/>
      <dgm:t>
        <a:bodyPr/>
        <a:lstStyle/>
        <a:p>
          <a:r>
            <a:rPr lang="en-US"/>
            <a:t>VAIC™</a:t>
          </a:r>
        </a:p>
      </dgm:t>
    </dgm:pt>
    <dgm:pt modelId="{BA9ADFD5-8F59-394D-9478-CD1B475C3251}" type="parTrans" cxnId="{2C2457EA-A621-8440-B5A9-C990B6CE992A}">
      <dgm:prSet/>
      <dgm:spPr/>
      <dgm:t>
        <a:bodyPr/>
        <a:lstStyle/>
        <a:p>
          <a:endParaRPr lang="en-US"/>
        </a:p>
      </dgm:t>
    </dgm:pt>
    <dgm:pt modelId="{6C941206-C517-8541-BDB0-BD804FBD5B2D}" type="sibTrans" cxnId="{2C2457EA-A621-8440-B5A9-C990B6CE992A}">
      <dgm:prSet/>
      <dgm:spPr/>
      <dgm:t>
        <a:bodyPr/>
        <a:lstStyle/>
        <a:p>
          <a:endParaRPr lang="en-US"/>
        </a:p>
      </dgm:t>
    </dgm:pt>
    <dgm:pt modelId="{8D29BCB8-9387-C64D-82A2-D7F74031F1DD}" type="pres">
      <dgm:prSet presAssocID="{AEDBB808-0048-7642-9D83-7D7ECE7A9F1E}" presName="Name0" presStyleCnt="0">
        <dgm:presLayoutVars>
          <dgm:chMax val="1"/>
          <dgm:dir/>
          <dgm:animLvl val="ctr"/>
          <dgm:resizeHandles val="exact"/>
        </dgm:presLayoutVars>
      </dgm:prSet>
      <dgm:spPr/>
      <dgm:t>
        <a:bodyPr/>
        <a:lstStyle/>
        <a:p>
          <a:endParaRPr lang="en-US"/>
        </a:p>
      </dgm:t>
    </dgm:pt>
    <dgm:pt modelId="{16D7451B-385E-6F4C-B9CF-DA949D90DF5D}" type="pres">
      <dgm:prSet presAssocID="{D705FB75-29D8-F44F-BDEA-F5845C838EB3}" presName="centerShape" presStyleLbl="node0" presStyleIdx="0" presStyleCnt="1"/>
      <dgm:spPr/>
      <dgm:t>
        <a:bodyPr/>
        <a:lstStyle/>
        <a:p>
          <a:endParaRPr lang="en-US"/>
        </a:p>
      </dgm:t>
    </dgm:pt>
    <dgm:pt modelId="{BF189F56-9217-DE49-8DE7-054FEFFF5942}" type="pres">
      <dgm:prSet presAssocID="{99B035CF-908C-8243-AA9F-2CC1E4DE493A}" presName="node" presStyleLbl="node1" presStyleIdx="0" presStyleCnt="3">
        <dgm:presLayoutVars>
          <dgm:bulletEnabled val="1"/>
        </dgm:presLayoutVars>
      </dgm:prSet>
      <dgm:spPr/>
      <dgm:t>
        <a:bodyPr/>
        <a:lstStyle/>
        <a:p>
          <a:endParaRPr lang="en-US"/>
        </a:p>
      </dgm:t>
    </dgm:pt>
    <dgm:pt modelId="{74027879-459C-5A43-9516-49B9AC85DB15}" type="pres">
      <dgm:prSet presAssocID="{99B035CF-908C-8243-AA9F-2CC1E4DE493A}" presName="dummy" presStyleCnt="0"/>
      <dgm:spPr/>
    </dgm:pt>
    <dgm:pt modelId="{F5241CEC-BC27-2049-9768-900822ABC1E1}" type="pres">
      <dgm:prSet presAssocID="{21436EE6-5E70-124F-8B71-F283449729DB}" presName="sibTrans" presStyleLbl="sibTrans2D1" presStyleIdx="0" presStyleCnt="3"/>
      <dgm:spPr/>
      <dgm:t>
        <a:bodyPr/>
        <a:lstStyle/>
        <a:p>
          <a:endParaRPr lang="en-US"/>
        </a:p>
      </dgm:t>
    </dgm:pt>
    <dgm:pt modelId="{259FBFB1-BADD-E54B-817E-26C06034CC75}" type="pres">
      <dgm:prSet presAssocID="{917CADE0-ADC4-414E-8683-A938D9915812}" presName="node" presStyleLbl="node1" presStyleIdx="1" presStyleCnt="3">
        <dgm:presLayoutVars>
          <dgm:bulletEnabled val="1"/>
        </dgm:presLayoutVars>
      </dgm:prSet>
      <dgm:spPr/>
      <dgm:t>
        <a:bodyPr/>
        <a:lstStyle/>
        <a:p>
          <a:endParaRPr lang="en-US"/>
        </a:p>
      </dgm:t>
    </dgm:pt>
    <dgm:pt modelId="{39F79913-8D89-5744-A7A0-E13349E00C6B}" type="pres">
      <dgm:prSet presAssocID="{917CADE0-ADC4-414E-8683-A938D9915812}" presName="dummy" presStyleCnt="0"/>
      <dgm:spPr/>
    </dgm:pt>
    <dgm:pt modelId="{F34E845D-3222-6843-B363-920882C626F0}" type="pres">
      <dgm:prSet presAssocID="{24B604A2-D2BC-7045-8190-43004F304DE7}" presName="sibTrans" presStyleLbl="sibTrans2D1" presStyleIdx="1" presStyleCnt="3"/>
      <dgm:spPr/>
      <dgm:t>
        <a:bodyPr/>
        <a:lstStyle/>
        <a:p>
          <a:endParaRPr lang="en-US"/>
        </a:p>
      </dgm:t>
    </dgm:pt>
    <dgm:pt modelId="{B75066A3-465B-C345-B57A-3C98BCE115B1}" type="pres">
      <dgm:prSet presAssocID="{11472CD5-F6E7-444E-BB87-6116E2CF2EF4}" presName="node" presStyleLbl="node1" presStyleIdx="2" presStyleCnt="3">
        <dgm:presLayoutVars>
          <dgm:bulletEnabled val="1"/>
        </dgm:presLayoutVars>
      </dgm:prSet>
      <dgm:spPr/>
      <dgm:t>
        <a:bodyPr/>
        <a:lstStyle/>
        <a:p>
          <a:endParaRPr lang="en-US"/>
        </a:p>
      </dgm:t>
    </dgm:pt>
    <dgm:pt modelId="{F53B0440-2379-B847-A381-9ABC90BCDF87}" type="pres">
      <dgm:prSet presAssocID="{11472CD5-F6E7-444E-BB87-6116E2CF2EF4}" presName="dummy" presStyleCnt="0"/>
      <dgm:spPr/>
    </dgm:pt>
    <dgm:pt modelId="{E3388934-D78C-0147-9501-0D1EA60ED612}" type="pres">
      <dgm:prSet presAssocID="{6C941206-C517-8541-BDB0-BD804FBD5B2D}" presName="sibTrans" presStyleLbl="sibTrans2D1" presStyleIdx="2" presStyleCnt="3"/>
      <dgm:spPr/>
      <dgm:t>
        <a:bodyPr/>
        <a:lstStyle/>
        <a:p>
          <a:endParaRPr lang="en-US"/>
        </a:p>
      </dgm:t>
    </dgm:pt>
  </dgm:ptLst>
  <dgm:cxnLst>
    <dgm:cxn modelId="{31C26FA3-2D10-42C1-A9D5-5F7DD570F48D}" type="presOf" srcId="{24B604A2-D2BC-7045-8190-43004F304DE7}" destId="{F34E845D-3222-6843-B363-920882C626F0}" srcOrd="0" destOrd="0" presId="urn:microsoft.com/office/officeart/2005/8/layout/radial6"/>
    <dgm:cxn modelId="{16A41E03-F013-4F89-9F42-0877C04C6552}" type="presOf" srcId="{AEDBB808-0048-7642-9D83-7D7ECE7A9F1E}" destId="{8D29BCB8-9387-C64D-82A2-D7F74031F1DD}" srcOrd="0" destOrd="0" presId="urn:microsoft.com/office/officeart/2005/8/layout/radial6"/>
    <dgm:cxn modelId="{68A7AD30-FDC1-45F8-9102-8CB67A20B38A}" type="presOf" srcId="{21436EE6-5E70-124F-8B71-F283449729DB}" destId="{F5241CEC-BC27-2049-9768-900822ABC1E1}" srcOrd="0" destOrd="0" presId="urn:microsoft.com/office/officeart/2005/8/layout/radial6"/>
    <dgm:cxn modelId="{DBC3384F-F300-4F77-B2D1-54CF02A71F2A}" type="presOf" srcId="{11472CD5-F6E7-444E-BB87-6116E2CF2EF4}" destId="{B75066A3-465B-C345-B57A-3C98BCE115B1}" srcOrd="0" destOrd="0" presId="urn:microsoft.com/office/officeart/2005/8/layout/radial6"/>
    <dgm:cxn modelId="{477E5732-077A-4EA2-AA1F-4C090392D57E}" type="presOf" srcId="{6C941206-C517-8541-BDB0-BD804FBD5B2D}" destId="{E3388934-D78C-0147-9501-0D1EA60ED612}" srcOrd="0" destOrd="0" presId="urn:microsoft.com/office/officeart/2005/8/layout/radial6"/>
    <dgm:cxn modelId="{2C2457EA-A621-8440-B5A9-C990B6CE992A}" srcId="{D705FB75-29D8-F44F-BDEA-F5845C838EB3}" destId="{11472CD5-F6E7-444E-BB87-6116E2CF2EF4}" srcOrd="2" destOrd="0" parTransId="{BA9ADFD5-8F59-394D-9478-CD1B475C3251}" sibTransId="{6C941206-C517-8541-BDB0-BD804FBD5B2D}"/>
    <dgm:cxn modelId="{08728333-4C2C-4F3C-AC73-0780B5D6B868}" type="presOf" srcId="{917CADE0-ADC4-414E-8683-A938D9915812}" destId="{259FBFB1-BADD-E54B-817E-26C06034CC75}" srcOrd="0" destOrd="0" presId="urn:microsoft.com/office/officeart/2005/8/layout/radial6"/>
    <dgm:cxn modelId="{00A08A2B-7614-C444-916E-656E7DDE9295}" srcId="{D705FB75-29D8-F44F-BDEA-F5845C838EB3}" destId="{99B035CF-908C-8243-AA9F-2CC1E4DE493A}" srcOrd="0" destOrd="0" parTransId="{F0B61ABB-169D-4043-A941-A1774CC4D8BE}" sibTransId="{21436EE6-5E70-124F-8B71-F283449729DB}"/>
    <dgm:cxn modelId="{F28FD49C-06C0-4EB3-8612-C04BCD1BB730}" type="presOf" srcId="{99B035CF-908C-8243-AA9F-2CC1E4DE493A}" destId="{BF189F56-9217-DE49-8DE7-054FEFFF5942}" srcOrd="0" destOrd="0" presId="urn:microsoft.com/office/officeart/2005/8/layout/radial6"/>
    <dgm:cxn modelId="{1A0CBB88-2DF4-2947-A845-CB1B8F152A03}" srcId="{D705FB75-29D8-F44F-BDEA-F5845C838EB3}" destId="{917CADE0-ADC4-414E-8683-A938D9915812}" srcOrd="1" destOrd="0" parTransId="{360D5836-CC16-B548-AAD7-599142582E4F}" sibTransId="{24B604A2-D2BC-7045-8190-43004F304DE7}"/>
    <dgm:cxn modelId="{BE5F422B-5C62-3945-A7EF-3D94F73FC2DC}" srcId="{AEDBB808-0048-7642-9D83-7D7ECE7A9F1E}" destId="{D705FB75-29D8-F44F-BDEA-F5845C838EB3}" srcOrd="0" destOrd="0" parTransId="{8628887A-D4A2-F344-88AA-FD6041294D99}" sibTransId="{2CEE83A0-EE19-2E40-BE76-9647E40515C7}"/>
    <dgm:cxn modelId="{268413BC-0E05-439B-97B4-B3B1F9B61BF4}" type="presOf" srcId="{D705FB75-29D8-F44F-BDEA-F5845C838EB3}" destId="{16D7451B-385E-6F4C-B9CF-DA949D90DF5D}" srcOrd="0" destOrd="0" presId="urn:microsoft.com/office/officeart/2005/8/layout/radial6"/>
    <dgm:cxn modelId="{45D82779-FFBA-410D-BD99-3D34C92236A2}" type="presParOf" srcId="{8D29BCB8-9387-C64D-82A2-D7F74031F1DD}" destId="{16D7451B-385E-6F4C-B9CF-DA949D90DF5D}" srcOrd="0" destOrd="0" presId="urn:microsoft.com/office/officeart/2005/8/layout/radial6"/>
    <dgm:cxn modelId="{8E5D8828-3728-4137-87DE-401C52F5CB98}" type="presParOf" srcId="{8D29BCB8-9387-C64D-82A2-D7F74031F1DD}" destId="{BF189F56-9217-DE49-8DE7-054FEFFF5942}" srcOrd="1" destOrd="0" presId="urn:microsoft.com/office/officeart/2005/8/layout/radial6"/>
    <dgm:cxn modelId="{73F6F74E-BD0B-491A-ACEB-AE41D7C26D15}" type="presParOf" srcId="{8D29BCB8-9387-C64D-82A2-D7F74031F1DD}" destId="{74027879-459C-5A43-9516-49B9AC85DB15}" srcOrd="2" destOrd="0" presId="urn:microsoft.com/office/officeart/2005/8/layout/radial6"/>
    <dgm:cxn modelId="{D82483B5-0415-4C09-8D56-EAB5F37DDC6F}" type="presParOf" srcId="{8D29BCB8-9387-C64D-82A2-D7F74031F1DD}" destId="{F5241CEC-BC27-2049-9768-900822ABC1E1}" srcOrd="3" destOrd="0" presId="urn:microsoft.com/office/officeart/2005/8/layout/radial6"/>
    <dgm:cxn modelId="{41D20969-9F74-4377-BDBF-C4EB663327EE}" type="presParOf" srcId="{8D29BCB8-9387-C64D-82A2-D7F74031F1DD}" destId="{259FBFB1-BADD-E54B-817E-26C06034CC75}" srcOrd="4" destOrd="0" presId="urn:microsoft.com/office/officeart/2005/8/layout/radial6"/>
    <dgm:cxn modelId="{B5D376DB-F1AF-4273-BF9A-D7ABECE13C26}" type="presParOf" srcId="{8D29BCB8-9387-C64D-82A2-D7F74031F1DD}" destId="{39F79913-8D89-5744-A7A0-E13349E00C6B}" srcOrd="5" destOrd="0" presId="urn:microsoft.com/office/officeart/2005/8/layout/radial6"/>
    <dgm:cxn modelId="{9650BA74-72F6-4555-BEA1-711A05256C84}" type="presParOf" srcId="{8D29BCB8-9387-C64D-82A2-D7F74031F1DD}" destId="{F34E845D-3222-6843-B363-920882C626F0}" srcOrd="6" destOrd="0" presId="urn:microsoft.com/office/officeart/2005/8/layout/radial6"/>
    <dgm:cxn modelId="{9941BC2B-4957-490D-9961-12A2120E4AAD}" type="presParOf" srcId="{8D29BCB8-9387-C64D-82A2-D7F74031F1DD}" destId="{B75066A3-465B-C345-B57A-3C98BCE115B1}" srcOrd="7" destOrd="0" presId="urn:microsoft.com/office/officeart/2005/8/layout/radial6"/>
    <dgm:cxn modelId="{9CD6B960-2BBB-4B9E-885B-9B699B2AF2BD}" type="presParOf" srcId="{8D29BCB8-9387-C64D-82A2-D7F74031F1DD}" destId="{F53B0440-2379-B847-A381-9ABC90BCDF87}" srcOrd="8" destOrd="0" presId="urn:microsoft.com/office/officeart/2005/8/layout/radial6"/>
    <dgm:cxn modelId="{D4FA2F19-A652-44E9-AE29-06741E83F8CC}" type="presParOf" srcId="{8D29BCB8-9387-C64D-82A2-D7F74031F1DD}" destId="{E3388934-D78C-0147-9501-0D1EA60ED612}" srcOrd="9" destOrd="0" presId="urn:microsoft.com/office/officeart/2005/8/layout/radial6"/>
  </dgm:cxnLst>
  <dgm:bg/>
  <dgm:whole/>
  <dgm:extLst>
    <a:ext uri="http://schemas.microsoft.com/office/drawing/2008/diagram">
      <dsp:dataModelExt xmlns:dsp="http://schemas.microsoft.com/office/drawing/2008/diagram" xmlns="" relId="rId4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61D044E-D471-AD42-85CA-BCCD45BB8EF9}"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22BEB318-C119-F247-B6DD-05735C620587}">
      <dgm:prSet phldrT="[Text]"/>
      <dgm:spPr/>
      <dgm:t>
        <a:bodyPr/>
        <a:lstStyle/>
        <a:p>
          <a:r>
            <a:rPr lang="en-US"/>
            <a:t>Rinkos vertė</a:t>
          </a:r>
        </a:p>
      </dgm:t>
    </dgm:pt>
    <dgm:pt modelId="{BD5264C3-58ED-124B-AF09-09D5E59FB3EC}" type="parTrans" cxnId="{B9CDD26A-7ECF-B94C-96DA-B5EF3A04F85E}">
      <dgm:prSet/>
      <dgm:spPr/>
      <dgm:t>
        <a:bodyPr/>
        <a:lstStyle/>
        <a:p>
          <a:endParaRPr lang="en-US"/>
        </a:p>
      </dgm:t>
    </dgm:pt>
    <dgm:pt modelId="{AF1102C9-FD73-7B47-8B98-A3A6B5612794}" type="sibTrans" cxnId="{B9CDD26A-7ECF-B94C-96DA-B5EF3A04F85E}">
      <dgm:prSet/>
      <dgm:spPr/>
      <dgm:t>
        <a:bodyPr/>
        <a:lstStyle/>
        <a:p>
          <a:endParaRPr lang="en-US"/>
        </a:p>
      </dgm:t>
    </dgm:pt>
    <dgm:pt modelId="{CC2CE140-4255-7647-9288-111124B6E8C5}">
      <dgm:prSet phldrT="[Text]"/>
      <dgm:spPr/>
      <dgm:t>
        <a:bodyPr/>
        <a:lstStyle/>
        <a:p>
          <a:r>
            <a:rPr lang="en-US"/>
            <a:t>Finansinis kapitalas</a:t>
          </a:r>
        </a:p>
      </dgm:t>
    </dgm:pt>
    <dgm:pt modelId="{47BA5A7D-CADA-4648-BCE0-D1C59FD99420}" type="parTrans" cxnId="{B465C8FF-AC5C-7E4E-B1C6-53AC37983C2C}">
      <dgm:prSet/>
      <dgm:spPr/>
      <dgm:t>
        <a:bodyPr/>
        <a:lstStyle/>
        <a:p>
          <a:endParaRPr lang="en-US"/>
        </a:p>
      </dgm:t>
    </dgm:pt>
    <dgm:pt modelId="{1D6C89DD-C17B-9249-89B9-A521FD982861}" type="sibTrans" cxnId="{B465C8FF-AC5C-7E4E-B1C6-53AC37983C2C}">
      <dgm:prSet/>
      <dgm:spPr/>
      <dgm:t>
        <a:bodyPr/>
        <a:lstStyle/>
        <a:p>
          <a:endParaRPr lang="en-US"/>
        </a:p>
      </dgm:t>
    </dgm:pt>
    <dgm:pt modelId="{133948F7-967F-7E44-9FEA-471678424A6E}">
      <dgm:prSet phldrT="[Text]"/>
      <dgm:spPr/>
      <dgm:t>
        <a:bodyPr/>
        <a:lstStyle/>
        <a:p>
          <a:r>
            <a:rPr lang="en-US" b="1"/>
            <a:t>Intelektinis kapitalas</a:t>
          </a:r>
        </a:p>
      </dgm:t>
    </dgm:pt>
    <dgm:pt modelId="{F8BDDADC-A681-3045-988D-E3A2DE327586}" type="parTrans" cxnId="{5F12D61C-E688-DA49-A27A-C4C08FEB0893}">
      <dgm:prSet/>
      <dgm:spPr/>
      <dgm:t>
        <a:bodyPr/>
        <a:lstStyle/>
        <a:p>
          <a:endParaRPr lang="en-US"/>
        </a:p>
      </dgm:t>
    </dgm:pt>
    <dgm:pt modelId="{12B98308-6B2C-8444-87DB-5D04385A7E0F}" type="sibTrans" cxnId="{5F12D61C-E688-DA49-A27A-C4C08FEB0893}">
      <dgm:prSet/>
      <dgm:spPr/>
      <dgm:t>
        <a:bodyPr/>
        <a:lstStyle/>
        <a:p>
          <a:endParaRPr lang="en-US"/>
        </a:p>
      </dgm:t>
    </dgm:pt>
    <dgm:pt modelId="{DA005D54-1CE9-D648-AB34-5EA74D160B5E}">
      <dgm:prSet phldrT="[Text]"/>
      <dgm:spPr/>
      <dgm:t>
        <a:bodyPr/>
        <a:lstStyle/>
        <a:p>
          <a:r>
            <a:rPr lang="en-US" b="1"/>
            <a:t>Žmogiškasis kapitalas</a:t>
          </a:r>
        </a:p>
      </dgm:t>
    </dgm:pt>
    <dgm:pt modelId="{74F78ABA-EF63-3C44-B17B-0C71845DB4F1}" type="parTrans" cxnId="{7B5D8D5A-D400-A747-827B-2F1794020688}">
      <dgm:prSet/>
      <dgm:spPr/>
      <dgm:t>
        <a:bodyPr/>
        <a:lstStyle/>
        <a:p>
          <a:endParaRPr lang="en-US"/>
        </a:p>
      </dgm:t>
    </dgm:pt>
    <dgm:pt modelId="{F03BBF75-6704-594A-BF77-1F61CE2E4EB7}" type="sibTrans" cxnId="{7B5D8D5A-D400-A747-827B-2F1794020688}">
      <dgm:prSet/>
      <dgm:spPr/>
      <dgm:t>
        <a:bodyPr/>
        <a:lstStyle/>
        <a:p>
          <a:endParaRPr lang="en-US"/>
        </a:p>
      </dgm:t>
    </dgm:pt>
    <dgm:pt modelId="{A63874DB-9A41-DE44-8EFA-A53FBA2B20E5}">
      <dgm:prSet phldrT="[Text]"/>
      <dgm:spPr/>
      <dgm:t>
        <a:bodyPr/>
        <a:lstStyle/>
        <a:p>
          <a:r>
            <a:rPr lang="en-US" b="1"/>
            <a:t>Struktūrinis kapitalas</a:t>
          </a:r>
        </a:p>
      </dgm:t>
    </dgm:pt>
    <dgm:pt modelId="{9FAF5A4B-A253-804D-ADAD-0E9293EF7D33}" type="parTrans" cxnId="{DFF10C95-114B-9540-A431-0428CE6B6DCC}">
      <dgm:prSet/>
      <dgm:spPr/>
      <dgm:t>
        <a:bodyPr/>
        <a:lstStyle/>
        <a:p>
          <a:endParaRPr lang="en-US"/>
        </a:p>
      </dgm:t>
    </dgm:pt>
    <dgm:pt modelId="{6A7AF296-BDE5-AA45-8465-9EC6010708B0}" type="sibTrans" cxnId="{DFF10C95-114B-9540-A431-0428CE6B6DCC}">
      <dgm:prSet/>
      <dgm:spPr/>
      <dgm:t>
        <a:bodyPr/>
        <a:lstStyle/>
        <a:p>
          <a:endParaRPr lang="en-US"/>
        </a:p>
      </dgm:t>
    </dgm:pt>
    <dgm:pt modelId="{F98E018E-33F0-4B4D-8B39-A39CF5406A4C}">
      <dgm:prSet phldrT="[Text]"/>
      <dgm:spPr/>
      <dgm:t>
        <a:bodyPr/>
        <a:lstStyle/>
        <a:p>
          <a:r>
            <a:rPr lang="en-US"/>
            <a:t>Klientinis kapitalas</a:t>
          </a:r>
        </a:p>
      </dgm:t>
    </dgm:pt>
    <dgm:pt modelId="{4A8DAC39-3B05-3C4E-9F6A-A983808BBA5C}" type="parTrans" cxnId="{9EA86259-9F7E-534F-9934-30325FE180CB}">
      <dgm:prSet/>
      <dgm:spPr/>
      <dgm:t>
        <a:bodyPr/>
        <a:lstStyle/>
        <a:p>
          <a:endParaRPr lang="en-US"/>
        </a:p>
      </dgm:t>
    </dgm:pt>
    <dgm:pt modelId="{1DEE5F23-5FA6-5144-A1D0-33E693EC45D2}" type="sibTrans" cxnId="{9EA86259-9F7E-534F-9934-30325FE180CB}">
      <dgm:prSet/>
      <dgm:spPr/>
      <dgm:t>
        <a:bodyPr/>
        <a:lstStyle/>
        <a:p>
          <a:endParaRPr lang="en-US"/>
        </a:p>
      </dgm:t>
    </dgm:pt>
    <dgm:pt modelId="{F2449486-7C17-6543-AA7B-B2A46EF5E066}">
      <dgm:prSet phldrT="[Text]"/>
      <dgm:spPr/>
      <dgm:t>
        <a:bodyPr/>
        <a:lstStyle/>
        <a:p>
          <a:r>
            <a:rPr lang="en-US"/>
            <a:t>Organizacinis kapitalas</a:t>
          </a:r>
        </a:p>
      </dgm:t>
    </dgm:pt>
    <dgm:pt modelId="{247B54F0-47DB-344C-9195-DC39400833B6}" type="parTrans" cxnId="{83EC6BE7-BEA3-6B46-B06C-E782B525202F}">
      <dgm:prSet/>
      <dgm:spPr/>
      <dgm:t>
        <a:bodyPr/>
        <a:lstStyle/>
        <a:p>
          <a:endParaRPr lang="en-US"/>
        </a:p>
      </dgm:t>
    </dgm:pt>
    <dgm:pt modelId="{2566C328-7565-C14C-8F0D-062EE40E77BE}" type="sibTrans" cxnId="{83EC6BE7-BEA3-6B46-B06C-E782B525202F}">
      <dgm:prSet/>
      <dgm:spPr/>
      <dgm:t>
        <a:bodyPr/>
        <a:lstStyle/>
        <a:p>
          <a:endParaRPr lang="en-US"/>
        </a:p>
      </dgm:t>
    </dgm:pt>
    <dgm:pt modelId="{0403DBC1-7E70-3647-ADFB-20856A8B84CE}">
      <dgm:prSet phldrT="[Text]"/>
      <dgm:spPr/>
      <dgm:t>
        <a:bodyPr/>
        <a:lstStyle/>
        <a:p>
          <a:r>
            <a:rPr lang="en-US"/>
            <a:t>Inovacinis kapitalas</a:t>
          </a:r>
        </a:p>
      </dgm:t>
    </dgm:pt>
    <dgm:pt modelId="{51F23865-8582-B143-89C8-1660E8505344}" type="parTrans" cxnId="{47F00084-8B05-6848-ACE1-D3C0DE5CB76C}">
      <dgm:prSet/>
      <dgm:spPr/>
      <dgm:t>
        <a:bodyPr/>
        <a:lstStyle/>
        <a:p>
          <a:endParaRPr lang="en-US"/>
        </a:p>
      </dgm:t>
    </dgm:pt>
    <dgm:pt modelId="{139423EF-9D8F-C843-AF13-6A0E6C1326A6}" type="sibTrans" cxnId="{47F00084-8B05-6848-ACE1-D3C0DE5CB76C}">
      <dgm:prSet/>
      <dgm:spPr/>
      <dgm:t>
        <a:bodyPr/>
        <a:lstStyle/>
        <a:p>
          <a:endParaRPr lang="en-US"/>
        </a:p>
      </dgm:t>
    </dgm:pt>
    <dgm:pt modelId="{63DFBEF7-16FC-034A-A4B5-0A8A6E2BA63F}">
      <dgm:prSet phldrT="[Text]"/>
      <dgm:spPr/>
      <dgm:t>
        <a:bodyPr/>
        <a:lstStyle/>
        <a:p>
          <a:r>
            <a:rPr lang="en-US"/>
            <a:t>Procesisnis kapitalas</a:t>
          </a:r>
        </a:p>
      </dgm:t>
    </dgm:pt>
    <dgm:pt modelId="{97B2CA24-4F12-3949-B5D2-013B07888077}" type="parTrans" cxnId="{73063371-3BE5-4441-9F9F-7E492ED1C108}">
      <dgm:prSet/>
      <dgm:spPr/>
      <dgm:t>
        <a:bodyPr/>
        <a:lstStyle/>
        <a:p>
          <a:endParaRPr lang="en-US"/>
        </a:p>
      </dgm:t>
    </dgm:pt>
    <dgm:pt modelId="{52DBF625-5580-0944-A8A0-A955F724A714}" type="sibTrans" cxnId="{73063371-3BE5-4441-9F9F-7E492ED1C108}">
      <dgm:prSet/>
      <dgm:spPr/>
      <dgm:t>
        <a:bodyPr/>
        <a:lstStyle/>
        <a:p>
          <a:endParaRPr lang="en-US"/>
        </a:p>
      </dgm:t>
    </dgm:pt>
    <dgm:pt modelId="{6F0285C5-ABA4-D144-9146-4E2C781C91F1}" type="pres">
      <dgm:prSet presAssocID="{B61D044E-D471-AD42-85CA-BCCD45BB8EF9}" presName="hierChild1" presStyleCnt="0">
        <dgm:presLayoutVars>
          <dgm:chPref val="1"/>
          <dgm:dir/>
          <dgm:animOne val="branch"/>
          <dgm:animLvl val="lvl"/>
          <dgm:resizeHandles/>
        </dgm:presLayoutVars>
      </dgm:prSet>
      <dgm:spPr/>
      <dgm:t>
        <a:bodyPr/>
        <a:lstStyle/>
        <a:p>
          <a:endParaRPr lang="en-US"/>
        </a:p>
      </dgm:t>
    </dgm:pt>
    <dgm:pt modelId="{C07E0864-74CF-F242-AEEE-66BCAE10C3CB}" type="pres">
      <dgm:prSet presAssocID="{22BEB318-C119-F247-B6DD-05735C620587}" presName="hierRoot1" presStyleCnt="0"/>
      <dgm:spPr/>
    </dgm:pt>
    <dgm:pt modelId="{00E90230-3079-194D-808C-8085F9A7E06C}" type="pres">
      <dgm:prSet presAssocID="{22BEB318-C119-F247-B6DD-05735C620587}" presName="composite" presStyleCnt="0"/>
      <dgm:spPr/>
    </dgm:pt>
    <dgm:pt modelId="{B4CAADCF-6174-054E-8F2B-823DA3453043}" type="pres">
      <dgm:prSet presAssocID="{22BEB318-C119-F247-B6DD-05735C620587}" presName="background" presStyleLbl="node0" presStyleIdx="0" presStyleCnt="1"/>
      <dgm:spPr/>
    </dgm:pt>
    <dgm:pt modelId="{99389BDF-C080-714B-B847-1F55C154CF12}" type="pres">
      <dgm:prSet presAssocID="{22BEB318-C119-F247-B6DD-05735C620587}" presName="text" presStyleLbl="fgAcc0" presStyleIdx="0" presStyleCnt="1">
        <dgm:presLayoutVars>
          <dgm:chPref val="3"/>
        </dgm:presLayoutVars>
      </dgm:prSet>
      <dgm:spPr/>
      <dgm:t>
        <a:bodyPr/>
        <a:lstStyle/>
        <a:p>
          <a:endParaRPr lang="en-US"/>
        </a:p>
      </dgm:t>
    </dgm:pt>
    <dgm:pt modelId="{16B8BFA6-303D-5C48-88BD-1CB91F0EF534}" type="pres">
      <dgm:prSet presAssocID="{22BEB318-C119-F247-B6DD-05735C620587}" presName="hierChild2" presStyleCnt="0"/>
      <dgm:spPr/>
    </dgm:pt>
    <dgm:pt modelId="{83F106A4-8283-A04E-8DD9-3B2E3EB9F7FB}" type="pres">
      <dgm:prSet presAssocID="{47BA5A7D-CADA-4648-BCE0-D1C59FD99420}" presName="Name10" presStyleLbl="parChTrans1D2" presStyleIdx="0" presStyleCnt="2"/>
      <dgm:spPr/>
      <dgm:t>
        <a:bodyPr/>
        <a:lstStyle/>
        <a:p>
          <a:endParaRPr lang="en-US"/>
        </a:p>
      </dgm:t>
    </dgm:pt>
    <dgm:pt modelId="{F047D15A-CCE9-5840-B8BB-F1D23F4765CA}" type="pres">
      <dgm:prSet presAssocID="{CC2CE140-4255-7647-9288-111124B6E8C5}" presName="hierRoot2" presStyleCnt="0"/>
      <dgm:spPr/>
    </dgm:pt>
    <dgm:pt modelId="{5270BE34-C8A0-8948-AE4C-9F3FE2B4E275}" type="pres">
      <dgm:prSet presAssocID="{CC2CE140-4255-7647-9288-111124B6E8C5}" presName="composite2" presStyleCnt="0"/>
      <dgm:spPr/>
    </dgm:pt>
    <dgm:pt modelId="{8EDC5ADD-3BD8-094B-87B9-505B0F7015A1}" type="pres">
      <dgm:prSet presAssocID="{CC2CE140-4255-7647-9288-111124B6E8C5}" presName="background2" presStyleLbl="node2" presStyleIdx="0" presStyleCnt="2"/>
      <dgm:spPr/>
    </dgm:pt>
    <dgm:pt modelId="{C072C6AE-4E2B-134C-BBF4-1B5893FAD49C}" type="pres">
      <dgm:prSet presAssocID="{CC2CE140-4255-7647-9288-111124B6E8C5}" presName="text2" presStyleLbl="fgAcc2" presStyleIdx="0" presStyleCnt="2">
        <dgm:presLayoutVars>
          <dgm:chPref val="3"/>
        </dgm:presLayoutVars>
      </dgm:prSet>
      <dgm:spPr/>
      <dgm:t>
        <a:bodyPr/>
        <a:lstStyle/>
        <a:p>
          <a:endParaRPr lang="en-US"/>
        </a:p>
      </dgm:t>
    </dgm:pt>
    <dgm:pt modelId="{E8D739A2-FE0A-9641-BCA0-7DDA7AA22639}" type="pres">
      <dgm:prSet presAssocID="{CC2CE140-4255-7647-9288-111124B6E8C5}" presName="hierChild3" presStyleCnt="0"/>
      <dgm:spPr/>
    </dgm:pt>
    <dgm:pt modelId="{FE105B6B-C85B-AF4A-8450-259EA67A10D1}" type="pres">
      <dgm:prSet presAssocID="{F8BDDADC-A681-3045-988D-E3A2DE327586}" presName="Name10" presStyleLbl="parChTrans1D2" presStyleIdx="1" presStyleCnt="2"/>
      <dgm:spPr/>
      <dgm:t>
        <a:bodyPr/>
        <a:lstStyle/>
        <a:p>
          <a:endParaRPr lang="en-US"/>
        </a:p>
      </dgm:t>
    </dgm:pt>
    <dgm:pt modelId="{E5E1D952-E16F-0940-884C-C79273419AF0}" type="pres">
      <dgm:prSet presAssocID="{133948F7-967F-7E44-9FEA-471678424A6E}" presName="hierRoot2" presStyleCnt="0"/>
      <dgm:spPr/>
    </dgm:pt>
    <dgm:pt modelId="{3408ABE0-4D11-B94C-98EC-F531BC5371DB}" type="pres">
      <dgm:prSet presAssocID="{133948F7-967F-7E44-9FEA-471678424A6E}" presName="composite2" presStyleCnt="0"/>
      <dgm:spPr/>
    </dgm:pt>
    <dgm:pt modelId="{2D0D7805-3951-1A47-B6C3-AAE9DCCFDC5C}" type="pres">
      <dgm:prSet presAssocID="{133948F7-967F-7E44-9FEA-471678424A6E}" presName="background2" presStyleLbl="node2" presStyleIdx="1" presStyleCnt="2"/>
      <dgm:spPr/>
    </dgm:pt>
    <dgm:pt modelId="{7CD13C6B-0017-6A4E-A170-D3C6DEF536FC}" type="pres">
      <dgm:prSet presAssocID="{133948F7-967F-7E44-9FEA-471678424A6E}" presName="text2" presStyleLbl="fgAcc2" presStyleIdx="1" presStyleCnt="2">
        <dgm:presLayoutVars>
          <dgm:chPref val="3"/>
        </dgm:presLayoutVars>
      </dgm:prSet>
      <dgm:spPr/>
      <dgm:t>
        <a:bodyPr/>
        <a:lstStyle/>
        <a:p>
          <a:endParaRPr lang="en-US"/>
        </a:p>
      </dgm:t>
    </dgm:pt>
    <dgm:pt modelId="{8F1E3F0D-67E6-5A47-93B8-51C49CDBBC5A}" type="pres">
      <dgm:prSet presAssocID="{133948F7-967F-7E44-9FEA-471678424A6E}" presName="hierChild3" presStyleCnt="0"/>
      <dgm:spPr/>
    </dgm:pt>
    <dgm:pt modelId="{259C08F8-8BED-8340-9660-C718109B8EA4}" type="pres">
      <dgm:prSet presAssocID="{74F78ABA-EF63-3C44-B17B-0C71845DB4F1}" presName="Name17" presStyleLbl="parChTrans1D3" presStyleIdx="0" presStyleCnt="2"/>
      <dgm:spPr/>
      <dgm:t>
        <a:bodyPr/>
        <a:lstStyle/>
        <a:p>
          <a:endParaRPr lang="en-US"/>
        </a:p>
      </dgm:t>
    </dgm:pt>
    <dgm:pt modelId="{A97CD7B4-FA02-C74A-BD22-4A9789C3C01E}" type="pres">
      <dgm:prSet presAssocID="{DA005D54-1CE9-D648-AB34-5EA74D160B5E}" presName="hierRoot3" presStyleCnt="0"/>
      <dgm:spPr/>
    </dgm:pt>
    <dgm:pt modelId="{8CF8824F-89C3-C949-8B11-7A8B0BCC1593}" type="pres">
      <dgm:prSet presAssocID="{DA005D54-1CE9-D648-AB34-5EA74D160B5E}" presName="composite3" presStyleCnt="0"/>
      <dgm:spPr/>
    </dgm:pt>
    <dgm:pt modelId="{31748513-35AF-AC43-AEA3-911FF9CE6442}" type="pres">
      <dgm:prSet presAssocID="{DA005D54-1CE9-D648-AB34-5EA74D160B5E}" presName="background3" presStyleLbl="node3" presStyleIdx="0" presStyleCnt="2"/>
      <dgm:spPr/>
    </dgm:pt>
    <dgm:pt modelId="{EEB6423F-BEE1-9A4D-80CC-9768D948A114}" type="pres">
      <dgm:prSet presAssocID="{DA005D54-1CE9-D648-AB34-5EA74D160B5E}" presName="text3" presStyleLbl="fgAcc3" presStyleIdx="0" presStyleCnt="2">
        <dgm:presLayoutVars>
          <dgm:chPref val="3"/>
        </dgm:presLayoutVars>
      </dgm:prSet>
      <dgm:spPr/>
      <dgm:t>
        <a:bodyPr/>
        <a:lstStyle/>
        <a:p>
          <a:endParaRPr lang="en-US"/>
        </a:p>
      </dgm:t>
    </dgm:pt>
    <dgm:pt modelId="{D1F284FC-D8EC-BA4D-9BA0-0FAD080803FF}" type="pres">
      <dgm:prSet presAssocID="{DA005D54-1CE9-D648-AB34-5EA74D160B5E}" presName="hierChild4" presStyleCnt="0"/>
      <dgm:spPr/>
    </dgm:pt>
    <dgm:pt modelId="{B0A7CCDE-915A-EE4F-B312-F0224C660331}" type="pres">
      <dgm:prSet presAssocID="{9FAF5A4B-A253-804D-ADAD-0E9293EF7D33}" presName="Name17" presStyleLbl="parChTrans1D3" presStyleIdx="1" presStyleCnt="2"/>
      <dgm:spPr/>
      <dgm:t>
        <a:bodyPr/>
        <a:lstStyle/>
        <a:p>
          <a:endParaRPr lang="en-US"/>
        </a:p>
      </dgm:t>
    </dgm:pt>
    <dgm:pt modelId="{FB759BF5-6DB2-3F4E-995B-2D40E183B235}" type="pres">
      <dgm:prSet presAssocID="{A63874DB-9A41-DE44-8EFA-A53FBA2B20E5}" presName="hierRoot3" presStyleCnt="0"/>
      <dgm:spPr/>
    </dgm:pt>
    <dgm:pt modelId="{3D01AA09-917E-5D4E-AB73-9D8C922DB3B6}" type="pres">
      <dgm:prSet presAssocID="{A63874DB-9A41-DE44-8EFA-A53FBA2B20E5}" presName="composite3" presStyleCnt="0"/>
      <dgm:spPr/>
    </dgm:pt>
    <dgm:pt modelId="{CC4AD35C-0668-1544-9E99-85DFA40B0CF8}" type="pres">
      <dgm:prSet presAssocID="{A63874DB-9A41-DE44-8EFA-A53FBA2B20E5}" presName="background3" presStyleLbl="node3" presStyleIdx="1" presStyleCnt="2"/>
      <dgm:spPr/>
    </dgm:pt>
    <dgm:pt modelId="{ACEF0E15-4C9B-484D-BB3C-9273221F206C}" type="pres">
      <dgm:prSet presAssocID="{A63874DB-9A41-DE44-8EFA-A53FBA2B20E5}" presName="text3" presStyleLbl="fgAcc3" presStyleIdx="1" presStyleCnt="2">
        <dgm:presLayoutVars>
          <dgm:chPref val="3"/>
        </dgm:presLayoutVars>
      </dgm:prSet>
      <dgm:spPr/>
      <dgm:t>
        <a:bodyPr/>
        <a:lstStyle/>
        <a:p>
          <a:endParaRPr lang="en-US"/>
        </a:p>
      </dgm:t>
    </dgm:pt>
    <dgm:pt modelId="{5500B84F-E8BA-054C-BC28-4AC9D59B319E}" type="pres">
      <dgm:prSet presAssocID="{A63874DB-9A41-DE44-8EFA-A53FBA2B20E5}" presName="hierChild4" presStyleCnt="0"/>
      <dgm:spPr/>
    </dgm:pt>
    <dgm:pt modelId="{95D77748-0190-AE45-8471-79BFCE104F2B}" type="pres">
      <dgm:prSet presAssocID="{4A8DAC39-3B05-3C4E-9F6A-A983808BBA5C}" presName="Name23" presStyleLbl="parChTrans1D4" presStyleIdx="0" presStyleCnt="4"/>
      <dgm:spPr/>
      <dgm:t>
        <a:bodyPr/>
        <a:lstStyle/>
        <a:p>
          <a:endParaRPr lang="en-US"/>
        </a:p>
      </dgm:t>
    </dgm:pt>
    <dgm:pt modelId="{0A337BAD-76D9-694E-8878-D376D0E97EAA}" type="pres">
      <dgm:prSet presAssocID="{F98E018E-33F0-4B4D-8B39-A39CF5406A4C}" presName="hierRoot4" presStyleCnt="0"/>
      <dgm:spPr/>
    </dgm:pt>
    <dgm:pt modelId="{1DF505C7-4607-C54D-B114-BF27F074E1B5}" type="pres">
      <dgm:prSet presAssocID="{F98E018E-33F0-4B4D-8B39-A39CF5406A4C}" presName="composite4" presStyleCnt="0"/>
      <dgm:spPr/>
    </dgm:pt>
    <dgm:pt modelId="{E17B2C1C-8E9B-364B-88CB-4D0E8814B39F}" type="pres">
      <dgm:prSet presAssocID="{F98E018E-33F0-4B4D-8B39-A39CF5406A4C}" presName="background4" presStyleLbl="node4" presStyleIdx="0" presStyleCnt="4"/>
      <dgm:spPr/>
    </dgm:pt>
    <dgm:pt modelId="{047513D7-5B0C-DD4A-B1E8-8BB2D30CDA97}" type="pres">
      <dgm:prSet presAssocID="{F98E018E-33F0-4B4D-8B39-A39CF5406A4C}" presName="text4" presStyleLbl="fgAcc4" presStyleIdx="0" presStyleCnt="4">
        <dgm:presLayoutVars>
          <dgm:chPref val="3"/>
        </dgm:presLayoutVars>
      </dgm:prSet>
      <dgm:spPr/>
      <dgm:t>
        <a:bodyPr/>
        <a:lstStyle/>
        <a:p>
          <a:endParaRPr lang="en-US"/>
        </a:p>
      </dgm:t>
    </dgm:pt>
    <dgm:pt modelId="{53F4E94D-64FE-4342-BC2A-D9025554C91A}" type="pres">
      <dgm:prSet presAssocID="{F98E018E-33F0-4B4D-8B39-A39CF5406A4C}" presName="hierChild5" presStyleCnt="0"/>
      <dgm:spPr/>
    </dgm:pt>
    <dgm:pt modelId="{8FDED7E4-8CBB-5249-8924-4FED34AF16A1}" type="pres">
      <dgm:prSet presAssocID="{247B54F0-47DB-344C-9195-DC39400833B6}" presName="Name23" presStyleLbl="parChTrans1D4" presStyleIdx="1" presStyleCnt="4"/>
      <dgm:spPr/>
      <dgm:t>
        <a:bodyPr/>
        <a:lstStyle/>
        <a:p>
          <a:endParaRPr lang="en-US"/>
        </a:p>
      </dgm:t>
    </dgm:pt>
    <dgm:pt modelId="{D9E16C97-2401-C444-A1E4-A520B3AB5C70}" type="pres">
      <dgm:prSet presAssocID="{F2449486-7C17-6543-AA7B-B2A46EF5E066}" presName="hierRoot4" presStyleCnt="0"/>
      <dgm:spPr/>
    </dgm:pt>
    <dgm:pt modelId="{6556FCF4-43D3-2349-AA54-F8C72972999B}" type="pres">
      <dgm:prSet presAssocID="{F2449486-7C17-6543-AA7B-B2A46EF5E066}" presName="composite4" presStyleCnt="0"/>
      <dgm:spPr/>
    </dgm:pt>
    <dgm:pt modelId="{246EA9BE-19F5-784E-98B8-918524E4086C}" type="pres">
      <dgm:prSet presAssocID="{F2449486-7C17-6543-AA7B-B2A46EF5E066}" presName="background4" presStyleLbl="node4" presStyleIdx="1" presStyleCnt="4"/>
      <dgm:spPr/>
    </dgm:pt>
    <dgm:pt modelId="{3023D31B-8950-4549-B801-5B695BC3CBAC}" type="pres">
      <dgm:prSet presAssocID="{F2449486-7C17-6543-AA7B-B2A46EF5E066}" presName="text4" presStyleLbl="fgAcc4" presStyleIdx="1" presStyleCnt="4">
        <dgm:presLayoutVars>
          <dgm:chPref val="3"/>
        </dgm:presLayoutVars>
      </dgm:prSet>
      <dgm:spPr/>
      <dgm:t>
        <a:bodyPr/>
        <a:lstStyle/>
        <a:p>
          <a:endParaRPr lang="en-US"/>
        </a:p>
      </dgm:t>
    </dgm:pt>
    <dgm:pt modelId="{4F69E23D-E728-D84C-BA4D-0A215317C266}" type="pres">
      <dgm:prSet presAssocID="{F2449486-7C17-6543-AA7B-B2A46EF5E066}" presName="hierChild5" presStyleCnt="0"/>
      <dgm:spPr/>
    </dgm:pt>
    <dgm:pt modelId="{FE9E9D74-EBC5-D044-B26B-925CECE0CE87}" type="pres">
      <dgm:prSet presAssocID="{51F23865-8582-B143-89C8-1660E8505344}" presName="Name23" presStyleLbl="parChTrans1D4" presStyleIdx="2" presStyleCnt="4"/>
      <dgm:spPr/>
      <dgm:t>
        <a:bodyPr/>
        <a:lstStyle/>
        <a:p>
          <a:endParaRPr lang="en-US"/>
        </a:p>
      </dgm:t>
    </dgm:pt>
    <dgm:pt modelId="{32771683-75E9-E748-AE69-A03A3295E107}" type="pres">
      <dgm:prSet presAssocID="{0403DBC1-7E70-3647-ADFB-20856A8B84CE}" presName="hierRoot4" presStyleCnt="0"/>
      <dgm:spPr/>
    </dgm:pt>
    <dgm:pt modelId="{639843FC-2CC0-984B-B36F-926BB5BC47CA}" type="pres">
      <dgm:prSet presAssocID="{0403DBC1-7E70-3647-ADFB-20856A8B84CE}" presName="composite4" presStyleCnt="0"/>
      <dgm:spPr/>
    </dgm:pt>
    <dgm:pt modelId="{E9713159-95A2-6543-91F2-71F2593B7C83}" type="pres">
      <dgm:prSet presAssocID="{0403DBC1-7E70-3647-ADFB-20856A8B84CE}" presName="background4" presStyleLbl="node4" presStyleIdx="2" presStyleCnt="4"/>
      <dgm:spPr/>
    </dgm:pt>
    <dgm:pt modelId="{EF25D37F-6104-BF47-A8FE-EB497C812703}" type="pres">
      <dgm:prSet presAssocID="{0403DBC1-7E70-3647-ADFB-20856A8B84CE}" presName="text4" presStyleLbl="fgAcc4" presStyleIdx="2" presStyleCnt="4">
        <dgm:presLayoutVars>
          <dgm:chPref val="3"/>
        </dgm:presLayoutVars>
      </dgm:prSet>
      <dgm:spPr/>
      <dgm:t>
        <a:bodyPr/>
        <a:lstStyle/>
        <a:p>
          <a:endParaRPr lang="en-US"/>
        </a:p>
      </dgm:t>
    </dgm:pt>
    <dgm:pt modelId="{9E4503BF-06FD-1A4E-9B57-52D406BF6FF5}" type="pres">
      <dgm:prSet presAssocID="{0403DBC1-7E70-3647-ADFB-20856A8B84CE}" presName="hierChild5" presStyleCnt="0"/>
      <dgm:spPr/>
    </dgm:pt>
    <dgm:pt modelId="{E432B71E-13F1-5545-995A-2C9D297D2801}" type="pres">
      <dgm:prSet presAssocID="{97B2CA24-4F12-3949-B5D2-013B07888077}" presName="Name23" presStyleLbl="parChTrans1D4" presStyleIdx="3" presStyleCnt="4"/>
      <dgm:spPr/>
      <dgm:t>
        <a:bodyPr/>
        <a:lstStyle/>
        <a:p>
          <a:endParaRPr lang="en-US"/>
        </a:p>
      </dgm:t>
    </dgm:pt>
    <dgm:pt modelId="{86147CDE-8CA4-0E49-A2F4-BD45F8789D98}" type="pres">
      <dgm:prSet presAssocID="{63DFBEF7-16FC-034A-A4B5-0A8A6E2BA63F}" presName="hierRoot4" presStyleCnt="0"/>
      <dgm:spPr/>
    </dgm:pt>
    <dgm:pt modelId="{B74C4C35-1FBC-D747-94B0-FD8D4007B34A}" type="pres">
      <dgm:prSet presAssocID="{63DFBEF7-16FC-034A-A4B5-0A8A6E2BA63F}" presName="composite4" presStyleCnt="0"/>
      <dgm:spPr/>
    </dgm:pt>
    <dgm:pt modelId="{5CCFFC97-ACE6-B34A-BC18-2B8AF2B13900}" type="pres">
      <dgm:prSet presAssocID="{63DFBEF7-16FC-034A-A4B5-0A8A6E2BA63F}" presName="background4" presStyleLbl="node4" presStyleIdx="3" presStyleCnt="4"/>
      <dgm:spPr/>
    </dgm:pt>
    <dgm:pt modelId="{B9399949-63E3-894F-8D4A-11A5A1631DD2}" type="pres">
      <dgm:prSet presAssocID="{63DFBEF7-16FC-034A-A4B5-0A8A6E2BA63F}" presName="text4" presStyleLbl="fgAcc4" presStyleIdx="3" presStyleCnt="4">
        <dgm:presLayoutVars>
          <dgm:chPref val="3"/>
        </dgm:presLayoutVars>
      </dgm:prSet>
      <dgm:spPr/>
      <dgm:t>
        <a:bodyPr/>
        <a:lstStyle/>
        <a:p>
          <a:endParaRPr lang="en-US"/>
        </a:p>
      </dgm:t>
    </dgm:pt>
    <dgm:pt modelId="{EA776375-036F-4240-902C-732E2558A34A}" type="pres">
      <dgm:prSet presAssocID="{63DFBEF7-16FC-034A-A4B5-0A8A6E2BA63F}" presName="hierChild5" presStyleCnt="0"/>
      <dgm:spPr/>
    </dgm:pt>
  </dgm:ptLst>
  <dgm:cxnLst>
    <dgm:cxn modelId="{34BF3FB9-1194-409D-83BB-C2EEFA9F1580}" type="presOf" srcId="{9FAF5A4B-A253-804D-ADAD-0E9293EF7D33}" destId="{B0A7CCDE-915A-EE4F-B312-F0224C660331}" srcOrd="0" destOrd="0" presId="urn:microsoft.com/office/officeart/2005/8/layout/hierarchy1"/>
    <dgm:cxn modelId="{89ED9E1D-0744-40FC-8919-9365848DF039}" type="presOf" srcId="{CC2CE140-4255-7647-9288-111124B6E8C5}" destId="{C072C6AE-4E2B-134C-BBF4-1B5893FAD49C}" srcOrd="0" destOrd="0" presId="urn:microsoft.com/office/officeart/2005/8/layout/hierarchy1"/>
    <dgm:cxn modelId="{1A3B4F0B-D798-48BA-95DF-EB738AE3A143}" type="presOf" srcId="{47BA5A7D-CADA-4648-BCE0-D1C59FD99420}" destId="{83F106A4-8283-A04E-8DD9-3B2E3EB9F7FB}" srcOrd="0" destOrd="0" presId="urn:microsoft.com/office/officeart/2005/8/layout/hierarchy1"/>
    <dgm:cxn modelId="{35A6474B-D049-4784-A9C7-687D1C80F374}" type="presOf" srcId="{97B2CA24-4F12-3949-B5D2-013B07888077}" destId="{E432B71E-13F1-5545-995A-2C9D297D2801}" srcOrd="0" destOrd="0" presId="urn:microsoft.com/office/officeart/2005/8/layout/hierarchy1"/>
    <dgm:cxn modelId="{83CED8A9-99BA-4DC1-9D4B-0AE6140B9F0A}" type="presOf" srcId="{F8BDDADC-A681-3045-988D-E3A2DE327586}" destId="{FE105B6B-C85B-AF4A-8450-259EA67A10D1}" srcOrd="0" destOrd="0" presId="urn:microsoft.com/office/officeart/2005/8/layout/hierarchy1"/>
    <dgm:cxn modelId="{7B5D8D5A-D400-A747-827B-2F1794020688}" srcId="{133948F7-967F-7E44-9FEA-471678424A6E}" destId="{DA005D54-1CE9-D648-AB34-5EA74D160B5E}" srcOrd="0" destOrd="0" parTransId="{74F78ABA-EF63-3C44-B17B-0C71845DB4F1}" sibTransId="{F03BBF75-6704-594A-BF77-1F61CE2E4EB7}"/>
    <dgm:cxn modelId="{5F12D61C-E688-DA49-A27A-C4C08FEB0893}" srcId="{22BEB318-C119-F247-B6DD-05735C620587}" destId="{133948F7-967F-7E44-9FEA-471678424A6E}" srcOrd="1" destOrd="0" parTransId="{F8BDDADC-A681-3045-988D-E3A2DE327586}" sibTransId="{12B98308-6B2C-8444-87DB-5D04385A7E0F}"/>
    <dgm:cxn modelId="{A9C2E0E1-6616-45A4-AE15-245A619F8787}" type="presOf" srcId="{4A8DAC39-3B05-3C4E-9F6A-A983808BBA5C}" destId="{95D77748-0190-AE45-8471-79BFCE104F2B}" srcOrd="0" destOrd="0" presId="urn:microsoft.com/office/officeart/2005/8/layout/hierarchy1"/>
    <dgm:cxn modelId="{620873C9-0971-411D-961A-6249B17C4EA1}" type="presOf" srcId="{133948F7-967F-7E44-9FEA-471678424A6E}" destId="{7CD13C6B-0017-6A4E-A170-D3C6DEF536FC}" srcOrd="0" destOrd="0" presId="urn:microsoft.com/office/officeart/2005/8/layout/hierarchy1"/>
    <dgm:cxn modelId="{9EA86259-9F7E-534F-9934-30325FE180CB}" srcId="{A63874DB-9A41-DE44-8EFA-A53FBA2B20E5}" destId="{F98E018E-33F0-4B4D-8B39-A39CF5406A4C}" srcOrd="0" destOrd="0" parTransId="{4A8DAC39-3B05-3C4E-9F6A-A983808BBA5C}" sibTransId="{1DEE5F23-5FA6-5144-A1D0-33E693EC45D2}"/>
    <dgm:cxn modelId="{F9252A6E-F39A-4C24-A0E7-17A6BB17A7FE}" type="presOf" srcId="{22BEB318-C119-F247-B6DD-05735C620587}" destId="{99389BDF-C080-714B-B847-1F55C154CF12}" srcOrd="0" destOrd="0" presId="urn:microsoft.com/office/officeart/2005/8/layout/hierarchy1"/>
    <dgm:cxn modelId="{3FB6B4D7-3E0A-49AD-A4F5-A5718C295767}" type="presOf" srcId="{63DFBEF7-16FC-034A-A4B5-0A8A6E2BA63F}" destId="{B9399949-63E3-894F-8D4A-11A5A1631DD2}" srcOrd="0" destOrd="0" presId="urn:microsoft.com/office/officeart/2005/8/layout/hierarchy1"/>
    <dgm:cxn modelId="{6B269462-B7EA-4C9F-B351-C93019FD7647}" type="presOf" srcId="{0403DBC1-7E70-3647-ADFB-20856A8B84CE}" destId="{EF25D37F-6104-BF47-A8FE-EB497C812703}" srcOrd="0" destOrd="0" presId="urn:microsoft.com/office/officeart/2005/8/layout/hierarchy1"/>
    <dgm:cxn modelId="{DFF10C95-114B-9540-A431-0428CE6B6DCC}" srcId="{133948F7-967F-7E44-9FEA-471678424A6E}" destId="{A63874DB-9A41-DE44-8EFA-A53FBA2B20E5}" srcOrd="1" destOrd="0" parTransId="{9FAF5A4B-A253-804D-ADAD-0E9293EF7D33}" sibTransId="{6A7AF296-BDE5-AA45-8465-9EC6010708B0}"/>
    <dgm:cxn modelId="{ADBF1BF2-400B-45F8-8F19-31E1A37A939F}" type="presOf" srcId="{DA005D54-1CE9-D648-AB34-5EA74D160B5E}" destId="{EEB6423F-BEE1-9A4D-80CC-9768D948A114}" srcOrd="0" destOrd="0" presId="urn:microsoft.com/office/officeart/2005/8/layout/hierarchy1"/>
    <dgm:cxn modelId="{73063371-3BE5-4441-9F9F-7E492ED1C108}" srcId="{F2449486-7C17-6543-AA7B-B2A46EF5E066}" destId="{63DFBEF7-16FC-034A-A4B5-0A8A6E2BA63F}" srcOrd="1" destOrd="0" parTransId="{97B2CA24-4F12-3949-B5D2-013B07888077}" sibTransId="{52DBF625-5580-0944-A8A0-A955F724A714}"/>
    <dgm:cxn modelId="{F4B228EB-6C44-41A7-B512-F44BCA571373}" type="presOf" srcId="{74F78ABA-EF63-3C44-B17B-0C71845DB4F1}" destId="{259C08F8-8BED-8340-9660-C718109B8EA4}" srcOrd="0" destOrd="0" presId="urn:microsoft.com/office/officeart/2005/8/layout/hierarchy1"/>
    <dgm:cxn modelId="{5E2D231D-AAF0-4C63-AD6C-122CE0A80002}" type="presOf" srcId="{247B54F0-47DB-344C-9195-DC39400833B6}" destId="{8FDED7E4-8CBB-5249-8924-4FED34AF16A1}" srcOrd="0" destOrd="0" presId="urn:microsoft.com/office/officeart/2005/8/layout/hierarchy1"/>
    <dgm:cxn modelId="{38017689-F6ED-4E90-A0EF-6D7EEFE446DF}" type="presOf" srcId="{B61D044E-D471-AD42-85CA-BCCD45BB8EF9}" destId="{6F0285C5-ABA4-D144-9146-4E2C781C91F1}" srcOrd="0" destOrd="0" presId="urn:microsoft.com/office/officeart/2005/8/layout/hierarchy1"/>
    <dgm:cxn modelId="{7BD3F74D-263B-4D1C-AD5D-648BC929AE9A}" type="presOf" srcId="{F98E018E-33F0-4B4D-8B39-A39CF5406A4C}" destId="{047513D7-5B0C-DD4A-B1E8-8BB2D30CDA97}" srcOrd="0" destOrd="0" presId="urn:microsoft.com/office/officeart/2005/8/layout/hierarchy1"/>
    <dgm:cxn modelId="{6ACB3DB3-0A87-474F-8DF1-26AC2B95114B}" type="presOf" srcId="{51F23865-8582-B143-89C8-1660E8505344}" destId="{FE9E9D74-EBC5-D044-B26B-925CECE0CE87}" srcOrd="0" destOrd="0" presId="urn:microsoft.com/office/officeart/2005/8/layout/hierarchy1"/>
    <dgm:cxn modelId="{47F00084-8B05-6848-ACE1-D3C0DE5CB76C}" srcId="{F2449486-7C17-6543-AA7B-B2A46EF5E066}" destId="{0403DBC1-7E70-3647-ADFB-20856A8B84CE}" srcOrd="0" destOrd="0" parTransId="{51F23865-8582-B143-89C8-1660E8505344}" sibTransId="{139423EF-9D8F-C843-AF13-6A0E6C1326A6}"/>
    <dgm:cxn modelId="{0533642F-55E4-4B93-971B-B83462C0A57C}" type="presOf" srcId="{A63874DB-9A41-DE44-8EFA-A53FBA2B20E5}" destId="{ACEF0E15-4C9B-484D-BB3C-9273221F206C}" srcOrd="0" destOrd="0" presId="urn:microsoft.com/office/officeart/2005/8/layout/hierarchy1"/>
    <dgm:cxn modelId="{DB2A0124-2375-4571-8CFA-43405F30A7B7}" type="presOf" srcId="{F2449486-7C17-6543-AA7B-B2A46EF5E066}" destId="{3023D31B-8950-4549-B801-5B695BC3CBAC}" srcOrd="0" destOrd="0" presId="urn:microsoft.com/office/officeart/2005/8/layout/hierarchy1"/>
    <dgm:cxn modelId="{B9CDD26A-7ECF-B94C-96DA-B5EF3A04F85E}" srcId="{B61D044E-D471-AD42-85CA-BCCD45BB8EF9}" destId="{22BEB318-C119-F247-B6DD-05735C620587}" srcOrd="0" destOrd="0" parTransId="{BD5264C3-58ED-124B-AF09-09D5E59FB3EC}" sibTransId="{AF1102C9-FD73-7B47-8B98-A3A6B5612794}"/>
    <dgm:cxn modelId="{83EC6BE7-BEA3-6B46-B06C-E782B525202F}" srcId="{A63874DB-9A41-DE44-8EFA-A53FBA2B20E5}" destId="{F2449486-7C17-6543-AA7B-B2A46EF5E066}" srcOrd="1" destOrd="0" parTransId="{247B54F0-47DB-344C-9195-DC39400833B6}" sibTransId="{2566C328-7565-C14C-8F0D-062EE40E77BE}"/>
    <dgm:cxn modelId="{B465C8FF-AC5C-7E4E-B1C6-53AC37983C2C}" srcId="{22BEB318-C119-F247-B6DD-05735C620587}" destId="{CC2CE140-4255-7647-9288-111124B6E8C5}" srcOrd="0" destOrd="0" parTransId="{47BA5A7D-CADA-4648-BCE0-D1C59FD99420}" sibTransId="{1D6C89DD-C17B-9249-89B9-A521FD982861}"/>
    <dgm:cxn modelId="{1A85AB18-8D03-40DF-9727-603FB797998F}" type="presParOf" srcId="{6F0285C5-ABA4-D144-9146-4E2C781C91F1}" destId="{C07E0864-74CF-F242-AEEE-66BCAE10C3CB}" srcOrd="0" destOrd="0" presId="urn:microsoft.com/office/officeart/2005/8/layout/hierarchy1"/>
    <dgm:cxn modelId="{BAB31777-ECA5-416D-A3AF-72E2699B8D77}" type="presParOf" srcId="{C07E0864-74CF-F242-AEEE-66BCAE10C3CB}" destId="{00E90230-3079-194D-808C-8085F9A7E06C}" srcOrd="0" destOrd="0" presId="urn:microsoft.com/office/officeart/2005/8/layout/hierarchy1"/>
    <dgm:cxn modelId="{4F493C0D-C818-469A-BC28-1A4458C464BF}" type="presParOf" srcId="{00E90230-3079-194D-808C-8085F9A7E06C}" destId="{B4CAADCF-6174-054E-8F2B-823DA3453043}" srcOrd="0" destOrd="0" presId="urn:microsoft.com/office/officeart/2005/8/layout/hierarchy1"/>
    <dgm:cxn modelId="{403874C9-FA2B-4A3E-A103-424EF027EA6C}" type="presParOf" srcId="{00E90230-3079-194D-808C-8085F9A7E06C}" destId="{99389BDF-C080-714B-B847-1F55C154CF12}" srcOrd="1" destOrd="0" presId="urn:microsoft.com/office/officeart/2005/8/layout/hierarchy1"/>
    <dgm:cxn modelId="{6AA9C47D-C6B3-47EF-AADB-D15DB31B69BE}" type="presParOf" srcId="{C07E0864-74CF-F242-AEEE-66BCAE10C3CB}" destId="{16B8BFA6-303D-5C48-88BD-1CB91F0EF534}" srcOrd="1" destOrd="0" presId="urn:microsoft.com/office/officeart/2005/8/layout/hierarchy1"/>
    <dgm:cxn modelId="{05510DA4-4C40-4B62-B6E3-210BAB32098A}" type="presParOf" srcId="{16B8BFA6-303D-5C48-88BD-1CB91F0EF534}" destId="{83F106A4-8283-A04E-8DD9-3B2E3EB9F7FB}" srcOrd="0" destOrd="0" presId="urn:microsoft.com/office/officeart/2005/8/layout/hierarchy1"/>
    <dgm:cxn modelId="{F1B2DA86-0175-4CC1-999E-6BC3FF988768}" type="presParOf" srcId="{16B8BFA6-303D-5C48-88BD-1CB91F0EF534}" destId="{F047D15A-CCE9-5840-B8BB-F1D23F4765CA}" srcOrd="1" destOrd="0" presId="urn:microsoft.com/office/officeart/2005/8/layout/hierarchy1"/>
    <dgm:cxn modelId="{B4B22311-447A-4713-9A7C-1316D3F2E35F}" type="presParOf" srcId="{F047D15A-CCE9-5840-B8BB-F1D23F4765CA}" destId="{5270BE34-C8A0-8948-AE4C-9F3FE2B4E275}" srcOrd="0" destOrd="0" presId="urn:microsoft.com/office/officeart/2005/8/layout/hierarchy1"/>
    <dgm:cxn modelId="{AA6D1D05-8872-49CA-8674-3202999BDAF3}" type="presParOf" srcId="{5270BE34-C8A0-8948-AE4C-9F3FE2B4E275}" destId="{8EDC5ADD-3BD8-094B-87B9-505B0F7015A1}" srcOrd="0" destOrd="0" presId="urn:microsoft.com/office/officeart/2005/8/layout/hierarchy1"/>
    <dgm:cxn modelId="{2E68D695-043C-4A58-AC69-7C2F71B43F61}" type="presParOf" srcId="{5270BE34-C8A0-8948-AE4C-9F3FE2B4E275}" destId="{C072C6AE-4E2B-134C-BBF4-1B5893FAD49C}" srcOrd="1" destOrd="0" presId="urn:microsoft.com/office/officeart/2005/8/layout/hierarchy1"/>
    <dgm:cxn modelId="{885C6991-2421-49A2-99CD-604FBE53F35C}" type="presParOf" srcId="{F047D15A-CCE9-5840-B8BB-F1D23F4765CA}" destId="{E8D739A2-FE0A-9641-BCA0-7DDA7AA22639}" srcOrd="1" destOrd="0" presId="urn:microsoft.com/office/officeart/2005/8/layout/hierarchy1"/>
    <dgm:cxn modelId="{889DB57B-7618-4FB0-ADAC-F0868F73A70A}" type="presParOf" srcId="{16B8BFA6-303D-5C48-88BD-1CB91F0EF534}" destId="{FE105B6B-C85B-AF4A-8450-259EA67A10D1}" srcOrd="2" destOrd="0" presId="urn:microsoft.com/office/officeart/2005/8/layout/hierarchy1"/>
    <dgm:cxn modelId="{D1B18CB4-86AE-44CE-A4AA-2C6741480065}" type="presParOf" srcId="{16B8BFA6-303D-5C48-88BD-1CB91F0EF534}" destId="{E5E1D952-E16F-0940-884C-C79273419AF0}" srcOrd="3" destOrd="0" presId="urn:microsoft.com/office/officeart/2005/8/layout/hierarchy1"/>
    <dgm:cxn modelId="{31939BA7-B9FD-41BF-9243-59DC25968173}" type="presParOf" srcId="{E5E1D952-E16F-0940-884C-C79273419AF0}" destId="{3408ABE0-4D11-B94C-98EC-F531BC5371DB}" srcOrd="0" destOrd="0" presId="urn:microsoft.com/office/officeart/2005/8/layout/hierarchy1"/>
    <dgm:cxn modelId="{F612415A-4975-4F84-A1AD-649E769E90CF}" type="presParOf" srcId="{3408ABE0-4D11-B94C-98EC-F531BC5371DB}" destId="{2D0D7805-3951-1A47-B6C3-AAE9DCCFDC5C}" srcOrd="0" destOrd="0" presId="urn:microsoft.com/office/officeart/2005/8/layout/hierarchy1"/>
    <dgm:cxn modelId="{9102D55D-B4FE-4C65-AF89-28DDA0CECEED}" type="presParOf" srcId="{3408ABE0-4D11-B94C-98EC-F531BC5371DB}" destId="{7CD13C6B-0017-6A4E-A170-D3C6DEF536FC}" srcOrd="1" destOrd="0" presId="urn:microsoft.com/office/officeart/2005/8/layout/hierarchy1"/>
    <dgm:cxn modelId="{B79F4509-9BAE-4455-8CDB-8FA7F8E086BD}" type="presParOf" srcId="{E5E1D952-E16F-0940-884C-C79273419AF0}" destId="{8F1E3F0D-67E6-5A47-93B8-51C49CDBBC5A}" srcOrd="1" destOrd="0" presId="urn:microsoft.com/office/officeart/2005/8/layout/hierarchy1"/>
    <dgm:cxn modelId="{8658A756-C323-4DBE-A4B9-C9A1A862B5DB}" type="presParOf" srcId="{8F1E3F0D-67E6-5A47-93B8-51C49CDBBC5A}" destId="{259C08F8-8BED-8340-9660-C718109B8EA4}" srcOrd="0" destOrd="0" presId="urn:microsoft.com/office/officeart/2005/8/layout/hierarchy1"/>
    <dgm:cxn modelId="{77F0FEB0-3590-4C3B-8DB5-0C7634DC8DD3}" type="presParOf" srcId="{8F1E3F0D-67E6-5A47-93B8-51C49CDBBC5A}" destId="{A97CD7B4-FA02-C74A-BD22-4A9789C3C01E}" srcOrd="1" destOrd="0" presId="urn:microsoft.com/office/officeart/2005/8/layout/hierarchy1"/>
    <dgm:cxn modelId="{651A9340-948B-40BA-9863-650A28AF25A0}" type="presParOf" srcId="{A97CD7B4-FA02-C74A-BD22-4A9789C3C01E}" destId="{8CF8824F-89C3-C949-8B11-7A8B0BCC1593}" srcOrd="0" destOrd="0" presId="urn:microsoft.com/office/officeart/2005/8/layout/hierarchy1"/>
    <dgm:cxn modelId="{4A28C090-143C-4A71-A2C2-C8E66A620A95}" type="presParOf" srcId="{8CF8824F-89C3-C949-8B11-7A8B0BCC1593}" destId="{31748513-35AF-AC43-AEA3-911FF9CE6442}" srcOrd="0" destOrd="0" presId="urn:microsoft.com/office/officeart/2005/8/layout/hierarchy1"/>
    <dgm:cxn modelId="{90331510-E413-4472-8A2A-5DD5B3ED3EF0}" type="presParOf" srcId="{8CF8824F-89C3-C949-8B11-7A8B0BCC1593}" destId="{EEB6423F-BEE1-9A4D-80CC-9768D948A114}" srcOrd="1" destOrd="0" presId="urn:microsoft.com/office/officeart/2005/8/layout/hierarchy1"/>
    <dgm:cxn modelId="{0D71D66A-268D-4B0B-85C9-DFB480F2A71E}" type="presParOf" srcId="{A97CD7B4-FA02-C74A-BD22-4A9789C3C01E}" destId="{D1F284FC-D8EC-BA4D-9BA0-0FAD080803FF}" srcOrd="1" destOrd="0" presId="urn:microsoft.com/office/officeart/2005/8/layout/hierarchy1"/>
    <dgm:cxn modelId="{8D2F245B-B6FF-4A63-81EB-2CBBC9F4D120}" type="presParOf" srcId="{8F1E3F0D-67E6-5A47-93B8-51C49CDBBC5A}" destId="{B0A7CCDE-915A-EE4F-B312-F0224C660331}" srcOrd="2" destOrd="0" presId="urn:microsoft.com/office/officeart/2005/8/layout/hierarchy1"/>
    <dgm:cxn modelId="{643F1068-E07F-4610-8567-C688ADAE77F8}" type="presParOf" srcId="{8F1E3F0D-67E6-5A47-93B8-51C49CDBBC5A}" destId="{FB759BF5-6DB2-3F4E-995B-2D40E183B235}" srcOrd="3" destOrd="0" presId="urn:microsoft.com/office/officeart/2005/8/layout/hierarchy1"/>
    <dgm:cxn modelId="{C0CB1116-056A-4048-B416-163EDEA98B25}" type="presParOf" srcId="{FB759BF5-6DB2-3F4E-995B-2D40E183B235}" destId="{3D01AA09-917E-5D4E-AB73-9D8C922DB3B6}" srcOrd="0" destOrd="0" presId="urn:microsoft.com/office/officeart/2005/8/layout/hierarchy1"/>
    <dgm:cxn modelId="{3252C30E-E242-4A10-8966-FA4F24D145FC}" type="presParOf" srcId="{3D01AA09-917E-5D4E-AB73-9D8C922DB3B6}" destId="{CC4AD35C-0668-1544-9E99-85DFA40B0CF8}" srcOrd="0" destOrd="0" presId="urn:microsoft.com/office/officeart/2005/8/layout/hierarchy1"/>
    <dgm:cxn modelId="{DCA62D3A-7394-4896-9CC6-E285EBD1A82E}" type="presParOf" srcId="{3D01AA09-917E-5D4E-AB73-9D8C922DB3B6}" destId="{ACEF0E15-4C9B-484D-BB3C-9273221F206C}" srcOrd="1" destOrd="0" presId="urn:microsoft.com/office/officeart/2005/8/layout/hierarchy1"/>
    <dgm:cxn modelId="{99659A26-F65C-466C-9A29-02FD4BD9A320}" type="presParOf" srcId="{FB759BF5-6DB2-3F4E-995B-2D40E183B235}" destId="{5500B84F-E8BA-054C-BC28-4AC9D59B319E}" srcOrd="1" destOrd="0" presId="urn:microsoft.com/office/officeart/2005/8/layout/hierarchy1"/>
    <dgm:cxn modelId="{E31ACDD0-ED31-4C54-B259-0B21C0DAC439}" type="presParOf" srcId="{5500B84F-E8BA-054C-BC28-4AC9D59B319E}" destId="{95D77748-0190-AE45-8471-79BFCE104F2B}" srcOrd="0" destOrd="0" presId="urn:microsoft.com/office/officeart/2005/8/layout/hierarchy1"/>
    <dgm:cxn modelId="{203D547F-1047-4565-98A8-67E60E8AE156}" type="presParOf" srcId="{5500B84F-E8BA-054C-BC28-4AC9D59B319E}" destId="{0A337BAD-76D9-694E-8878-D376D0E97EAA}" srcOrd="1" destOrd="0" presId="urn:microsoft.com/office/officeart/2005/8/layout/hierarchy1"/>
    <dgm:cxn modelId="{33A5E088-A95C-4AEA-9E73-95E7BD6EAEE4}" type="presParOf" srcId="{0A337BAD-76D9-694E-8878-D376D0E97EAA}" destId="{1DF505C7-4607-C54D-B114-BF27F074E1B5}" srcOrd="0" destOrd="0" presId="urn:microsoft.com/office/officeart/2005/8/layout/hierarchy1"/>
    <dgm:cxn modelId="{928D9F18-DFCE-4CEE-AD44-D5EE7403D1F0}" type="presParOf" srcId="{1DF505C7-4607-C54D-B114-BF27F074E1B5}" destId="{E17B2C1C-8E9B-364B-88CB-4D0E8814B39F}" srcOrd="0" destOrd="0" presId="urn:microsoft.com/office/officeart/2005/8/layout/hierarchy1"/>
    <dgm:cxn modelId="{9CB8F418-810E-4D78-B9A9-772E0799C631}" type="presParOf" srcId="{1DF505C7-4607-C54D-B114-BF27F074E1B5}" destId="{047513D7-5B0C-DD4A-B1E8-8BB2D30CDA97}" srcOrd="1" destOrd="0" presId="urn:microsoft.com/office/officeart/2005/8/layout/hierarchy1"/>
    <dgm:cxn modelId="{C3428FA2-5735-476E-B482-9F80D4E8235C}" type="presParOf" srcId="{0A337BAD-76D9-694E-8878-D376D0E97EAA}" destId="{53F4E94D-64FE-4342-BC2A-D9025554C91A}" srcOrd="1" destOrd="0" presId="urn:microsoft.com/office/officeart/2005/8/layout/hierarchy1"/>
    <dgm:cxn modelId="{F818EE61-E0F5-4AD0-B84A-F4B066472BE9}" type="presParOf" srcId="{5500B84F-E8BA-054C-BC28-4AC9D59B319E}" destId="{8FDED7E4-8CBB-5249-8924-4FED34AF16A1}" srcOrd="2" destOrd="0" presId="urn:microsoft.com/office/officeart/2005/8/layout/hierarchy1"/>
    <dgm:cxn modelId="{82FC874A-8311-4E53-AE4E-DB3C322EDBBF}" type="presParOf" srcId="{5500B84F-E8BA-054C-BC28-4AC9D59B319E}" destId="{D9E16C97-2401-C444-A1E4-A520B3AB5C70}" srcOrd="3" destOrd="0" presId="urn:microsoft.com/office/officeart/2005/8/layout/hierarchy1"/>
    <dgm:cxn modelId="{B058BEA0-9A3C-4EE1-84A8-079EE984AA5C}" type="presParOf" srcId="{D9E16C97-2401-C444-A1E4-A520B3AB5C70}" destId="{6556FCF4-43D3-2349-AA54-F8C72972999B}" srcOrd="0" destOrd="0" presId="urn:microsoft.com/office/officeart/2005/8/layout/hierarchy1"/>
    <dgm:cxn modelId="{DB33BAA1-FCF1-44CF-9979-6E8A336250D7}" type="presParOf" srcId="{6556FCF4-43D3-2349-AA54-F8C72972999B}" destId="{246EA9BE-19F5-784E-98B8-918524E4086C}" srcOrd="0" destOrd="0" presId="urn:microsoft.com/office/officeart/2005/8/layout/hierarchy1"/>
    <dgm:cxn modelId="{6AF31538-53BA-40EB-B056-90A093C130C3}" type="presParOf" srcId="{6556FCF4-43D3-2349-AA54-F8C72972999B}" destId="{3023D31B-8950-4549-B801-5B695BC3CBAC}" srcOrd="1" destOrd="0" presId="urn:microsoft.com/office/officeart/2005/8/layout/hierarchy1"/>
    <dgm:cxn modelId="{E9B33787-1166-4228-BB8A-55DA451B6E65}" type="presParOf" srcId="{D9E16C97-2401-C444-A1E4-A520B3AB5C70}" destId="{4F69E23D-E728-D84C-BA4D-0A215317C266}" srcOrd="1" destOrd="0" presId="urn:microsoft.com/office/officeart/2005/8/layout/hierarchy1"/>
    <dgm:cxn modelId="{9673B922-F1E3-4FA4-897E-1842935416E5}" type="presParOf" srcId="{4F69E23D-E728-D84C-BA4D-0A215317C266}" destId="{FE9E9D74-EBC5-D044-B26B-925CECE0CE87}" srcOrd="0" destOrd="0" presId="urn:microsoft.com/office/officeart/2005/8/layout/hierarchy1"/>
    <dgm:cxn modelId="{5F6B912A-FFC2-49B3-BD05-ADEB5E8D9D7E}" type="presParOf" srcId="{4F69E23D-E728-D84C-BA4D-0A215317C266}" destId="{32771683-75E9-E748-AE69-A03A3295E107}" srcOrd="1" destOrd="0" presId="urn:microsoft.com/office/officeart/2005/8/layout/hierarchy1"/>
    <dgm:cxn modelId="{19D4D0D1-33A1-4B78-8E40-B98FDAAB0505}" type="presParOf" srcId="{32771683-75E9-E748-AE69-A03A3295E107}" destId="{639843FC-2CC0-984B-B36F-926BB5BC47CA}" srcOrd="0" destOrd="0" presId="urn:microsoft.com/office/officeart/2005/8/layout/hierarchy1"/>
    <dgm:cxn modelId="{6D572591-D75B-4100-9E1A-2494F4EB4CC6}" type="presParOf" srcId="{639843FC-2CC0-984B-B36F-926BB5BC47CA}" destId="{E9713159-95A2-6543-91F2-71F2593B7C83}" srcOrd="0" destOrd="0" presId="urn:microsoft.com/office/officeart/2005/8/layout/hierarchy1"/>
    <dgm:cxn modelId="{FE72B1B3-D4B8-4FFA-9F56-C3FCC2705036}" type="presParOf" srcId="{639843FC-2CC0-984B-B36F-926BB5BC47CA}" destId="{EF25D37F-6104-BF47-A8FE-EB497C812703}" srcOrd="1" destOrd="0" presId="urn:microsoft.com/office/officeart/2005/8/layout/hierarchy1"/>
    <dgm:cxn modelId="{9E82985F-D33E-48C6-B909-D16E75F41D24}" type="presParOf" srcId="{32771683-75E9-E748-AE69-A03A3295E107}" destId="{9E4503BF-06FD-1A4E-9B57-52D406BF6FF5}" srcOrd="1" destOrd="0" presId="urn:microsoft.com/office/officeart/2005/8/layout/hierarchy1"/>
    <dgm:cxn modelId="{7955F730-5160-4DAF-AEAA-8FBB5597C917}" type="presParOf" srcId="{4F69E23D-E728-D84C-BA4D-0A215317C266}" destId="{E432B71E-13F1-5545-995A-2C9D297D2801}" srcOrd="2" destOrd="0" presId="urn:microsoft.com/office/officeart/2005/8/layout/hierarchy1"/>
    <dgm:cxn modelId="{50D010CF-8F50-48FA-B000-562303CCAAC9}" type="presParOf" srcId="{4F69E23D-E728-D84C-BA4D-0A215317C266}" destId="{86147CDE-8CA4-0E49-A2F4-BD45F8789D98}" srcOrd="3" destOrd="0" presId="urn:microsoft.com/office/officeart/2005/8/layout/hierarchy1"/>
    <dgm:cxn modelId="{6D07CED5-8818-49A9-821C-199CAD061A2C}" type="presParOf" srcId="{86147CDE-8CA4-0E49-A2F4-BD45F8789D98}" destId="{B74C4C35-1FBC-D747-94B0-FD8D4007B34A}" srcOrd="0" destOrd="0" presId="urn:microsoft.com/office/officeart/2005/8/layout/hierarchy1"/>
    <dgm:cxn modelId="{DBC534A8-59C8-4623-B3CF-06B1DE4C82E9}" type="presParOf" srcId="{B74C4C35-1FBC-D747-94B0-FD8D4007B34A}" destId="{5CCFFC97-ACE6-B34A-BC18-2B8AF2B13900}" srcOrd="0" destOrd="0" presId="urn:microsoft.com/office/officeart/2005/8/layout/hierarchy1"/>
    <dgm:cxn modelId="{3377ACD2-DCA2-48CA-A461-B14F5992CED2}" type="presParOf" srcId="{B74C4C35-1FBC-D747-94B0-FD8D4007B34A}" destId="{B9399949-63E3-894F-8D4A-11A5A1631DD2}" srcOrd="1" destOrd="0" presId="urn:microsoft.com/office/officeart/2005/8/layout/hierarchy1"/>
    <dgm:cxn modelId="{A8EB6291-0E6F-4834-B967-37D169629F9B}" type="presParOf" srcId="{86147CDE-8CA4-0E49-A2F4-BD45F8789D98}" destId="{EA776375-036F-4240-902C-732E2558A34A}" srcOrd="1" destOrd="0" presId="urn:microsoft.com/office/officeart/2005/8/layout/hierarchy1"/>
  </dgm:cxnLst>
  <dgm:bg/>
  <dgm:whole/>
  <dgm:extLst>
    <a:ext uri="http://schemas.microsoft.com/office/drawing/2008/diagram">
      <dsp:dataModelExt xmlns:dsp="http://schemas.microsoft.com/office/drawing/2008/diagram" xmlns="" relId="rId7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49E9797-6962-A241-A889-23047663F8F0}">
      <dsp:nvSpPr>
        <dsp:cNvPr id="0" name=""/>
        <dsp:cNvSpPr/>
      </dsp:nvSpPr>
      <dsp:spPr>
        <a:xfrm>
          <a:off x="2848609" y="559871"/>
          <a:ext cx="1737692" cy="261058"/>
        </a:xfrm>
        <a:custGeom>
          <a:avLst/>
          <a:gdLst/>
          <a:ahLst/>
          <a:cxnLst/>
          <a:rect l="0" t="0" r="0" b="0"/>
          <a:pathLst>
            <a:path>
              <a:moveTo>
                <a:pt x="0" y="0"/>
              </a:moveTo>
              <a:lnTo>
                <a:pt x="0" y="130529"/>
              </a:lnTo>
              <a:lnTo>
                <a:pt x="1737692" y="130529"/>
              </a:lnTo>
              <a:lnTo>
                <a:pt x="1737692" y="26105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E29446B-919B-E045-B24A-F000E4D2796A}">
      <dsp:nvSpPr>
        <dsp:cNvPr id="0" name=""/>
        <dsp:cNvSpPr/>
      </dsp:nvSpPr>
      <dsp:spPr>
        <a:xfrm>
          <a:off x="2802890" y="559871"/>
          <a:ext cx="91440" cy="261058"/>
        </a:xfrm>
        <a:custGeom>
          <a:avLst/>
          <a:gdLst/>
          <a:ahLst/>
          <a:cxnLst/>
          <a:rect l="0" t="0" r="0" b="0"/>
          <a:pathLst>
            <a:path>
              <a:moveTo>
                <a:pt x="45720" y="0"/>
              </a:moveTo>
              <a:lnTo>
                <a:pt x="45720" y="130529"/>
              </a:lnTo>
              <a:lnTo>
                <a:pt x="68023" y="130529"/>
              </a:lnTo>
              <a:lnTo>
                <a:pt x="68023" y="26105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22448F6-66E2-2440-A1E2-1E59C93A1506}">
      <dsp:nvSpPr>
        <dsp:cNvPr id="0" name=""/>
        <dsp:cNvSpPr/>
      </dsp:nvSpPr>
      <dsp:spPr>
        <a:xfrm>
          <a:off x="1161980" y="559871"/>
          <a:ext cx="1686629" cy="261058"/>
        </a:xfrm>
        <a:custGeom>
          <a:avLst/>
          <a:gdLst/>
          <a:ahLst/>
          <a:cxnLst/>
          <a:rect l="0" t="0" r="0" b="0"/>
          <a:pathLst>
            <a:path>
              <a:moveTo>
                <a:pt x="1686629" y="0"/>
              </a:moveTo>
              <a:lnTo>
                <a:pt x="1686629" y="130529"/>
              </a:lnTo>
              <a:lnTo>
                <a:pt x="0" y="130529"/>
              </a:lnTo>
              <a:lnTo>
                <a:pt x="0" y="26105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27501E8-342D-C14B-8FAE-0A01B0FD29D3}">
      <dsp:nvSpPr>
        <dsp:cNvPr id="0" name=""/>
        <dsp:cNvSpPr/>
      </dsp:nvSpPr>
      <dsp:spPr>
        <a:xfrm>
          <a:off x="2308382" y="459"/>
          <a:ext cx="1080455" cy="559411"/>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78939" numCol="1" spcCol="1270" anchor="ctr" anchorCtr="0">
          <a:noAutofit/>
        </a:bodyPr>
        <a:lstStyle/>
        <a:p>
          <a:pPr lvl="0" algn="ctr" defTabSz="488950">
            <a:lnSpc>
              <a:spcPct val="90000"/>
            </a:lnSpc>
            <a:spcBef>
              <a:spcPct val="0"/>
            </a:spcBef>
            <a:spcAft>
              <a:spcPct val="35000"/>
            </a:spcAft>
          </a:pPr>
          <a:r>
            <a:rPr lang="en-US" sz="1100" kern="1200"/>
            <a:t>Intelektinis kapitalas</a:t>
          </a:r>
        </a:p>
      </dsp:txBody>
      <dsp:txXfrm>
        <a:off x="2308382" y="459"/>
        <a:ext cx="1080455" cy="559411"/>
      </dsp:txXfrm>
    </dsp:sp>
    <dsp:sp modelId="{17BFEDA7-6165-5945-AC9E-B969D56AE3A9}">
      <dsp:nvSpPr>
        <dsp:cNvPr id="0" name=""/>
        <dsp:cNvSpPr/>
      </dsp:nvSpPr>
      <dsp:spPr>
        <a:xfrm flipV="1">
          <a:off x="3306786" y="469132"/>
          <a:ext cx="40004" cy="3729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2700" tIns="3175" rIns="12700" bIns="3175" numCol="1" spcCol="1270" anchor="ctr" anchorCtr="0">
          <a:noAutofit/>
        </a:bodyPr>
        <a:lstStyle/>
        <a:p>
          <a:pPr lvl="0" algn="r" defTabSz="222250">
            <a:lnSpc>
              <a:spcPct val="90000"/>
            </a:lnSpc>
            <a:spcBef>
              <a:spcPct val="0"/>
            </a:spcBef>
            <a:spcAft>
              <a:spcPct val="35000"/>
            </a:spcAft>
          </a:pPr>
          <a:endParaRPr lang="en-US" sz="500" kern="1200"/>
        </a:p>
      </dsp:txBody>
      <dsp:txXfrm flipV="1">
        <a:off x="3306786" y="469132"/>
        <a:ext cx="40004" cy="37295"/>
      </dsp:txXfrm>
    </dsp:sp>
    <dsp:sp modelId="{7B71B18F-807A-A348-92EB-2FEF492313B8}">
      <dsp:nvSpPr>
        <dsp:cNvPr id="0" name=""/>
        <dsp:cNvSpPr/>
      </dsp:nvSpPr>
      <dsp:spPr>
        <a:xfrm>
          <a:off x="448831" y="820929"/>
          <a:ext cx="1426298" cy="375656"/>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78939" numCol="1" spcCol="1270" anchor="ctr" anchorCtr="0">
          <a:noAutofit/>
        </a:bodyPr>
        <a:lstStyle/>
        <a:p>
          <a:pPr lvl="0" algn="ctr" defTabSz="488950">
            <a:lnSpc>
              <a:spcPct val="90000"/>
            </a:lnSpc>
            <a:spcBef>
              <a:spcPct val="0"/>
            </a:spcBef>
            <a:spcAft>
              <a:spcPct val="35000"/>
            </a:spcAft>
          </a:pPr>
          <a:r>
            <a:rPr lang="en-US" sz="1100" kern="1200"/>
            <a:t>Žmogiškasis kapitalas</a:t>
          </a:r>
        </a:p>
      </dsp:txBody>
      <dsp:txXfrm>
        <a:off x="448831" y="820929"/>
        <a:ext cx="1426298" cy="375656"/>
      </dsp:txXfrm>
    </dsp:sp>
    <dsp:sp modelId="{AA74AF35-0A17-F045-BBC8-85D673640CBF}">
      <dsp:nvSpPr>
        <dsp:cNvPr id="0" name=""/>
        <dsp:cNvSpPr/>
      </dsp:nvSpPr>
      <dsp:spPr>
        <a:xfrm>
          <a:off x="944166" y="1050390"/>
          <a:ext cx="972409" cy="42979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US" sz="1000" kern="1200"/>
            <a:t>Žinios individualiame lygmenyje</a:t>
          </a:r>
        </a:p>
      </dsp:txBody>
      <dsp:txXfrm>
        <a:off x="944166" y="1050390"/>
        <a:ext cx="972409" cy="429794"/>
      </dsp:txXfrm>
    </dsp:sp>
    <dsp:sp modelId="{2DE91853-CE31-2748-B14A-A7E9C189765E}">
      <dsp:nvSpPr>
        <dsp:cNvPr id="0" name=""/>
        <dsp:cNvSpPr/>
      </dsp:nvSpPr>
      <dsp:spPr>
        <a:xfrm>
          <a:off x="2136187" y="820929"/>
          <a:ext cx="1469451" cy="399531"/>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78939" numCol="1" spcCol="1270" anchor="ctr" anchorCtr="0">
          <a:noAutofit/>
        </a:bodyPr>
        <a:lstStyle/>
        <a:p>
          <a:pPr lvl="0" algn="ctr" defTabSz="488950">
            <a:lnSpc>
              <a:spcPct val="90000"/>
            </a:lnSpc>
            <a:spcBef>
              <a:spcPct val="0"/>
            </a:spcBef>
            <a:spcAft>
              <a:spcPct val="35000"/>
            </a:spcAft>
          </a:pPr>
          <a:r>
            <a:rPr lang="en-US" sz="1100" kern="1200"/>
            <a:t>Struktūrinis kapitalas</a:t>
          </a:r>
        </a:p>
      </dsp:txBody>
      <dsp:txXfrm>
        <a:off x="2136187" y="820929"/>
        <a:ext cx="1469451" cy="399531"/>
      </dsp:txXfrm>
    </dsp:sp>
    <dsp:sp modelId="{8DE64D70-0F96-9C43-806B-4B5DE60F8E58}">
      <dsp:nvSpPr>
        <dsp:cNvPr id="0" name=""/>
        <dsp:cNvSpPr/>
      </dsp:nvSpPr>
      <dsp:spPr>
        <a:xfrm>
          <a:off x="2468833" y="1059380"/>
          <a:ext cx="1260349" cy="42080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US" sz="1000" kern="1200"/>
            <a:t>Žinios organizacijos lygmenyje</a:t>
          </a:r>
        </a:p>
      </dsp:txBody>
      <dsp:txXfrm>
        <a:off x="2468833" y="1059380"/>
        <a:ext cx="1260349" cy="420804"/>
      </dsp:txXfrm>
    </dsp:sp>
    <dsp:sp modelId="{5D9926A3-32E8-FA40-9797-9C89F164DFF7}">
      <dsp:nvSpPr>
        <dsp:cNvPr id="0" name=""/>
        <dsp:cNvSpPr/>
      </dsp:nvSpPr>
      <dsp:spPr>
        <a:xfrm>
          <a:off x="3924215" y="820929"/>
          <a:ext cx="1324173" cy="399531"/>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78939" numCol="1" spcCol="1270" anchor="ctr" anchorCtr="0">
          <a:noAutofit/>
        </a:bodyPr>
        <a:lstStyle/>
        <a:p>
          <a:pPr lvl="0" algn="ctr" defTabSz="488950">
            <a:lnSpc>
              <a:spcPct val="90000"/>
            </a:lnSpc>
            <a:spcBef>
              <a:spcPct val="0"/>
            </a:spcBef>
            <a:spcAft>
              <a:spcPct val="35000"/>
            </a:spcAft>
          </a:pPr>
          <a:r>
            <a:rPr lang="en-US" sz="1100" kern="1200"/>
            <a:t>Klientinis kapitalas</a:t>
          </a:r>
        </a:p>
      </dsp:txBody>
      <dsp:txXfrm>
        <a:off x="3924215" y="820929"/>
        <a:ext cx="1324173" cy="399531"/>
      </dsp:txXfrm>
    </dsp:sp>
    <dsp:sp modelId="{7FF7D164-06F6-414B-874A-3997CB40A83F}">
      <dsp:nvSpPr>
        <dsp:cNvPr id="0" name=""/>
        <dsp:cNvSpPr/>
      </dsp:nvSpPr>
      <dsp:spPr>
        <a:xfrm>
          <a:off x="4363996" y="1091438"/>
          <a:ext cx="972409" cy="38874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US" sz="1000" kern="1200"/>
            <a:t>Žinios abiejose lygmenyse</a:t>
          </a:r>
        </a:p>
      </dsp:txBody>
      <dsp:txXfrm>
        <a:off x="4363996" y="1091438"/>
        <a:ext cx="972409" cy="38874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3EE26EB-9029-B64A-9417-3A96E793547D}">
      <dsp:nvSpPr>
        <dsp:cNvPr id="0" name=""/>
        <dsp:cNvSpPr/>
      </dsp:nvSpPr>
      <dsp:spPr>
        <a:xfrm>
          <a:off x="0" y="2590451"/>
          <a:ext cx="3122930" cy="283471"/>
        </a:xfrm>
        <a:prstGeom prst="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Sukurta pridėtinė vertė</a:t>
          </a:r>
        </a:p>
      </dsp:txBody>
      <dsp:txXfrm>
        <a:off x="0" y="2590451"/>
        <a:ext cx="3122930" cy="283471"/>
      </dsp:txXfrm>
    </dsp:sp>
    <dsp:sp modelId="{59736276-E3B9-3C4E-8A3A-971FB3213760}">
      <dsp:nvSpPr>
        <dsp:cNvPr id="0" name=""/>
        <dsp:cNvSpPr/>
      </dsp:nvSpPr>
      <dsp:spPr>
        <a:xfrm rot="10800000">
          <a:off x="0" y="2158723"/>
          <a:ext cx="3122930" cy="435979"/>
        </a:xfrm>
        <a:prstGeom prst="upArrowCallou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Kompetencija</a:t>
          </a:r>
        </a:p>
      </dsp:txBody>
      <dsp:txXfrm rot="10800000">
        <a:off x="0" y="2158723"/>
        <a:ext cx="3122930" cy="435979"/>
      </dsp:txXfrm>
    </dsp:sp>
    <dsp:sp modelId="{4DC7545D-8975-594C-97BD-D7AC226CAA2F}">
      <dsp:nvSpPr>
        <dsp:cNvPr id="0" name=""/>
        <dsp:cNvSpPr/>
      </dsp:nvSpPr>
      <dsp:spPr>
        <a:xfrm rot="10800000">
          <a:off x="0" y="1726996"/>
          <a:ext cx="3122930" cy="435979"/>
        </a:xfrm>
        <a:prstGeom prst="upArrowCallou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Tobulėjimas</a:t>
          </a:r>
        </a:p>
      </dsp:txBody>
      <dsp:txXfrm rot="10800000">
        <a:off x="0" y="1726996"/>
        <a:ext cx="3122930" cy="435979"/>
      </dsp:txXfrm>
    </dsp:sp>
    <dsp:sp modelId="{8AF3D934-908F-8040-BB31-3124DCEA844F}">
      <dsp:nvSpPr>
        <dsp:cNvPr id="0" name=""/>
        <dsp:cNvSpPr/>
      </dsp:nvSpPr>
      <dsp:spPr>
        <a:xfrm rot="10800000">
          <a:off x="0" y="1295269"/>
          <a:ext cx="3122930" cy="435979"/>
        </a:xfrm>
        <a:prstGeom prst="upArrowCallou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Žinios          Įgūdžiai          Gebėjimai</a:t>
          </a:r>
        </a:p>
      </dsp:txBody>
      <dsp:txXfrm rot="10800000">
        <a:off x="0" y="1295269"/>
        <a:ext cx="3122930" cy="435979"/>
      </dsp:txXfrm>
    </dsp:sp>
    <dsp:sp modelId="{CBE0BEE5-BD14-7343-AC4B-7E768CFD813E}">
      <dsp:nvSpPr>
        <dsp:cNvPr id="0" name=""/>
        <dsp:cNvSpPr/>
      </dsp:nvSpPr>
      <dsp:spPr>
        <a:xfrm rot="10800000">
          <a:off x="0" y="863541"/>
          <a:ext cx="3122930" cy="435979"/>
        </a:xfrm>
        <a:prstGeom prst="upArrowCallou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Neapčiuopiama</a:t>
          </a:r>
        </a:p>
      </dsp:txBody>
      <dsp:txXfrm rot="10800000">
        <a:off x="0" y="863541"/>
        <a:ext cx="3122930" cy="435979"/>
      </dsp:txXfrm>
    </dsp:sp>
    <dsp:sp modelId="{42F96FA4-44DE-074D-8206-CF9653DC6E2D}">
      <dsp:nvSpPr>
        <dsp:cNvPr id="0" name=""/>
        <dsp:cNvSpPr/>
      </dsp:nvSpPr>
      <dsp:spPr>
        <a:xfrm rot="10800000">
          <a:off x="0" y="431814"/>
          <a:ext cx="3122930" cy="435979"/>
        </a:xfrm>
        <a:prstGeom prst="upArrowCallou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Kapitalas</a:t>
          </a:r>
        </a:p>
      </dsp:txBody>
      <dsp:txXfrm>
        <a:off x="0" y="431814"/>
        <a:ext cx="3122930" cy="153028"/>
      </dsp:txXfrm>
    </dsp:sp>
    <dsp:sp modelId="{85ECFA9B-49B9-964A-A4AE-D6399BCF782A}">
      <dsp:nvSpPr>
        <dsp:cNvPr id="0" name=""/>
        <dsp:cNvSpPr/>
      </dsp:nvSpPr>
      <dsp:spPr>
        <a:xfrm>
          <a:off x="1524" y="584843"/>
          <a:ext cx="1039960" cy="130357"/>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Žmogiškasis</a:t>
          </a:r>
        </a:p>
      </dsp:txBody>
      <dsp:txXfrm>
        <a:off x="1524" y="584843"/>
        <a:ext cx="1039960" cy="130357"/>
      </dsp:txXfrm>
    </dsp:sp>
    <dsp:sp modelId="{9F8FCC50-9F32-5C43-A4FD-920231409A34}">
      <dsp:nvSpPr>
        <dsp:cNvPr id="0" name=""/>
        <dsp:cNvSpPr/>
      </dsp:nvSpPr>
      <dsp:spPr>
        <a:xfrm>
          <a:off x="1041484" y="584843"/>
          <a:ext cx="1039960" cy="130357"/>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Organizacinis</a:t>
          </a:r>
        </a:p>
      </dsp:txBody>
      <dsp:txXfrm>
        <a:off x="1041484" y="584843"/>
        <a:ext cx="1039960" cy="130357"/>
      </dsp:txXfrm>
    </dsp:sp>
    <dsp:sp modelId="{1C396A88-B99B-0048-8731-A2E1C51E55E2}">
      <dsp:nvSpPr>
        <dsp:cNvPr id="0" name=""/>
        <dsp:cNvSpPr/>
      </dsp:nvSpPr>
      <dsp:spPr>
        <a:xfrm>
          <a:off x="2081445" y="584843"/>
          <a:ext cx="1039960" cy="130357"/>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Vartotojų</a:t>
          </a:r>
        </a:p>
      </dsp:txBody>
      <dsp:txXfrm>
        <a:off x="2081445" y="584843"/>
        <a:ext cx="1039960" cy="130357"/>
      </dsp:txXfrm>
    </dsp:sp>
    <dsp:sp modelId="{9FD387DA-3AE6-E249-9562-221F11031921}">
      <dsp:nvSpPr>
        <dsp:cNvPr id="0" name=""/>
        <dsp:cNvSpPr/>
      </dsp:nvSpPr>
      <dsp:spPr>
        <a:xfrm rot="10800000">
          <a:off x="0" y="87"/>
          <a:ext cx="3122930" cy="435979"/>
        </a:xfrm>
        <a:prstGeom prst="upArrowCallou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chemeClr val="tx1"/>
              </a:solidFill>
            </a:rPr>
            <a:t>Intelektinis kapitalas</a:t>
          </a:r>
        </a:p>
      </dsp:txBody>
      <dsp:txXfrm rot="10800000">
        <a:off x="0" y="87"/>
        <a:ext cx="3122930" cy="435979"/>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9E872FF-32E9-A048-92EE-23067BFB69AB}">
      <dsp:nvSpPr>
        <dsp:cNvPr id="0" name=""/>
        <dsp:cNvSpPr/>
      </dsp:nvSpPr>
      <dsp:spPr>
        <a:xfrm>
          <a:off x="527498" y="414613"/>
          <a:ext cx="3969532" cy="2126873"/>
        </a:xfrm>
        <a:prstGeom prst="blockArc">
          <a:avLst>
            <a:gd name="adj1" fmla="val 14935370"/>
            <a:gd name="adj2" fmla="val 17464654"/>
            <a:gd name="adj3" fmla="val 4642"/>
          </a:avLst>
        </a:prstGeom>
        <a:gradFill rotWithShape="0">
          <a:gsLst>
            <a:gs pos="0">
              <a:srgbClr val="F79646">
                <a:hueOff val="0"/>
                <a:satOff val="0"/>
                <a:lumOff val="0"/>
                <a:alphaOff val="0"/>
                <a:tint val="50000"/>
                <a:satMod val="300000"/>
              </a:srgbClr>
            </a:gs>
            <a:gs pos="35000">
              <a:srgbClr val="F79646">
                <a:hueOff val="0"/>
                <a:satOff val="0"/>
                <a:lumOff val="0"/>
                <a:alphaOff val="0"/>
                <a:tint val="37000"/>
                <a:satMod val="300000"/>
              </a:srgbClr>
            </a:gs>
            <a:gs pos="100000">
              <a:srgbClr val="F7964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ADA14159-E385-3A4F-9B27-5E046AD8A185}">
      <dsp:nvSpPr>
        <dsp:cNvPr id="0" name=""/>
        <dsp:cNvSpPr/>
      </dsp:nvSpPr>
      <dsp:spPr>
        <a:xfrm rot="10800000">
          <a:off x="4740330" y="372819"/>
          <a:ext cx="549265" cy="1451059"/>
        </a:xfrm>
        <a:prstGeom prst="curvedRightArrow">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99091524-D269-F041-AC31-16D30E299B42}">
      <dsp:nvSpPr>
        <dsp:cNvPr id="0" name=""/>
        <dsp:cNvSpPr/>
      </dsp:nvSpPr>
      <dsp:spPr>
        <a:xfrm>
          <a:off x="1246512" y="372109"/>
          <a:ext cx="452598" cy="1469265"/>
        </a:xfrm>
        <a:prstGeom prst="curvedRightArrow">
          <a:avLst/>
        </a:prstGeo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8E9A3694-043E-D149-AF33-9925D731BAC8}">
      <dsp:nvSpPr>
        <dsp:cNvPr id="0" name=""/>
        <dsp:cNvSpPr/>
      </dsp:nvSpPr>
      <dsp:spPr>
        <a:xfrm>
          <a:off x="2975110" y="436051"/>
          <a:ext cx="2126873" cy="2126873"/>
        </a:xfrm>
        <a:prstGeom prst="blockArc">
          <a:avLst>
            <a:gd name="adj1" fmla="val 14897452"/>
            <a:gd name="adj2" fmla="val 17502585"/>
            <a:gd name="adj3" fmla="val 4642"/>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EB5EBB64-1D4E-E544-B231-B1BFF151CEAA}">
      <dsp:nvSpPr>
        <dsp:cNvPr id="0" name=""/>
        <dsp:cNvSpPr/>
      </dsp:nvSpPr>
      <dsp:spPr>
        <a:xfrm>
          <a:off x="2174491" y="422620"/>
          <a:ext cx="2126873" cy="2126873"/>
        </a:xfrm>
        <a:prstGeom prst="blockArc">
          <a:avLst>
            <a:gd name="adj1" fmla="val 15011215"/>
            <a:gd name="adj2" fmla="val 17617874"/>
            <a:gd name="adj3" fmla="val 4642"/>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8B6493BF-1D74-8C48-AFDE-57579621EAB8}">
      <dsp:nvSpPr>
        <dsp:cNvPr id="0" name=""/>
        <dsp:cNvSpPr/>
      </dsp:nvSpPr>
      <dsp:spPr>
        <a:xfrm>
          <a:off x="1671078" y="967437"/>
          <a:ext cx="3395814" cy="399401"/>
        </a:xfrm>
        <a:prstGeom prst="chevron">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r>
            <a:rPr lang="en-US" sz="2500" kern="1200">
              <a:solidFill>
                <a:sysClr val="windowText" lastClr="000000"/>
              </a:solidFill>
              <a:latin typeface="Cambria"/>
              <a:ea typeface="+mn-ea"/>
              <a:cs typeface="+mn-cs"/>
            </a:rPr>
            <a:t>Verslo procesas</a:t>
          </a:r>
        </a:p>
      </dsp:txBody>
      <dsp:txXfrm>
        <a:off x="1671078" y="967437"/>
        <a:ext cx="3395814" cy="399401"/>
      </dsp:txXfrm>
    </dsp:sp>
    <dsp:sp modelId="{6C872379-A679-2244-9A4A-E42FB390921C}">
      <dsp:nvSpPr>
        <dsp:cNvPr id="0" name=""/>
        <dsp:cNvSpPr/>
      </dsp:nvSpPr>
      <dsp:spPr>
        <a:xfrm>
          <a:off x="2543137" y="166087"/>
          <a:ext cx="685398" cy="685398"/>
        </a:xfrm>
        <a:prstGeom prst="flowChartOffpageConnector">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mbria"/>
              <a:ea typeface="+mn-ea"/>
              <a:cs typeface="+mn-cs"/>
            </a:rPr>
            <a:t>Socialinis kapitalas</a:t>
          </a:r>
        </a:p>
      </dsp:txBody>
      <dsp:txXfrm>
        <a:off x="2543137" y="166087"/>
        <a:ext cx="685398" cy="685398"/>
      </dsp:txXfrm>
    </dsp:sp>
    <dsp:sp modelId="{FB6C008E-225B-314E-A283-25C130C53138}">
      <dsp:nvSpPr>
        <dsp:cNvPr id="0" name=""/>
        <dsp:cNvSpPr/>
      </dsp:nvSpPr>
      <dsp:spPr>
        <a:xfrm>
          <a:off x="3311615" y="191702"/>
          <a:ext cx="685398" cy="685398"/>
        </a:xfrm>
        <a:prstGeom prst="flowChartOffpageConnector">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mbria"/>
              <a:ea typeface="+mn-ea"/>
              <a:cs typeface="+mn-cs"/>
            </a:rPr>
            <a:t>Struktūrinis kpaitalas</a:t>
          </a:r>
        </a:p>
      </dsp:txBody>
      <dsp:txXfrm>
        <a:off x="3311615" y="191702"/>
        <a:ext cx="685398" cy="685398"/>
      </dsp:txXfrm>
    </dsp:sp>
    <dsp:sp modelId="{6D49E5F3-8821-6E45-8C4D-4E45F5B6FF89}">
      <dsp:nvSpPr>
        <dsp:cNvPr id="0" name=""/>
        <dsp:cNvSpPr/>
      </dsp:nvSpPr>
      <dsp:spPr>
        <a:xfrm>
          <a:off x="4080091" y="191706"/>
          <a:ext cx="685398" cy="685398"/>
        </a:xfrm>
        <a:prstGeom prst="flowChartOffpageConnector">
          <a:avLst/>
        </a:prstGeo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mbria"/>
              <a:ea typeface="+mn-ea"/>
              <a:cs typeface="+mn-cs"/>
            </a:rPr>
            <a:t>Kiti ištekliai</a:t>
          </a:r>
        </a:p>
      </dsp:txBody>
      <dsp:txXfrm>
        <a:off x="4080091" y="191706"/>
        <a:ext cx="685398" cy="685398"/>
      </dsp:txXfrm>
    </dsp:sp>
    <dsp:sp modelId="{250C5321-DCAB-F04C-A349-BE82D56C7A01}">
      <dsp:nvSpPr>
        <dsp:cNvPr id="0" name=""/>
        <dsp:cNvSpPr/>
      </dsp:nvSpPr>
      <dsp:spPr>
        <a:xfrm>
          <a:off x="1671167" y="1633375"/>
          <a:ext cx="2963312" cy="248765"/>
        </a:xfrm>
        <a:prstGeom prst="chevron">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mbria"/>
              <a:ea typeface="+mn-ea"/>
              <a:cs typeface="+mn-cs"/>
            </a:rPr>
            <a:t>Žinių procesas</a:t>
          </a:r>
        </a:p>
      </dsp:txBody>
      <dsp:txXfrm>
        <a:off x="1671167" y="1633375"/>
        <a:ext cx="2963312" cy="248765"/>
      </dsp:txXfrm>
    </dsp:sp>
    <dsp:sp modelId="{53C209A6-E77E-5D4B-99CC-82130D8C89B7}">
      <dsp:nvSpPr>
        <dsp:cNvPr id="0" name=""/>
        <dsp:cNvSpPr/>
      </dsp:nvSpPr>
      <dsp:spPr>
        <a:xfrm>
          <a:off x="1796001" y="166084"/>
          <a:ext cx="685398" cy="685398"/>
        </a:xfrm>
        <a:prstGeom prst="flowChartOffpageConnector">
          <a:avLst/>
        </a:prstGeom>
        <a:gradFill rotWithShape="0">
          <a:gsLst>
            <a:gs pos="0">
              <a:srgbClr val="F79646">
                <a:hueOff val="0"/>
                <a:satOff val="0"/>
                <a:lumOff val="0"/>
                <a:alphaOff val="0"/>
                <a:tint val="50000"/>
                <a:satMod val="300000"/>
              </a:srgbClr>
            </a:gs>
            <a:gs pos="35000">
              <a:srgbClr val="F79646">
                <a:hueOff val="0"/>
                <a:satOff val="0"/>
                <a:lumOff val="0"/>
                <a:alphaOff val="0"/>
                <a:tint val="37000"/>
                <a:satMod val="300000"/>
              </a:srgbClr>
            </a:gs>
            <a:gs pos="100000">
              <a:srgbClr val="F7964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mbria"/>
              <a:ea typeface="+mn-ea"/>
              <a:cs typeface="+mn-cs"/>
            </a:rPr>
            <a:t>Žmogiškasis kapitalas</a:t>
          </a:r>
        </a:p>
      </dsp:txBody>
      <dsp:txXfrm>
        <a:off x="1796001" y="166084"/>
        <a:ext cx="685398" cy="685398"/>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39D7616-4F83-3241-A197-D1853A054F1D}">
      <dsp:nvSpPr>
        <dsp:cNvPr id="0" name=""/>
        <dsp:cNvSpPr/>
      </dsp:nvSpPr>
      <dsp:spPr>
        <a:xfrm>
          <a:off x="1930953" y="17040"/>
          <a:ext cx="582134" cy="5821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mbria"/>
              <a:ea typeface="+mn-ea"/>
              <a:cs typeface="+mn-cs"/>
            </a:rPr>
            <a:t>Strateginis planavimas</a:t>
          </a:r>
        </a:p>
      </dsp:txBody>
      <dsp:txXfrm>
        <a:off x="1930953" y="17040"/>
        <a:ext cx="582134" cy="582134"/>
      </dsp:txXfrm>
    </dsp:sp>
    <dsp:sp modelId="{67F9BA97-FDEF-F944-8F65-D75A7C86951A}">
      <dsp:nvSpPr>
        <dsp:cNvPr id="0" name=""/>
        <dsp:cNvSpPr/>
      </dsp:nvSpPr>
      <dsp:spPr>
        <a:xfrm>
          <a:off x="1699991" y="246"/>
          <a:ext cx="2182092" cy="2182092"/>
        </a:xfrm>
        <a:prstGeom prst="leftCircularArrow">
          <a:avLst>
            <a:gd name="adj1" fmla="val 5196"/>
            <a:gd name="adj2" fmla="val 335646"/>
            <a:gd name="adj3" fmla="val 11105670"/>
            <a:gd name="adj4" fmla="val 12634715"/>
            <a:gd name="adj5" fmla="val 6063"/>
          </a:avLst>
        </a:prstGeom>
        <a:gradFill rotWithShape="0">
          <a:gsLst>
            <a:gs pos="0">
              <a:srgbClr val="4F81BD">
                <a:shade val="80000"/>
                <a:hueOff val="0"/>
                <a:satOff val="0"/>
                <a:lumOff val="0"/>
                <a:alphaOff val="0"/>
                <a:tint val="100000"/>
                <a:shade val="100000"/>
                <a:satMod val="130000"/>
              </a:srgbClr>
            </a:gs>
            <a:gs pos="100000">
              <a:srgbClr val="4F81BD">
                <a:shade val="80000"/>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9404F23-C3E5-674A-A133-4016D45CD94A}">
      <dsp:nvSpPr>
        <dsp:cNvPr id="0" name=""/>
        <dsp:cNvSpPr/>
      </dsp:nvSpPr>
      <dsp:spPr>
        <a:xfrm>
          <a:off x="1529505" y="1099376"/>
          <a:ext cx="681684" cy="5821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mbria"/>
              <a:ea typeface="+mn-ea"/>
              <a:cs typeface="+mn-cs"/>
            </a:rPr>
            <a:t>Intelektinio kapitalo matavimas</a:t>
          </a:r>
        </a:p>
      </dsp:txBody>
      <dsp:txXfrm>
        <a:off x="1529505" y="1099376"/>
        <a:ext cx="681684" cy="582134"/>
      </dsp:txXfrm>
    </dsp:sp>
    <dsp:sp modelId="{630EE8A5-15B1-C34D-9FEB-1FF4AC417FDD}">
      <dsp:nvSpPr>
        <dsp:cNvPr id="0" name=""/>
        <dsp:cNvSpPr/>
      </dsp:nvSpPr>
      <dsp:spPr>
        <a:xfrm>
          <a:off x="1699991" y="246"/>
          <a:ext cx="2182092" cy="2182092"/>
        </a:xfrm>
        <a:prstGeom prst="leftCircularArrow">
          <a:avLst>
            <a:gd name="adj1" fmla="val 5196"/>
            <a:gd name="adj2" fmla="val 335646"/>
            <a:gd name="adj3" fmla="val 6784174"/>
            <a:gd name="adj4" fmla="val 8547603"/>
            <a:gd name="adj5" fmla="val 6063"/>
          </a:avLst>
        </a:prstGeom>
        <a:gradFill rotWithShape="0">
          <a:gsLst>
            <a:gs pos="0">
              <a:srgbClr val="4F81BD">
                <a:shade val="80000"/>
                <a:hueOff val="76562"/>
                <a:satOff val="-1098"/>
                <a:lumOff val="6404"/>
                <a:alphaOff val="0"/>
                <a:tint val="100000"/>
                <a:shade val="100000"/>
                <a:satMod val="130000"/>
              </a:srgbClr>
            </a:gs>
            <a:gs pos="100000">
              <a:srgbClr val="4F81BD">
                <a:shade val="80000"/>
                <a:hueOff val="76562"/>
                <a:satOff val="-1098"/>
                <a:lumOff val="6404"/>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47DA353-2269-2B4D-B3D9-AA90B149E9C9}">
      <dsp:nvSpPr>
        <dsp:cNvPr id="0" name=""/>
        <dsp:cNvSpPr/>
      </dsp:nvSpPr>
      <dsp:spPr>
        <a:xfrm>
          <a:off x="2499971" y="1768296"/>
          <a:ext cx="582134" cy="5821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mbria"/>
              <a:ea typeface="+mn-ea"/>
              <a:cs typeface="+mn-cs"/>
            </a:rPr>
            <a:t>Intelektinio kapitalo vertinimas</a:t>
          </a:r>
        </a:p>
      </dsp:txBody>
      <dsp:txXfrm>
        <a:off x="2499971" y="1768296"/>
        <a:ext cx="582134" cy="582134"/>
      </dsp:txXfrm>
    </dsp:sp>
    <dsp:sp modelId="{DBF36D52-CEEC-2A47-A196-3807B048311E}">
      <dsp:nvSpPr>
        <dsp:cNvPr id="0" name=""/>
        <dsp:cNvSpPr/>
      </dsp:nvSpPr>
      <dsp:spPr>
        <a:xfrm>
          <a:off x="1699991" y="246"/>
          <a:ext cx="2182092" cy="2182092"/>
        </a:xfrm>
        <a:prstGeom prst="leftCircularArrow">
          <a:avLst>
            <a:gd name="adj1" fmla="val 5196"/>
            <a:gd name="adj2" fmla="val 335646"/>
            <a:gd name="adj3" fmla="val 2588042"/>
            <a:gd name="adj4" fmla="val 4351472"/>
            <a:gd name="adj5" fmla="val 6063"/>
          </a:avLst>
        </a:prstGeom>
        <a:gradFill rotWithShape="0">
          <a:gsLst>
            <a:gs pos="0">
              <a:srgbClr val="4F81BD">
                <a:shade val="80000"/>
                <a:hueOff val="153123"/>
                <a:satOff val="-2196"/>
                <a:lumOff val="12807"/>
                <a:alphaOff val="0"/>
                <a:tint val="100000"/>
                <a:shade val="100000"/>
                <a:satMod val="130000"/>
              </a:srgbClr>
            </a:gs>
            <a:gs pos="100000">
              <a:srgbClr val="4F81BD">
                <a:shade val="80000"/>
                <a:hueOff val="153123"/>
                <a:satOff val="-2196"/>
                <a:lumOff val="12807"/>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4F25EE4-670C-224B-8821-4A8D44BBB936}">
      <dsp:nvSpPr>
        <dsp:cNvPr id="0" name=""/>
        <dsp:cNvSpPr/>
      </dsp:nvSpPr>
      <dsp:spPr>
        <a:xfrm>
          <a:off x="3420660" y="1099376"/>
          <a:ext cx="582134" cy="5821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mbria"/>
              <a:ea typeface="+mn-ea"/>
              <a:cs typeface="+mn-cs"/>
            </a:rPr>
            <a:t>Kapitalizacijos tikrinimas</a:t>
          </a:r>
        </a:p>
      </dsp:txBody>
      <dsp:txXfrm>
        <a:off x="3420660" y="1099376"/>
        <a:ext cx="582134" cy="582134"/>
      </dsp:txXfrm>
    </dsp:sp>
    <dsp:sp modelId="{CE101D9D-6642-3148-A107-945C607AA675}">
      <dsp:nvSpPr>
        <dsp:cNvPr id="0" name=""/>
        <dsp:cNvSpPr/>
      </dsp:nvSpPr>
      <dsp:spPr>
        <a:xfrm>
          <a:off x="1699991" y="246"/>
          <a:ext cx="2182092" cy="2182092"/>
        </a:xfrm>
        <a:prstGeom prst="leftCircularArrow">
          <a:avLst>
            <a:gd name="adj1" fmla="val 5196"/>
            <a:gd name="adj2" fmla="val 335646"/>
            <a:gd name="adj3" fmla="val 20100931"/>
            <a:gd name="adj4" fmla="val 29976"/>
            <a:gd name="adj5" fmla="val 6063"/>
          </a:avLst>
        </a:prstGeom>
        <a:gradFill rotWithShape="0">
          <a:gsLst>
            <a:gs pos="0">
              <a:srgbClr val="4F81BD">
                <a:shade val="80000"/>
                <a:hueOff val="229685"/>
                <a:satOff val="-3294"/>
                <a:lumOff val="19211"/>
                <a:alphaOff val="0"/>
                <a:tint val="100000"/>
                <a:shade val="100000"/>
                <a:satMod val="130000"/>
              </a:srgbClr>
            </a:gs>
            <a:gs pos="100000">
              <a:srgbClr val="4F81BD">
                <a:shade val="80000"/>
                <a:hueOff val="229685"/>
                <a:satOff val="-3294"/>
                <a:lumOff val="19211"/>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2206F34-E43B-704F-8865-49233FA23CF4}">
      <dsp:nvSpPr>
        <dsp:cNvPr id="0" name=""/>
        <dsp:cNvSpPr/>
      </dsp:nvSpPr>
      <dsp:spPr>
        <a:xfrm>
          <a:off x="3068988" y="17040"/>
          <a:ext cx="582134" cy="5821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mbria"/>
              <a:ea typeface="+mn-ea"/>
              <a:cs typeface="+mn-cs"/>
            </a:rPr>
            <a:t>Grįžtamoji informacija</a:t>
          </a:r>
        </a:p>
      </dsp:txBody>
      <dsp:txXfrm>
        <a:off x="3068988" y="17040"/>
        <a:ext cx="582134" cy="582134"/>
      </dsp:txXfrm>
    </dsp:sp>
    <dsp:sp modelId="{DA827729-7337-B54B-8B4E-3C413395235F}">
      <dsp:nvSpPr>
        <dsp:cNvPr id="0" name=""/>
        <dsp:cNvSpPr/>
      </dsp:nvSpPr>
      <dsp:spPr>
        <a:xfrm>
          <a:off x="1699991" y="246"/>
          <a:ext cx="2182092" cy="2182092"/>
        </a:xfrm>
        <a:prstGeom prst="leftCircularArrow">
          <a:avLst>
            <a:gd name="adj1" fmla="val 5196"/>
            <a:gd name="adj2" fmla="val 335646"/>
            <a:gd name="adj3" fmla="val 15533189"/>
            <a:gd name="adj4" fmla="val 17202457"/>
            <a:gd name="adj5" fmla="val 6063"/>
          </a:avLst>
        </a:prstGeom>
        <a:gradFill rotWithShape="0">
          <a:gsLst>
            <a:gs pos="0">
              <a:srgbClr val="4F81BD">
                <a:shade val="80000"/>
                <a:hueOff val="306247"/>
                <a:satOff val="-4392"/>
                <a:lumOff val="25615"/>
                <a:alphaOff val="0"/>
                <a:tint val="100000"/>
                <a:shade val="100000"/>
                <a:satMod val="130000"/>
              </a:srgbClr>
            </a:gs>
            <a:gs pos="100000">
              <a:srgbClr val="4F81BD">
                <a:shade val="80000"/>
                <a:hueOff val="306247"/>
                <a:satOff val="-4392"/>
                <a:lumOff val="25615"/>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C9B9A03-77AF-6141-B3C9-056B071A3BAB}">
      <dsp:nvSpPr>
        <dsp:cNvPr id="0" name=""/>
        <dsp:cNvSpPr/>
      </dsp:nvSpPr>
      <dsp:spPr>
        <a:xfrm rot="5400000">
          <a:off x="-110200" y="114455"/>
          <a:ext cx="734669" cy="514268"/>
        </a:xfrm>
        <a:prstGeom prst="chevron">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mbria"/>
              <a:ea typeface="+mn-ea"/>
              <a:cs typeface="+mn-cs"/>
            </a:rPr>
            <a:t>I etapas</a:t>
          </a:r>
        </a:p>
      </dsp:txBody>
      <dsp:txXfrm rot="5400000">
        <a:off x="-110200" y="114455"/>
        <a:ext cx="734669" cy="514268"/>
      </dsp:txXfrm>
    </dsp:sp>
    <dsp:sp modelId="{1168D76B-5362-414E-AFC6-623E386E0B4F}">
      <dsp:nvSpPr>
        <dsp:cNvPr id="0" name=""/>
        <dsp:cNvSpPr/>
      </dsp:nvSpPr>
      <dsp:spPr>
        <a:xfrm rot="5400000">
          <a:off x="3054936" y="-2536413"/>
          <a:ext cx="477535" cy="5558871"/>
        </a:xfrm>
        <a:prstGeom prst="round2Same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b="1" kern="1200">
              <a:solidFill>
                <a:sysClr val="windowText" lastClr="000000">
                  <a:hueOff val="0"/>
                  <a:satOff val="0"/>
                  <a:lumOff val="0"/>
                  <a:alphaOff val="0"/>
                </a:sysClr>
              </a:solidFill>
              <a:latin typeface="Cambria"/>
              <a:ea typeface="+mn-ea"/>
              <a:cs typeface="+mn-cs"/>
            </a:rPr>
            <a:t>  Indentifikuoti tikslus</a:t>
          </a:r>
          <a:r>
            <a:rPr lang="en-US" sz="900" kern="1200">
              <a:solidFill>
                <a:sysClr val="windowText" lastClr="000000">
                  <a:hueOff val="0"/>
                  <a:satOff val="0"/>
                  <a:lumOff val="0"/>
                  <a:alphaOff val="0"/>
                </a:sysClr>
              </a:solidFill>
              <a:latin typeface="Cambria"/>
              <a:ea typeface="+mn-ea"/>
              <a:cs typeface="+mn-cs"/>
            </a:rPr>
            <a:t>:</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mbria"/>
              <a:ea typeface="+mn-ea"/>
              <a:cs typeface="+mn-cs"/>
            </a:rPr>
            <a:t>  Tikslų nusistatymas</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mbria"/>
              <a:ea typeface="+mn-ea"/>
              <a:cs typeface="+mn-cs"/>
            </a:rPr>
            <a:t>  Hipotezių formulavimas</a:t>
          </a:r>
        </a:p>
      </dsp:txBody>
      <dsp:txXfrm rot="5400000">
        <a:off x="3054936" y="-2536413"/>
        <a:ext cx="477535" cy="5558871"/>
      </dsp:txXfrm>
    </dsp:sp>
    <dsp:sp modelId="{B15AFF12-F804-0745-956F-7D957B9865B6}">
      <dsp:nvSpPr>
        <dsp:cNvPr id="0" name=""/>
        <dsp:cNvSpPr/>
      </dsp:nvSpPr>
      <dsp:spPr>
        <a:xfrm rot="5400000">
          <a:off x="-110200" y="737416"/>
          <a:ext cx="734669" cy="514268"/>
        </a:xfrm>
        <a:prstGeom prst="chevron">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mbria"/>
              <a:ea typeface="+mn-ea"/>
              <a:cs typeface="+mn-cs"/>
            </a:rPr>
            <a:t>II etapas</a:t>
          </a:r>
        </a:p>
      </dsp:txBody>
      <dsp:txXfrm rot="5400000">
        <a:off x="-110200" y="737416"/>
        <a:ext cx="734669" cy="514268"/>
      </dsp:txXfrm>
    </dsp:sp>
    <dsp:sp modelId="{D5CC301C-A74E-7A49-AD9D-23FDF89F36E9}">
      <dsp:nvSpPr>
        <dsp:cNvPr id="0" name=""/>
        <dsp:cNvSpPr/>
      </dsp:nvSpPr>
      <dsp:spPr>
        <a:xfrm rot="5400000">
          <a:off x="3054936" y="-1913452"/>
          <a:ext cx="477535" cy="5558871"/>
        </a:xfrm>
        <a:prstGeom prst="round2Same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b="1" kern="1200">
              <a:solidFill>
                <a:sysClr val="windowText" lastClr="000000">
                  <a:hueOff val="0"/>
                  <a:satOff val="0"/>
                  <a:lumOff val="0"/>
                  <a:alphaOff val="0"/>
                </a:sysClr>
              </a:solidFill>
              <a:latin typeface="Cambria"/>
              <a:ea typeface="+mn-ea"/>
              <a:cs typeface="+mn-cs"/>
            </a:rPr>
            <a:t> Nuspręsti kaip matuoti: </a:t>
          </a:r>
          <a:r>
            <a:rPr lang="en-US" sz="900" kern="1200">
              <a:solidFill>
                <a:sysClr val="windowText" lastClr="000000">
                  <a:hueOff val="0"/>
                  <a:satOff val="0"/>
                  <a:lumOff val="0"/>
                  <a:alphaOff val="0"/>
                </a:sysClr>
              </a:solidFill>
              <a:latin typeface="Cambria"/>
              <a:ea typeface="+mn-ea"/>
              <a:cs typeface="+mn-cs"/>
            </a:rPr>
            <a:t>Intelektinio kapitalo vertinimo rodiklių ir metodų parinkimas</a:t>
          </a:r>
        </a:p>
      </dsp:txBody>
      <dsp:txXfrm rot="5400000">
        <a:off x="3054936" y="-1913452"/>
        <a:ext cx="477535" cy="5558871"/>
      </dsp:txXfrm>
    </dsp:sp>
    <dsp:sp modelId="{324287F6-448D-4246-A7A7-EDF943381AC9}">
      <dsp:nvSpPr>
        <dsp:cNvPr id="0" name=""/>
        <dsp:cNvSpPr/>
      </dsp:nvSpPr>
      <dsp:spPr>
        <a:xfrm rot="5400000">
          <a:off x="-180354" y="1477836"/>
          <a:ext cx="874976" cy="514268"/>
        </a:xfrm>
        <a:prstGeom prst="chevron">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mbria"/>
              <a:ea typeface="+mn-ea"/>
              <a:cs typeface="+mn-cs"/>
            </a:rPr>
            <a:t>III etapas</a:t>
          </a:r>
        </a:p>
      </dsp:txBody>
      <dsp:txXfrm rot="5400000">
        <a:off x="-180354" y="1477836"/>
        <a:ext cx="874976" cy="514268"/>
      </dsp:txXfrm>
    </dsp:sp>
    <dsp:sp modelId="{FC910371-F365-8D45-86E7-33A9004A0C77}">
      <dsp:nvSpPr>
        <dsp:cNvPr id="0" name=""/>
        <dsp:cNvSpPr/>
      </dsp:nvSpPr>
      <dsp:spPr>
        <a:xfrm rot="5400000">
          <a:off x="2937477" y="-1173032"/>
          <a:ext cx="712453" cy="5558871"/>
        </a:xfrm>
        <a:prstGeom prst="round2Same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b="1" kern="1200">
              <a:solidFill>
                <a:sysClr val="windowText" lastClr="000000">
                  <a:hueOff val="0"/>
                  <a:satOff val="0"/>
                  <a:lumOff val="0"/>
                  <a:alphaOff val="0"/>
                </a:sysClr>
              </a:solidFill>
              <a:latin typeface="Cambria"/>
              <a:ea typeface="+mn-ea"/>
              <a:cs typeface="+mn-cs"/>
            </a:rPr>
            <a:t> Kur ir kada matuoti: </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mbria"/>
              <a:ea typeface="+mn-ea"/>
              <a:cs typeface="+mn-cs"/>
            </a:rPr>
            <a:t>  Tinkamų įmonių analizei atrinkimas</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mbria"/>
              <a:ea typeface="+mn-ea"/>
              <a:cs typeface="+mn-cs"/>
            </a:rPr>
            <a:t>  Parinktiems metodams reikalingų rodiklių atrinkimas</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mbria"/>
              <a:ea typeface="+mn-ea"/>
              <a:cs typeface="+mn-cs"/>
            </a:rPr>
            <a:t>  Reikalingos išorinės informacijos atrinkimas</a:t>
          </a:r>
        </a:p>
      </dsp:txBody>
      <dsp:txXfrm rot="5400000">
        <a:off x="2937477" y="-1173032"/>
        <a:ext cx="712453" cy="5558871"/>
      </dsp:txXfrm>
    </dsp:sp>
    <dsp:sp modelId="{FFE78002-6484-7149-BC75-8F09AF2345AD}">
      <dsp:nvSpPr>
        <dsp:cNvPr id="0" name=""/>
        <dsp:cNvSpPr/>
      </dsp:nvSpPr>
      <dsp:spPr>
        <a:xfrm rot="5400000">
          <a:off x="-110200" y="2170950"/>
          <a:ext cx="734669" cy="514268"/>
        </a:xfrm>
        <a:prstGeom prst="chevron">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mbria"/>
              <a:ea typeface="+mn-ea"/>
              <a:cs typeface="+mn-cs"/>
            </a:rPr>
            <a:t>IV etapas</a:t>
          </a:r>
        </a:p>
      </dsp:txBody>
      <dsp:txXfrm rot="5400000">
        <a:off x="-110200" y="2170950"/>
        <a:ext cx="734669" cy="514268"/>
      </dsp:txXfrm>
    </dsp:sp>
    <dsp:sp modelId="{484030FA-3C1B-4248-A429-9DF78F6123E5}">
      <dsp:nvSpPr>
        <dsp:cNvPr id="0" name=""/>
        <dsp:cNvSpPr/>
      </dsp:nvSpPr>
      <dsp:spPr>
        <a:xfrm rot="5400000">
          <a:off x="3054936" y="-479917"/>
          <a:ext cx="477535" cy="5558871"/>
        </a:xfrm>
        <a:prstGeom prst="round2Same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b="1" kern="1200">
              <a:solidFill>
                <a:sysClr val="windowText" lastClr="000000">
                  <a:hueOff val="0"/>
                  <a:satOff val="0"/>
                  <a:lumOff val="0"/>
                  <a:alphaOff val="0"/>
                </a:sysClr>
              </a:solidFill>
              <a:latin typeface="Cambria"/>
              <a:ea typeface="+mn-ea"/>
              <a:cs typeface="+mn-cs"/>
            </a:rPr>
            <a:t> Vykdyti: </a:t>
          </a:r>
          <a:r>
            <a:rPr lang="en-US" sz="900" kern="1200">
              <a:solidFill>
                <a:sysClr val="windowText" lastClr="000000">
                  <a:hueOff val="0"/>
                  <a:satOff val="0"/>
                  <a:lumOff val="0"/>
                  <a:alphaOff val="0"/>
                </a:sysClr>
              </a:solidFill>
              <a:latin typeface="Cambria"/>
              <a:ea typeface="+mn-ea"/>
              <a:cs typeface="+mn-cs"/>
            </a:rPr>
            <a:t>vertinimo metodų praktinis pritaikymas</a:t>
          </a:r>
        </a:p>
      </dsp:txBody>
      <dsp:txXfrm rot="5400000">
        <a:off x="3054936" y="-479917"/>
        <a:ext cx="477535" cy="5558871"/>
      </dsp:txXfrm>
    </dsp:sp>
    <dsp:sp modelId="{23D288E8-0A77-894B-9789-91D7836FD3E1}">
      <dsp:nvSpPr>
        <dsp:cNvPr id="0" name=""/>
        <dsp:cNvSpPr/>
      </dsp:nvSpPr>
      <dsp:spPr>
        <a:xfrm rot="5400000">
          <a:off x="-110200" y="2894255"/>
          <a:ext cx="734669" cy="514268"/>
        </a:xfrm>
        <a:prstGeom prst="chevron">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mbria"/>
              <a:ea typeface="+mn-ea"/>
              <a:cs typeface="+mn-cs"/>
            </a:rPr>
            <a:t>V etapas</a:t>
          </a:r>
        </a:p>
      </dsp:txBody>
      <dsp:txXfrm rot="5400000">
        <a:off x="-110200" y="2894255"/>
        <a:ext cx="734669" cy="514268"/>
      </dsp:txXfrm>
    </dsp:sp>
    <dsp:sp modelId="{B572E493-8389-7A40-84FA-B23BBEC0C012}">
      <dsp:nvSpPr>
        <dsp:cNvPr id="0" name=""/>
        <dsp:cNvSpPr/>
      </dsp:nvSpPr>
      <dsp:spPr>
        <a:xfrm rot="5400000">
          <a:off x="2954592" y="243387"/>
          <a:ext cx="678224" cy="5558871"/>
        </a:xfrm>
        <a:prstGeom prst="round2Same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b="1" kern="1200">
              <a:solidFill>
                <a:sysClr val="windowText" lastClr="000000">
                  <a:hueOff val="0"/>
                  <a:satOff val="0"/>
                  <a:lumOff val="0"/>
                  <a:alphaOff val="0"/>
                </a:sysClr>
              </a:solidFill>
              <a:latin typeface="Cambria"/>
              <a:ea typeface="+mn-ea"/>
              <a:cs typeface="+mn-cs"/>
            </a:rPr>
            <a:t> Išmatuoti, įvertinti ir pritaikyti:</a:t>
          </a:r>
          <a:endParaRPr lang="en-US" sz="900" kern="1200">
            <a:solidFill>
              <a:sysClr val="windowText" lastClr="000000">
                <a:hueOff val="0"/>
                <a:satOff val="0"/>
                <a:lumOff val="0"/>
                <a:alphaOff val="0"/>
              </a:sysClr>
            </a:solidFill>
            <a:latin typeface="Cambria"/>
            <a:ea typeface="+mn-ea"/>
            <a:cs typeface="+mn-cs"/>
          </a:endParaRP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mbria"/>
              <a:ea typeface="+mn-ea"/>
              <a:cs typeface="+mn-cs"/>
            </a:rPr>
            <a:t> Gautų rezulatų analizė ir interpretavimas</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mbria"/>
              <a:ea typeface="+mn-ea"/>
              <a:cs typeface="+mn-cs"/>
            </a:rPr>
            <a:t>Rezulatatų sugretinimas ir palyginimas tarpusavyje</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mbria"/>
              <a:ea typeface="+mn-ea"/>
              <a:cs typeface="+mn-cs"/>
            </a:rPr>
            <a:t> Pasiūlymų pateikimas</a:t>
          </a:r>
        </a:p>
      </dsp:txBody>
      <dsp:txXfrm rot="5400000">
        <a:off x="2954592" y="243387"/>
        <a:ext cx="678224" cy="5558871"/>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3388934-D78C-0147-9501-0D1EA60ED612}">
      <dsp:nvSpPr>
        <dsp:cNvPr id="0" name=""/>
        <dsp:cNvSpPr/>
      </dsp:nvSpPr>
      <dsp:spPr>
        <a:xfrm>
          <a:off x="1395456" y="377613"/>
          <a:ext cx="2516417" cy="2516417"/>
        </a:xfrm>
        <a:prstGeom prst="blockArc">
          <a:avLst>
            <a:gd name="adj1" fmla="val 9000000"/>
            <a:gd name="adj2" fmla="val 16200000"/>
            <a:gd name="adj3" fmla="val 464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34E845D-3222-6843-B363-920882C626F0}">
      <dsp:nvSpPr>
        <dsp:cNvPr id="0" name=""/>
        <dsp:cNvSpPr/>
      </dsp:nvSpPr>
      <dsp:spPr>
        <a:xfrm>
          <a:off x="1395456" y="377613"/>
          <a:ext cx="2516417" cy="2516417"/>
        </a:xfrm>
        <a:prstGeom prst="blockArc">
          <a:avLst>
            <a:gd name="adj1" fmla="val 1800000"/>
            <a:gd name="adj2" fmla="val 9000000"/>
            <a:gd name="adj3" fmla="val 464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5241CEC-BC27-2049-9768-900822ABC1E1}">
      <dsp:nvSpPr>
        <dsp:cNvPr id="0" name=""/>
        <dsp:cNvSpPr/>
      </dsp:nvSpPr>
      <dsp:spPr>
        <a:xfrm>
          <a:off x="1395456" y="377613"/>
          <a:ext cx="2516417" cy="2516417"/>
        </a:xfrm>
        <a:prstGeom prst="blockArc">
          <a:avLst>
            <a:gd name="adj1" fmla="val 16200000"/>
            <a:gd name="adj2" fmla="val 1800000"/>
            <a:gd name="adj3" fmla="val 464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6D7451B-385E-6F4C-B9CF-DA949D90DF5D}">
      <dsp:nvSpPr>
        <dsp:cNvPr id="0" name=""/>
        <dsp:cNvSpPr/>
      </dsp:nvSpPr>
      <dsp:spPr>
        <a:xfrm>
          <a:off x="2074471" y="1056629"/>
          <a:ext cx="1158386" cy="1158386"/>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r>
            <a:rPr lang="en-US" sz="2700" kern="1200"/>
            <a:t>ROA, ROE</a:t>
          </a:r>
        </a:p>
      </dsp:txBody>
      <dsp:txXfrm>
        <a:off x="2074471" y="1056629"/>
        <a:ext cx="1158386" cy="1158386"/>
      </dsp:txXfrm>
    </dsp:sp>
    <dsp:sp modelId="{BF189F56-9217-DE49-8DE7-054FEFFF5942}">
      <dsp:nvSpPr>
        <dsp:cNvPr id="0" name=""/>
        <dsp:cNvSpPr/>
      </dsp:nvSpPr>
      <dsp:spPr>
        <a:xfrm>
          <a:off x="2248229" y="1369"/>
          <a:ext cx="810870" cy="810870"/>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ICE</a:t>
          </a:r>
        </a:p>
      </dsp:txBody>
      <dsp:txXfrm>
        <a:off x="2248229" y="1369"/>
        <a:ext cx="810870" cy="810870"/>
      </dsp:txXfrm>
    </dsp:sp>
    <dsp:sp modelId="{259FBFB1-BADD-E54B-817E-26C06034CC75}">
      <dsp:nvSpPr>
        <dsp:cNvPr id="0" name=""/>
        <dsp:cNvSpPr/>
      </dsp:nvSpPr>
      <dsp:spPr>
        <a:xfrm>
          <a:off x="3312589" y="1844895"/>
          <a:ext cx="810870" cy="810870"/>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CIV</a:t>
          </a:r>
        </a:p>
      </dsp:txBody>
      <dsp:txXfrm>
        <a:off x="3312589" y="1844895"/>
        <a:ext cx="810870" cy="810870"/>
      </dsp:txXfrm>
    </dsp:sp>
    <dsp:sp modelId="{B75066A3-465B-C345-B57A-3C98BCE115B1}">
      <dsp:nvSpPr>
        <dsp:cNvPr id="0" name=""/>
        <dsp:cNvSpPr/>
      </dsp:nvSpPr>
      <dsp:spPr>
        <a:xfrm>
          <a:off x="1183869" y="1844895"/>
          <a:ext cx="810870" cy="810870"/>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t>VAIC™</a:t>
          </a:r>
        </a:p>
      </dsp:txBody>
      <dsp:txXfrm>
        <a:off x="1183869" y="1844895"/>
        <a:ext cx="810870" cy="810870"/>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432B71E-13F1-5545-995A-2C9D297D2801}">
      <dsp:nvSpPr>
        <dsp:cNvPr id="0" name=""/>
        <dsp:cNvSpPr/>
      </dsp:nvSpPr>
      <dsp:spPr>
        <a:xfrm>
          <a:off x="3560067" y="2821019"/>
          <a:ext cx="504904" cy="240288"/>
        </a:xfrm>
        <a:custGeom>
          <a:avLst/>
          <a:gdLst/>
          <a:ahLst/>
          <a:cxnLst/>
          <a:rect l="0" t="0" r="0" b="0"/>
          <a:pathLst>
            <a:path>
              <a:moveTo>
                <a:pt x="0" y="0"/>
              </a:moveTo>
              <a:lnTo>
                <a:pt x="0" y="163749"/>
              </a:lnTo>
              <a:lnTo>
                <a:pt x="504904" y="163749"/>
              </a:lnTo>
              <a:lnTo>
                <a:pt x="504904" y="24028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E9E9D74-EBC5-D044-B26B-925CECE0CE87}">
      <dsp:nvSpPr>
        <dsp:cNvPr id="0" name=""/>
        <dsp:cNvSpPr/>
      </dsp:nvSpPr>
      <dsp:spPr>
        <a:xfrm>
          <a:off x="3055162" y="2821019"/>
          <a:ext cx="504904" cy="240288"/>
        </a:xfrm>
        <a:custGeom>
          <a:avLst/>
          <a:gdLst/>
          <a:ahLst/>
          <a:cxnLst/>
          <a:rect l="0" t="0" r="0" b="0"/>
          <a:pathLst>
            <a:path>
              <a:moveTo>
                <a:pt x="504904" y="0"/>
              </a:moveTo>
              <a:lnTo>
                <a:pt x="504904" y="163749"/>
              </a:lnTo>
              <a:lnTo>
                <a:pt x="0" y="163749"/>
              </a:lnTo>
              <a:lnTo>
                <a:pt x="0" y="24028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FDED7E4-8CBB-5249-8924-4FED34AF16A1}">
      <dsp:nvSpPr>
        <dsp:cNvPr id="0" name=""/>
        <dsp:cNvSpPr/>
      </dsp:nvSpPr>
      <dsp:spPr>
        <a:xfrm>
          <a:off x="3055162" y="2056088"/>
          <a:ext cx="504904" cy="240288"/>
        </a:xfrm>
        <a:custGeom>
          <a:avLst/>
          <a:gdLst/>
          <a:ahLst/>
          <a:cxnLst/>
          <a:rect l="0" t="0" r="0" b="0"/>
          <a:pathLst>
            <a:path>
              <a:moveTo>
                <a:pt x="0" y="0"/>
              </a:moveTo>
              <a:lnTo>
                <a:pt x="0" y="163749"/>
              </a:lnTo>
              <a:lnTo>
                <a:pt x="504904" y="163749"/>
              </a:lnTo>
              <a:lnTo>
                <a:pt x="504904" y="24028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5D77748-0190-AE45-8471-79BFCE104F2B}">
      <dsp:nvSpPr>
        <dsp:cNvPr id="0" name=""/>
        <dsp:cNvSpPr/>
      </dsp:nvSpPr>
      <dsp:spPr>
        <a:xfrm>
          <a:off x="2550257" y="2056088"/>
          <a:ext cx="504904" cy="240288"/>
        </a:xfrm>
        <a:custGeom>
          <a:avLst/>
          <a:gdLst/>
          <a:ahLst/>
          <a:cxnLst/>
          <a:rect l="0" t="0" r="0" b="0"/>
          <a:pathLst>
            <a:path>
              <a:moveTo>
                <a:pt x="504904" y="0"/>
              </a:moveTo>
              <a:lnTo>
                <a:pt x="504904" y="163749"/>
              </a:lnTo>
              <a:lnTo>
                <a:pt x="0" y="163749"/>
              </a:lnTo>
              <a:lnTo>
                <a:pt x="0" y="24028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0A7CCDE-915A-EE4F-B312-F0224C660331}">
      <dsp:nvSpPr>
        <dsp:cNvPr id="0" name=""/>
        <dsp:cNvSpPr/>
      </dsp:nvSpPr>
      <dsp:spPr>
        <a:xfrm>
          <a:off x="2550257" y="1291157"/>
          <a:ext cx="504904" cy="240288"/>
        </a:xfrm>
        <a:custGeom>
          <a:avLst/>
          <a:gdLst/>
          <a:ahLst/>
          <a:cxnLst/>
          <a:rect l="0" t="0" r="0" b="0"/>
          <a:pathLst>
            <a:path>
              <a:moveTo>
                <a:pt x="0" y="0"/>
              </a:moveTo>
              <a:lnTo>
                <a:pt x="0" y="163749"/>
              </a:lnTo>
              <a:lnTo>
                <a:pt x="504904" y="163749"/>
              </a:lnTo>
              <a:lnTo>
                <a:pt x="504904" y="24028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59C08F8-8BED-8340-9660-C718109B8EA4}">
      <dsp:nvSpPr>
        <dsp:cNvPr id="0" name=""/>
        <dsp:cNvSpPr/>
      </dsp:nvSpPr>
      <dsp:spPr>
        <a:xfrm>
          <a:off x="2045352" y="1291157"/>
          <a:ext cx="504904" cy="240288"/>
        </a:xfrm>
        <a:custGeom>
          <a:avLst/>
          <a:gdLst/>
          <a:ahLst/>
          <a:cxnLst/>
          <a:rect l="0" t="0" r="0" b="0"/>
          <a:pathLst>
            <a:path>
              <a:moveTo>
                <a:pt x="504904" y="0"/>
              </a:moveTo>
              <a:lnTo>
                <a:pt x="504904" y="163749"/>
              </a:lnTo>
              <a:lnTo>
                <a:pt x="0" y="163749"/>
              </a:lnTo>
              <a:lnTo>
                <a:pt x="0" y="24028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E105B6B-C85B-AF4A-8450-259EA67A10D1}">
      <dsp:nvSpPr>
        <dsp:cNvPr id="0" name=""/>
        <dsp:cNvSpPr/>
      </dsp:nvSpPr>
      <dsp:spPr>
        <a:xfrm>
          <a:off x="2045352" y="526226"/>
          <a:ext cx="504904" cy="240288"/>
        </a:xfrm>
        <a:custGeom>
          <a:avLst/>
          <a:gdLst/>
          <a:ahLst/>
          <a:cxnLst/>
          <a:rect l="0" t="0" r="0" b="0"/>
          <a:pathLst>
            <a:path>
              <a:moveTo>
                <a:pt x="0" y="0"/>
              </a:moveTo>
              <a:lnTo>
                <a:pt x="0" y="163749"/>
              </a:lnTo>
              <a:lnTo>
                <a:pt x="504904" y="163749"/>
              </a:lnTo>
              <a:lnTo>
                <a:pt x="504904" y="24028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3F106A4-8283-A04E-8DD9-3B2E3EB9F7FB}">
      <dsp:nvSpPr>
        <dsp:cNvPr id="0" name=""/>
        <dsp:cNvSpPr/>
      </dsp:nvSpPr>
      <dsp:spPr>
        <a:xfrm>
          <a:off x="1540447" y="526226"/>
          <a:ext cx="504904" cy="240288"/>
        </a:xfrm>
        <a:custGeom>
          <a:avLst/>
          <a:gdLst/>
          <a:ahLst/>
          <a:cxnLst/>
          <a:rect l="0" t="0" r="0" b="0"/>
          <a:pathLst>
            <a:path>
              <a:moveTo>
                <a:pt x="504904" y="0"/>
              </a:moveTo>
              <a:lnTo>
                <a:pt x="504904" y="163749"/>
              </a:lnTo>
              <a:lnTo>
                <a:pt x="0" y="163749"/>
              </a:lnTo>
              <a:lnTo>
                <a:pt x="0" y="24028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4CAADCF-6174-054E-8F2B-823DA3453043}">
      <dsp:nvSpPr>
        <dsp:cNvPr id="0" name=""/>
        <dsp:cNvSpPr/>
      </dsp:nvSpPr>
      <dsp:spPr>
        <a:xfrm>
          <a:off x="1632247" y="1583"/>
          <a:ext cx="826208" cy="52464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9389BDF-C080-714B-B847-1F55C154CF12}">
      <dsp:nvSpPr>
        <dsp:cNvPr id="0" name=""/>
        <dsp:cNvSpPr/>
      </dsp:nvSpPr>
      <dsp:spPr>
        <a:xfrm>
          <a:off x="1724048" y="88794"/>
          <a:ext cx="826208" cy="5246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Rinkos vertė</a:t>
          </a:r>
        </a:p>
      </dsp:txBody>
      <dsp:txXfrm>
        <a:off x="1724048" y="88794"/>
        <a:ext cx="826208" cy="524642"/>
      </dsp:txXfrm>
    </dsp:sp>
    <dsp:sp modelId="{8EDC5ADD-3BD8-094B-87B9-505B0F7015A1}">
      <dsp:nvSpPr>
        <dsp:cNvPr id="0" name=""/>
        <dsp:cNvSpPr/>
      </dsp:nvSpPr>
      <dsp:spPr>
        <a:xfrm>
          <a:off x="1127342" y="766514"/>
          <a:ext cx="826208" cy="52464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072C6AE-4E2B-134C-BBF4-1B5893FAD49C}">
      <dsp:nvSpPr>
        <dsp:cNvPr id="0" name=""/>
        <dsp:cNvSpPr/>
      </dsp:nvSpPr>
      <dsp:spPr>
        <a:xfrm>
          <a:off x="1219143" y="853725"/>
          <a:ext cx="826208" cy="5246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Finansinis kapitalas</a:t>
          </a:r>
        </a:p>
      </dsp:txBody>
      <dsp:txXfrm>
        <a:off x="1219143" y="853725"/>
        <a:ext cx="826208" cy="524642"/>
      </dsp:txXfrm>
    </dsp:sp>
    <dsp:sp modelId="{2D0D7805-3951-1A47-B6C3-AAE9DCCFDC5C}">
      <dsp:nvSpPr>
        <dsp:cNvPr id="0" name=""/>
        <dsp:cNvSpPr/>
      </dsp:nvSpPr>
      <dsp:spPr>
        <a:xfrm>
          <a:off x="2137152" y="766514"/>
          <a:ext cx="826208" cy="52464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CD13C6B-0017-6A4E-A170-D3C6DEF536FC}">
      <dsp:nvSpPr>
        <dsp:cNvPr id="0" name=""/>
        <dsp:cNvSpPr/>
      </dsp:nvSpPr>
      <dsp:spPr>
        <a:xfrm>
          <a:off x="2228953" y="853725"/>
          <a:ext cx="826208" cy="5246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Intelektinis kapitalas</a:t>
          </a:r>
        </a:p>
      </dsp:txBody>
      <dsp:txXfrm>
        <a:off x="2228953" y="853725"/>
        <a:ext cx="826208" cy="524642"/>
      </dsp:txXfrm>
    </dsp:sp>
    <dsp:sp modelId="{31748513-35AF-AC43-AEA3-911FF9CE6442}">
      <dsp:nvSpPr>
        <dsp:cNvPr id="0" name=""/>
        <dsp:cNvSpPr/>
      </dsp:nvSpPr>
      <dsp:spPr>
        <a:xfrm>
          <a:off x="1632247" y="1531445"/>
          <a:ext cx="826208" cy="52464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EB6423F-BEE1-9A4D-80CC-9768D948A114}">
      <dsp:nvSpPr>
        <dsp:cNvPr id="0" name=""/>
        <dsp:cNvSpPr/>
      </dsp:nvSpPr>
      <dsp:spPr>
        <a:xfrm>
          <a:off x="1724048" y="1618656"/>
          <a:ext cx="826208" cy="5246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Žmogiškasis kapitalas</a:t>
          </a:r>
        </a:p>
      </dsp:txBody>
      <dsp:txXfrm>
        <a:off x="1724048" y="1618656"/>
        <a:ext cx="826208" cy="524642"/>
      </dsp:txXfrm>
    </dsp:sp>
    <dsp:sp modelId="{CC4AD35C-0668-1544-9E99-85DFA40B0CF8}">
      <dsp:nvSpPr>
        <dsp:cNvPr id="0" name=""/>
        <dsp:cNvSpPr/>
      </dsp:nvSpPr>
      <dsp:spPr>
        <a:xfrm>
          <a:off x="2642057" y="1531445"/>
          <a:ext cx="826208" cy="52464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CEF0E15-4C9B-484D-BB3C-9273221F206C}">
      <dsp:nvSpPr>
        <dsp:cNvPr id="0" name=""/>
        <dsp:cNvSpPr/>
      </dsp:nvSpPr>
      <dsp:spPr>
        <a:xfrm>
          <a:off x="2733858" y="1618656"/>
          <a:ext cx="826208" cy="5246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b="1" kern="1200"/>
            <a:t>Struktūrinis kapitalas</a:t>
          </a:r>
        </a:p>
      </dsp:txBody>
      <dsp:txXfrm>
        <a:off x="2733858" y="1618656"/>
        <a:ext cx="826208" cy="524642"/>
      </dsp:txXfrm>
    </dsp:sp>
    <dsp:sp modelId="{E17B2C1C-8E9B-364B-88CB-4D0E8814B39F}">
      <dsp:nvSpPr>
        <dsp:cNvPr id="0" name=""/>
        <dsp:cNvSpPr/>
      </dsp:nvSpPr>
      <dsp:spPr>
        <a:xfrm>
          <a:off x="2137152" y="2296377"/>
          <a:ext cx="826208" cy="52464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47513D7-5B0C-DD4A-B1E8-8BB2D30CDA97}">
      <dsp:nvSpPr>
        <dsp:cNvPr id="0" name=""/>
        <dsp:cNvSpPr/>
      </dsp:nvSpPr>
      <dsp:spPr>
        <a:xfrm>
          <a:off x="2228953" y="2383587"/>
          <a:ext cx="826208" cy="5246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Klientinis kapitalas</a:t>
          </a:r>
        </a:p>
      </dsp:txBody>
      <dsp:txXfrm>
        <a:off x="2228953" y="2383587"/>
        <a:ext cx="826208" cy="524642"/>
      </dsp:txXfrm>
    </dsp:sp>
    <dsp:sp modelId="{246EA9BE-19F5-784E-98B8-918524E4086C}">
      <dsp:nvSpPr>
        <dsp:cNvPr id="0" name=""/>
        <dsp:cNvSpPr/>
      </dsp:nvSpPr>
      <dsp:spPr>
        <a:xfrm>
          <a:off x="3146962" y="2296377"/>
          <a:ext cx="826208" cy="52464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023D31B-8950-4549-B801-5B695BC3CBAC}">
      <dsp:nvSpPr>
        <dsp:cNvPr id="0" name=""/>
        <dsp:cNvSpPr/>
      </dsp:nvSpPr>
      <dsp:spPr>
        <a:xfrm>
          <a:off x="3238763" y="2383587"/>
          <a:ext cx="826208" cy="5246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Organizacinis kapitalas</a:t>
          </a:r>
        </a:p>
      </dsp:txBody>
      <dsp:txXfrm>
        <a:off x="3238763" y="2383587"/>
        <a:ext cx="826208" cy="524642"/>
      </dsp:txXfrm>
    </dsp:sp>
    <dsp:sp modelId="{E9713159-95A2-6543-91F2-71F2593B7C83}">
      <dsp:nvSpPr>
        <dsp:cNvPr id="0" name=""/>
        <dsp:cNvSpPr/>
      </dsp:nvSpPr>
      <dsp:spPr>
        <a:xfrm>
          <a:off x="2642057" y="3061308"/>
          <a:ext cx="826208" cy="52464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F25D37F-6104-BF47-A8FE-EB497C812703}">
      <dsp:nvSpPr>
        <dsp:cNvPr id="0" name=""/>
        <dsp:cNvSpPr/>
      </dsp:nvSpPr>
      <dsp:spPr>
        <a:xfrm>
          <a:off x="2733858" y="3148518"/>
          <a:ext cx="826208" cy="5246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Inovacinis kapitalas</a:t>
          </a:r>
        </a:p>
      </dsp:txBody>
      <dsp:txXfrm>
        <a:off x="2733858" y="3148518"/>
        <a:ext cx="826208" cy="524642"/>
      </dsp:txXfrm>
    </dsp:sp>
    <dsp:sp modelId="{5CCFFC97-ACE6-B34A-BC18-2B8AF2B13900}">
      <dsp:nvSpPr>
        <dsp:cNvPr id="0" name=""/>
        <dsp:cNvSpPr/>
      </dsp:nvSpPr>
      <dsp:spPr>
        <a:xfrm>
          <a:off x="3651867" y="3061308"/>
          <a:ext cx="826208" cy="52464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9399949-63E3-894F-8D4A-11A5A1631DD2}">
      <dsp:nvSpPr>
        <dsp:cNvPr id="0" name=""/>
        <dsp:cNvSpPr/>
      </dsp:nvSpPr>
      <dsp:spPr>
        <a:xfrm>
          <a:off x="3743668" y="3148518"/>
          <a:ext cx="826208" cy="52464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Procesisnis kapitalas</a:t>
          </a:r>
        </a:p>
      </dsp:txBody>
      <dsp:txXfrm>
        <a:off x="3743668" y="3148518"/>
        <a:ext cx="826208" cy="52464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A0940-3766-4E94-830C-72104EE5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97</Pages>
  <Words>33880</Words>
  <Characters>193118</Characters>
  <Application>Microsoft Office Word</Application>
  <DocSecurity>0</DocSecurity>
  <Lines>1609</Lines>
  <Paragraphs>453</Paragraphs>
  <ScaleCrop>false</ScaleCrop>
  <HeadingPairs>
    <vt:vector size="2" baseType="variant">
      <vt:variant>
        <vt:lpstr>Title</vt:lpstr>
      </vt:variant>
      <vt:variant>
        <vt:i4>1</vt:i4>
      </vt:variant>
    </vt:vector>
  </HeadingPairs>
  <TitlesOfParts>
    <vt:vector size="1" baseType="lpstr">
      <vt:lpstr>Reikalavimai pranešimo medžiagai</vt:lpstr>
    </vt:vector>
  </TitlesOfParts>
  <Company>MRU</Company>
  <LinksUpToDate>false</LinksUpToDate>
  <CharactersWithSpaces>226545</CharactersWithSpaces>
  <SharedDoc>false</SharedDoc>
  <HyperlinkBase/>
  <HLinks>
    <vt:vector size="126" baseType="variant">
      <vt:variant>
        <vt:i4>1441798</vt:i4>
      </vt:variant>
      <vt:variant>
        <vt:i4>62</vt:i4>
      </vt:variant>
      <vt:variant>
        <vt:i4>0</vt:i4>
      </vt:variant>
      <vt:variant>
        <vt:i4>5</vt:i4>
      </vt:variant>
      <vt:variant>
        <vt:lpwstr/>
      </vt:variant>
      <vt:variant>
        <vt:lpwstr>_Toc292870203</vt:lpwstr>
      </vt:variant>
      <vt:variant>
        <vt:i4>1441799</vt:i4>
      </vt:variant>
      <vt:variant>
        <vt:i4>59</vt:i4>
      </vt:variant>
      <vt:variant>
        <vt:i4>0</vt:i4>
      </vt:variant>
      <vt:variant>
        <vt:i4>5</vt:i4>
      </vt:variant>
      <vt:variant>
        <vt:lpwstr/>
      </vt:variant>
      <vt:variant>
        <vt:lpwstr>_Toc292870202</vt:lpwstr>
      </vt:variant>
      <vt:variant>
        <vt:i4>2031620</vt:i4>
      </vt:variant>
      <vt:variant>
        <vt:i4>56</vt:i4>
      </vt:variant>
      <vt:variant>
        <vt:i4>0</vt:i4>
      </vt:variant>
      <vt:variant>
        <vt:i4>5</vt:i4>
      </vt:variant>
      <vt:variant>
        <vt:lpwstr/>
      </vt:variant>
      <vt:variant>
        <vt:lpwstr>_Toc292870192</vt:lpwstr>
      </vt:variant>
      <vt:variant>
        <vt:i4>1966082</vt:i4>
      </vt:variant>
      <vt:variant>
        <vt:i4>53</vt:i4>
      </vt:variant>
      <vt:variant>
        <vt:i4>0</vt:i4>
      </vt:variant>
      <vt:variant>
        <vt:i4>5</vt:i4>
      </vt:variant>
      <vt:variant>
        <vt:lpwstr/>
      </vt:variant>
      <vt:variant>
        <vt:lpwstr>_Toc292870184</vt:lpwstr>
      </vt:variant>
      <vt:variant>
        <vt:i4>1966082</vt:i4>
      </vt:variant>
      <vt:variant>
        <vt:i4>50</vt:i4>
      </vt:variant>
      <vt:variant>
        <vt:i4>0</vt:i4>
      </vt:variant>
      <vt:variant>
        <vt:i4>5</vt:i4>
      </vt:variant>
      <vt:variant>
        <vt:lpwstr/>
      </vt:variant>
      <vt:variant>
        <vt:lpwstr>_Toc292870184</vt:lpwstr>
      </vt:variant>
      <vt:variant>
        <vt:i4>1966082</vt:i4>
      </vt:variant>
      <vt:variant>
        <vt:i4>47</vt:i4>
      </vt:variant>
      <vt:variant>
        <vt:i4>0</vt:i4>
      </vt:variant>
      <vt:variant>
        <vt:i4>5</vt:i4>
      </vt:variant>
      <vt:variant>
        <vt:lpwstr/>
      </vt:variant>
      <vt:variant>
        <vt:lpwstr>_Toc292870184</vt:lpwstr>
      </vt:variant>
      <vt:variant>
        <vt:i4>1966082</vt:i4>
      </vt:variant>
      <vt:variant>
        <vt:i4>44</vt:i4>
      </vt:variant>
      <vt:variant>
        <vt:i4>0</vt:i4>
      </vt:variant>
      <vt:variant>
        <vt:i4>5</vt:i4>
      </vt:variant>
      <vt:variant>
        <vt:lpwstr/>
      </vt:variant>
      <vt:variant>
        <vt:lpwstr>_Toc292870184</vt:lpwstr>
      </vt:variant>
      <vt:variant>
        <vt:i4>2031623</vt:i4>
      </vt:variant>
      <vt:variant>
        <vt:i4>41</vt:i4>
      </vt:variant>
      <vt:variant>
        <vt:i4>0</vt:i4>
      </vt:variant>
      <vt:variant>
        <vt:i4>5</vt:i4>
      </vt:variant>
      <vt:variant>
        <vt:lpwstr/>
      </vt:variant>
      <vt:variant>
        <vt:lpwstr>_Toc292870191</vt:lpwstr>
      </vt:variant>
      <vt:variant>
        <vt:i4>2031622</vt:i4>
      </vt:variant>
      <vt:variant>
        <vt:i4>38</vt:i4>
      </vt:variant>
      <vt:variant>
        <vt:i4>0</vt:i4>
      </vt:variant>
      <vt:variant>
        <vt:i4>5</vt:i4>
      </vt:variant>
      <vt:variant>
        <vt:lpwstr/>
      </vt:variant>
      <vt:variant>
        <vt:lpwstr>_Toc292870190</vt:lpwstr>
      </vt:variant>
      <vt:variant>
        <vt:i4>1966095</vt:i4>
      </vt:variant>
      <vt:variant>
        <vt:i4>35</vt:i4>
      </vt:variant>
      <vt:variant>
        <vt:i4>0</vt:i4>
      </vt:variant>
      <vt:variant>
        <vt:i4>5</vt:i4>
      </vt:variant>
      <vt:variant>
        <vt:lpwstr/>
      </vt:variant>
      <vt:variant>
        <vt:lpwstr>_Toc292870189</vt:lpwstr>
      </vt:variant>
      <vt:variant>
        <vt:i4>1966094</vt:i4>
      </vt:variant>
      <vt:variant>
        <vt:i4>32</vt:i4>
      </vt:variant>
      <vt:variant>
        <vt:i4>0</vt:i4>
      </vt:variant>
      <vt:variant>
        <vt:i4>5</vt:i4>
      </vt:variant>
      <vt:variant>
        <vt:lpwstr/>
      </vt:variant>
      <vt:variant>
        <vt:lpwstr>_Toc292870188</vt:lpwstr>
      </vt:variant>
      <vt:variant>
        <vt:i4>1966081</vt:i4>
      </vt:variant>
      <vt:variant>
        <vt:i4>29</vt:i4>
      </vt:variant>
      <vt:variant>
        <vt:i4>0</vt:i4>
      </vt:variant>
      <vt:variant>
        <vt:i4>5</vt:i4>
      </vt:variant>
      <vt:variant>
        <vt:lpwstr/>
      </vt:variant>
      <vt:variant>
        <vt:lpwstr>_Toc292870187</vt:lpwstr>
      </vt:variant>
      <vt:variant>
        <vt:i4>1966081</vt:i4>
      </vt:variant>
      <vt:variant>
        <vt:i4>26</vt:i4>
      </vt:variant>
      <vt:variant>
        <vt:i4>0</vt:i4>
      </vt:variant>
      <vt:variant>
        <vt:i4>5</vt:i4>
      </vt:variant>
      <vt:variant>
        <vt:lpwstr/>
      </vt:variant>
      <vt:variant>
        <vt:lpwstr>_Toc292870187</vt:lpwstr>
      </vt:variant>
      <vt:variant>
        <vt:i4>1966080</vt:i4>
      </vt:variant>
      <vt:variant>
        <vt:i4>23</vt:i4>
      </vt:variant>
      <vt:variant>
        <vt:i4>0</vt:i4>
      </vt:variant>
      <vt:variant>
        <vt:i4>5</vt:i4>
      </vt:variant>
      <vt:variant>
        <vt:lpwstr/>
      </vt:variant>
      <vt:variant>
        <vt:lpwstr>_Toc292870186</vt:lpwstr>
      </vt:variant>
      <vt:variant>
        <vt:i4>1966082</vt:i4>
      </vt:variant>
      <vt:variant>
        <vt:i4>20</vt:i4>
      </vt:variant>
      <vt:variant>
        <vt:i4>0</vt:i4>
      </vt:variant>
      <vt:variant>
        <vt:i4>5</vt:i4>
      </vt:variant>
      <vt:variant>
        <vt:lpwstr/>
      </vt:variant>
      <vt:variant>
        <vt:lpwstr>_Toc292870184</vt:lpwstr>
      </vt:variant>
      <vt:variant>
        <vt:i4>1966083</vt:i4>
      </vt:variant>
      <vt:variant>
        <vt:i4>17</vt:i4>
      </vt:variant>
      <vt:variant>
        <vt:i4>0</vt:i4>
      </vt:variant>
      <vt:variant>
        <vt:i4>5</vt:i4>
      </vt:variant>
      <vt:variant>
        <vt:lpwstr/>
      </vt:variant>
      <vt:variant>
        <vt:lpwstr>_Toc292870185</vt:lpwstr>
      </vt:variant>
      <vt:variant>
        <vt:i4>1966082</vt:i4>
      </vt:variant>
      <vt:variant>
        <vt:i4>14</vt:i4>
      </vt:variant>
      <vt:variant>
        <vt:i4>0</vt:i4>
      </vt:variant>
      <vt:variant>
        <vt:i4>5</vt:i4>
      </vt:variant>
      <vt:variant>
        <vt:lpwstr/>
      </vt:variant>
      <vt:variant>
        <vt:lpwstr>_Toc292870184</vt:lpwstr>
      </vt:variant>
      <vt:variant>
        <vt:i4>1966082</vt:i4>
      </vt:variant>
      <vt:variant>
        <vt:i4>11</vt:i4>
      </vt:variant>
      <vt:variant>
        <vt:i4>0</vt:i4>
      </vt:variant>
      <vt:variant>
        <vt:i4>5</vt:i4>
      </vt:variant>
      <vt:variant>
        <vt:lpwstr/>
      </vt:variant>
      <vt:variant>
        <vt:lpwstr>_Toc292870184</vt:lpwstr>
      </vt:variant>
      <vt:variant>
        <vt:i4>1966082</vt:i4>
      </vt:variant>
      <vt:variant>
        <vt:i4>8</vt:i4>
      </vt:variant>
      <vt:variant>
        <vt:i4>0</vt:i4>
      </vt:variant>
      <vt:variant>
        <vt:i4>5</vt:i4>
      </vt:variant>
      <vt:variant>
        <vt:lpwstr/>
      </vt:variant>
      <vt:variant>
        <vt:lpwstr>_Toc292870184</vt:lpwstr>
      </vt:variant>
      <vt:variant>
        <vt:i4>1966082</vt:i4>
      </vt:variant>
      <vt:variant>
        <vt:i4>5</vt:i4>
      </vt:variant>
      <vt:variant>
        <vt:i4>0</vt:i4>
      </vt:variant>
      <vt:variant>
        <vt:i4>5</vt:i4>
      </vt:variant>
      <vt:variant>
        <vt:lpwstr/>
      </vt:variant>
      <vt:variant>
        <vt:lpwstr>_Toc292870184</vt:lpwstr>
      </vt:variant>
      <vt:variant>
        <vt:i4>1966085</vt:i4>
      </vt:variant>
      <vt:variant>
        <vt:i4>2</vt:i4>
      </vt:variant>
      <vt:variant>
        <vt:i4>0</vt:i4>
      </vt:variant>
      <vt:variant>
        <vt:i4>5</vt:i4>
      </vt:variant>
      <vt:variant>
        <vt:lpwstr/>
      </vt:variant>
      <vt:variant>
        <vt:lpwstr>_Toc292870183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Reikalavimai pranešimo medžiagai</dc:title>
  <dc:subject/>
  <dc:creator>Sigita Girzadiene</dc:creator>
  <cp:keywords/>
  <dc:description/>
  <cp:lastModifiedBy>Kompiuteris</cp:lastModifiedBy>
  <cp:revision>2</cp:revision>
  <cp:lastPrinted>2014-05-01T19:49:00Z</cp:lastPrinted>
  <dcterms:created xsi:type="dcterms:W3CDTF">2014-05-01T19:53:00Z</dcterms:created>
  <dcterms:modified xsi:type="dcterms:W3CDTF">2014-05-01T19:53:00Z</dcterms:modified>
</cp:coreProperties>
</file>